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FC20AA">
      <w:pPr>
        <w:spacing w:before="120" w:beforeLines="50"/>
        <w:rPr>
          <w:rFonts w:ascii="宋体" w:hAnsi="宋体" w:cs="宋体"/>
          <w:b/>
          <w:bCs/>
          <w:color w:val="000000"/>
          <w:sz w:val="48"/>
          <w:szCs w:val="48"/>
        </w:rPr>
      </w:pPr>
    </w:p>
    <w:p w14:paraId="6CFA5930">
      <w:pPr>
        <w:snapToGrid w:val="0"/>
        <w:spacing w:before="286" w:beforeAutospacing="0" w:after="143" w:afterAutospacing="0" w:line="240" w:lineRule="auto"/>
        <w:jc w:val="center"/>
        <w:textAlignment w:val="baseline"/>
        <w:rPr>
          <w:b/>
          <w:i w:val="0"/>
          <w:caps w:val="0"/>
          <w:spacing w:val="0"/>
          <w:w w:val="100"/>
          <w:sz w:val="72"/>
          <w:szCs w:val="72"/>
        </w:rPr>
      </w:pPr>
      <w:r>
        <w:rPr>
          <w:rFonts w:hint="eastAsia"/>
          <w:b/>
          <w:i w:val="0"/>
          <w:caps w:val="0"/>
          <w:spacing w:val="0"/>
          <w:w w:val="100"/>
          <w:sz w:val="72"/>
          <w:szCs w:val="72"/>
          <w:lang w:val="en-US" w:eastAsia="zh-CN"/>
        </w:rPr>
        <w:t>广西国立工程咨询</w:t>
      </w:r>
      <w:r>
        <w:rPr>
          <w:rFonts w:hint="eastAsia"/>
          <w:b/>
          <w:i w:val="0"/>
          <w:caps w:val="0"/>
          <w:spacing w:val="0"/>
          <w:w w:val="100"/>
          <w:sz w:val="72"/>
          <w:szCs w:val="72"/>
          <w:lang w:eastAsia="zh-CN"/>
        </w:rPr>
        <w:t>有限公司</w:t>
      </w:r>
    </w:p>
    <w:p w14:paraId="41B07739">
      <w:pPr>
        <w:snapToGrid w:val="0"/>
        <w:spacing w:before="286" w:beforeAutospacing="0" w:after="143" w:afterAutospacing="0" w:line="240" w:lineRule="auto"/>
        <w:jc w:val="center"/>
        <w:textAlignment w:val="baseline"/>
        <w:rPr>
          <w:b/>
          <w:i w:val="0"/>
          <w:caps w:val="0"/>
          <w:spacing w:val="0"/>
          <w:w w:val="100"/>
          <w:sz w:val="72"/>
          <w:szCs w:val="72"/>
        </w:rPr>
      </w:pPr>
    </w:p>
    <w:p w14:paraId="7FB31E34">
      <w:pPr>
        <w:snapToGrid w:val="0"/>
        <w:spacing w:before="286" w:beforeAutospacing="0" w:after="143" w:afterAutospacing="0" w:line="240" w:lineRule="auto"/>
        <w:jc w:val="both"/>
        <w:textAlignment w:val="baseline"/>
        <w:rPr>
          <w:b/>
          <w:i w:val="0"/>
          <w:caps w:val="0"/>
          <w:spacing w:val="0"/>
          <w:w w:val="100"/>
          <w:sz w:val="72"/>
          <w:szCs w:val="72"/>
        </w:rPr>
      </w:pPr>
    </w:p>
    <w:p w14:paraId="3478A105">
      <w:pPr>
        <w:snapToGrid w:val="0"/>
        <w:spacing w:before="286" w:beforeAutospacing="0" w:after="143" w:afterAutospacing="0" w:line="240" w:lineRule="auto"/>
        <w:jc w:val="center"/>
        <w:textAlignment w:val="baseline"/>
        <w:rPr>
          <w:b/>
          <w:i w:val="0"/>
          <w:caps w:val="0"/>
          <w:spacing w:val="0"/>
          <w:w w:val="100"/>
          <w:sz w:val="72"/>
          <w:szCs w:val="72"/>
        </w:rPr>
      </w:pPr>
      <w:r>
        <w:rPr>
          <w:rFonts w:hint="eastAsia"/>
          <w:b/>
          <w:i w:val="0"/>
          <w:caps w:val="0"/>
          <w:spacing w:val="0"/>
          <w:w w:val="100"/>
          <w:sz w:val="72"/>
          <w:szCs w:val="72"/>
        </w:rPr>
        <w:t>竞争性磋商文件</w:t>
      </w:r>
    </w:p>
    <w:p w14:paraId="33D609F8">
      <w:pPr>
        <w:pStyle w:val="26"/>
      </w:pPr>
    </w:p>
    <w:p w14:paraId="11A068C8">
      <w:pPr>
        <w:snapToGrid w:val="0"/>
        <w:spacing w:before="120" w:beforeLines="50" w:line="360" w:lineRule="auto"/>
        <w:ind w:firstLine="602"/>
        <w:jc w:val="center"/>
        <w:rPr>
          <w:rFonts w:ascii="宋体" w:hAnsi="宋体" w:cs="宋体"/>
          <w:b/>
          <w:color w:val="000000"/>
          <w:sz w:val="30"/>
          <w:szCs w:val="72"/>
        </w:rPr>
      </w:pPr>
    </w:p>
    <w:p w14:paraId="016485B7">
      <w:pPr>
        <w:rPr>
          <w:rFonts w:hint="eastAsia" w:ascii="宋体" w:hAnsi="宋体" w:cs="宋体"/>
          <w:b w:val="0"/>
          <w:color w:val="000000"/>
          <w:sz w:val="32"/>
          <w:szCs w:val="72"/>
        </w:rPr>
      </w:pPr>
    </w:p>
    <w:p w14:paraId="73465F86">
      <w:pPr>
        <w:rPr>
          <w:rFonts w:hint="eastAsia" w:ascii="宋体" w:hAnsi="宋体" w:cs="宋体"/>
          <w:b w:val="0"/>
          <w:color w:val="000000"/>
          <w:sz w:val="32"/>
          <w:szCs w:val="72"/>
        </w:rPr>
      </w:pPr>
    </w:p>
    <w:p w14:paraId="688705A2">
      <w:pPr>
        <w:rPr>
          <w:rFonts w:hint="eastAsia" w:ascii="宋体" w:hAnsi="宋体" w:cs="宋体"/>
          <w:b w:val="0"/>
          <w:color w:val="000000"/>
          <w:sz w:val="32"/>
          <w:szCs w:val="72"/>
        </w:rPr>
      </w:pPr>
    </w:p>
    <w:p w14:paraId="2AF2DE9A">
      <w:pPr>
        <w:snapToGrid w:val="0"/>
        <w:spacing w:before="120" w:beforeLines="50" w:line="480" w:lineRule="auto"/>
        <w:ind w:firstLine="0" w:firstLineChars="0"/>
        <w:jc w:val="both"/>
        <w:rPr>
          <w:rFonts w:hint="eastAsia" w:ascii="宋体" w:hAnsi="宋体" w:cs="宋体"/>
          <w:b/>
          <w:color w:val="000000"/>
          <w:sz w:val="30"/>
          <w:szCs w:val="30"/>
        </w:rPr>
      </w:pPr>
    </w:p>
    <w:p w14:paraId="7FAB884E">
      <w:pPr>
        <w:snapToGrid w:val="0"/>
        <w:spacing w:before="0" w:beforeAutospacing="0" w:after="0" w:afterAutospacing="0" w:line="240" w:lineRule="auto"/>
        <w:ind w:firstLine="1506" w:firstLineChars="500"/>
        <w:jc w:val="both"/>
        <w:textAlignment w:val="baseline"/>
        <w:rPr>
          <w:rFonts w:hint="eastAsia" w:ascii="宋体" w:hAnsi="宋体" w:eastAsia="宋体" w:cs="宋体"/>
          <w:b/>
          <w:i w:val="0"/>
          <w:caps w:val="0"/>
          <w:spacing w:val="0"/>
          <w:w w:val="100"/>
          <w:sz w:val="30"/>
          <w:szCs w:val="30"/>
          <w:lang w:eastAsia="zh-CN"/>
        </w:rPr>
      </w:pPr>
      <w:r>
        <w:rPr>
          <w:rFonts w:hint="eastAsia" w:ascii="宋体" w:hAnsi="宋体" w:eastAsia="宋体" w:cs="宋体"/>
          <w:b/>
          <w:color w:val="000000"/>
          <w:sz w:val="30"/>
          <w:szCs w:val="30"/>
        </w:rPr>
        <w:t>项目名称：</w:t>
      </w:r>
      <w:r>
        <w:rPr>
          <w:rFonts w:hint="eastAsia" w:ascii="宋体" w:hAnsi="宋体" w:cs="宋体"/>
          <w:b/>
          <w:i w:val="0"/>
          <w:caps w:val="0"/>
          <w:spacing w:val="0"/>
          <w:w w:val="100"/>
          <w:sz w:val="30"/>
          <w:szCs w:val="30"/>
          <w:lang w:eastAsia="zh-CN"/>
        </w:rPr>
        <w:t>2025年叫安镇文明村那歪屯至板细屯产业道路项目</w:t>
      </w:r>
    </w:p>
    <w:p w14:paraId="3C4D0922">
      <w:pPr>
        <w:snapToGrid w:val="0"/>
        <w:spacing w:before="120" w:beforeLines="50" w:line="480" w:lineRule="auto"/>
        <w:ind w:firstLine="1506" w:firstLineChars="500"/>
        <w:jc w:val="both"/>
        <w:rPr>
          <w:rFonts w:hint="eastAsia" w:ascii="宋体" w:hAnsi="宋体" w:eastAsia="宋体" w:cs="宋体"/>
          <w:b/>
          <w:sz w:val="30"/>
          <w:szCs w:val="30"/>
        </w:rPr>
      </w:pPr>
    </w:p>
    <w:p w14:paraId="0679C348">
      <w:pPr>
        <w:snapToGrid w:val="0"/>
        <w:spacing w:before="120" w:beforeLines="50" w:line="480" w:lineRule="auto"/>
        <w:ind w:firstLine="1506" w:firstLineChars="500"/>
        <w:jc w:val="both"/>
        <w:rPr>
          <w:rFonts w:hint="eastAsia" w:ascii="宋体" w:hAnsi="宋体" w:eastAsia="宋体" w:cs="宋体"/>
          <w:b/>
          <w:bCs w:val="0"/>
          <w:sz w:val="30"/>
          <w:szCs w:val="30"/>
        </w:rPr>
      </w:pPr>
      <w:r>
        <w:rPr>
          <w:rFonts w:hint="eastAsia" w:ascii="宋体" w:hAnsi="宋体" w:eastAsia="宋体" w:cs="宋体"/>
          <w:b/>
          <w:bCs w:val="0"/>
          <w:sz w:val="30"/>
          <w:szCs w:val="30"/>
        </w:rPr>
        <w:t>项目编号：</w:t>
      </w:r>
      <w:r>
        <w:rPr>
          <w:rFonts w:hint="eastAsia" w:ascii="宋体" w:hAnsi="宋体" w:eastAsia="宋体" w:cs="宋体"/>
          <w:b/>
          <w:bCs w:val="0"/>
          <w:sz w:val="30"/>
          <w:szCs w:val="30"/>
        </w:rPr>
        <w:fldChar w:fldCharType="begin"/>
      </w:r>
      <w:r>
        <w:rPr>
          <w:rFonts w:hint="eastAsia" w:ascii="宋体" w:hAnsi="宋体" w:eastAsia="宋体" w:cs="宋体"/>
          <w:b/>
          <w:bCs w:val="0"/>
          <w:sz w:val="30"/>
          <w:szCs w:val="30"/>
        </w:rPr>
        <w:instrText xml:space="preserve"> HYPERLINK "https://www.gcy.zfcg.gxzf.gov.cn/gaea/api/project/flow/redirect?projectId=7219986524470771801&amp;newUrl=https://www.gcy.zfcg.gxzf.gov.cn/micro-app-back-index/blank?_flow_type_=agency&amp;_flow_projectId_=7219986524470771801&amp;_jump_page_type_=project_procurement_management_flow&amp;_app_=zcy.procurement&amp;oldUrl=https://www.gcy.zfcg.gxzf.gov.cn/project-center/_procurement_/project-result-detail/7219986524470771801" \t "https://www.gcy.zfcg.gxzf.gov.cn/project-center/_procurement_/self-project/_blank" </w:instrText>
      </w:r>
      <w:r>
        <w:rPr>
          <w:rFonts w:hint="eastAsia" w:ascii="宋体" w:hAnsi="宋体" w:eastAsia="宋体" w:cs="宋体"/>
          <w:b/>
          <w:bCs w:val="0"/>
          <w:sz w:val="30"/>
          <w:szCs w:val="30"/>
        </w:rPr>
        <w:fldChar w:fldCharType="separate"/>
      </w:r>
      <w:r>
        <w:rPr>
          <w:rFonts w:hint="eastAsia" w:ascii="宋体" w:hAnsi="宋体" w:eastAsia="宋体" w:cs="宋体"/>
          <w:b/>
          <w:bCs w:val="0"/>
          <w:sz w:val="30"/>
          <w:szCs w:val="30"/>
        </w:rPr>
        <w:t>FCZC2025-C2-210072-GXGL</w:t>
      </w:r>
      <w:r>
        <w:rPr>
          <w:rFonts w:hint="eastAsia" w:ascii="宋体" w:hAnsi="宋体" w:eastAsia="宋体" w:cs="宋体"/>
          <w:b/>
          <w:bCs w:val="0"/>
          <w:sz w:val="30"/>
          <w:szCs w:val="30"/>
        </w:rPr>
        <w:fldChar w:fldCharType="end"/>
      </w:r>
    </w:p>
    <w:p w14:paraId="321CD5E0">
      <w:pPr>
        <w:pBdr>
          <w:bottom w:val="single" w:color="000000" w:sz="6" w:space="1"/>
        </w:pBdr>
        <w:spacing w:line="560" w:lineRule="exact"/>
        <w:rPr>
          <w:rFonts w:hint="eastAsia" w:hAnsi="Courier New"/>
          <w:color w:val="000000"/>
          <w:sz w:val="32"/>
          <w:szCs w:val="22"/>
        </w:rPr>
      </w:pPr>
    </w:p>
    <w:p w14:paraId="605A56CF">
      <w:pPr>
        <w:rPr>
          <w:rFonts w:hint="eastAsia"/>
        </w:rPr>
      </w:pPr>
    </w:p>
    <w:p w14:paraId="0BC3A03E">
      <w:pPr>
        <w:snapToGrid w:val="0"/>
        <w:spacing w:before="120" w:beforeLines="50" w:line="480" w:lineRule="auto"/>
        <w:ind w:firstLine="1424" w:firstLineChars="283"/>
        <w:jc w:val="left"/>
        <w:rPr>
          <w:rFonts w:hint="eastAsia" w:ascii="宋体" w:hAnsi="宋体" w:cs="宋体"/>
          <w:b/>
          <w:color w:val="000000"/>
          <w:sz w:val="30"/>
          <w:szCs w:val="30"/>
          <w:lang w:eastAsia="zh-CN"/>
        </w:rPr>
      </w:pPr>
      <w:r>
        <w:rPr>
          <w:rFonts w:hint="eastAsia" w:ascii="宋体" w:hAnsi="宋体" w:cs="宋体"/>
          <w:b/>
          <w:color w:val="000000"/>
          <w:spacing w:val="101"/>
          <w:kern w:val="0"/>
          <w:sz w:val="30"/>
          <w:szCs w:val="30"/>
          <w:fitText w:val="1806" w:id="1164258868"/>
        </w:rPr>
        <w:t>采购单</w:t>
      </w:r>
      <w:r>
        <w:rPr>
          <w:rFonts w:hint="eastAsia" w:ascii="宋体" w:hAnsi="宋体" w:cs="宋体"/>
          <w:b/>
          <w:color w:val="000000"/>
          <w:spacing w:val="0"/>
          <w:kern w:val="0"/>
          <w:sz w:val="30"/>
          <w:szCs w:val="30"/>
          <w:fitText w:val="1806" w:id="1164258868"/>
        </w:rPr>
        <w:t>位</w:t>
      </w:r>
      <w:r>
        <w:rPr>
          <w:rFonts w:hint="eastAsia" w:ascii="宋体" w:hAnsi="宋体" w:cs="宋体"/>
          <w:b/>
          <w:color w:val="000000"/>
          <w:sz w:val="30"/>
          <w:szCs w:val="30"/>
        </w:rPr>
        <w:t>：</w:t>
      </w:r>
      <w:r>
        <w:rPr>
          <w:rFonts w:hint="eastAsia" w:ascii="宋体" w:hAnsi="宋体" w:cs="宋体"/>
          <w:b/>
          <w:color w:val="000000"/>
          <w:sz w:val="30"/>
          <w:szCs w:val="30"/>
          <w:lang w:eastAsia="zh-CN"/>
        </w:rPr>
        <w:t>上思县农业农村局</w:t>
      </w:r>
    </w:p>
    <w:p w14:paraId="5284E228">
      <w:pPr>
        <w:snapToGrid w:val="0"/>
        <w:spacing w:before="120" w:beforeLines="50" w:line="480" w:lineRule="auto"/>
        <w:ind w:firstLine="1449" w:firstLineChars="481"/>
        <w:jc w:val="left"/>
        <w:rPr>
          <w:rFonts w:hint="eastAsia" w:ascii="宋体" w:hAnsi="宋体" w:cs="宋体"/>
          <w:b/>
          <w:color w:val="000000"/>
          <w:sz w:val="30"/>
          <w:szCs w:val="30"/>
          <w:lang w:eastAsia="zh-CN"/>
        </w:rPr>
      </w:pPr>
      <w:r>
        <w:rPr>
          <w:rFonts w:hint="eastAsia" w:ascii="宋体" w:hAnsi="宋体" w:cs="宋体"/>
          <w:b/>
          <w:color w:val="000000"/>
          <w:sz w:val="30"/>
          <w:szCs w:val="30"/>
        </w:rPr>
        <w:t>采购代理单位：</w:t>
      </w:r>
      <w:r>
        <w:rPr>
          <w:rFonts w:hint="eastAsia" w:ascii="宋体" w:hAnsi="宋体" w:cs="宋体"/>
          <w:b/>
          <w:color w:val="000000"/>
          <w:sz w:val="30"/>
          <w:szCs w:val="30"/>
          <w:lang w:val="en-US" w:eastAsia="zh-CN"/>
        </w:rPr>
        <w:t>广西国立工程咨询</w:t>
      </w:r>
      <w:r>
        <w:rPr>
          <w:rFonts w:hint="eastAsia" w:ascii="宋体" w:hAnsi="宋体" w:cs="宋体"/>
          <w:b/>
          <w:color w:val="000000"/>
          <w:sz w:val="30"/>
          <w:szCs w:val="30"/>
          <w:lang w:eastAsia="zh-CN"/>
        </w:rPr>
        <w:t>有限公司</w:t>
      </w:r>
    </w:p>
    <w:p w14:paraId="77DFF633">
      <w:pPr>
        <w:jc w:val="center"/>
        <w:rPr>
          <w:rFonts w:hint="eastAsia"/>
        </w:rPr>
      </w:pPr>
      <w:r>
        <w:rPr>
          <w:rFonts w:hint="eastAsia" w:cs="宋体"/>
          <w:b/>
          <w:bCs/>
          <w:color w:val="000000"/>
          <w:w w:val="95"/>
          <w:sz w:val="30"/>
          <w:szCs w:val="30"/>
          <w:lang w:val="en-US" w:eastAsia="zh-CN"/>
        </w:rPr>
        <w:t>2025</w:t>
      </w:r>
      <w:r>
        <w:rPr>
          <w:rFonts w:hint="eastAsia" w:cs="宋体"/>
          <w:b/>
          <w:bCs/>
          <w:color w:val="000000"/>
          <w:w w:val="95"/>
          <w:sz w:val="30"/>
          <w:szCs w:val="30"/>
        </w:rPr>
        <w:t>年</w:t>
      </w:r>
      <w:r>
        <w:rPr>
          <w:rFonts w:hint="eastAsia" w:cs="宋体"/>
          <w:b/>
          <w:bCs/>
          <w:color w:val="000000"/>
          <w:w w:val="95"/>
          <w:sz w:val="30"/>
          <w:szCs w:val="30"/>
          <w:lang w:val="en-US" w:eastAsia="zh-CN"/>
        </w:rPr>
        <w:t>8</w:t>
      </w:r>
      <w:r>
        <w:rPr>
          <w:rFonts w:hint="eastAsia" w:cs="宋体"/>
          <w:b/>
          <w:bCs/>
          <w:color w:val="000000"/>
          <w:w w:val="95"/>
          <w:sz w:val="30"/>
          <w:szCs w:val="30"/>
        </w:rPr>
        <w:t>月</w:t>
      </w:r>
    </w:p>
    <w:p w14:paraId="42FA9026">
      <w:pPr>
        <w:spacing w:line="360" w:lineRule="auto"/>
        <w:jc w:val="center"/>
        <w:rPr>
          <w:rFonts w:hint="eastAsia" w:ascii="宋体" w:hAnsi="宋体"/>
          <w:b/>
          <w:color w:val="000000"/>
          <w:sz w:val="36"/>
          <w:szCs w:val="36"/>
        </w:rPr>
      </w:pPr>
    </w:p>
    <w:p w14:paraId="2F5C5179">
      <w:pPr>
        <w:pStyle w:val="41"/>
      </w:pPr>
      <w:r>
        <w:t>目   录</w:t>
      </w:r>
    </w:p>
    <w:p w14:paraId="37114605">
      <w:pPr>
        <w:pStyle w:val="19"/>
        <w:tabs>
          <w:tab w:val="right" w:leader="dot" w:pos="9639"/>
          <w:tab w:val="clear" w:pos="8450"/>
        </w:tabs>
        <w:spacing w:line="360" w:lineRule="auto"/>
        <w:outlineLvl w:val="0"/>
        <w:rPr>
          <w:color w:val="000000"/>
          <w:sz w:val="28"/>
          <w:szCs w:val="28"/>
        </w:rPr>
      </w:pPr>
      <w:r>
        <w:rPr>
          <w:rFonts w:ascii="宋体" w:hAnsi="宋体"/>
          <w:b/>
          <w:color w:val="000000"/>
          <w:sz w:val="28"/>
          <w:szCs w:val="28"/>
        </w:rPr>
        <w:fldChar w:fldCharType="begin"/>
      </w:r>
      <w:r>
        <w:rPr>
          <w:rFonts w:ascii="宋体" w:hAnsi="宋体"/>
          <w:b/>
          <w:color w:val="000000"/>
          <w:sz w:val="28"/>
          <w:szCs w:val="28"/>
        </w:rPr>
        <w:instrText xml:space="preserve"> </w:instrText>
      </w:r>
      <w:r>
        <w:rPr>
          <w:rFonts w:hint="eastAsia" w:ascii="宋体" w:hAnsi="宋体"/>
          <w:b/>
          <w:color w:val="000000"/>
          <w:sz w:val="28"/>
          <w:szCs w:val="28"/>
        </w:rPr>
        <w:instrText xml:space="preserve">TOC \o "1-3" \h \z \u</w:instrText>
      </w:r>
      <w:r>
        <w:rPr>
          <w:rFonts w:ascii="宋体" w:hAnsi="宋体"/>
          <w:b/>
          <w:color w:val="000000"/>
          <w:sz w:val="28"/>
          <w:szCs w:val="28"/>
        </w:rPr>
        <w:instrText xml:space="preserve"> </w:instrText>
      </w:r>
      <w:r>
        <w:rPr>
          <w:rFonts w:ascii="宋体" w:hAnsi="宋体"/>
          <w:b/>
          <w:color w:val="000000"/>
          <w:sz w:val="28"/>
          <w:szCs w:val="28"/>
        </w:rPr>
        <w:fldChar w:fldCharType="separate"/>
      </w:r>
      <w:r>
        <w:rPr>
          <w:rFonts w:ascii="宋体" w:hAnsi="宋体"/>
          <w:color w:val="000000"/>
          <w:sz w:val="28"/>
          <w:szCs w:val="28"/>
        </w:rPr>
        <w:fldChar w:fldCharType="begin"/>
      </w:r>
      <w:r>
        <w:rPr>
          <w:rFonts w:ascii="宋体" w:hAnsi="宋体"/>
          <w:color w:val="000000"/>
          <w:sz w:val="28"/>
          <w:szCs w:val="28"/>
        </w:rPr>
        <w:instrText xml:space="preserve"> HYPERLINK \l _Toc19824 </w:instrText>
      </w:r>
      <w:r>
        <w:rPr>
          <w:rFonts w:ascii="宋体" w:hAnsi="宋体"/>
          <w:color w:val="000000"/>
          <w:sz w:val="28"/>
          <w:szCs w:val="28"/>
        </w:rPr>
        <w:fldChar w:fldCharType="separate"/>
      </w:r>
      <w:r>
        <w:rPr>
          <w:rFonts w:hint="eastAsia" w:ascii="宋体" w:hAnsi="宋体"/>
          <w:color w:val="000000"/>
          <w:sz w:val="28"/>
          <w:szCs w:val="28"/>
        </w:rPr>
        <w:t xml:space="preserve">第一章 </w:t>
      </w:r>
      <w:r>
        <w:rPr>
          <w:rFonts w:hint="eastAsia" w:ascii="宋体" w:hAnsi="宋体"/>
          <w:color w:val="000000"/>
          <w:sz w:val="28"/>
          <w:szCs w:val="28"/>
          <w:lang w:val="en-US" w:eastAsia="zh-CN"/>
        </w:rPr>
        <w:t xml:space="preserve"> </w:t>
      </w:r>
      <w:r>
        <w:rPr>
          <w:rFonts w:hint="eastAsia" w:ascii="宋体" w:hAnsi="宋体"/>
          <w:color w:val="000000"/>
          <w:sz w:val="28"/>
          <w:szCs w:val="28"/>
        </w:rPr>
        <w:t>竞争性磋商公告</w:t>
      </w:r>
      <w:r>
        <w:rPr>
          <w:color w:val="000000"/>
          <w:sz w:val="28"/>
          <w:szCs w:val="28"/>
        </w:rPr>
        <w:tab/>
      </w:r>
      <w:r>
        <w:rPr>
          <w:color w:val="000000"/>
          <w:sz w:val="28"/>
          <w:szCs w:val="28"/>
        </w:rPr>
        <w:fldChar w:fldCharType="begin"/>
      </w:r>
      <w:r>
        <w:rPr>
          <w:color w:val="000000"/>
          <w:sz w:val="28"/>
          <w:szCs w:val="28"/>
        </w:rPr>
        <w:instrText xml:space="preserve"> PAGEREF _Toc19824 </w:instrText>
      </w:r>
      <w:r>
        <w:rPr>
          <w:color w:val="000000"/>
          <w:sz w:val="28"/>
          <w:szCs w:val="28"/>
        </w:rPr>
        <w:fldChar w:fldCharType="separate"/>
      </w:r>
      <w:r>
        <w:rPr>
          <w:color w:val="000000"/>
          <w:sz w:val="28"/>
          <w:szCs w:val="28"/>
        </w:rPr>
        <w:t>2</w:t>
      </w:r>
      <w:r>
        <w:rPr>
          <w:color w:val="000000"/>
          <w:sz w:val="28"/>
          <w:szCs w:val="28"/>
        </w:rPr>
        <w:fldChar w:fldCharType="end"/>
      </w:r>
      <w:r>
        <w:rPr>
          <w:rFonts w:ascii="宋体" w:hAnsi="宋体"/>
          <w:color w:val="000000"/>
          <w:sz w:val="28"/>
          <w:szCs w:val="28"/>
        </w:rPr>
        <w:fldChar w:fldCharType="end"/>
      </w:r>
    </w:p>
    <w:p w14:paraId="7F584E11">
      <w:pPr>
        <w:pStyle w:val="19"/>
        <w:tabs>
          <w:tab w:val="right" w:leader="dot" w:pos="9639"/>
          <w:tab w:val="clear" w:pos="8450"/>
        </w:tabs>
        <w:spacing w:line="360" w:lineRule="auto"/>
        <w:rPr>
          <w:color w:val="000000"/>
          <w:sz w:val="28"/>
          <w:szCs w:val="28"/>
        </w:rPr>
      </w:pPr>
      <w:r>
        <w:rPr>
          <w:rFonts w:ascii="宋体" w:hAnsi="宋体"/>
          <w:color w:val="000000"/>
          <w:sz w:val="28"/>
          <w:szCs w:val="28"/>
        </w:rPr>
        <w:fldChar w:fldCharType="begin"/>
      </w:r>
      <w:r>
        <w:rPr>
          <w:rFonts w:ascii="宋体" w:hAnsi="宋体"/>
          <w:color w:val="000000"/>
          <w:sz w:val="28"/>
          <w:szCs w:val="28"/>
        </w:rPr>
        <w:instrText xml:space="preserve"> HYPERLINK \l _Toc1467 </w:instrText>
      </w:r>
      <w:r>
        <w:rPr>
          <w:rFonts w:ascii="宋体" w:hAnsi="宋体"/>
          <w:color w:val="000000"/>
          <w:sz w:val="28"/>
          <w:szCs w:val="28"/>
        </w:rPr>
        <w:fldChar w:fldCharType="separate"/>
      </w:r>
      <w:r>
        <w:rPr>
          <w:rFonts w:hint="eastAsia"/>
          <w:color w:val="000000"/>
          <w:sz w:val="28"/>
          <w:szCs w:val="28"/>
        </w:rPr>
        <w:t xml:space="preserve">第二章 </w:t>
      </w:r>
      <w:r>
        <w:rPr>
          <w:rFonts w:hint="eastAsia"/>
          <w:color w:val="000000"/>
          <w:sz w:val="28"/>
          <w:szCs w:val="28"/>
          <w:lang w:val="en-US" w:eastAsia="zh-CN"/>
        </w:rPr>
        <w:t xml:space="preserve"> </w:t>
      </w:r>
      <w:r>
        <w:rPr>
          <w:rFonts w:hint="eastAsia"/>
          <w:color w:val="000000"/>
          <w:sz w:val="28"/>
          <w:szCs w:val="28"/>
        </w:rPr>
        <w:t>磋商须知</w:t>
      </w:r>
      <w:r>
        <w:rPr>
          <w:color w:val="000000"/>
          <w:sz w:val="28"/>
          <w:szCs w:val="28"/>
        </w:rPr>
        <w:tab/>
      </w:r>
      <w:r>
        <w:rPr>
          <w:color w:val="000000"/>
          <w:sz w:val="28"/>
          <w:szCs w:val="28"/>
        </w:rPr>
        <w:fldChar w:fldCharType="begin"/>
      </w:r>
      <w:r>
        <w:rPr>
          <w:color w:val="000000"/>
          <w:sz w:val="28"/>
          <w:szCs w:val="28"/>
        </w:rPr>
        <w:instrText xml:space="preserve"> PAGEREF _Toc1467 </w:instrText>
      </w:r>
      <w:r>
        <w:rPr>
          <w:color w:val="000000"/>
          <w:sz w:val="28"/>
          <w:szCs w:val="28"/>
        </w:rPr>
        <w:fldChar w:fldCharType="separate"/>
      </w:r>
      <w:r>
        <w:rPr>
          <w:color w:val="000000"/>
          <w:sz w:val="28"/>
          <w:szCs w:val="28"/>
        </w:rPr>
        <w:t>6</w:t>
      </w:r>
      <w:r>
        <w:rPr>
          <w:color w:val="000000"/>
          <w:sz w:val="28"/>
          <w:szCs w:val="28"/>
        </w:rPr>
        <w:fldChar w:fldCharType="end"/>
      </w:r>
      <w:r>
        <w:rPr>
          <w:rFonts w:ascii="宋体" w:hAnsi="宋体"/>
          <w:color w:val="000000"/>
          <w:sz w:val="28"/>
          <w:szCs w:val="28"/>
        </w:rPr>
        <w:fldChar w:fldCharType="end"/>
      </w:r>
    </w:p>
    <w:p w14:paraId="46A88E86">
      <w:pPr>
        <w:pStyle w:val="19"/>
        <w:tabs>
          <w:tab w:val="right" w:leader="dot" w:pos="9639"/>
          <w:tab w:val="clear" w:pos="8450"/>
        </w:tabs>
        <w:spacing w:line="360" w:lineRule="auto"/>
        <w:rPr>
          <w:color w:val="000000"/>
          <w:sz w:val="28"/>
          <w:szCs w:val="28"/>
        </w:rPr>
      </w:pPr>
      <w:r>
        <w:rPr>
          <w:rFonts w:ascii="宋体" w:hAnsi="宋体"/>
          <w:color w:val="000000"/>
          <w:sz w:val="28"/>
          <w:szCs w:val="28"/>
        </w:rPr>
        <w:fldChar w:fldCharType="begin"/>
      </w:r>
      <w:r>
        <w:rPr>
          <w:rFonts w:ascii="宋体" w:hAnsi="宋体"/>
          <w:color w:val="000000"/>
          <w:sz w:val="28"/>
          <w:szCs w:val="28"/>
        </w:rPr>
        <w:instrText xml:space="preserve"> HYPERLINK \l _Toc12144 </w:instrText>
      </w:r>
      <w:r>
        <w:rPr>
          <w:rFonts w:ascii="宋体" w:hAnsi="宋体"/>
          <w:color w:val="000000"/>
          <w:sz w:val="28"/>
          <w:szCs w:val="28"/>
        </w:rPr>
        <w:fldChar w:fldCharType="separate"/>
      </w:r>
      <w:r>
        <w:rPr>
          <w:rFonts w:hint="eastAsia" w:ascii="宋体" w:hAnsi="宋体"/>
          <w:color w:val="000000"/>
          <w:sz w:val="28"/>
          <w:szCs w:val="28"/>
        </w:rPr>
        <w:t xml:space="preserve">第三章 </w:t>
      </w:r>
      <w:r>
        <w:rPr>
          <w:rFonts w:hint="eastAsia" w:ascii="宋体" w:hAnsi="宋体"/>
          <w:color w:val="000000"/>
          <w:sz w:val="28"/>
          <w:szCs w:val="28"/>
          <w:lang w:val="en-US" w:eastAsia="zh-CN"/>
        </w:rPr>
        <w:t xml:space="preserve"> </w:t>
      </w:r>
      <w:r>
        <w:rPr>
          <w:rFonts w:hint="eastAsia" w:ascii="宋体" w:hAnsi="宋体"/>
          <w:color w:val="000000"/>
          <w:sz w:val="28"/>
          <w:szCs w:val="28"/>
        </w:rPr>
        <w:t>评审方法及定标标准</w:t>
      </w:r>
      <w:r>
        <w:rPr>
          <w:color w:val="000000"/>
          <w:sz w:val="28"/>
          <w:szCs w:val="28"/>
        </w:rPr>
        <w:tab/>
      </w:r>
      <w:r>
        <w:rPr>
          <w:color w:val="000000"/>
          <w:sz w:val="28"/>
          <w:szCs w:val="28"/>
        </w:rPr>
        <w:fldChar w:fldCharType="begin"/>
      </w:r>
      <w:r>
        <w:rPr>
          <w:color w:val="000000"/>
          <w:sz w:val="28"/>
          <w:szCs w:val="28"/>
        </w:rPr>
        <w:instrText xml:space="preserve"> PAGEREF _Toc12144 </w:instrText>
      </w:r>
      <w:r>
        <w:rPr>
          <w:color w:val="000000"/>
          <w:sz w:val="28"/>
          <w:szCs w:val="28"/>
        </w:rPr>
        <w:fldChar w:fldCharType="separate"/>
      </w:r>
      <w:r>
        <w:rPr>
          <w:color w:val="000000"/>
          <w:sz w:val="28"/>
          <w:szCs w:val="28"/>
        </w:rPr>
        <w:t>2</w:t>
      </w:r>
      <w:r>
        <w:rPr>
          <w:rFonts w:hint="eastAsia"/>
          <w:color w:val="000000"/>
          <w:sz w:val="28"/>
          <w:szCs w:val="28"/>
          <w:lang w:val="en-US" w:eastAsia="zh-CN"/>
        </w:rPr>
        <w:t>4</w:t>
      </w:r>
      <w:r>
        <w:rPr>
          <w:color w:val="000000"/>
          <w:sz w:val="28"/>
          <w:szCs w:val="28"/>
        </w:rPr>
        <w:fldChar w:fldCharType="end"/>
      </w:r>
      <w:r>
        <w:rPr>
          <w:rFonts w:ascii="宋体" w:hAnsi="宋体"/>
          <w:color w:val="000000"/>
          <w:sz w:val="28"/>
          <w:szCs w:val="28"/>
        </w:rPr>
        <w:fldChar w:fldCharType="end"/>
      </w:r>
    </w:p>
    <w:p w14:paraId="1815CABE">
      <w:pPr>
        <w:pStyle w:val="19"/>
        <w:tabs>
          <w:tab w:val="right" w:leader="dot" w:pos="9639"/>
          <w:tab w:val="clear" w:pos="8450"/>
        </w:tabs>
        <w:spacing w:line="360" w:lineRule="auto"/>
        <w:rPr>
          <w:rFonts w:hint="eastAsia" w:eastAsia="宋体"/>
          <w:color w:val="000000"/>
          <w:sz w:val="28"/>
          <w:szCs w:val="28"/>
          <w:lang w:val="en-US" w:eastAsia="zh-CN"/>
        </w:rPr>
      </w:pPr>
      <w:r>
        <w:rPr>
          <w:rFonts w:ascii="宋体" w:hAnsi="宋体"/>
          <w:color w:val="000000"/>
          <w:sz w:val="28"/>
          <w:szCs w:val="28"/>
        </w:rPr>
        <w:fldChar w:fldCharType="begin"/>
      </w:r>
      <w:r>
        <w:rPr>
          <w:rFonts w:ascii="宋体" w:hAnsi="宋体"/>
          <w:color w:val="000000"/>
          <w:sz w:val="28"/>
          <w:szCs w:val="28"/>
        </w:rPr>
        <w:instrText xml:space="preserve"> HYPERLINK \l _Toc30146 </w:instrText>
      </w:r>
      <w:r>
        <w:rPr>
          <w:rFonts w:ascii="宋体" w:hAnsi="宋体"/>
          <w:color w:val="000000"/>
          <w:sz w:val="28"/>
          <w:szCs w:val="28"/>
        </w:rPr>
        <w:fldChar w:fldCharType="separate"/>
      </w:r>
      <w:r>
        <w:rPr>
          <w:rFonts w:hint="eastAsia" w:ascii="宋体" w:hAnsi="宋体"/>
          <w:color w:val="000000"/>
          <w:sz w:val="28"/>
          <w:szCs w:val="28"/>
        </w:rPr>
        <w:t>第四章</w:t>
      </w:r>
      <w:r>
        <w:rPr>
          <w:rFonts w:hint="eastAsia" w:ascii="宋体" w:hAnsi="宋体"/>
          <w:color w:val="000000"/>
          <w:sz w:val="28"/>
          <w:szCs w:val="28"/>
          <w:lang w:val="en-US" w:eastAsia="zh-CN"/>
        </w:rPr>
        <w:t xml:space="preserve"> </w:t>
      </w:r>
      <w:r>
        <w:rPr>
          <w:rFonts w:hint="eastAsia" w:ascii="宋体" w:hAnsi="宋体"/>
          <w:color w:val="000000"/>
          <w:sz w:val="28"/>
          <w:szCs w:val="28"/>
        </w:rPr>
        <w:t xml:space="preserve"> 工程量清单</w:t>
      </w:r>
      <w:r>
        <w:rPr>
          <w:color w:val="000000"/>
          <w:sz w:val="28"/>
          <w:szCs w:val="28"/>
        </w:rPr>
        <w:tab/>
      </w:r>
      <w:r>
        <w:rPr>
          <w:rFonts w:hint="eastAsia"/>
          <w:color w:val="000000"/>
          <w:sz w:val="28"/>
          <w:szCs w:val="28"/>
          <w:lang w:val="en-US" w:eastAsia="zh-CN"/>
        </w:rPr>
        <w:t>2</w:t>
      </w:r>
      <w:r>
        <w:rPr>
          <w:rFonts w:ascii="宋体" w:hAnsi="宋体"/>
          <w:color w:val="000000"/>
          <w:sz w:val="28"/>
          <w:szCs w:val="28"/>
        </w:rPr>
        <w:fldChar w:fldCharType="end"/>
      </w:r>
      <w:r>
        <w:rPr>
          <w:rFonts w:hint="eastAsia" w:ascii="宋体" w:hAnsi="宋体"/>
          <w:color w:val="000000"/>
          <w:sz w:val="28"/>
          <w:szCs w:val="28"/>
          <w:lang w:val="en-US" w:eastAsia="zh-CN"/>
        </w:rPr>
        <w:t>9</w:t>
      </w:r>
    </w:p>
    <w:p w14:paraId="10466DF8">
      <w:pPr>
        <w:pStyle w:val="19"/>
        <w:tabs>
          <w:tab w:val="right" w:leader="dot" w:pos="9639"/>
          <w:tab w:val="clear" w:pos="8450"/>
        </w:tabs>
        <w:spacing w:line="360" w:lineRule="auto"/>
        <w:rPr>
          <w:rFonts w:hint="eastAsia" w:eastAsia="宋体"/>
          <w:color w:val="000000"/>
          <w:sz w:val="28"/>
          <w:szCs w:val="28"/>
          <w:lang w:val="en-US" w:eastAsia="zh-CN"/>
        </w:rPr>
      </w:pPr>
      <w:r>
        <w:rPr>
          <w:rFonts w:ascii="宋体" w:hAnsi="宋体"/>
          <w:color w:val="000000"/>
          <w:sz w:val="28"/>
          <w:szCs w:val="28"/>
        </w:rPr>
        <w:fldChar w:fldCharType="begin"/>
      </w:r>
      <w:r>
        <w:rPr>
          <w:rFonts w:ascii="宋体" w:hAnsi="宋体"/>
          <w:color w:val="000000"/>
          <w:sz w:val="28"/>
          <w:szCs w:val="28"/>
        </w:rPr>
        <w:instrText xml:space="preserve"> HYPERLINK \l _Toc23497 </w:instrText>
      </w:r>
      <w:r>
        <w:rPr>
          <w:rFonts w:ascii="宋体" w:hAnsi="宋体"/>
          <w:color w:val="000000"/>
          <w:sz w:val="28"/>
          <w:szCs w:val="28"/>
        </w:rPr>
        <w:fldChar w:fldCharType="separate"/>
      </w:r>
      <w:r>
        <w:rPr>
          <w:rFonts w:hint="eastAsia" w:ascii="宋体" w:hAnsi="宋体"/>
          <w:color w:val="000000"/>
          <w:sz w:val="28"/>
          <w:szCs w:val="28"/>
        </w:rPr>
        <w:t>第五章  图纸</w:t>
      </w:r>
      <w:r>
        <w:rPr>
          <w:color w:val="000000"/>
          <w:sz w:val="28"/>
          <w:szCs w:val="28"/>
        </w:rPr>
        <w:tab/>
      </w:r>
      <w:r>
        <w:rPr>
          <w:rFonts w:hint="eastAsia"/>
          <w:color w:val="000000"/>
          <w:sz w:val="28"/>
          <w:szCs w:val="28"/>
          <w:lang w:val="en-US" w:eastAsia="zh-CN"/>
        </w:rPr>
        <w:t>3</w:t>
      </w:r>
      <w:r>
        <w:rPr>
          <w:rFonts w:ascii="宋体" w:hAnsi="宋体"/>
          <w:color w:val="000000"/>
          <w:sz w:val="28"/>
          <w:szCs w:val="28"/>
        </w:rPr>
        <w:fldChar w:fldCharType="end"/>
      </w:r>
      <w:r>
        <w:rPr>
          <w:rFonts w:hint="eastAsia" w:ascii="宋体" w:hAnsi="宋体"/>
          <w:color w:val="000000"/>
          <w:sz w:val="28"/>
          <w:szCs w:val="28"/>
          <w:lang w:val="en-US" w:eastAsia="zh-CN"/>
        </w:rPr>
        <w:t>0</w:t>
      </w:r>
    </w:p>
    <w:p w14:paraId="55675527">
      <w:pPr>
        <w:pStyle w:val="19"/>
        <w:tabs>
          <w:tab w:val="right" w:leader="dot" w:pos="9639"/>
          <w:tab w:val="clear" w:pos="8450"/>
        </w:tabs>
        <w:spacing w:line="360" w:lineRule="auto"/>
        <w:rPr>
          <w:rFonts w:hint="eastAsia" w:eastAsia="宋体"/>
          <w:color w:val="000000"/>
          <w:sz w:val="28"/>
          <w:szCs w:val="28"/>
          <w:lang w:val="en-US" w:eastAsia="zh-CN"/>
        </w:rPr>
      </w:pPr>
      <w:r>
        <w:rPr>
          <w:rFonts w:ascii="宋体" w:hAnsi="宋体"/>
          <w:color w:val="000000"/>
          <w:sz w:val="28"/>
          <w:szCs w:val="28"/>
        </w:rPr>
        <w:fldChar w:fldCharType="begin"/>
      </w:r>
      <w:r>
        <w:rPr>
          <w:rFonts w:ascii="宋体" w:hAnsi="宋体"/>
          <w:color w:val="000000"/>
          <w:sz w:val="28"/>
          <w:szCs w:val="28"/>
        </w:rPr>
        <w:instrText xml:space="preserve"> HYPERLINK \l _Toc9750 </w:instrText>
      </w:r>
      <w:r>
        <w:rPr>
          <w:rFonts w:ascii="宋体" w:hAnsi="宋体"/>
          <w:color w:val="000000"/>
          <w:sz w:val="28"/>
          <w:szCs w:val="28"/>
        </w:rPr>
        <w:fldChar w:fldCharType="separate"/>
      </w:r>
      <w:r>
        <w:rPr>
          <w:rFonts w:hint="eastAsia" w:ascii="宋体" w:hAnsi="宋体"/>
          <w:color w:val="000000"/>
          <w:sz w:val="28"/>
          <w:szCs w:val="28"/>
        </w:rPr>
        <w:t>第六章  技术标准和要求</w:t>
      </w:r>
      <w:r>
        <w:rPr>
          <w:color w:val="000000"/>
          <w:sz w:val="28"/>
          <w:szCs w:val="28"/>
        </w:rPr>
        <w:tab/>
      </w:r>
      <w:r>
        <w:rPr>
          <w:rFonts w:hint="eastAsia"/>
          <w:color w:val="000000"/>
          <w:sz w:val="28"/>
          <w:szCs w:val="28"/>
          <w:lang w:val="en-US" w:eastAsia="zh-CN"/>
        </w:rPr>
        <w:t>3</w:t>
      </w:r>
      <w:r>
        <w:rPr>
          <w:rFonts w:ascii="宋体" w:hAnsi="宋体"/>
          <w:color w:val="000000"/>
          <w:sz w:val="28"/>
          <w:szCs w:val="28"/>
        </w:rPr>
        <w:fldChar w:fldCharType="end"/>
      </w:r>
      <w:r>
        <w:rPr>
          <w:rFonts w:hint="eastAsia" w:ascii="宋体" w:hAnsi="宋体"/>
          <w:color w:val="000000"/>
          <w:sz w:val="28"/>
          <w:szCs w:val="28"/>
          <w:lang w:val="en-US" w:eastAsia="zh-CN"/>
        </w:rPr>
        <w:t>1</w:t>
      </w:r>
    </w:p>
    <w:p w14:paraId="5524D8D4">
      <w:pPr>
        <w:pStyle w:val="19"/>
        <w:tabs>
          <w:tab w:val="right" w:leader="dot" w:pos="9639"/>
          <w:tab w:val="clear" w:pos="8450"/>
        </w:tabs>
        <w:spacing w:line="360" w:lineRule="auto"/>
        <w:rPr>
          <w:rFonts w:hint="eastAsia" w:eastAsia="宋体"/>
          <w:color w:val="000000"/>
          <w:sz w:val="28"/>
          <w:szCs w:val="28"/>
          <w:lang w:val="en-US" w:eastAsia="zh-CN"/>
        </w:rPr>
      </w:pPr>
      <w:r>
        <w:rPr>
          <w:rFonts w:ascii="宋体" w:hAnsi="宋体"/>
          <w:color w:val="000000"/>
          <w:sz w:val="28"/>
          <w:szCs w:val="28"/>
        </w:rPr>
        <w:fldChar w:fldCharType="begin"/>
      </w:r>
      <w:r>
        <w:rPr>
          <w:rFonts w:ascii="宋体" w:hAnsi="宋体"/>
          <w:color w:val="000000"/>
          <w:sz w:val="28"/>
          <w:szCs w:val="28"/>
        </w:rPr>
        <w:instrText xml:space="preserve"> HYPERLINK \l _Toc1701 </w:instrText>
      </w:r>
      <w:r>
        <w:rPr>
          <w:rFonts w:ascii="宋体" w:hAnsi="宋体"/>
          <w:color w:val="000000"/>
          <w:sz w:val="28"/>
          <w:szCs w:val="28"/>
        </w:rPr>
        <w:fldChar w:fldCharType="separate"/>
      </w:r>
      <w:r>
        <w:rPr>
          <w:rFonts w:hint="eastAsia" w:ascii="宋体" w:hAnsi="宋体"/>
          <w:color w:val="000000"/>
          <w:sz w:val="28"/>
          <w:szCs w:val="28"/>
        </w:rPr>
        <w:t xml:space="preserve">第七章 </w:t>
      </w:r>
      <w:r>
        <w:rPr>
          <w:rFonts w:hint="eastAsia" w:ascii="宋体" w:hAnsi="宋体"/>
          <w:color w:val="000000"/>
          <w:sz w:val="28"/>
          <w:szCs w:val="28"/>
          <w:lang w:val="en-US" w:eastAsia="zh-CN"/>
        </w:rPr>
        <w:t xml:space="preserve"> </w:t>
      </w:r>
      <w:r>
        <w:rPr>
          <w:rFonts w:hint="eastAsia" w:ascii="宋体" w:hAnsi="宋体"/>
          <w:color w:val="000000"/>
          <w:sz w:val="28"/>
          <w:szCs w:val="28"/>
        </w:rPr>
        <w:t>响应文件格式</w:t>
      </w:r>
      <w:r>
        <w:rPr>
          <w:color w:val="000000"/>
          <w:sz w:val="28"/>
          <w:szCs w:val="28"/>
        </w:rPr>
        <w:tab/>
      </w:r>
      <w:r>
        <w:rPr>
          <w:rFonts w:hint="eastAsia"/>
          <w:color w:val="000000"/>
          <w:sz w:val="28"/>
          <w:szCs w:val="28"/>
          <w:lang w:val="en-US" w:eastAsia="zh-CN"/>
        </w:rPr>
        <w:t>3</w:t>
      </w:r>
      <w:r>
        <w:rPr>
          <w:rFonts w:ascii="宋体" w:hAnsi="宋体"/>
          <w:color w:val="000000"/>
          <w:sz w:val="28"/>
          <w:szCs w:val="28"/>
        </w:rPr>
        <w:fldChar w:fldCharType="end"/>
      </w:r>
      <w:r>
        <w:rPr>
          <w:rFonts w:hint="eastAsia" w:ascii="宋体" w:hAnsi="宋体"/>
          <w:color w:val="000000"/>
          <w:sz w:val="28"/>
          <w:szCs w:val="28"/>
          <w:lang w:val="en-US" w:eastAsia="zh-CN"/>
        </w:rPr>
        <w:t>2</w:t>
      </w:r>
    </w:p>
    <w:p w14:paraId="06DE1F54">
      <w:pPr>
        <w:pStyle w:val="19"/>
        <w:tabs>
          <w:tab w:val="right" w:leader="dot" w:pos="9639"/>
          <w:tab w:val="clear" w:pos="8450"/>
        </w:tabs>
        <w:spacing w:line="360" w:lineRule="auto"/>
        <w:rPr>
          <w:color w:val="000000"/>
          <w:sz w:val="28"/>
          <w:szCs w:val="28"/>
        </w:rPr>
      </w:pPr>
      <w:r>
        <w:rPr>
          <w:rFonts w:ascii="宋体" w:hAnsi="宋体"/>
          <w:color w:val="000000"/>
          <w:sz w:val="28"/>
          <w:szCs w:val="28"/>
        </w:rPr>
        <w:fldChar w:fldCharType="begin"/>
      </w:r>
      <w:r>
        <w:rPr>
          <w:rFonts w:ascii="宋体" w:hAnsi="宋体"/>
          <w:color w:val="000000"/>
          <w:sz w:val="28"/>
          <w:szCs w:val="28"/>
        </w:rPr>
        <w:instrText xml:space="preserve"> HYPERLINK \l _Toc29765 </w:instrText>
      </w:r>
      <w:r>
        <w:rPr>
          <w:rFonts w:ascii="宋体" w:hAnsi="宋体"/>
          <w:color w:val="000000"/>
          <w:sz w:val="28"/>
          <w:szCs w:val="28"/>
        </w:rPr>
        <w:fldChar w:fldCharType="separate"/>
      </w:r>
      <w:r>
        <w:rPr>
          <w:rFonts w:hint="eastAsia" w:ascii="宋体" w:hAnsi="宋体"/>
          <w:color w:val="000000"/>
          <w:sz w:val="28"/>
          <w:szCs w:val="28"/>
        </w:rPr>
        <w:t>第八章  合同条款及格式</w:t>
      </w:r>
      <w:bookmarkStart w:id="0" w:name="_Hlt58481485"/>
      <w:bookmarkStart w:id="1" w:name="_Hlt58481484"/>
      <w:r>
        <w:rPr>
          <w:color w:val="000000"/>
          <w:sz w:val="28"/>
          <w:szCs w:val="28"/>
        </w:rPr>
        <w:tab/>
      </w:r>
      <w:bookmarkEnd w:id="0"/>
      <w:bookmarkEnd w:id="1"/>
      <w:r>
        <w:rPr>
          <w:color w:val="000000"/>
          <w:sz w:val="28"/>
          <w:szCs w:val="28"/>
        </w:rPr>
        <w:fldChar w:fldCharType="begin"/>
      </w:r>
      <w:r>
        <w:rPr>
          <w:color w:val="000000"/>
          <w:sz w:val="28"/>
          <w:szCs w:val="28"/>
        </w:rPr>
        <w:instrText xml:space="preserve"> PAGEREF _Toc29765 </w:instrText>
      </w:r>
      <w:r>
        <w:rPr>
          <w:color w:val="000000"/>
          <w:sz w:val="28"/>
          <w:szCs w:val="28"/>
        </w:rPr>
        <w:fldChar w:fldCharType="separate"/>
      </w:r>
      <w:r>
        <w:rPr>
          <w:color w:val="000000"/>
          <w:sz w:val="28"/>
          <w:szCs w:val="28"/>
        </w:rPr>
        <w:t>6</w:t>
      </w:r>
      <w:r>
        <w:rPr>
          <w:rFonts w:hint="eastAsia"/>
          <w:color w:val="000000"/>
          <w:sz w:val="28"/>
          <w:szCs w:val="28"/>
          <w:lang w:val="en-US" w:eastAsia="zh-CN"/>
        </w:rPr>
        <w:t>7</w:t>
      </w:r>
      <w:r>
        <w:rPr>
          <w:color w:val="000000"/>
          <w:sz w:val="28"/>
          <w:szCs w:val="28"/>
        </w:rPr>
        <w:fldChar w:fldCharType="end"/>
      </w:r>
      <w:r>
        <w:rPr>
          <w:rFonts w:ascii="宋体" w:hAnsi="宋体"/>
          <w:color w:val="000000"/>
          <w:sz w:val="28"/>
          <w:szCs w:val="28"/>
        </w:rPr>
        <w:fldChar w:fldCharType="end"/>
      </w:r>
    </w:p>
    <w:p w14:paraId="4D7A0DFD">
      <w:pPr>
        <w:spacing w:line="360" w:lineRule="auto"/>
        <w:jc w:val="left"/>
        <w:rPr>
          <w:rFonts w:hint="eastAsia" w:ascii="宋体" w:hAnsi="宋体"/>
          <w:b/>
          <w:color w:val="000000"/>
          <w:sz w:val="28"/>
          <w:szCs w:val="28"/>
        </w:rPr>
      </w:pPr>
      <w:r>
        <w:rPr>
          <w:rFonts w:ascii="宋体" w:hAnsi="宋体"/>
          <w:color w:val="000000"/>
          <w:sz w:val="28"/>
          <w:szCs w:val="28"/>
        </w:rPr>
        <w:fldChar w:fldCharType="end"/>
      </w:r>
    </w:p>
    <w:p w14:paraId="68A9FD16">
      <w:pPr>
        <w:spacing w:line="360" w:lineRule="auto"/>
        <w:jc w:val="left"/>
        <w:rPr>
          <w:rFonts w:hint="eastAsia" w:ascii="宋体" w:hAnsi="宋体"/>
          <w:b/>
          <w:color w:val="000000"/>
          <w:sz w:val="32"/>
          <w:szCs w:val="32"/>
        </w:rPr>
      </w:pPr>
    </w:p>
    <w:p w14:paraId="5E42DFEC">
      <w:pPr>
        <w:spacing w:line="360" w:lineRule="auto"/>
        <w:jc w:val="center"/>
        <w:rPr>
          <w:rFonts w:hint="eastAsia" w:ascii="宋体" w:hAnsi="宋体"/>
          <w:b/>
          <w:color w:val="000000"/>
          <w:sz w:val="32"/>
          <w:szCs w:val="32"/>
        </w:rPr>
      </w:pPr>
    </w:p>
    <w:p w14:paraId="68646B41">
      <w:pPr>
        <w:spacing w:line="360" w:lineRule="auto"/>
        <w:jc w:val="center"/>
        <w:rPr>
          <w:rFonts w:hint="eastAsia" w:ascii="宋体" w:hAnsi="宋体"/>
          <w:b/>
          <w:color w:val="000000"/>
          <w:sz w:val="32"/>
          <w:szCs w:val="32"/>
        </w:rPr>
      </w:pPr>
    </w:p>
    <w:p w14:paraId="40FF6282">
      <w:pPr>
        <w:spacing w:line="360" w:lineRule="auto"/>
        <w:jc w:val="center"/>
        <w:rPr>
          <w:rFonts w:hint="eastAsia" w:ascii="宋体" w:hAnsi="宋体"/>
          <w:b/>
          <w:color w:val="000000"/>
          <w:sz w:val="32"/>
          <w:szCs w:val="32"/>
        </w:rPr>
      </w:pPr>
    </w:p>
    <w:p w14:paraId="0001EFB1">
      <w:pPr>
        <w:spacing w:line="360" w:lineRule="auto"/>
        <w:jc w:val="center"/>
        <w:rPr>
          <w:rFonts w:hint="eastAsia" w:ascii="宋体" w:hAnsi="宋体"/>
          <w:b/>
          <w:color w:val="000000"/>
          <w:sz w:val="32"/>
          <w:szCs w:val="32"/>
        </w:rPr>
      </w:pPr>
    </w:p>
    <w:p w14:paraId="00787E26">
      <w:pPr>
        <w:spacing w:line="360" w:lineRule="auto"/>
        <w:jc w:val="center"/>
        <w:rPr>
          <w:rFonts w:hint="eastAsia" w:ascii="宋体" w:hAnsi="宋体"/>
          <w:b/>
          <w:color w:val="000000"/>
          <w:sz w:val="32"/>
          <w:szCs w:val="32"/>
        </w:rPr>
      </w:pPr>
    </w:p>
    <w:p w14:paraId="08920E30">
      <w:pPr>
        <w:spacing w:line="240" w:lineRule="atLeast"/>
        <w:jc w:val="center"/>
        <w:rPr>
          <w:rFonts w:hint="eastAsia" w:ascii="宋体" w:hAnsi="宋体"/>
          <w:b/>
          <w:color w:val="000000"/>
          <w:sz w:val="32"/>
          <w:szCs w:val="32"/>
        </w:rPr>
        <w:sectPr>
          <w:footerReference r:id="rId3" w:type="default"/>
          <w:pgSz w:w="11907" w:h="16840"/>
          <w:pgMar w:top="1418" w:right="1134" w:bottom="1134" w:left="1134" w:header="851" w:footer="851" w:gutter="0"/>
          <w:pgNumType w:start="0"/>
          <w:cols w:space="720" w:num="1"/>
          <w:titlePg/>
          <w:docGrid w:linePitch="312" w:charSpace="0"/>
        </w:sectPr>
      </w:pPr>
    </w:p>
    <w:p w14:paraId="1D22A44B">
      <w:pPr>
        <w:pStyle w:val="42"/>
        <w:numPr>
          <w:ilvl w:val="0"/>
          <w:numId w:val="2"/>
        </w:numPr>
        <w:ind w:left="0" w:leftChars="0" w:firstLine="0" w:firstLineChars="0"/>
        <w:outlineLvl w:val="0"/>
      </w:pPr>
      <w:bookmarkStart w:id="2" w:name="_Toc19824"/>
      <w:r>
        <w:t>竞争性磋商公告</w:t>
      </w:r>
      <w:bookmarkEnd w:id="2"/>
    </w:p>
    <w:p w14:paraId="4830F972">
      <w:pPr>
        <w:pStyle w:val="44"/>
        <w:outlineLvl w:val="0"/>
        <w:rPr>
          <w:rFonts w:hint="eastAsia" w:eastAsia="宋体"/>
          <w:lang w:eastAsia="zh-CN"/>
        </w:rPr>
      </w:pPr>
      <w:r>
        <w:rPr>
          <w:rFonts w:hint="eastAsia"/>
          <w:lang w:eastAsia="zh-CN"/>
        </w:rPr>
        <w:t>广西国立工程咨询有限公司</w:t>
      </w:r>
      <w:r>
        <w:t>关于</w:t>
      </w:r>
      <w:r>
        <w:rPr>
          <w:rFonts w:hint="eastAsia"/>
          <w:lang w:eastAsia="zh-CN"/>
        </w:rPr>
        <w:t>2025年叫安镇文明村那歪屯至板细屯产业道路项目</w:t>
      </w:r>
    </w:p>
    <w:p w14:paraId="2FEB20A1">
      <w:pPr>
        <w:pStyle w:val="43"/>
        <w:outlineLvl w:val="9"/>
      </w:pPr>
      <w:r>
        <w:t>（项目</w:t>
      </w:r>
      <w:r>
        <w:rPr>
          <w:rFonts w:hint="eastAsia" w:ascii="宋体" w:hAnsi="宋体" w:eastAsia="宋体" w:cs="宋体"/>
        </w:rPr>
        <w:t>编号：FCZC2025-C2-</w:t>
      </w:r>
      <w:r>
        <w:rPr>
          <w:rFonts w:hint="eastAsia" w:ascii="宋体" w:hAnsi="宋体" w:cs="宋体"/>
          <w:lang w:val="en-US" w:eastAsia="zh-CN"/>
        </w:rPr>
        <w:t>210072</w:t>
      </w:r>
      <w:r>
        <w:rPr>
          <w:rFonts w:hint="eastAsia" w:ascii="宋体" w:hAnsi="宋体" w:eastAsia="宋体" w:cs="宋体"/>
        </w:rPr>
        <w:t>-GXGL）竞</w:t>
      </w:r>
      <w:r>
        <w:t>争性磋商公告</w:t>
      </w:r>
    </w:p>
    <w:p w14:paraId="4BAADD1E">
      <w:pPr>
        <w:rPr>
          <w:rFonts w:hint="eastAsia"/>
          <w:color w:val="000000"/>
        </w:rPr>
      </w:pPr>
    </w:p>
    <w:tbl>
      <w:tblPr>
        <w:tblStyle w:val="22"/>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855"/>
      </w:tblGrid>
      <w:tr w14:paraId="0BD3D6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000" w:type="pct"/>
            <w:noWrap w:val="0"/>
            <w:vAlign w:val="top"/>
          </w:tcPr>
          <w:p w14:paraId="33BDB8A7">
            <w:pPr>
              <w:spacing w:line="360" w:lineRule="auto"/>
              <w:rPr>
                <w:rFonts w:ascii="宋体" w:hAnsi="宋体" w:cs="Microsoft JhengHei Light"/>
                <w:b/>
                <w:color w:val="000000"/>
                <w:spacing w:val="-2"/>
                <w:szCs w:val="21"/>
                <w:u w:val="none"/>
              </w:rPr>
            </w:pPr>
            <w:r>
              <w:rPr>
                <w:rFonts w:hint="eastAsia" w:ascii="宋体" w:hAnsi="宋体" w:cs="Microsoft JhengHei Light"/>
                <w:b/>
                <w:color w:val="000000"/>
                <w:spacing w:val="-2"/>
                <w:szCs w:val="21"/>
                <w:u w:val="none"/>
              </w:rPr>
              <w:t>项目概况</w:t>
            </w:r>
          </w:p>
          <w:p w14:paraId="610EE9C4">
            <w:pPr>
              <w:widowControl/>
              <w:spacing w:line="450" w:lineRule="atLeast"/>
              <w:ind w:firstLine="420" w:firstLineChars="200"/>
              <w:rPr>
                <w:rFonts w:hint="eastAsia"/>
                <w:color w:val="000000"/>
                <w:u w:val="none"/>
              </w:rPr>
            </w:pPr>
            <w:r>
              <w:rPr>
                <w:rFonts w:hint="eastAsia" w:ascii="宋体" w:hAnsi="宋体" w:cs="宋体"/>
                <w:szCs w:val="21"/>
                <w:u w:val="none"/>
                <w:lang w:val="en-US" w:eastAsia="zh-CN"/>
              </w:rPr>
              <w:t>2025年叫安镇文明村那歪屯至板细屯产业道路项目</w:t>
            </w:r>
            <w:r>
              <w:rPr>
                <w:rFonts w:hint="eastAsia" w:ascii="宋体" w:hAnsi="宋体" w:cs="宋体"/>
                <w:spacing w:val="0"/>
                <w:sz w:val="21"/>
                <w:szCs w:val="21"/>
                <w:u w:val="none"/>
              </w:rPr>
              <w:t>采购的</w:t>
            </w:r>
            <w:r>
              <w:rPr>
                <w:rFonts w:hint="eastAsia" w:ascii="宋体" w:hAnsi="宋体" w:cs="Microsoft JhengHei Light"/>
                <w:bCs/>
                <w:spacing w:val="0"/>
                <w:sz w:val="21"/>
                <w:szCs w:val="21"/>
                <w:u w:val="none"/>
              </w:rPr>
              <w:t>潜在供应商在政采云平台</w:t>
            </w:r>
            <w:r>
              <w:rPr>
                <w:rFonts w:hint="eastAsia" w:ascii="宋体" w:hAnsi="宋体" w:cs="宋体"/>
                <w:bCs/>
                <w:kern w:val="0"/>
                <w:szCs w:val="21"/>
                <w:u w:val="none"/>
              </w:rPr>
              <w:t>（</w:t>
            </w:r>
            <w:r>
              <w:rPr>
                <w:rStyle w:val="25"/>
                <w:rFonts w:hint="eastAsia" w:ascii="宋体" w:hAnsi="宋体" w:cs="宋体"/>
                <w:bCs/>
                <w:color w:val="auto"/>
                <w:kern w:val="0"/>
                <w:szCs w:val="21"/>
                <w:u w:val="none"/>
              </w:rPr>
              <w:t>www.zcygov.cn）</w:t>
            </w:r>
            <w:r>
              <w:rPr>
                <w:rStyle w:val="25"/>
                <w:rFonts w:hint="eastAsia" w:ascii="宋体" w:hAnsi="宋体" w:cs="宋体"/>
                <w:color w:val="auto"/>
                <w:szCs w:val="21"/>
                <w:u w:val="none"/>
              </w:rPr>
              <w:t>获取采购文件，并于</w:t>
            </w:r>
            <w:r>
              <w:rPr>
                <w:rStyle w:val="25"/>
                <w:rFonts w:hint="eastAsia" w:ascii="宋体" w:hAnsi="宋体" w:cs="宋体"/>
                <w:color w:val="auto"/>
                <w:szCs w:val="21"/>
                <w:u w:val="none"/>
                <w:lang w:val="en-US" w:eastAsia="zh-CN"/>
              </w:rPr>
              <w:t>2025</w:t>
            </w:r>
            <w:r>
              <w:rPr>
                <w:rStyle w:val="25"/>
                <w:rFonts w:hint="eastAsia" w:ascii="宋体" w:hAnsi="宋体" w:cs="宋体"/>
                <w:color w:val="auto"/>
                <w:szCs w:val="21"/>
                <w:u w:val="none"/>
              </w:rPr>
              <w:t>年</w:t>
            </w:r>
            <w:r>
              <w:rPr>
                <w:rStyle w:val="25"/>
                <w:rFonts w:hint="eastAsia" w:ascii="宋体" w:hAnsi="宋体" w:cs="宋体"/>
                <w:color w:val="auto"/>
                <w:szCs w:val="21"/>
                <w:u w:val="none"/>
                <w:lang w:val="en-US" w:eastAsia="zh-CN"/>
              </w:rPr>
              <w:t>8</w:t>
            </w:r>
            <w:r>
              <w:rPr>
                <w:rStyle w:val="25"/>
                <w:rFonts w:hint="eastAsia" w:ascii="宋体" w:hAnsi="宋体" w:cs="宋体"/>
                <w:color w:val="auto"/>
                <w:szCs w:val="21"/>
                <w:u w:val="none"/>
              </w:rPr>
              <w:t>月</w:t>
            </w:r>
            <w:r>
              <w:rPr>
                <w:rStyle w:val="25"/>
                <w:rFonts w:hint="eastAsia" w:ascii="宋体" w:hAnsi="宋体" w:cs="宋体"/>
                <w:color w:val="auto"/>
                <w:szCs w:val="21"/>
                <w:u w:val="none"/>
                <w:lang w:val="en-US" w:eastAsia="zh-CN"/>
              </w:rPr>
              <w:t>20</w:t>
            </w:r>
            <w:r>
              <w:rPr>
                <w:rFonts w:hint="eastAsia" w:ascii="宋体" w:hAnsi="宋体" w:cs="宋体"/>
                <w:szCs w:val="21"/>
                <w:u w:val="none"/>
              </w:rPr>
              <w:t>日</w:t>
            </w:r>
            <w:r>
              <w:rPr>
                <w:rFonts w:hint="eastAsia" w:ascii="宋体" w:hAnsi="宋体" w:cs="宋体"/>
                <w:szCs w:val="21"/>
                <w:u w:val="none"/>
                <w:lang w:val="en-US" w:eastAsia="zh-CN"/>
              </w:rPr>
              <w:t>9</w:t>
            </w:r>
            <w:r>
              <w:rPr>
                <w:rFonts w:hint="eastAsia" w:ascii="宋体" w:hAnsi="宋体" w:cs="宋体"/>
                <w:bCs/>
                <w:color w:val="000000"/>
                <w:kern w:val="0"/>
                <w:szCs w:val="21"/>
                <w:u w:val="none"/>
              </w:rPr>
              <w:t>点</w:t>
            </w:r>
            <w:r>
              <w:rPr>
                <w:rFonts w:hint="eastAsia" w:ascii="宋体" w:hAnsi="宋体" w:cs="宋体"/>
                <w:bCs/>
                <w:color w:val="000000"/>
                <w:kern w:val="0"/>
                <w:szCs w:val="21"/>
                <w:u w:val="none"/>
                <w:lang w:val="en-US" w:eastAsia="zh-CN"/>
              </w:rPr>
              <w:t xml:space="preserve"> 30</w:t>
            </w:r>
            <w:r>
              <w:rPr>
                <w:rFonts w:hint="eastAsia" w:ascii="宋体" w:hAnsi="宋体" w:cs="宋体"/>
                <w:bCs/>
                <w:color w:val="000000"/>
                <w:kern w:val="0"/>
                <w:szCs w:val="21"/>
                <w:u w:val="none"/>
              </w:rPr>
              <w:t>分</w:t>
            </w:r>
            <w:r>
              <w:rPr>
                <w:rFonts w:hint="eastAsia" w:ascii="宋体" w:hAnsi="宋体" w:cs="宋体"/>
                <w:szCs w:val="21"/>
                <w:u w:val="none"/>
              </w:rPr>
              <w:t>（北京时间）前提交响应文件</w:t>
            </w:r>
            <w:r>
              <w:rPr>
                <w:rFonts w:hint="eastAsia" w:ascii="宋体" w:hAnsi="宋体" w:cs="Microsoft JhengHei Light"/>
                <w:color w:val="000000"/>
                <w:spacing w:val="-2"/>
                <w:szCs w:val="21"/>
                <w:u w:val="none"/>
              </w:rPr>
              <w:t>。</w:t>
            </w:r>
          </w:p>
        </w:tc>
      </w:tr>
    </w:tbl>
    <w:p w14:paraId="27C06EA2">
      <w:pPr>
        <w:rPr>
          <w:rFonts w:hint="eastAsia"/>
          <w:color w:val="000000"/>
          <w:u w:val="none"/>
        </w:rPr>
      </w:pPr>
    </w:p>
    <w:p w14:paraId="3D5AD3DF">
      <w:pPr>
        <w:pStyle w:val="2"/>
        <w:widowControl/>
        <w:numPr>
          <w:ilvl w:val="0"/>
          <w:numId w:val="3"/>
        </w:numPr>
        <w:topLinePunct w:val="0"/>
        <w:ind w:left="420" w:leftChars="0" w:firstLine="0" w:firstLineChars="0"/>
        <w:rPr>
          <w:b/>
        </w:rPr>
      </w:pPr>
      <w:bookmarkStart w:id="3" w:name="_Toc35393621"/>
      <w:bookmarkStart w:id="4" w:name="_Toc28359002"/>
      <w:bookmarkStart w:id="5" w:name="_Toc35393790"/>
      <w:bookmarkStart w:id="6" w:name="_Toc28359079"/>
      <w:bookmarkStart w:id="7" w:name="_Hlk24379207"/>
      <w:r>
        <w:rPr>
          <w:u w:val="none"/>
        </w:rPr>
        <w:t>项</w:t>
      </w:r>
      <w:r>
        <w:t>目基本情况</w:t>
      </w:r>
      <w:bookmarkEnd w:id="3"/>
      <w:bookmarkEnd w:id="4"/>
      <w:bookmarkEnd w:id="5"/>
      <w:bookmarkEnd w:id="6"/>
      <w:bookmarkStart w:id="1233" w:name="_GoBack"/>
      <w:bookmarkEnd w:id="1233"/>
    </w:p>
    <w:p w14:paraId="53A2832C">
      <w:pPr>
        <w:pStyle w:val="11"/>
        <w:widowControl/>
        <w:rPr>
          <w:rFonts w:hint="eastAsia" w:ascii="宋体" w:hAnsi="宋体" w:eastAsia="宋体" w:cs="宋体"/>
          <w:color w:val="000000"/>
        </w:rPr>
      </w:pPr>
      <w:r>
        <w:rPr>
          <w:color w:val="000000"/>
        </w:rPr>
        <w:t>项目编号：</w:t>
      </w:r>
      <w:r>
        <w:rPr>
          <w:rFonts w:hint="eastAsia" w:ascii="宋体" w:hAnsi="宋体" w:eastAsia="宋体" w:cs="Times New Roman"/>
          <w:u w:val="none"/>
        </w:rPr>
        <w:fldChar w:fldCharType="begin"/>
      </w:r>
      <w:r>
        <w:rPr>
          <w:rFonts w:hint="eastAsia" w:ascii="宋体" w:hAnsi="宋体" w:eastAsia="宋体" w:cs="Times New Roman"/>
          <w:u w:val="none"/>
        </w:rPr>
        <w:instrText xml:space="preserve"> HYPERLINK "https://www.gcy.zfcg.gxzf.gov.cn/gaea/api/project/flow/redirect?projectId=7219986524470771801&amp;newUrl=https://www.gcy.zfcg.gxzf.gov.cn/micro-app-back-index/blank?_flow_type_=agency&amp;_flow_projectId_=7219986524470771801&amp;_jump_page_type_=project_procurement_management_flow&amp;_app_=zcy.procurement&amp;oldUrl=https://www.gcy.zfcg.gxzf.gov.cn/project-center/_procurement_/project-result-detail/7219986524470771801" \t "https://www.gcy.zfcg.gxzf.gov.cn/project-center/_procurement_/self-project/_blank" </w:instrText>
      </w:r>
      <w:r>
        <w:rPr>
          <w:rFonts w:hint="eastAsia" w:ascii="宋体" w:hAnsi="宋体" w:eastAsia="宋体" w:cs="Times New Roman"/>
          <w:u w:val="none"/>
        </w:rPr>
        <w:fldChar w:fldCharType="separate"/>
      </w:r>
      <w:r>
        <w:rPr>
          <w:rFonts w:hint="eastAsia" w:ascii="宋体" w:hAnsi="宋体" w:eastAsia="宋体" w:cs="Times New Roman"/>
          <w:u w:val="none"/>
        </w:rPr>
        <w:t>FCZC2025-C2-210072-GXGL</w:t>
      </w:r>
      <w:r>
        <w:rPr>
          <w:rFonts w:hint="eastAsia" w:ascii="宋体" w:hAnsi="宋体" w:eastAsia="宋体" w:cs="Times New Roman"/>
          <w:u w:val="none"/>
        </w:rPr>
        <w:fldChar w:fldCharType="end"/>
      </w:r>
    </w:p>
    <w:p w14:paraId="79099562">
      <w:pPr>
        <w:pStyle w:val="11"/>
        <w:widowControl/>
        <w:rPr>
          <w:rFonts w:hint="eastAsia" w:eastAsia="宋体"/>
          <w:color w:val="000000"/>
          <w:lang w:eastAsia="zh-CN"/>
        </w:rPr>
      </w:pPr>
      <w:r>
        <w:rPr>
          <w:color w:val="000000"/>
        </w:rPr>
        <w:t>项目名称：</w:t>
      </w:r>
      <w:r>
        <w:rPr>
          <w:rFonts w:hint="eastAsia"/>
          <w:color w:val="000000"/>
          <w:lang w:eastAsia="zh-CN"/>
        </w:rPr>
        <w:t>2025年叫安镇文明村那歪屯至板细屯产业道路项目</w:t>
      </w:r>
    </w:p>
    <w:p w14:paraId="790F234E">
      <w:pPr>
        <w:pStyle w:val="11"/>
        <w:widowControl/>
        <w:rPr>
          <w:color w:val="000000"/>
        </w:rPr>
      </w:pPr>
      <w:r>
        <w:rPr>
          <w:color w:val="000000"/>
        </w:rPr>
        <w:t>采购方式：</w:t>
      </w:r>
      <w:bookmarkEnd w:id="7"/>
      <w:r>
        <w:rPr>
          <w:color w:val="000000"/>
        </w:rPr>
        <w:t>☑竞争性磋商</w:t>
      </w:r>
    </w:p>
    <w:p w14:paraId="41B751FB">
      <w:pPr>
        <w:pStyle w:val="11"/>
        <w:widowControl/>
        <w:rPr>
          <w:rFonts w:hint="eastAsia" w:eastAsia="宋体"/>
          <w:color w:val="000000"/>
          <w:lang w:eastAsia="zh-CN"/>
        </w:rPr>
      </w:pPr>
      <w:r>
        <w:rPr>
          <w:color w:val="000000"/>
        </w:rPr>
        <w:t>预算总金额（元）：</w:t>
      </w:r>
      <w:r>
        <w:rPr>
          <w:rStyle w:val="28"/>
          <w:rFonts w:hint="eastAsia" w:ascii="宋体" w:hAnsi="宋体" w:eastAsia="宋体" w:cs="宋体"/>
          <w:b w:val="0"/>
          <w:i w:val="0"/>
          <w:sz w:val="24"/>
          <w:szCs w:val="24"/>
          <w:u w:val="single"/>
        </w:rPr>
        <w:t>人民币</w:t>
      </w:r>
      <w:r>
        <w:rPr>
          <w:rStyle w:val="28"/>
          <w:rFonts w:hint="eastAsia" w:hAnsi="宋体" w:eastAsia="宋体" w:cs="宋体"/>
          <w:b w:val="0"/>
          <w:i w:val="0"/>
          <w:sz w:val="24"/>
          <w:szCs w:val="24"/>
          <w:u w:val="single"/>
          <w:lang w:val="en-US" w:eastAsia="zh-CN"/>
        </w:rPr>
        <w:t>捌拾</w:t>
      </w:r>
      <w:r>
        <w:rPr>
          <w:rStyle w:val="28"/>
          <w:rFonts w:hint="eastAsia" w:hAnsi="宋体" w:cs="宋体"/>
          <w:b w:val="0"/>
          <w:i w:val="0"/>
          <w:sz w:val="24"/>
          <w:szCs w:val="24"/>
          <w:u w:val="single"/>
          <w:lang w:val="en-US" w:eastAsia="zh-CN"/>
        </w:rPr>
        <w:t>叁万柒仟柒佰贰拾玖元伍角</w:t>
      </w:r>
      <w:r>
        <w:rPr>
          <w:rStyle w:val="28"/>
          <w:rFonts w:hint="eastAsia" w:ascii="宋体" w:hAnsi="宋体" w:eastAsia="宋体" w:cs="宋体"/>
          <w:b w:val="0"/>
          <w:i w:val="0"/>
          <w:sz w:val="24"/>
          <w:szCs w:val="24"/>
          <w:u w:val="single"/>
        </w:rPr>
        <w:t>（¥</w:t>
      </w:r>
      <w:r>
        <w:rPr>
          <w:rStyle w:val="28"/>
          <w:rFonts w:hint="eastAsia" w:hAnsi="宋体" w:cs="宋体"/>
          <w:b w:val="0"/>
          <w:i w:val="0"/>
          <w:sz w:val="24"/>
          <w:szCs w:val="24"/>
          <w:u w:val="single"/>
          <w:lang w:val="en-US" w:eastAsia="zh-CN"/>
        </w:rPr>
        <w:t>837729</w:t>
      </w:r>
      <w:r>
        <w:rPr>
          <w:rStyle w:val="28"/>
          <w:rFonts w:hint="eastAsia" w:ascii="宋体" w:hAnsi="宋体" w:eastAsia="宋体" w:cs="宋体"/>
          <w:b w:val="0"/>
          <w:i w:val="0"/>
          <w:sz w:val="24"/>
          <w:szCs w:val="24"/>
          <w:u w:val="single"/>
        </w:rPr>
        <w:t>.</w:t>
      </w:r>
      <w:r>
        <w:rPr>
          <w:rStyle w:val="28"/>
          <w:rFonts w:hint="eastAsia" w:hAnsi="宋体" w:eastAsia="宋体" w:cs="宋体"/>
          <w:b w:val="0"/>
          <w:i w:val="0"/>
          <w:sz w:val="24"/>
          <w:szCs w:val="24"/>
          <w:u w:val="single"/>
          <w:lang w:val="en-US" w:eastAsia="zh-CN"/>
        </w:rPr>
        <w:t>5</w:t>
      </w:r>
      <w:r>
        <w:rPr>
          <w:rStyle w:val="28"/>
          <w:rFonts w:hint="eastAsia" w:ascii="宋体" w:hAnsi="宋体" w:eastAsia="宋体" w:cs="宋体"/>
          <w:b w:val="0"/>
          <w:i w:val="0"/>
          <w:sz w:val="24"/>
          <w:szCs w:val="24"/>
          <w:u w:val="single"/>
        </w:rPr>
        <w:t>0）</w:t>
      </w:r>
    </w:p>
    <w:p w14:paraId="5035EFC4">
      <w:pPr>
        <w:pStyle w:val="11"/>
      </w:pPr>
      <w:bookmarkStart w:id="8" w:name="_Toc27882"/>
      <w:bookmarkStart w:id="9" w:name="_Toc20981"/>
      <w:bookmarkStart w:id="10" w:name="_Toc11056"/>
      <w:bookmarkStart w:id="11" w:name="_Toc6591"/>
      <w:r>
        <w:t>最高限价：同采购预算</w:t>
      </w:r>
    </w:p>
    <w:bookmarkEnd w:id="8"/>
    <w:bookmarkEnd w:id="9"/>
    <w:bookmarkEnd w:id="10"/>
    <w:bookmarkEnd w:id="11"/>
    <w:p w14:paraId="6B49FDFE">
      <w:pPr>
        <w:pStyle w:val="11"/>
        <w:rPr>
          <w:color w:val="000000"/>
        </w:rPr>
      </w:pPr>
      <w:r>
        <w:rPr>
          <w:color w:val="000000"/>
        </w:rPr>
        <w:t>采购需求：</w:t>
      </w:r>
      <w:r>
        <w:rPr>
          <w:rFonts w:hint="eastAsia"/>
          <w:color w:val="auto"/>
          <w:u w:val="none"/>
          <w:lang w:val="en-US" w:eastAsia="zh-CN"/>
        </w:rPr>
        <w:t>新建产业道路约</w:t>
      </w:r>
      <w:r>
        <w:rPr>
          <w:rFonts w:hint="eastAsia"/>
          <w:i w:val="0"/>
          <w:color w:val="000000"/>
          <w:u w:val="none"/>
          <w:lang w:val="en-US" w:eastAsia="zh-CN"/>
        </w:rPr>
        <w:t>2</w:t>
      </w:r>
      <w:r>
        <w:rPr>
          <w:i w:val="0"/>
          <w:color w:val="000000"/>
          <w:u w:val="none"/>
        </w:rPr>
        <w:t>公里，</w:t>
      </w:r>
      <w:r>
        <w:rPr>
          <w:rFonts w:hint="eastAsia"/>
          <w:i w:val="0"/>
          <w:color w:val="000000"/>
          <w:u w:val="none"/>
          <w:lang w:val="en-US" w:eastAsia="zh-CN"/>
        </w:rPr>
        <w:t>包括路基路面路肩等工程</w:t>
      </w:r>
      <w:r>
        <w:rPr>
          <w:rStyle w:val="28"/>
          <w:b w:val="0"/>
          <w:i w:val="0"/>
        </w:rPr>
        <w:t>，具体详见工程量清单要求范围内所有工程内容。</w:t>
      </w:r>
    </w:p>
    <w:p w14:paraId="336ADEA1">
      <w:pPr>
        <w:pStyle w:val="11"/>
        <w:widowControl/>
        <w:rPr>
          <w:color w:val="000000"/>
        </w:rPr>
      </w:pPr>
      <w:r>
        <w:rPr>
          <w:color w:val="000000"/>
        </w:rPr>
        <w:t>合同履行期限：</w:t>
      </w:r>
      <w:r>
        <w:t>工期为</w:t>
      </w:r>
      <w:r>
        <w:rPr>
          <w:rFonts w:hint="eastAsia"/>
          <w:b/>
          <w:bCs/>
          <w:color w:val="auto"/>
          <w:u w:val="single"/>
          <w:lang w:val="en-US" w:eastAsia="zh-CN"/>
        </w:rPr>
        <w:t>120</w:t>
      </w:r>
      <w:r>
        <w:t>日历天</w:t>
      </w:r>
      <w:r>
        <w:rPr>
          <w:color w:val="000000"/>
        </w:rPr>
        <w:t>。</w:t>
      </w:r>
    </w:p>
    <w:p w14:paraId="6D777DDB">
      <w:pPr>
        <w:pStyle w:val="11"/>
        <w:widowControl/>
      </w:pPr>
      <w:r>
        <w:rPr>
          <w:color w:val="000000"/>
        </w:rPr>
        <w:t>本项目不接受联合体</w:t>
      </w:r>
      <w:r>
        <w:t>。</w:t>
      </w:r>
      <w:bookmarkStart w:id="12" w:name="_Toc28359003"/>
      <w:bookmarkStart w:id="13" w:name="_Toc35393622"/>
      <w:bookmarkStart w:id="14" w:name="_Toc28359080"/>
      <w:bookmarkStart w:id="15" w:name="_Toc35393791"/>
    </w:p>
    <w:p w14:paraId="6D4D7349">
      <w:pPr>
        <w:pStyle w:val="2"/>
        <w:widowControl/>
        <w:numPr>
          <w:ilvl w:val="0"/>
          <w:numId w:val="3"/>
        </w:numPr>
        <w:topLinePunct w:val="0"/>
        <w:ind w:left="420" w:leftChars="0" w:firstLine="0" w:firstLineChars="0"/>
        <w:rPr>
          <w:b/>
        </w:rPr>
      </w:pPr>
      <w:r>
        <w:t>申请人的资格要求</w:t>
      </w:r>
      <w:bookmarkEnd w:id="12"/>
      <w:bookmarkEnd w:id="13"/>
      <w:bookmarkEnd w:id="14"/>
      <w:bookmarkEnd w:id="15"/>
    </w:p>
    <w:p w14:paraId="4CBF112D">
      <w:pPr>
        <w:pStyle w:val="11"/>
        <w:widowControl/>
        <w:numPr>
          <w:ilvl w:val="0"/>
          <w:numId w:val="4"/>
        </w:numPr>
        <w:ind w:left="0" w:leftChars="0" w:firstLine="480" w:firstLineChars="0"/>
        <w:rPr>
          <w:b w:val="0"/>
          <w:color w:val="000000"/>
        </w:rPr>
      </w:pPr>
      <w:r>
        <w:rPr>
          <w:color w:val="000000"/>
        </w:rPr>
        <w:t>满足《中华人民共和国政府采购法》第二十二条规定；</w:t>
      </w:r>
    </w:p>
    <w:p w14:paraId="01A187CF">
      <w:pPr>
        <w:pStyle w:val="11"/>
        <w:widowControl/>
        <w:numPr>
          <w:ilvl w:val="0"/>
          <w:numId w:val="4"/>
        </w:numPr>
        <w:ind w:left="0" w:leftChars="0" w:firstLine="480" w:firstLineChars="0"/>
        <w:rPr>
          <w:b w:val="0"/>
          <w:color w:val="000000"/>
        </w:rPr>
      </w:pPr>
      <w:bookmarkStart w:id="16" w:name="_Toc28359081"/>
      <w:bookmarkStart w:id="17" w:name="_Toc28359004"/>
      <w:r>
        <w:rPr>
          <w:color w:val="000000"/>
        </w:rPr>
        <w:t>落实政府采购政策需满足的资格要求：供应商为中小企业。</w:t>
      </w:r>
    </w:p>
    <w:p w14:paraId="1330D3D4">
      <w:pPr>
        <w:pStyle w:val="11"/>
        <w:widowControl/>
        <w:numPr>
          <w:ilvl w:val="0"/>
          <w:numId w:val="4"/>
        </w:numPr>
        <w:ind w:left="0" w:leftChars="0" w:firstLine="480" w:firstLineChars="0"/>
        <w:rPr>
          <w:b w:val="0"/>
          <w:color w:val="000000"/>
        </w:rPr>
      </w:pPr>
      <w:r>
        <w:rPr>
          <w:color w:val="000000"/>
        </w:rPr>
        <w:t>本项目的特定资格要求：</w:t>
      </w:r>
      <w:bookmarkStart w:id="18" w:name="_Toc35393623"/>
      <w:bookmarkStart w:id="19" w:name="_Toc35393792"/>
    </w:p>
    <w:p w14:paraId="455D5BA1">
      <w:pPr>
        <w:pStyle w:val="11"/>
        <w:widowControl/>
        <w:numPr>
          <w:ilvl w:val="0"/>
          <w:numId w:val="5"/>
        </w:numPr>
        <w:ind w:left="0" w:leftChars="0" w:firstLine="480" w:firstLineChars="0"/>
        <w:rPr>
          <w:b w:val="0"/>
        </w:rPr>
      </w:pPr>
      <w:r>
        <w:t>国内注册（指按国家有关规定要求注册的）具备法人资格，具有公路工程施工总承包三级以上(含三级)资质或市政公用工程施工总承包三级以上(含三级)资质，并在人员、设备、资金等方面具有相应能力的施工企业。</w:t>
      </w:r>
    </w:p>
    <w:p w14:paraId="20836B12">
      <w:pPr>
        <w:pStyle w:val="11"/>
        <w:widowControl/>
        <w:numPr>
          <w:ilvl w:val="0"/>
          <w:numId w:val="5"/>
        </w:numPr>
        <w:ind w:left="0" w:leftChars="0" w:firstLine="480" w:firstLineChars="0"/>
        <w:rPr>
          <w:b w:val="0"/>
          <w:color w:val="000000"/>
        </w:rPr>
      </w:pPr>
      <w:r>
        <w:rPr>
          <w:color w:val="000000"/>
        </w:rPr>
        <w:t>投标人拟派项目经理须</w:t>
      </w:r>
      <w:r>
        <w:t>公路工程或</w:t>
      </w:r>
      <w:r>
        <w:rPr>
          <w:color w:val="000000"/>
        </w:rPr>
        <w:t>市政公用工程</w:t>
      </w:r>
      <w:r>
        <w:t>专业二级及以上（含二级）注册建造师执业资格，具备有效的安全生产考核合格证书（B类）</w:t>
      </w:r>
      <w:r>
        <w:rPr>
          <w:color w:val="000000"/>
        </w:rPr>
        <w:t>。</w:t>
      </w:r>
    </w:p>
    <w:p w14:paraId="1C616569">
      <w:pPr>
        <w:pStyle w:val="11"/>
        <w:widowControl/>
        <w:numPr>
          <w:ilvl w:val="0"/>
          <w:numId w:val="5"/>
        </w:numPr>
        <w:ind w:left="0" w:leftChars="0" w:firstLine="480" w:firstLineChars="0"/>
        <w:rPr>
          <w:b w:val="0"/>
          <w:color w:val="000000"/>
        </w:rPr>
      </w:pPr>
      <w:r>
        <w:rPr>
          <w:color w:val="000000"/>
        </w:rPr>
        <w:t>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14:paraId="52FC9C49">
      <w:pPr>
        <w:pStyle w:val="11"/>
        <w:widowControl/>
        <w:numPr>
          <w:ilvl w:val="0"/>
          <w:numId w:val="5"/>
        </w:numPr>
        <w:ind w:left="0" w:leftChars="0" w:firstLine="480" w:firstLineChars="0"/>
        <w:rPr>
          <w:b w:val="0"/>
          <w:color w:val="000000"/>
        </w:rPr>
      </w:pPr>
      <w:r>
        <w:rPr>
          <w:color w:val="000000"/>
        </w:rPr>
        <w:t>对在“信用中国”网站(www.creditchina.gov.cn)、中国政府采购网(www.ccgp.gov.cn)等渠道被列入失信被执行人、重大税收违法案件当事人名单、政府采购严重违法失信行为记录名单及其他不符合《中华人民共和国政府采购法》第二十二条规定条件的供应商，不得参与政府采购活动。</w:t>
      </w:r>
    </w:p>
    <w:p w14:paraId="65EDA7EA">
      <w:pPr>
        <w:pStyle w:val="2"/>
        <w:widowControl/>
        <w:numPr>
          <w:ilvl w:val="0"/>
          <w:numId w:val="3"/>
        </w:numPr>
        <w:topLinePunct w:val="0"/>
        <w:ind w:left="420" w:leftChars="0" w:firstLine="0" w:firstLineChars="0"/>
        <w:rPr>
          <w:b/>
        </w:rPr>
      </w:pPr>
      <w:r>
        <w:t>获取采购文件</w:t>
      </w:r>
      <w:bookmarkEnd w:id="16"/>
      <w:bookmarkEnd w:id="17"/>
      <w:bookmarkEnd w:id="18"/>
      <w:bookmarkEnd w:id="19"/>
    </w:p>
    <w:p w14:paraId="4A3D445F">
      <w:pPr>
        <w:pStyle w:val="11"/>
        <w:widowControl/>
        <w:rPr>
          <w:color w:val="000000"/>
        </w:rPr>
      </w:pPr>
      <w:r>
        <w:rPr>
          <w:color w:val="000000"/>
        </w:rPr>
        <w:t>时间：2025年</w:t>
      </w:r>
      <w:r>
        <w:rPr>
          <w:rFonts w:hint="eastAsia"/>
          <w:color w:val="000000"/>
          <w:lang w:val="en-US" w:eastAsia="zh-CN"/>
        </w:rPr>
        <w:t>8</w:t>
      </w:r>
      <w:r>
        <w:rPr>
          <w:color w:val="000000"/>
        </w:rPr>
        <w:t>月</w:t>
      </w:r>
      <w:r>
        <w:rPr>
          <w:rFonts w:hint="eastAsia"/>
          <w:color w:val="000000"/>
          <w:lang w:val="en-US" w:eastAsia="zh-CN"/>
        </w:rPr>
        <w:t>5</w:t>
      </w:r>
      <w:r>
        <w:rPr>
          <w:color w:val="000000"/>
        </w:rPr>
        <w:t>日至2025年</w:t>
      </w:r>
      <w:r>
        <w:rPr>
          <w:rFonts w:hint="eastAsia"/>
          <w:color w:val="000000"/>
          <w:lang w:val="en-US" w:eastAsia="zh-CN"/>
        </w:rPr>
        <w:t xml:space="preserve">8 </w:t>
      </w:r>
      <w:r>
        <w:rPr>
          <w:color w:val="000000"/>
        </w:rPr>
        <w:t>月</w:t>
      </w:r>
      <w:r>
        <w:rPr>
          <w:rFonts w:hint="eastAsia"/>
          <w:color w:val="000000"/>
          <w:lang w:val="en-US" w:eastAsia="zh-CN"/>
        </w:rPr>
        <w:t>12</w:t>
      </w:r>
      <w:r>
        <w:rPr>
          <w:color w:val="000000"/>
        </w:rPr>
        <w:t>日，每天上午00:00至12:00，下午12:00至23：59（北京时间，法定节假日除外）</w:t>
      </w:r>
    </w:p>
    <w:p w14:paraId="7BF62DF7">
      <w:pPr>
        <w:pStyle w:val="11"/>
        <w:widowControl/>
        <w:rPr>
          <w:color w:val="000000"/>
        </w:rPr>
      </w:pPr>
      <w:r>
        <w:rPr>
          <w:color w:val="000000"/>
        </w:rPr>
        <w:t>地点：政采云平台（www.zcygov.cn）；</w:t>
      </w:r>
    </w:p>
    <w:p w14:paraId="7F120AED">
      <w:pPr>
        <w:pStyle w:val="11"/>
        <w:widowControl/>
        <w:rPr>
          <w:color w:val="000000"/>
        </w:rPr>
      </w:pPr>
      <w:r>
        <w:rPr>
          <w:color w:val="000000"/>
        </w:rPr>
        <w:t>方式：供应商登录政采云平台https://www.zcygov.cn/在线申请获取采购文件（进入“项目采购”应用，在获取采购文件菜单中选择项目，申请获取采购文件）。</w:t>
      </w:r>
    </w:p>
    <w:p w14:paraId="7C9F888E">
      <w:pPr>
        <w:pStyle w:val="11"/>
        <w:widowControl/>
        <w:rPr>
          <w:color w:val="000000"/>
        </w:rPr>
      </w:pPr>
      <w:r>
        <w:rPr>
          <w:color w:val="000000"/>
        </w:rPr>
        <w:t>售价：0元</w:t>
      </w:r>
    </w:p>
    <w:p w14:paraId="3A2D5639">
      <w:pPr>
        <w:pStyle w:val="2"/>
        <w:widowControl/>
        <w:numPr>
          <w:ilvl w:val="0"/>
          <w:numId w:val="3"/>
        </w:numPr>
        <w:topLinePunct w:val="0"/>
        <w:ind w:left="420" w:leftChars="0" w:firstLine="0" w:firstLineChars="0"/>
        <w:rPr>
          <w:b/>
        </w:rPr>
      </w:pPr>
      <w:r>
        <w:t>响应文件提交</w:t>
      </w:r>
    </w:p>
    <w:p w14:paraId="1646F979">
      <w:pPr>
        <w:pStyle w:val="11"/>
        <w:widowControl/>
        <w:rPr>
          <w:rFonts w:hint="eastAsia" w:ascii="宋体" w:hAnsi="宋体" w:eastAsia="宋体" w:cs="宋体"/>
          <w:color w:val="000000"/>
        </w:rPr>
      </w:pPr>
      <w:r>
        <w:rPr>
          <w:rFonts w:hint="eastAsia" w:ascii="宋体" w:hAnsi="宋体" w:eastAsia="宋体" w:cs="宋体"/>
          <w:color w:val="000000"/>
        </w:rPr>
        <w:t>截止时间：2025年</w:t>
      </w:r>
      <w:r>
        <w:rPr>
          <w:rFonts w:hint="eastAsia" w:ascii="宋体" w:hAnsi="宋体" w:cs="宋体"/>
          <w:color w:val="000000"/>
          <w:lang w:val="en-US" w:eastAsia="zh-CN"/>
        </w:rPr>
        <w:t>8</w:t>
      </w:r>
      <w:r>
        <w:rPr>
          <w:rFonts w:hint="eastAsia" w:ascii="宋体" w:hAnsi="宋体" w:eastAsia="宋体" w:cs="宋体"/>
          <w:color w:val="000000"/>
        </w:rPr>
        <w:t>月</w:t>
      </w:r>
      <w:r>
        <w:rPr>
          <w:rFonts w:hint="eastAsia" w:ascii="宋体" w:hAnsi="宋体" w:cs="宋体"/>
          <w:color w:val="000000"/>
          <w:lang w:val="en-US" w:eastAsia="zh-CN"/>
        </w:rPr>
        <w:t>20</w:t>
      </w:r>
      <w:r>
        <w:rPr>
          <w:rFonts w:hint="eastAsia" w:ascii="宋体" w:hAnsi="宋体" w:eastAsia="宋体" w:cs="宋体"/>
          <w:color w:val="000000"/>
        </w:rPr>
        <w:t>日</w:t>
      </w:r>
      <w:r>
        <w:rPr>
          <w:rFonts w:hint="eastAsia" w:ascii="宋体" w:hAnsi="宋体" w:cs="宋体"/>
          <w:color w:val="000000"/>
          <w:lang w:val="en-US" w:eastAsia="zh-CN"/>
        </w:rPr>
        <w:t>9</w:t>
      </w:r>
      <w:r>
        <w:rPr>
          <w:rFonts w:hint="eastAsia" w:ascii="宋体" w:hAnsi="宋体" w:eastAsia="宋体" w:cs="宋体"/>
          <w:color w:val="000000"/>
        </w:rPr>
        <w:t>点</w:t>
      </w:r>
      <w:r>
        <w:rPr>
          <w:rFonts w:hint="eastAsia" w:ascii="宋体" w:hAnsi="宋体" w:cs="宋体"/>
          <w:color w:val="000000"/>
          <w:lang w:val="en-US" w:eastAsia="zh-CN"/>
        </w:rPr>
        <w:t>30</w:t>
      </w:r>
      <w:r>
        <w:rPr>
          <w:rFonts w:hint="eastAsia" w:ascii="宋体" w:hAnsi="宋体" w:eastAsia="宋体" w:cs="宋体"/>
          <w:color w:val="000000"/>
        </w:rPr>
        <w:t>分（北京时间）</w:t>
      </w:r>
    </w:p>
    <w:p w14:paraId="2D77080A">
      <w:pPr>
        <w:pStyle w:val="11"/>
        <w:widowControl/>
        <w:rPr>
          <w:rFonts w:hint="eastAsia" w:ascii="宋体" w:hAnsi="宋体" w:eastAsia="宋体" w:cs="宋体"/>
          <w:color w:val="000000"/>
        </w:rPr>
      </w:pPr>
      <w:r>
        <w:rPr>
          <w:rFonts w:hint="eastAsia" w:ascii="宋体" w:hAnsi="宋体" w:eastAsia="宋体" w:cs="宋体"/>
          <w:color w:val="000000"/>
        </w:rPr>
        <w:t>地点：通过政采云平台实行在线投标响应。</w:t>
      </w:r>
    </w:p>
    <w:p w14:paraId="4D6428BD">
      <w:pPr>
        <w:pStyle w:val="2"/>
        <w:widowControl/>
        <w:numPr>
          <w:ilvl w:val="0"/>
          <w:numId w:val="3"/>
        </w:numPr>
        <w:topLinePunct w:val="0"/>
        <w:ind w:left="420" w:leftChars="0" w:firstLine="0" w:firstLineChars="0"/>
        <w:rPr>
          <w:rFonts w:hint="eastAsia" w:ascii="宋体" w:hAnsi="宋体" w:eastAsia="宋体" w:cs="宋体"/>
          <w:b/>
        </w:rPr>
      </w:pPr>
      <w:bookmarkStart w:id="20" w:name="_Toc35393633"/>
      <w:bookmarkStart w:id="21" w:name="_Toc28359016"/>
      <w:bookmarkStart w:id="22" w:name="_Toc35393802"/>
      <w:bookmarkStart w:id="23" w:name="_Toc28359093"/>
      <w:r>
        <w:rPr>
          <w:rFonts w:hint="eastAsia" w:ascii="宋体" w:hAnsi="宋体" w:eastAsia="宋体" w:cs="宋体"/>
        </w:rPr>
        <w:t>开启</w:t>
      </w:r>
      <w:bookmarkEnd w:id="20"/>
      <w:bookmarkEnd w:id="21"/>
      <w:bookmarkEnd w:id="22"/>
      <w:bookmarkEnd w:id="23"/>
      <w:r>
        <w:rPr>
          <w:rFonts w:hint="eastAsia" w:ascii="宋体" w:hAnsi="宋体" w:eastAsia="宋体" w:cs="宋体"/>
        </w:rPr>
        <w:t>（竞争性磋商方式必须填写）</w:t>
      </w:r>
    </w:p>
    <w:p w14:paraId="4106E6C5">
      <w:pPr>
        <w:pStyle w:val="11"/>
        <w:widowControl/>
        <w:rPr>
          <w:rFonts w:hint="eastAsia" w:ascii="宋体" w:hAnsi="宋体" w:eastAsia="宋体" w:cs="宋体"/>
          <w:color w:val="000000"/>
        </w:rPr>
      </w:pPr>
      <w:r>
        <w:rPr>
          <w:rFonts w:hint="eastAsia" w:ascii="宋体" w:hAnsi="宋体" w:eastAsia="宋体" w:cs="宋体"/>
          <w:color w:val="000000"/>
        </w:rPr>
        <w:t>时间：2025年</w:t>
      </w:r>
      <w:r>
        <w:rPr>
          <w:rFonts w:hint="eastAsia" w:ascii="宋体" w:hAnsi="宋体" w:cs="宋体"/>
          <w:color w:val="000000"/>
          <w:lang w:val="en-US" w:eastAsia="zh-CN"/>
        </w:rPr>
        <w:t>8</w:t>
      </w:r>
      <w:r>
        <w:rPr>
          <w:rFonts w:hint="eastAsia" w:ascii="宋体" w:hAnsi="宋体" w:eastAsia="宋体" w:cs="宋体"/>
          <w:color w:val="000000"/>
        </w:rPr>
        <w:t>月</w:t>
      </w:r>
      <w:r>
        <w:rPr>
          <w:rFonts w:hint="eastAsia" w:ascii="宋体" w:hAnsi="宋体" w:cs="宋体"/>
          <w:color w:val="000000"/>
          <w:lang w:val="en-US" w:eastAsia="zh-CN"/>
        </w:rPr>
        <w:t>20</w:t>
      </w:r>
      <w:r>
        <w:rPr>
          <w:rFonts w:hint="eastAsia" w:ascii="宋体" w:hAnsi="宋体" w:eastAsia="宋体" w:cs="宋体"/>
          <w:color w:val="000000"/>
        </w:rPr>
        <w:t>日</w:t>
      </w:r>
      <w:r>
        <w:rPr>
          <w:rFonts w:hint="eastAsia" w:ascii="宋体" w:hAnsi="宋体" w:cs="宋体"/>
          <w:color w:val="000000"/>
          <w:lang w:val="en-US" w:eastAsia="zh-CN"/>
        </w:rPr>
        <w:t>9</w:t>
      </w:r>
      <w:r>
        <w:rPr>
          <w:rFonts w:hint="eastAsia" w:ascii="宋体" w:hAnsi="宋体" w:eastAsia="宋体" w:cs="宋体"/>
          <w:color w:val="000000"/>
        </w:rPr>
        <w:t>点</w:t>
      </w:r>
      <w:r>
        <w:rPr>
          <w:rFonts w:hint="eastAsia" w:ascii="宋体" w:hAnsi="宋体" w:cs="宋体"/>
          <w:color w:val="000000"/>
          <w:lang w:val="en-US" w:eastAsia="zh-CN"/>
        </w:rPr>
        <w:t>30</w:t>
      </w:r>
      <w:r>
        <w:rPr>
          <w:rFonts w:hint="eastAsia" w:ascii="宋体" w:hAnsi="宋体" w:eastAsia="宋体" w:cs="宋体"/>
          <w:color w:val="000000"/>
        </w:rPr>
        <w:t>分（北京时间）</w:t>
      </w:r>
    </w:p>
    <w:p w14:paraId="0A88CF50">
      <w:pPr>
        <w:pStyle w:val="11"/>
        <w:widowControl/>
        <w:rPr>
          <w:color w:val="000000"/>
        </w:rPr>
      </w:pPr>
      <w:r>
        <w:rPr>
          <w:color w:val="000000"/>
        </w:rPr>
        <w:t>地点：</w:t>
      </w:r>
      <w:bookmarkStart w:id="24" w:name="_Toc35393794"/>
      <w:bookmarkStart w:id="25" w:name="_Toc35393625"/>
      <w:bookmarkStart w:id="26" w:name="_Toc28359084"/>
      <w:bookmarkStart w:id="27" w:name="_Toc28359007"/>
      <w:r>
        <w:t>通过政采云平台电子开标大厅【</w:t>
      </w:r>
      <w:r>
        <w:rPr>
          <w:highlight w:val="none"/>
        </w:rPr>
        <w:t>政府采购开评标室</w:t>
      </w:r>
      <w:r>
        <w:rPr>
          <w:rFonts w:hint="eastAsia"/>
          <w:highlight w:val="none"/>
          <w:lang w:eastAsia="zh-CN"/>
        </w:rPr>
        <w:t>二</w:t>
      </w:r>
      <w:r>
        <w:rPr>
          <w:highlight w:val="none"/>
        </w:rPr>
        <w:t>】在</w:t>
      </w:r>
      <w:r>
        <w:t>线解密开启</w:t>
      </w:r>
      <w:r>
        <w:rPr>
          <w:color w:val="000000"/>
        </w:rPr>
        <w:t>。</w:t>
      </w:r>
    </w:p>
    <w:p w14:paraId="3A6C6D2A">
      <w:pPr>
        <w:pStyle w:val="2"/>
        <w:widowControl/>
        <w:numPr>
          <w:ilvl w:val="0"/>
          <w:numId w:val="3"/>
        </w:numPr>
        <w:topLinePunct w:val="0"/>
        <w:ind w:left="420" w:leftChars="0" w:firstLine="0" w:firstLineChars="0"/>
        <w:rPr>
          <w:b/>
        </w:rPr>
      </w:pPr>
      <w:r>
        <w:t>公告期限</w:t>
      </w:r>
      <w:bookmarkEnd w:id="24"/>
      <w:bookmarkEnd w:id="25"/>
      <w:bookmarkEnd w:id="26"/>
      <w:bookmarkEnd w:id="27"/>
    </w:p>
    <w:p w14:paraId="59506B64">
      <w:pPr>
        <w:pStyle w:val="11"/>
        <w:widowControl/>
        <w:rPr>
          <w:color w:val="000000"/>
        </w:rPr>
      </w:pPr>
      <w:r>
        <w:rPr>
          <w:color w:val="000000"/>
        </w:rPr>
        <w:t>自本公告发布之日起5个工作日。</w:t>
      </w:r>
    </w:p>
    <w:p w14:paraId="13FAF465">
      <w:pPr>
        <w:pStyle w:val="2"/>
        <w:widowControl/>
        <w:numPr>
          <w:ilvl w:val="0"/>
          <w:numId w:val="3"/>
        </w:numPr>
        <w:topLinePunct w:val="0"/>
        <w:ind w:left="420" w:leftChars="0" w:firstLine="0" w:firstLineChars="0"/>
        <w:rPr>
          <w:b/>
        </w:rPr>
      </w:pPr>
      <w:bookmarkStart w:id="28" w:name="_Toc35393795"/>
      <w:bookmarkStart w:id="29" w:name="_Toc35393626"/>
      <w:r>
        <w:t>其他补充事宜</w:t>
      </w:r>
      <w:bookmarkEnd w:id="28"/>
      <w:bookmarkEnd w:id="29"/>
      <w:r>
        <w:t>：</w:t>
      </w:r>
    </w:p>
    <w:p w14:paraId="47BB88F9">
      <w:pPr>
        <w:pStyle w:val="11"/>
        <w:widowControl/>
        <w:numPr>
          <w:ilvl w:val="0"/>
          <w:numId w:val="6"/>
        </w:numPr>
        <w:ind w:left="0" w:leftChars="0" w:firstLine="480" w:firstLineChars="0"/>
        <w:rPr>
          <w:b w:val="0"/>
          <w:color w:val="000000"/>
        </w:rPr>
      </w:pPr>
      <w:bookmarkStart w:id="30" w:name="_Toc35393796"/>
      <w:bookmarkStart w:id="31" w:name="_Toc35393627"/>
      <w:bookmarkStart w:id="32" w:name="_Toc28359085"/>
      <w:bookmarkStart w:id="33" w:name="_Toc28359008"/>
      <w:r>
        <w:rPr>
          <w:color w:val="000000"/>
        </w:rPr>
        <w:t>在网上公告媒体：中国政府采购网、广西壮族自治区政府采购网、全国公共资源交易平台（广西·防城港）上发布。</w:t>
      </w:r>
    </w:p>
    <w:p w14:paraId="2EA56B54">
      <w:pPr>
        <w:pStyle w:val="11"/>
        <w:widowControl/>
        <w:numPr>
          <w:ilvl w:val="0"/>
          <w:numId w:val="6"/>
        </w:numPr>
        <w:ind w:left="0" w:leftChars="0" w:firstLine="480" w:firstLineChars="0"/>
        <w:rPr>
          <w:b w:val="0"/>
          <w:color w:val="000000"/>
        </w:rPr>
      </w:pPr>
      <w:r>
        <w:rPr>
          <w:color w:val="000000"/>
        </w:rPr>
        <w:t>本项目需要落实的政府采购政策：</w:t>
      </w:r>
    </w:p>
    <w:p w14:paraId="32CD52E4">
      <w:pPr>
        <w:pStyle w:val="11"/>
        <w:widowControl/>
        <w:numPr>
          <w:ilvl w:val="0"/>
          <w:numId w:val="0"/>
        </w:numPr>
        <w:ind w:left="480" w:leftChars="0"/>
        <w:rPr>
          <w:b w:val="0"/>
          <w:color w:val="000000"/>
        </w:rPr>
      </w:pPr>
      <w:r>
        <w:rPr>
          <w:color w:val="000000"/>
        </w:rPr>
        <w:t>（1）《政府采购促进中小企业发展管理办法》（财库[2020]46号）；中小企业划分标准属于行业为：“土木工程建筑行业”；</w:t>
      </w:r>
    </w:p>
    <w:p w14:paraId="0C27721F">
      <w:pPr>
        <w:pStyle w:val="11"/>
        <w:widowControl/>
        <w:numPr>
          <w:ilvl w:val="0"/>
          <w:numId w:val="7"/>
        </w:numPr>
        <w:topLinePunct w:val="0"/>
        <w:ind w:left="0" w:leftChars="0" w:firstLine="480" w:firstLineChars="0"/>
        <w:rPr>
          <w:b w:val="0"/>
          <w:color w:val="000000"/>
        </w:rPr>
      </w:pPr>
      <w:r>
        <w:rPr>
          <w:color w:val="000000"/>
        </w:rPr>
        <w:t>《财政部、司法部关于政府采购支持监狱企业发展有关问题的通知》（财库〔2014〕68号）；</w:t>
      </w:r>
    </w:p>
    <w:p w14:paraId="76FDF390">
      <w:pPr>
        <w:pStyle w:val="11"/>
        <w:widowControl/>
        <w:numPr>
          <w:ilvl w:val="0"/>
          <w:numId w:val="7"/>
        </w:numPr>
        <w:topLinePunct w:val="0"/>
        <w:ind w:left="0" w:leftChars="0" w:firstLine="480" w:firstLineChars="0"/>
        <w:rPr>
          <w:b w:val="0"/>
          <w:color w:val="000000"/>
        </w:rPr>
      </w:pPr>
      <w:r>
        <w:rPr>
          <w:color w:val="000000"/>
        </w:rPr>
        <w:t>《财政部民政部中国残疾人联合会关于促进残疾人就业政府采购政策的通知》（财库〔2017〕141号）；</w:t>
      </w:r>
    </w:p>
    <w:p w14:paraId="0E109FE6">
      <w:pPr>
        <w:pStyle w:val="11"/>
        <w:widowControl/>
        <w:numPr>
          <w:ilvl w:val="0"/>
          <w:numId w:val="7"/>
        </w:numPr>
        <w:topLinePunct w:val="0"/>
        <w:ind w:left="0" w:leftChars="0" w:firstLine="480" w:firstLineChars="0"/>
        <w:rPr>
          <w:b w:val="0"/>
          <w:color w:val="000000"/>
        </w:rPr>
      </w:pPr>
      <w:r>
        <w:rPr>
          <w:color w:val="000000"/>
        </w:rPr>
        <w:t>财政部 发展改革委 生态环境部市场监管总局关于调整优化节能产品、环境标志产品政府采购执行机制的通知（财库〔2019〕9号）；</w:t>
      </w:r>
    </w:p>
    <w:p w14:paraId="160034D4">
      <w:pPr>
        <w:pStyle w:val="11"/>
        <w:widowControl/>
        <w:numPr>
          <w:ilvl w:val="0"/>
          <w:numId w:val="7"/>
        </w:numPr>
        <w:topLinePunct w:val="0"/>
        <w:ind w:left="0" w:leftChars="0" w:firstLine="480" w:firstLineChars="0"/>
        <w:rPr>
          <w:b w:val="0"/>
          <w:color w:val="000000"/>
        </w:rPr>
      </w:pPr>
      <w:r>
        <w:rPr>
          <w:color w:val="000000"/>
        </w:rPr>
        <w:t xml:space="preserve">财政部 发展改革委关于印发节能产品政府采购品目清单的通知（财库〔2019〕19号）等政府采购相关政策。 </w:t>
      </w:r>
    </w:p>
    <w:p w14:paraId="43A477FE">
      <w:pPr>
        <w:pStyle w:val="11"/>
        <w:widowControl/>
        <w:numPr>
          <w:ilvl w:val="0"/>
          <w:numId w:val="6"/>
        </w:numPr>
        <w:ind w:left="0" w:leftChars="0" w:firstLine="480" w:firstLineChars="0"/>
        <w:rPr>
          <w:b w:val="0"/>
          <w:color w:val="000000"/>
        </w:rPr>
      </w:pPr>
      <w:r>
        <w:rPr>
          <w:color w:val="000000"/>
        </w:rPr>
        <w:t>磋商保证金：本项目不需提交磋商保证金。</w:t>
      </w:r>
    </w:p>
    <w:p w14:paraId="7F07D492">
      <w:pPr>
        <w:pStyle w:val="11"/>
        <w:widowControl/>
        <w:numPr>
          <w:ilvl w:val="0"/>
          <w:numId w:val="6"/>
        </w:numPr>
        <w:ind w:left="0" w:leftChars="0" w:firstLine="480" w:firstLineChars="0"/>
        <w:rPr>
          <w:b w:val="0"/>
          <w:color w:val="000000"/>
        </w:rPr>
      </w:pPr>
      <w:r>
        <w:rPr>
          <w:color w:val="000000"/>
        </w:rPr>
        <w:t>在线竞标响应（电子竞标）说明及注意事项：</w:t>
      </w:r>
    </w:p>
    <w:p w14:paraId="5D7F2E22">
      <w:pPr>
        <w:pStyle w:val="11"/>
        <w:widowControl/>
        <w:numPr>
          <w:ilvl w:val="0"/>
          <w:numId w:val="8"/>
        </w:numPr>
        <w:topLinePunct w:val="0"/>
        <w:ind w:left="0" w:leftChars="0" w:firstLine="480" w:firstLineChars="0"/>
        <w:rPr>
          <w:b w:val="0"/>
          <w:color w:val="000000"/>
        </w:rPr>
      </w:pPr>
      <w:r>
        <w:rPr>
          <w:color w:val="000000"/>
        </w:rPr>
        <w:t>本项目通过“政采云”平台实行在线电子响应，供应商应先安装“政采云电子交易客户端”（请自行前往“政采云”平台进行下载），并按照本项目采购文件和“政采云”平台的要求编制、加密后在响应文件递交截止时间前通过网络上传至“政采云”平台，供应商在“政采云”平台提交电子响应文件时，请填写参加远程开标活动经办人联系方式。供应商登录“政采云”平台，依次进入“服务中心-项目采购-操作流程-电子招投标-政府采购项目电子交易管理操作指南-供应商”查看电子投标具体操作流程；在使用政采云投标客户端时，建议使用WIN7及以上操作系统。</w:t>
      </w:r>
    </w:p>
    <w:p w14:paraId="0B76D582">
      <w:pPr>
        <w:pStyle w:val="11"/>
        <w:widowControl/>
        <w:numPr>
          <w:ilvl w:val="0"/>
          <w:numId w:val="8"/>
        </w:numPr>
        <w:topLinePunct w:val="0"/>
        <w:ind w:left="0" w:leftChars="0" w:firstLine="480" w:firstLineChars="0"/>
        <w:rPr>
          <w:b w:val="0"/>
          <w:color w:val="000000"/>
        </w:rPr>
      </w:pPr>
      <w:r>
        <w:rPr>
          <w:color w:val="000000"/>
        </w:rPr>
        <w:t>使用“政采云电子交易客户端”需要提前申领CA数字证书，供应商应当在响应文件递交截止时间前，完成电子交易平台上的CA数字证书办理（完成CA数字证书办理预计要一周左右，供应商可登录“广西政府采购网”，依次进入“办事服务-下载专区”或者登陆“政采云”平台，依次进入“服务中心-入驻与配置”中查看CA数字证书办理操作流程。如在操作过程中遇到问题或者需要技术支持，请致电政采云客服热线：400-881-7190）。</w:t>
      </w:r>
    </w:p>
    <w:p w14:paraId="197A4085">
      <w:pPr>
        <w:pStyle w:val="11"/>
        <w:widowControl/>
        <w:numPr>
          <w:ilvl w:val="0"/>
          <w:numId w:val="8"/>
        </w:numPr>
        <w:topLinePunct w:val="0"/>
        <w:ind w:left="0" w:leftChars="0" w:firstLine="480" w:firstLineChars="0"/>
        <w:rPr>
          <w:b w:val="0"/>
          <w:color w:val="000000"/>
        </w:rPr>
      </w:pPr>
      <w:r>
        <w:rPr>
          <w:color w:val="000000"/>
        </w:rPr>
        <w:t>供应商应当在响应截止时间前，将生成的“电子响应文件”上传递交至政采云平台。响应文件递交截止时间前可以撤回电子响应文件。补充或者修改电子响应文件的，应当先行撤回原文件，补充、修改后重新上传递交，响应文件递交截止时间前未完成上传的，视为撤回响应文件；响应文件递交截止时间以后上传递交的响应文件，“政采云”平台将予以拒收。</w:t>
      </w:r>
    </w:p>
    <w:p w14:paraId="6553DC87">
      <w:pPr>
        <w:pStyle w:val="11"/>
        <w:widowControl/>
        <w:numPr>
          <w:ilvl w:val="0"/>
          <w:numId w:val="8"/>
        </w:numPr>
        <w:topLinePunct w:val="0"/>
        <w:ind w:left="0" w:leftChars="0" w:firstLine="480" w:firstLineChars="0"/>
        <w:rPr>
          <w:b w:val="0"/>
          <w:color w:val="000000"/>
        </w:rPr>
      </w:pPr>
      <w:r>
        <w:rPr>
          <w:color w:val="000000"/>
        </w:rPr>
        <w:t>CA证书在线解密：供应商竞标响应时，需用有效数字证书（CA认证）登录“政采云”平台电子开标大厅现场，在截标时间后30分钟内对加密的响应文件进行解密，否则后果自负。</w:t>
      </w:r>
    </w:p>
    <w:p w14:paraId="6C3E93A5">
      <w:pPr>
        <w:pStyle w:val="11"/>
        <w:widowControl/>
        <w:numPr>
          <w:ilvl w:val="0"/>
          <w:numId w:val="8"/>
        </w:numPr>
        <w:topLinePunct w:val="0"/>
        <w:ind w:left="0" w:leftChars="0" w:firstLine="480" w:firstLineChars="0"/>
        <w:rPr>
          <w:b w:val="0"/>
          <w:color w:val="000000"/>
        </w:rPr>
      </w:pPr>
      <w:r>
        <w:rPr>
          <w:color w:val="000000"/>
        </w:rPr>
        <w:t>供应商可以提供以介质（U盘或光盘等）存储的数据电文形成的电子备份响应文件。电子备份响应文件应当在响应文</w:t>
      </w:r>
      <w:r>
        <w:t>件</w:t>
      </w:r>
      <w:r>
        <w:rPr>
          <w:color w:val="000000"/>
        </w:rPr>
        <w:t>递交截止时间前按要求密封并直接送达至防城港市公共资源交易中心（防城港市迎宾路红树林大厦东塔）（以响应文件提交当天防城港市公共资源交易中心六楼电子显示屏公布的开标室为准），逾期送达或未按要求密封将被拒收。电子备份响应文件应当密封包装并在包装上标注项目名称、供应商名称并加盖公章。</w:t>
      </w:r>
    </w:p>
    <w:p w14:paraId="44CA0445">
      <w:pPr>
        <w:pStyle w:val="11"/>
        <w:widowControl/>
        <w:numPr>
          <w:ilvl w:val="0"/>
          <w:numId w:val="8"/>
        </w:numPr>
        <w:topLinePunct w:val="0"/>
        <w:ind w:left="0" w:leftChars="0" w:firstLine="480" w:firstLineChars="0"/>
        <w:rPr>
          <w:b w:val="0"/>
          <w:color w:val="000000"/>
        </w:rPr>
      </w:pPr>
      <w:r>
        <w:rPr>
          <w:color w:val="000000"/>
        </w:rPr>
        <w:t>通过“政府采购云平台”上传递交的“电子加密响应文件”无法按时解密，供应商递交了电子备份响应文件的，以电子备份响应文件为依据，否则视为响应文件撤回。通过政采云平台上传递交的电子加密响应文件已按时解密的，电子备份响应文件自动失效。供应商仅递交电子备份响应文件的，竞标无效。</w:t>
      </w:r>
    </w:p>
    <w:p w14:paraId="1CE22A85">
      <w:pPr>
        <w:pStyle w:val="11"/>
        <w:widowControl/>
        <w:numPr>
          <w:ilvl w:val="0"/>
          <w:numId w:val="8"/>
        </w:numPr>
        <w:topLinePunct w:val="0"/>
        <w:ind w:left="0" w:leftChars="0" w:firstLine="480" w:firstLineChars="0"/>
        <w:rPr>
          <w:b w:val="0"/>
          <w:color w:val="000000"/>
        </w:rPr>
      </w:pPr>
      <w:r>
        <w:rPr>
          <w:color w:val="000000"/>
        </w:rPr>
        <w:t>本项目需要供应商代表在截标后，按磋商小组要求及时登陆政采云平台等候在线磋商及提交最后报价。</w:t>
      </w:r>
    </w:p>
    <w:p w14:paraId="13FDFB57">
      <w:pPr>
        <w:pStyle w:val="11"/>
        <w:widowControl/>
        <w:numPr>
          <w:ilvl w:val="0"/>
          <w:numId w:val="8"/>
        </w:numPr>
        <w:topLinePunct w:val="0"/>
        <w:ind w:left="0" w:leftChars="0" w:firstLine="480" w:firstLineChars="0"/>
        <w:rPr>
          <w:b w:val="0"/>
          <w:color w:val="000000"/>
        </w:rPr>
      </w:pPr>
      <w:r>
        <w:rPr>
          <w:color w:val="000000"/>
        </w:rPr>
        <w:t>为确保网上操作合法、有效和安全，请供应商确保在电子响应过程中能够对相关数据电文进行加密和使用电子签章，妥善保管CA数字证书并使用有效的CA数字证书参与整个竞标活动。</w:t>
      </w:r>
    </w:p>
    <w:p w14:paraId="5721C811">
      <w:pPr>
        <w:pStyle w:val="11"/>
        <w:widowControl/>
        <w:numPr>
          <w:ilvl w:val="0"/>
          <w:numId w:val="8"/>
        </w:numPr>
        <w:topLinePunct w:val="0"/>
        <w:ind w:left="0" w:leftChars="0" w:firstLine="480" w:firstLineChars="0"/>
        <w:rPr>
          <w:b w:val="0"/>
          <w:color w:val="000000"/>
        </w:rPr>
      </w:pPr>
      <w:r>
        <w:rPr>
          <w:color w:val="000000"/>
        </w:rPr>
        <w:t>本项目不接受未登陆“政采云”平台获取本项目采购文件的供应商竞标响应。</w:t>
      </w:r>
    </w:p>
    <w:p w14:paraId="648BFEA8">
      <w:pPr>
        <w:pStyle w:val="11"/>
        <w:widowControl/>
        <w:numPr>
          <w:ilvl w:val="0"/>
          <w:numId w:val="8"/>
        </w:numPr>
        <w:topLinePunct w:val="0"/>
        <w:ind w:left="0" w:leftChars="0" w:firstLine="480" w:firstLineChars="0"/>
        <w:rPr>
          <w:b w:val="0"/>
          <w:color w:val="000000"/>
        </w:rPr>
      </w:pPr>
      <w:r>
        <w:rPr>
          <w:color w:val="000000"/>
        </w:rPr>
        <w:t>监督部门：上思县政府采购中心，电话：0770-8521708。</w:t>
      </w:r>
    </w:p>
    <w:p w14:paraId="3415E7AD">
      <w:pPr>
        <w:widowControl/>
        <w:spacing w:line="450" w:lineRule="atLeast"/>
        <w:ind w:left="219" w:hanging="219" w:hangingChars="104"/>
        <w:rPr>
          <w:rFonts w:hint="eastAsia" w:ascii="宋体" w:hAnsi="宋体" w:cs="宋体"/>
          <w:b/>
          <w:color w:val="000000"/>
          <w:kern w:val="0"/>
          <w:szCs w:val="21"/>
        </w:rPr>
      </w:pPr>
    </w:p>
    <w:bookmarkEnd w:id="30"/>
    <w:bookmarkEnd w:id="31"/>
    <w:bookmarkEnd w:id="32"/>
    <w:bookmarkEnd w:id="33"/>
    <w:p w14:paraId="2E25AC68">
      <w:pPr>
        <w:pStyle w:val="2"/>
        <w:widowControl/>
        <w:numPr>
          <w:ilvl w:val="0"/>
          <w:numId w:val="3"/>
        </w:numPr>
        <w:topLinePunct w:val="0"/>
        <w:ind w:left="420" w:leftChars="0" w:firstLine="0" w:firstLineChars="0"/>
        <w:rPr>
          <w:b/>
        </w:rPr>
      </w:pPr>
      <w:r>
        <w:t>凡对本次采购提出询问，请按以下方式联系</w:t>
      </w:r>
    </w:p>
    <w:p w14:paraId="0C9D7071">
      <w:pPr>
        <w:pStyle w:val="43"/>
        <w:widowControl/>
        <w:numPr>
          <w:ilvl w:val="0"/>
          <w:numId w:val="9"/>
        </w:numPr>
        <w:ind w:left="0" w:leftChars="0" w:firstLine="422" w:firstLineChars="175"/>
        <w:jc w:val="left"/>
        <w:outlineLvl w:val="1"/>
        <w:rPr>
          <w:b/>
        </w:rPr>
      </w:pPr>
      <w:bookmarkStart w:id="34" w:name="_Toc35393637"/>
      <w:bookmarkStart w:id="35" w:name="_Toc35393806"/>
      <w:bookmarkStart w:id="36" w:name="_Toc28359019"/>
      <w:bookmarkStart w:id="37" w:name="_Toc28359096"/>
      <w:r>
        <w:t>采购人信息</w:t>
      </w:r>
      <w:bookmarkEnd w:id="34"/>
      <w:bookmarkEnd w:id="35"/>
      <w:bookmarkEnd w:id="36"/>
      <w:bookmarkEnd w:id="37"/>
    </w:p>
    <w:p w14:paraId="5E6108B7">
      <w:pPr>
        <w:pStyle w:val="11"/>
        <w:widowControl/>
        <w:rPr>
          <w:color w:val="000000"/>
        </w:rPr>
      </w:pPr>
      <w:r>
        <w:rPr>
          <w:color w:val="000000"/>
        </w:rPr>
        <w:t>名称：上思县农业农村局</w:t>
      </w:r>
    </w:p>
    <w:p w14:paraId="1AF3B3F1">
      <w:pPr>
        <w:pStyle w:val="11"/>
        <w:widowControl/>
        <w:rPr>
          <w:color w:val="000000"/>
        </w:rPr>
      </w:pPr>
      <w:r>
        <w:rPr>
          <w:color w:val="000000"/>
        </w:rPr>
        <w:t>地址：</w:t>
      </w:r>
      <w:r>
        <w:rPr>
          <w:i w:val="0"/>
          <w:color w:val="000000"/>
        </w:rPr>
        <w:t>上思县</w:t>
      </w:r>
      <w:r>
        <w:rPr>
          <w:i w:val="0"/>
          <w:color w:val="525353"/>
        </w:rPr>
        <w:t>仁甫西路</w:t>
      </w:r>
      <w:r>
        <w:rPr>
          <w:i w:val="0"/>
          <w:color w:val="000000"/>
        </w:rPr>
        <w:t> </w:t>
      </w:r>
    </w:p>
    <w:p w14:paraId="0F197D11">
      <w:pPr>
        <w:pStyle w:val="11"/>
        <w:widowControl/>
        <w:rPr>
          <w:rFonts w:hint="default" w:eastAsia="宋体"/>
          <w:color w:val="000000"/>
          <w:lang w:val="en-US" w:eastAsia="zh-CN"/>
        </w:rPr>
      </w:pPr>
      <w:r>
        <w:rPr>
          <w:color w:val="000000"/>
        </w:rPr>
        <w:t>项目联系人：</w:t>
      </w:r>
      <w:r>
        <w:rPr>
          <w:rFonts w:hint="eastAsia"/>
          <w:color w:val="000000"/>
          <w:lang w:val="en-US" w:eastAsia="zh-CN"/>
        </w:rPr>
        <w:t>陆俊吉</w:t>
      </w:r>
    </w:p>
    <w:p w14:paraId="3F7AA42F">
      <w:pPr>
        <w:pStyle w:val="11"/>
        <w:widowControl/>
        <w:rPr>
          <w:color w:val="000000"/>
        </w:rPr>
      </w:pPr>
      <w:r>
        <w:rPr>
          <w:color w:val="000000"/>
        </w:rPr>
        <w:t>联系方式：</w:t>
      </w:r>
      <w:r>
        <w:rPr>
          <w:i w:val="0"/>
          <w:color w:val="000000"/>
        </w:rPr>
        <w:t>0770-8509177</w:t>
      </w:r>
    </w:p>
    <w:p w14:paraId="4857B4E2">
      <w:pPr>
        <w:pStyle w:val="43"/>
        <w:widowControl/>
        <w:numPr>
          <w:ilvl w:val="0"/>
          <w:numId w:val="9"/>
        </w:numPr>
        <w:ind w:left="0" w:leftChars="0" w:firstLine="422" w:firstLineChars="175"/>
        <w:jc w:val="left"/>
        <w:outlineLvl w:val="1"/>
        <w:rPr>
          <w:b/>
        </w:rPr>
      </w:pPr>
      <w:bookmarkStart w:id="38" w:name="_Toc35393638"/>
      <w:bookmarkStart w:id="39" w:name="_Toc28359097"/>
      <w:bookmarkStart w:id="40" w:name="_Toc35393807"/>
      <w:bookmarkStart w:id="41" w:name="_Toc28359020"/>
      <w:r>
        <w:t>采购代理机构信息</w:t>
      </w:r>
      <w:bookmarkEnd w:id="38"/>
      <w:bookmarkEnd w:id="39"/>
      <w:bookmarkEnd w:id="40"/>
      <w:bookmarkEnd w:id="41"/>
    </w:p>
    <w:p w14:paraId="336B8787">
      <w:pPr>
        <w:pStyle w:val="11"/>
        <w:widowControl/>
        <w:rPr>
          <w:rFonts w:hint="eastAsia"/>
          <w:color w:val="000000"/>
          <w:lang w:eastAsia="zh-CN"/>
        </w:rPr>
      </w:pPr>
      <w:bookmarkStart w:id="42" w:name="_Toc28359021"/>
      <w:bookmarkStart w:id="43" w:name="_Toc35393639"/>
      <w:bookmarkStart w:id="44" w:name="_Toc35393808"/>
      <w:bookmarkStart w:id="45" w:name="_Toc28359098"/>
      <w:r>
        <w:rPr>
          <w:color w:val="000000"/>
        </w:rPr>
        <w:t>名称：</w:t>
      </w:r>
      <w:r>
        <w:rPr>
          <w:rFonts w:hint="eastAsia"/>
          <w:color w:val="000000"/>
          <w:lang w:eastAsia="zh-CN"/>
        </w:rPr>
        <w:t>广西国立工程咨询有限公司</w:t>
      </w:r>
    </w:p>
    <w:p w14:paraId="3A923CC6">
      <w:pPr>
        <w:pStyle w:val="11"/>
        <w:widowControl/>
        <w:rPr>
          <w:color w:val="000000"/>
        </w:rPr>
      </w:pPr>
      <w:r>
        <w:rPr>
          <w:color w:val="000000"/>
        </w:rPr>
        <w:t>地址：</w:t>
      </w:r>
      <w:r>
        <w:rPr>
          <w:i w:val="0"/>
          <w:color w:val="383838"/>
        </w:rPr>
        <w:t>防城港市防城区市场监督管理局大门直入50米</w:t>
      </w:r>
    </w:p>
    <w:p w14:paraId="7C94A58B">
      <w:pPr>
        <w:pStyle w:val="11"/>
        <w:widowControl/>
        <w:rPr>
          <w:rFonts w:hint="default" w:eastAsia="宋体"/>
          <w:color w:val="000000"/>
          <w:lang w:val="en-US" w:eastAsia="zh-CN"/>
        </w:rPr>
      </w:pPr>
      <w:r>
        <w:rPr>
          <w:color w:val="000000"/>
        </w:rPr>
        <w:t>项目联系人：</w:t>
      </w:r>
      <w:bookmarkEnd w:id="42"/>
      <w:bookmarkEnd w:id="43"/>
      <w:bookmarkEnd w:id="44"/>
      <w:bookmarkEnd w:id="45"/>
      <w:r>
        <w:rPr>
          <w:color w:val="000000"/>
        </w:rPr>
        <w:t>严</w:t>
      </w:r>
      <w:r>
        <w:rPr>
          <w:rFonts w:hint="eastAsia"/>
          <w:color w:val="000000"/>
          <w:lang w:val="en-US" w:eastAsia="zh-CN"/>
        </w:rPr>
        <w:t>叶存</w:t>
      </w:r>
    </w:p>
    <w:p w14:paraId="00D76F9E">
      <w:pPr>
        <w:pStyle w:val="11"/>
        <w:widowControl/>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rPr>
        <w:t>联系方式：</w:t>
      </w:r>
      <w:r>
        <w:rPr>
          <w:rFonts w:hint="eastAsia" w:ascii="宋体" w:hAnsi="宋体" w:eastAsia="宋体" w:cs="宋体"/>
          <w:color w:val="000000"/>
          <w:sz w:val="24"/>
          <w:szCs w:val="24"/>
          <w:lang w:val="en-US" w:eastAsia="zh-CN"/>
        </w:rPr>
        <w:t>0770-3236256</w:t>
      </w:r>
    </w:p>
    <w:p w14:paraId="5FEDD90E">
      <w:pPr>
        <w:widowControl/>
        <w:spacing w:line="450" w:lineRule="atLeast"/>
        <w:ind w:firstLine="240" w:firstLineChars="100"/>
        <w:rPr>
          <w:rFonts w:hint="eastAsia" w:ascii="宋体" w:hAnsi="宋体" w:eastAsia="宋体" w:cs="宋体"/>
          <w:bCs/>
          <w:color w:val="000000"/>
          <w:kern w:val="0"/>
          <w:sz w:val="24"/>
          <w:szCs w:val="24"/>
        </w:rPr>
      </w:pPr>
    </w:p>
    <w:p w14:paraId="45A788F0">
      <w:pPr>
        <w:keepNext w:val="0"/>
        <w:keepLines w:val="0"/>
        <w:widowControl w:val="0"/>
        <w:spacing w:before="120" w:beforeAutospacing="0" w:after="120" w:afterAutospacing="0" w:line="360" w:lineRule="auto"/>
        <w:ind w:left="7590" w:hanging="6505" w:hangingChars="2700"/>
        <w:outlineLvl w:val="9"/>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 xml:space="preserve">                                                  </w:t>
      </w:r>
    </w:p>
    <w:p w14:paraId="21CA25FC">
      <w:pPr>
        <w:rPr>
          <w:rFonts w:hint="eastAsia"/>
        </w:rPr>
      </w:pPr>
    </w:p>
    <w:p w14:paraId="17A05927">
      <w:pPr>
        <w:pStyle w:val="26"/>
        <w:rPr>
          <w:rFonts w:hint="eastAsia"/>
        </w:rPr>
      </w:pPr>
    </w:p>
    <w:p w14:paraId="046EE6A4">
      <w:pPr>
        <w:pStyle w:val="26"/>
        <w:rPr>
          <w:rFonts w:hint="eastAsia"/>
        </w:rPr>
      </w:pPr>
    </w:p>
    <w:p w14:paraId="7CD4890D">
      <w:pPr>
        <w:pStyle w:val="26"/>
        <w:rPr>
          <w:rFonts w:hint="eastAsia"/>
        </w:rPr>
      </w:pPr>
    </w:p>
    <w:p w14:paraId="3B5C237B">
      <w:pPr>
        <w:pStyle w:val="26"/>
        <w:rPr>
          <w:rFonts w:hint="eastAsia"/>
        </w:rPr>
      </w:pPr>
    </w:p>
    <w:p w14:paraId="01EE3CC8">
      <w:pPr>
        <w:pStyle w:val="26"/>
        <w:rPr>
          <w:rFonts w:hint="eastAsia"/>
        </w:rPr>
      </w:pPr>
    </w:p>
    <w:p w14:paraId="4C59107C">
      <w:pPr>
        <w:pStyle w:val="26"/>
        <w:rPr>
          <w:rFonts w:hint="eastAsia"/>
        </w:rPr>
      </w:pPr>
    </w:p>
    <w:p w14:paraId="0A565C15">
      <w:pPr>
        <w:pStyle w:val="26"/>
        <w:rPr>
          <w:rFonts w:hint="eastAsia"/>
        </w:rPr>
      </w:pPr>
    </w:p>
    <w:p w14:paraId="20C7E7FC">
      <w:pPr>
        <w:pStyle w:val="42"/>
        <w:numPr>
          <w:ilvl w:val="0"/>
          <w:numId w:val="2"/>
        </w:numPr>
        <w:ind w:left="0" w:leftChars="0" w:firstLine="0" w:firstLineChars="0"/>
        <w:outlineLvl w:val="0"/>
      </w:pPr>
      <w:bookmarkStart w:id="46" w:name="_Toc1467"/>
      <w:r>
        <w:t>磋商须知</w:t>
      </w:r>
      <w:bookmarkEnd w:id="46"/>
    </w:p>
    <w:p w14:paraId="16BD5381">
      <w:pPr>
        <w:pStyle w:val="44"/>
        <w:outlineLvl w:val="0"/>
      </w:pPr>
      <w:r>
        <w:t>磋商须知前附表</w:t>
      </w:r>
    </w:p>
    <w:tbl>
      <w:tblPr>
        <w:tblStyle w:val="22"/>
        <w:tblpPr w:leftFromText="180" w:rightFromText="180" w:vertAnchor="text" w:horzAnchor="page" w:tblpX="1106" w:tblpY="585"/>
        <w:tblOverlap w:val="never"/>
        <w:tblW w:w="1007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39"/>
        <w:gridCol w:w="1126"/>
        <w:gridCol w:w="8010"/>
      </w:tblGrid>
      <w:tr w14:paraId="5EDB90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9" w:hRule="atLeast"/>
        </w:trPr>
        <w:tc>
          <w:tcPr>
            <w:tcW w:w="939" w:type="dxa"/>
            <w:noWrap w:val="0"/>
            <w:vAlign w:val="top"/>
          </w:tcPr>
          <w:p w14:paraId="14885DA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b/>
                <w:color w:val="000000"/>
                <w:szCs w:val="21"/>
              </w:rPr>
            </w:pPr>
            <w:r>
              <w:rPr>
                <w:rFonts w:hint="eastAsia" w:ascii="宋体" w:hAnsi="宋体"/>
                <w:b/>
                <w:color w:val="000000"/>
                <w:szCs w:val="21"/>
              </w:rPr>
              <w:t>序号</w:t>
            </w:r>
          </w:p>
        </w:tc>
        <w:tc>
          <w:tcPr>
            <w:tcW w:w="1126" w:type="dxa"/>
            <w:noWrap w:val="0"/>
            <w:vAlign w:val="top"/>
          </w:tcPr>
          <w:p w14:paraId="6313117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b/>
                <w:color w:val="000000"/>
                <w:szCs w:val="21"/>
              </w:rPr>
            </w:pPr>
            <w:r>
              <w:rPr>
                <w:rFonts w:hint="eastAsia" w:ascii="宋体" w:hAnsi="宋体"/>
                <w:b/>
                <w:color w:val="000000"/>
                <w:szCs w:val="21"/>
              </w:rPr>
              <w:t>条款号</w:t>
            </w:r>
          </w:p>
        </w:tc>
        <w:tc>
          <w:tcPr>
            <w:tcW w:w="8010" w:type="dxa"/>
            <w:noWrap w:val="0"/>
            <w:vAlign w:val="top"/>
          </w:tcPr>
          <w:p w14:paraId="739AF36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b/>
                <w:color w:val="000000"/>
                <w:szCs w:val="21"/>
              </w:rPr>
            </w:pPr>
            <w:r>
              <w:rPr>
                <w:rFonts w:hint="eastAsia" w:ascii="宋体" w:hAnsi="宋体"/>
                <w:b/>
                <w:color w:val="000000"/>
                <w:szCs w:val="21"/>
              </w:rPr>
              <w:t>内    容</w:t>
            </w:r>
          </w:p>
        </w:tc>
      </w:tr>
      <w:tr w14:paraId="28C756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9" w:hRule="atLeast"/>
        </w:trPr>
        <w:tc>
          <w:tcPr>
            <w:tcW w:w="939" w:type="dxa"/>
            <w:noWrap w:val="0"/>
            <w:vAlign w:val="center"/>
          </w:tcPr>
          <w:p w14:paraId="7607B1AE">
            <w:pPr>
              <w:numPr>
                <w:ilvl w:val="0"/>
                <w:numId w:val="0"/>
              </w:numPr>
              <w:spacing w:line="360" w:lineRule="auto"/>
              <w:ind w:left="420" w:leftChars="0" w:hanging="420" w:firstLineChars="0"/>
              <w:jc w:val="center"/>
              <w:rPr>
                <w:rFonts w:hint="eastAsia" w:ascii="宋体" w:hAnsi="宋体"/>
                <w:color w:val="000000"/>
                <w:szCs w:val="21"/>
              </w:rPr>
            </w:pPr>
            <w:r>
              <w:rPr>
                <w:rFonts w:hint="eastAsia" w:ascii="宋体" w:hAnsi="宋体" w:eastAsia="宋体" w:cs="Times New Roman"/>
                <w:color w:val="000000"/>
                <w:kern w:val="2"/>
                <w:sz w:val="21"/>
                <w:szCs w:val="21"/>
                <w:lang w:val="en-US" w:eastAsia="zh-CN" w:bidi="ar-SA"/>
              </w:rPr>
              <w:t>1</w:t>
            </w:r>
          </w:p>
        </w:tc>
        <w:tc>
          <w:tcPr>
            <w:tcW w:w="1126" w:type="dxa"/>
            <w:noWrap w:val="0"/>
            <w:vAlign w:val="center"/>
          </w:tcPr>
          <w:p w14:paraId="188939B7">
            <w:pPr>
              <w:spacing w:line="360" w:lineRule="auto"/>
              <w:jc w:val="center"/>
              <w:rPr>
                <w:rFonts w:hint="eastAsia" w:ascii="宋体" w:hAnsi="宋体"/>
                <w:color w:val="000000"/>
                <w:szCs w:val="21"/>
              </w:rPr>
            </w:pPr>
            <w:r>
              <w:rPr>
                <w:rFonts w:hint="eastAsia" w:ascii="宋体" w:hAnsi="宋体"/>
                <w:color w:val="000000"/>
                <w:szCs w:val="21"/>
              </w:rPr>
              <w:t>1.1</w:t>
            </w:r>
          </w:p>
        </w:tc>
        <w:tc>
          <w:tcPr>
            <w:tcW w:w="8010" w:type="dxa"/>
            <w:noWrap w:val="0"/>
            <w:vAlign w:val="center"/>
          </w:tcPr>
          <w:p w14:paraId="57E9AB4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Arial"/>
                <w:bCs/>
                <w:szCs w:val="21"/>
                <w:highlight w:val="yellow"/>
                <w:lang w:eastAsia="zh-CN"/>
              </w:rPr>
            </w:pPr>
            <w:r>
              <w:rPr>
                <w:rFonts w:hint="eastAsia" w:ascii="宋体" w:hAnsi="宋体" w:cs="Arial"/>
                <w:bCs/>
                <w:szCs w:val="21"/>
              </w:rPr>
              <w:t>项目名称：</w:t>
            </w:r>
            <w:r>
              <w:rPr>
                <w:rFonts w:hint="eastAsia" w:ascii="宋体" w:hAnsi="宋体" w:cs="Arial"/>
                <w:bCs/>
                <w:szCs w:val="21"/>
                <w:lang w:val="en-US" w:eastAsia="zh-CN"/>
              </w:rPr>
              <w:t>2025年叫安镇文明村那歪屯至板细屯产业道路项目</w:t>
            </w:r>
          </w:p>
          <w:p w14:paraId="0770E3B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Arial"/>
                <w:bCs/>
                <w:szCs w:val="21"/>
              </w:rPr>
            </w:pPr>
            <w:r>
              <w:rPr>
                <w:rFonts w:hint="eastAsia" w:ascii="宋体" w:hAnsi="宋体" w:cs="Arial"/>
                <w:bCs/>
                <w:szCs w:val="21"/>
              </w:rPr>
              <w:t>项目编号：</w:t>
            </w:r>
            <w:r>
              <w:rPr>
                <w:rFonts w:hint="eastAsia" w:ascii="宋体" w:hAnsi="宋体" w:eastAsia="宋体" w:cs="Times New Roman"/>
                <w:u w:val="none"/>
              </w:rPr>
              <w:fldChar w:fldCharType="begin"/>
            </w:r>
            <w:r>
              <w:rPr>
                <w:rFonts w:hint="eastAsia" w:ascii="宋体" w:hAnsi="宋体" w:eastAsia="宋体" w:cs="Times New Roman"/>
                <w:u w:val="none"/>
              </w:rPr>
              <w:instrText xml:space="preserve"> HYPERLINK "https://www.gcy.zfcg.gxzf.gov.cn/gaea/api/project/flow/redirect?projectId=7219986524470771801&amp;newUrl=https://www.gcy.zfcg.gxzf.gov.cn/micro-app-back-index/blank?_flow_type_=agency&amp;_flow_projectId_=7219986524470771801&amp;_jump_page_type_=project_procurement_management_flow&amp;_app_=zcy.procurement&amp;oldUrl=https://www.gcy.zfcg.gxzf.gov.cn/project-center/_procurement_/project-result-detail/7219986524470771801" \t "https://www.gcy.zfcg.gxzf.gov.cn/project-center/_procurement_/self-project/_blank" </w:instrText>
            </w:r>
            <w:r>
              <w:rPr>
                <w:rFonts w:hint="eastAsia" w:ascii="宋体" w:hAnsi="宋体" w:eastAsia="宋体" w:cs="Times New Roman"/>
                <w:u w:val="none"/>
              </w:rPr>
              <w:fldChar w:fldCharType="separate"/>
            </w:r>
            <w:r>
              <w:rPr>
                <w:rFonts w:hint="eastAsia" w:ascii="宋体" w:hAnsi="宋体" w:eastAsia="宋体" w:cs="Times New Roman"/>
                <w:u w:val="none"/>
              </w:rPr>
              <w:t>FCZC2025-C2-210072-GXGL</w:t>
            </w:r>
            <w:r>
              <w:rPr>
                <w:rFonts w:hint="eastAsia" w:ascii="宋体" w:hAnsi="宋体" w:eastAsia="宋体" w:cs="Times New Roman"/>
                <w:u w:val="none"/>
              </w:rPr>
              <w:fldChar w:fldCharType="end"/>
            </w:r>
            <w:r>
              <w:rPr>
                <w:rFonts w:hint="eastAsia" w:ascii="宋体" w:hAnsi="宋体" w:cs="Arial"/>
                <w:b/>
                <w:bCs w:val="0"/>
                <w:color w:val="FF0000"/>
                <w:szCs w:val="21"/>
              </w:rPr>
              <w:t xml:space="preserve"> </w:t>
            </w:r>
          </w:p>
          <w:p w14:paraId="18A90B9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bCs/>
                <w:color w:val="000000"/>
                <w:kern w:val="0"/>
                <w:szCs w:val="21"/>
              </w:rPr>
            </w:pPr>
            <w:r>
              <w:rPr>
                <w:rFonts w:hint="eastAsia" w:ascii="宋体" w:hAnsi="宋体" w:cs="Arial"/>
                <w:bCs/>
                <w:szCs w:val="21"/>
              </w:rPr>
              <w:t>工程范围：</w:t>
            </w:r>
            <w:r>
              <w:rPr>
                <w:rFonts w:hint="eastAsia"/>
                <w:color w:val="auto"/>
                <w:u w:val="none"/>
                <w:lang w:val="en-US" w:eastAsia="zh-CN"/>
              </w:rPr>
              <w:t>新建产业道路约</w:t>
            </w:r>
            <w:r>
              <w:rPr>
                <w:rFonts w:hint="eastAsia"/>
                <w:i w:val="0"/>
                <w:color w:val="000000"/>
                <w:u w:val="none"/>
                <w:lang w:val="en-US" w:eastAsia="zh-CN"/>
              </w:rPr>
              <w:t>2</w:t>
            </w:r>
            <w:r>
              <w:rPr>
                <w:i w:val="0"/>
                <w:color w:val="000000"/>
                <w:u w:val="none"/>
              </w:rPr>
              <w:t>公里，</w:t>
            </w:r>
            <w:r>
              <w:rPr>
                <w:rFonts w:hint="eastAsia"/>
                <w:i w:val="0"/>
                <w:color w:val="000000"/>
                <w:u w:val="none"/>
                <w:lang w:val="en-US" w:eastAsia="zh-CN"/>
              </w:rPr>
              <w:t>包括路基路面路肩等工程</w:t>
            </w:r>
            <w:r>
              <w:rPr>
                <w:rStyle w:val="28"/>
                <w:b w:val="0"/>
                <w:i w:val="0"/>
              </w:rPr>
              <w:t>，具体详见工程量清单要求范围内所有工程内容。</w:t>
            </w:r>
          </w:p>
          <w:p w14:paraId="4667D9A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Arial"/>
                <w:bCs/>
                <w:szCs w:val="21"/>
              </w:rPr>
            </w:pPr>
            <w:r>
              <w:rPr>
                <w:rFonts w:hint="eastAsia" w:ascii="宋体" w:hAnsi="宋体" w:cs="Arial"/>
                <w:bCs/>
                <w:szCs w:val="21"/>
              </w:rPr>
              <w:t>资金来源及出资比例：</w:t>
            </w:r>
            <w:r>
              <w:rPr>
                <w:rFonts w:hint="eastAsia" w:ascii="宋体" w:hAnsi="宋体" w:cs="Arial"/>
                <w:bCs/>
                <w:szCs w:val="21"/>
                <w:lang w:eastAsia="zh-CN"/>
              </w:rPr>
              <w:t>财政</w:t>
            </w:r>
            <w:r>
              <w:rPr>
                <w:rFonts w:hint="eastAsia" w:ascii="宋体" w:hAnsi="宋体" w:cs="Arial"/>
                <w:bCs/>
                <w:szCs w:val="21"/>
              </w:rPr>
              <w:t>资金，100%；</w:t>
            </w:r>
          </w:p>
          <w:p w14:paraId="01887A1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Arial"/>
                <w:bCs/>
                <w:szCs w:val="21"/>
              </w:rPr>
            </w:pPr>
            <w:r>
              <w:rPr>
                <w:rFonts w:hint="eastAsia" w:ascii="宋体" w:hAnsi="宋体" w:cs="Arial"/>
                <w:bCs/>
                <w:szCs w:val="21"/>
              </w:rPr>
              <w:t>发包方式：综合单价包干；</w:t>
            </w:r>
          </w:p>
          <w:p w14:paraId="434756D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Arial"/>
                <w:bCs/>
                <w:szCs w:val="21"/>
              </w:rPr>
            </w:pPr>
            <w:r>
              <w:rPr>
                <w:rFonts w:hint="eastAsia" w:ascii="宋体" w:hAnsi="宋体" w:cs="Arial"/>
                <w:bCs/>
                <w:szCs w:val="21"/>
              </w:rPr>
              <w:t>要求工期：工期为</w:t>
            </w:r>
            <w:r>
              <w:rPr>
                <w:rFonts w:hint="eastAsia" w:ascii="宋体" w:hAnsi="宋体" w:cs="Arial"/>
                <w:b/>
                <w:bCs w:val="0"/>
                <w:color w:val="auto"/>
                <w:szCs w:val="21"/>
                <w:u w:val="single"/>
                <w:lang w:val="en-US" w:eastAsia="zh-CN"/>
              </w:rPr>
              <w:t>120</w:t>
            </w:r>
            <w:r>
              <w:rPr>
                <w:rFonts w:hint="eastAsia" w:ascii="宋体" w:hAnsi="宋体" w:cs="Arial"/>
                <w:bCs/>
                <w:szCs w:val="21"/>
              </w:rPr>
              <w:t>日历天；</w:t>
            </w:r>
          </w:p>
          <w:p w14:paraId="30A1E9C8">
            <w:pPr>
              <w:keepNext w:val="0"/>
              <w:keepLines w:val="0"/>
              <w:pageBreakBefore w:val="0"/>
              <w:widowControl w:val="0"/>
              <w:kinsoku/>
              <w:wordWrap/>
              <w:overflowPunct/>
              <w:topLinePunct w:val="0"/>
              <w:autoSpaceDE/>
              <w:autoSpaceDN/>
              <w:bidi w:val="0"/>
              <w:adjustRightInd/>
              <w:snapToGrid/>
              <w:spacing w:line="360" w:lineRule="auto"/>
              <w:textAlignment w:val="auto"/>
              <w:rPr>
                <w:highlight w:val="yellow"/>
              </w:rPr>
            </w:pPr>
            <w:r>
              <w:rPr>
                <w:rFonts w:hint="eastAsia" w:ascii="宋体" w:hAnsi="宋体" w:cs="Arial"/>
                <w:bCs/>
                <w:szCs w:val="21"/>
              </w:rPr>
              <w:t>质量要求：达到国家施工验收规范合格标准；</w:t>
            </w:r>
          </w:p>
          <w:p w14:paraId="58F1AFC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highlight w:val="none"/>
              </w:rPr>
            </w:pPr>
            <w:r>
              <w:rPr>
                <w:rFonts w:hint="eastAsia"/>
                <w:highlight w:val="none"/>
              </w:rPr>
              <w:t>1.1、工程量清单计价依据：</w:t>
            </w:r>
          </w:p>
          <w:p w14:paraId="7C0BDE2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本工程施工图设计预算编制依据：</w:t>
            </w:r>
          </w:p>
          <w:p w14:paraId="2D10DAFB">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highlight w:val="none"/>
              </w:rPr>
            </w:pPr>
            <w:r>
              <w:rPr>
                <w:rFonts w:hint="eastAsia"/>
                <w:highlight w:val="none"/>
              </w:rPr>
              <w:t>《公路工程建设项目概算预算编制办法》(JTG 3830-2018)（简称编制办法）；《公路工程预算定额》(JTG/T 3832-2018)；《公路工程机械台班费用定额》(JTG/T 3833-2018)；</w:t>
            </w:r>
          </w:p>
          <w:p w14:paraId="31F26A00">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highlight w:val="none"/>
              </w:rPr>
            </w:pPr>
            <w:r>
              <w:rPr>
                <w:rFonts w:hint="eastAsia"/>
                <w:highlight w:val="none"/>
              </w:rPr>
              <w:t>《关于印发公路工程建设项目估算概算预算编制办法广西补充规定的通知》（桂交建管发[2019]39 号）（简称广西补充规定）。施工图设计计算的工程数量及确定的施工方案。《防城港市建设工程造价信息》</w:t>
            </w:r>
            <w:r>
              <w:rPr>
                <w:rFonts w:hint="eastAsia"/>
                <w:highlight w:val="none"/>
                <w:lang w:val="en-US" w:eastAsia="zh-CN"/>
              </w:rPr>
              <w:t>上思县地方材料信息价</w:t>
            </w:r>
            <w:r>
              <w:rPr>
                <w:rFonts w:hint="eastAsia"/>
                <w:b/>
                <w:bCs/>
                <w:color w:val="FF0000"/>
                <w:highlight w:val="none"/>
              </w:rPr>
              <w:t>202</w:t>
            </w:r>
            <w:r>
              <w:rPr>
                <w:rFonts w:hint="eastAsia"/>
                <w:b/>
                <w:bCs/>
                <w:color w:val="FF0000"/>
                <w:highlight w:val="none"/>
                <w:lang w:val="en-US" w:eastAsia="zh-CN"/>
              </w:rPr>
              <w:t>5</w:t>
            </w:r>
            <w:r>
              <w:rPr>
                <w:rFonts w:hint="eastAsia"/>
                <w:b/>
                <w:bCs/>
                <w:color w:val="FF0000"/>
                <w:highlight w:val="none"/>
              </w:rPr>
              <w:t>第</w:t>
            </w:r>
            <w:r>
              <w:rPr>
                <w:rFonts w:hint="eastAsia"/>
                <w:b/>
                <w:bCs/>
                <w:color w:val="FF0000"/>
                <w:highlight w:val="none"/>
                <w:lang w:val="en-US" w:eastAsia="zh-CN"/>
              </w:rPr>
              <w:t>4</w:t>
            </w:r>
            <w:r>
              <w:rPr>
                <w:rFonts w:hint="eastAsia"/>
                <w:b/>
                <w:bCs/>
                <w:color w:val="FF0000"/>
                <w:highlight w:val="none"/>
              </w:rPr>
              <w:t>期</w:t>
            </w:r>
            <w:r>
              <w:rPr>
                <w:rFonts w:hint="eastAsia"/>
                <w:highlight w:val="none"/>
                <w:lang w:val="en-US" w:eastAsia="zh-CN"/>
              </w:rPr>
              <w:t>.</w:t>
            </w:r>
          </w:p>
          <w:p w14:paraId="0587F1B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highlight w:val="none"/>
              </w:rPr>
              <w:t>主要材料按到工地价计算，材料价格按《防城港市建设工程造价信息》</w:t>
            </w:r>
            <w:r>
              <w:rPr>
                <w:rFonts w:hint="eastAsia"/>
                <w:highlight w:val="none"/>
                <w:lang w:val="en-US" w:eastAsia="zh-CN"/>
              </w:rPr>
              <w:t>上思县地方材料信息价</w:t>
            </w:r>
            <w:r>
              <w:rPr>
                <w:rFonts w:hint="eastAsia"/>
                <w:b/>
                <w:bCs/>
                <w:color w:val="FF0000"/>
                <w:highlight w:val="none"/>
              </w:rPr>
              <w:t>202</w:t>
            </w:r>
            <w:r>
              <w:rPr>
                <w:rFonts w:hint="eastAsia"/>
                <w:b/>
                <w:bCs/>
                <w:color w:val="FF0000"/>
                <w:highlight w:val="none"/>
                <w:lang w:val="en-US" w:eastAsia="zh-CN"/>
              </w:rPr>
              <w:t>5</w:t>
            </w:r>
            <w:r>
              <w:rPr>
                <w:rFonts w:hint="eastAsia"/>
                <w:b/>
                <w:bCs/>
                <w:color w:val="FF0000"/>
                <w:highlight w:val="none"/>
              </w:rPr>
              <w:t>第</w:t>
            </w:r>
            <w:r>
              <w:rPr>
                <w:rFonts w:hint="eastAsia"/>
                <w:b/>
                <w:bCs/>
                <w:color w:val="FF0000"/>
                <w:highlight w:val="none"/>
                <w:lang w:val="en-US" w:eastAsia="zh-CN"/>
              </w:rPr>
              <w:t>4</w:t>
            </w:r>
            <w:r>
              <w:rPr>
                <w:rFonts w:hint="eastAsia"/>
                <w:b/>
                <w:bCs/>
                <w:color w:val="FF0000"/>
                <w:highlight w:val="none"/>
              </w:rPr>
              <w:t>期</w:t>
            </w:r>
            <w:r>
              <w:rPr>
                <w:rFonts w:hint="eastAsia"/>
                <w:highlight w:val="none"/>
              </w:rPr>
              <w:t>调整，对于《防城港市建设工程造价信息》没有的材料价格参考市场价</w:t>
            </w:r>
            <w:r>
              <w:rPr>
                <w:rFonts w:hint="eastAsia" w:ascii="宋体" w:hAnsi="宋体"/>
                <w:color w:val="000000"/>
                <w:szCs w:val="21"/>
                <w:highlight w:val="none"/>
                <w:lang w:val="en-US" w:eastAsia="zh-CN"/>
              </w:rPr>
              <w:t>确定</w:t>
            </w:r>
            <w:r>
              <w:rPr>
                <w:rFonts w:hint="eastAsia" w:ascii="宋体" w:hAnsi="宋体"/>
                <w:color w:val="000000"/>
                <w:szCs w:val="21"/>
                <w:highlight w:val="none"/>
              </w:rPr>
              <w:t>。</w:t>
            </w:r>
          </w:p>
        </w:tc>
      </w:tr>
      <w:tr w14:paraId="5D013B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2" w:hRule="atLeast"/>
        </w:trPr>
        <w:tc>
          <w:tcPr>
            <w:tcW w:w="939" w:type="dxa"/>
            <w:noWrap w:val="0"/>
            <w:vAlign w:val="center"/>
          </w:tcPr>
          <w:p w14:paraId="7A18DAD9">
            <w:pPr>
              <w:numPr>
                <w:ilvl w:val="0"/>
                <w:numId w:val="0"/>
              </w:numPr>
              <w:spacing w:line="360" w:lineRule="auto"/>
              <w:ind w:left="420" w:leftChars="0" w:hanging="420" w:firstLineChars="0"/>
              <w:jc w:val="center"/>
              <w:rPr>
                <w:rFonts w:hint="eastAsia" w:ascii="宋体" w:hAnsi="宋体"/>
                <w:color w:val="000000"/>
                <w:szCs w:val="21"/>
              </w:rPr>
            </w:pPr>
            <w:r>
              <w:rPr>
                <w:rFonts w:hint="eastAsia" w:ascii="宋体" w:hAnsi="宋体" w:eastAsia="宋体" w:cs="Times New Roman"/>
                <w:color w:val="000000"/>
                <w:kern w:val="2"/>
                <w:sz w:val="21"/>
                <w:szCs w:val="21"/>
                <w:lang w:val="en-US" w:eastAsia="zh-CN" w:bidi="ar-SA"/>
              </w:rPr>
              <w:t>2</w:t>
            </w:r>
          </w:p>
        </w:tc>
        <w:tc>
          <w:tcPr>
            <w:tcW w:w="1126" w:type="dxa"/>
            <w:noWrap w:val="0"/>
            <w:vAlign w:val="center"/>
          </w:tcPr>
          <w:p w14:paraId="2B4FFE03">
            <w:pPr>
              <w:spacing w:line="360" w:lineRule="auto"/>
              <w:jc w:val="center"/>
              <w:rPr>
                <w:rFonts w:hint="eastAsia" w:ascii="宋体" w:hAnsi="宋体"/>
                <w:color w:val="000000"/>
                <w:szCs w:val="21"/>
              </w:rPr>
            </w:pPr>
            <w:r>
              <w:rPr>
                <w:rFonts w:hint="eastAsia" w:ascii="宋体" w:hAnsi="宋体"/>
                <w:color w:val="000000"/>
                <w:szCs w:val="21"/>
              </w:rPr>
              <w:t>3.1</w:t>
            </w:r>
          </w:p>
        </w:tc>
        <w:tc>
          <w:tcPr>
            <w:tcW w:w="8010" w:type="dxa"/>
            <w:noWrap w:val="0"/>
            <w:vAlign w:val="center"/>
          </w:tcPr>
          <w:p w14:paraId="20764E47">
            <w:pPr>
              <w:snapToGrid w:val="0"/>
              <w:spacing w:line="360" w:lineRule="auto"/>
              <w:rPr>
                <w:rFonts w:hint="eastAsia" w:ascii="宋体" w:hAnsi="宋体"/>
                <w:color w:val="000000"/>
                <w:szCs w:val="21"/>
              </w:rPr>
            </w:pPr>
            <w:r>
              <w:rPr>
                <w:rFonts w:hint="eastAsia" w:ascii="宋体" w:hAnsi="宋体" w:cs="宋体"/>
                <w:bCs/>
                <w:szCs w:val="21"/>
              </w:rPr>
              <w:t>供应商的资格条件</w:t>
            </w:r>
            <w:r>
              <w:rPr>
                <w:rFonts w:hint="eastAsia" w:ascii="宋体" w:hAnsi="宋体" w:cs="Arial"/>
                <w:b/>
                <w:bCs/>
                <w:color w:val="000000"/>
                <w:szCs w:val="21"/>
              </w:rPr>
              <w:t>：</w:t>
            </w:r>
            <w:r>
              <w:rPr>
                <w:rFonts w:hint="eastAsia" w:ascii="宋体" w:hAnsi="宋体" w:cs="宋体"/>
                <w:szCs w:val="21"/>
              </w:rPr>
              <w:t>详见竞争性磋商公告</w:t>
            </w:r>
          </w:p>
        </w:tc>
      </w:tr>
      <w:tr w14:paraId="62FBD3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98" w:hRule="atLeast"/>
        </w:trPr>
        <w:tc>
          <w:tcPr>
            <w:tcW w:w="939" w:type="dxa"/>
            <w:noWrap w:val="0"/>
            <w:vAlign w:val="center"/>
          </w:tcPr>
          <w:p w14:paraId="1DB3CA7E">
            <w:pPr>
              <w:numPr>
                <w:ilvl w:val="0"/>
                <w:numId w:val="0"/>
              </w:numPr>
              <w:spacing w:line="360" w:lineRule="auto"/>
              <w:ind w:left="420" w:leftChars="0" w:hanging="420" w:firstLineChars="0"/>
              <w:jc w:val="center"/>
              <w:rPr>
                <w:rFonts w:hint="eastAsia" w:ascii="宋体" w:hAnsi="宋体"/>
                <w:color w:val="000000"/>
                <w:szCs w:val="21"/>
              </w:rPr>
            </w:pPr>
            <w:r>
              <w:rPr>
                <w:rFonts w:hint="eastAsia" w:ascii="宋体" w:hAnsi="宋体" w:eastAsia="宋体" w:cs="Times New Roman"/>
                <w:color w:val="000000"/>
                <w:kern w:val="2"/>
                <w:sz w:val="21"/>
                <w:szCs w:val="21"/>
                <w:lang w:val="en-US" w:eastAsia="zh-CN" w:bidi="ar-SA"/>
              </w:rPr>
              <w:t>3</w:t>
            </w:r>
          </w:p>
        </w:tc>
        <w:tc>
          <w:tcPr>
            <w:tcW w:w="1126" w:type="dxa"/>
            <w:noWrap w:val="0"/>
            <w:vAlign w:val="center"/>
          </w:tcPr>
          <w:p w14:paraId="2B7A629C">
            <w:pPr>
              <w:spacing w:line="360" w:lineRule="auto"/>
              <w:jc w:val="center"/>
              <w:rPr>
                <w:rFonts w:hint="eastAsia" w:ascii="宋体" w:hAnsi="宋体"/>
                <w:color w:val="000000"/>
                <w:szCs w:val="21"/>
              </w:rPr>
            </w:pPr>
            <w:r>
              <w:rPr>
                <w:rFonts w:hint="eastAsia" w:ascii="宋体" w:hAnsi="宋体"/>
                <w:color w:val="000000"/>
                <w:szCs w:val="21"/>
              </w:rPr>
              <w:t>4.2</w:t>
            </w:r>
          </w:p>
        </w:tc>
        <w:tc>
          <w:tcPr>
            <w:tcW w:w="8010" w:type="dxa"/>
            <w:noWrap w:val="0"/>
            <w:vAlign w:val="center"/>
          </w:tcPr>
          <w:p w14:paraId="7796694F">
            <w:pPr>
              <w:pStyle w:val="15"/>
              <w:snapToGrid w:val="0"/>
              <w:spacing w:line="320" w:lineRule="exact"/>
              <w:rPr>
                <w:rFonts w:hint="eastAsia" w:hAnsi="宋体" w:cs="宋体"/>
                <w:sz w:val="21"/>
              </w:rPr>
            </w:pPr>
            <w:r>
              <w:rPr>
                <w:rFonts w:hint="eastAsia" w:hAnsi="宋体" w:cs="宋体"/>
                <w:sz w:val="21"/>
              </w:rPr>
              <w:t>1.采购代理费收取方式：</w:t>
            </w:r>
          </w:p>
          <w:p w14:paraId="4E2190B8">
            <w:pPr>
              <w:pStyle w:val="15"/>
              <w:snapToGrid w:val="0"/>
              <w:spacing w:line="320" w:lineRule="exact"/>
              <w:ind w:firstLine="300" w:firstLineChars="150"/>
              <w:rPr>
                <w:rFonts w:hint="eastAsia" w:hAnsi="宋体" w:cs="宋体"/>
                <w:sz w:val="21"/>
              </w:rPr>
            </w:pPr>
            <w:r>
              <w:rPr>
                <w:rFonts w:hint="eastAsia" w:hAnsi="宋体" w:cs="宋体"/>
              </w:rPr>
              <w:t>☑</w:t>
            </w:r>
            <w:r>
              <w:rPr>
                <w:rFonts w:hint="eastAsia" w:hAnsi="宋体" w:cs="宋体"/>
                <w:sz w:val="21"/>
              </w:rPr>
              <w:t>本项目代理服务费由</w:t>
            </w:r>
            <w:r>
              <w:rPr>
                <w:rFonts w:hint="eastAsia" w:hAnsi="宋体" w:cs="宋体"/>
                <w:sz w:val="21"/>
                <w:u w:val="single"/>
              </w:rPr>
              <w:t>成交供应商</w:t>
            </w:r>
            <w:r>
              <w:rPr>
                <w:rFonts w:hint="eastAsia" w:hAnsi="宋体" w:cs="宋体"/>
                <w:sz w:val="21"/>
              </w:rPr>
              <w:t>向采购代理机构支付。</w:t>
            </w:r>
          </w:p>
          <w:p w14:paraId="0A1FF718">
            <w:pPr>
              <w:pStyle w:val="15"/>
              <w:snapToGrid w:val="0"/>
              <w:spacing w:line="320" w:lineRule="exact"/>
              <w:ind w:firstLine="210" w:firstLineChars="100"/>
              <w:rPr>
                <w:rFonts w:hint="eastAsia" w:hAnsi="宋体" w:cs="宋体"/>
                <w:sz w:val="21"/>
              </w:rPr>
            </w:pPr>
            <w:r>
              <w:rPr>
                <w:rFonts w:hint="eastAsia" w:hAnsi="宋体" w:cs="宋体"/>
                <w:sz w:val="21"/>
              </w:rPr>
              <w:t>□采购人支付。</w:t>
            </w:r>
          </w:p>
          <w:p w14:paraId="19BBC5EA">
            <w:pPr>
              <w:pStyle w:val="15"/>
              <w:snapToGrid w:val="0"/>
              <w:spacing w:line="320" w:lineRule="exact"/>
              <w:rPr>
                <w:rFonts w:hint="eastAsia" w:hAnsi="宋体" w:cs="宋体"/>
                <w:sz w:val="21"/>
              </w:rPr>
            </w:pPr>
            <w:r>
              <w:rPr>
                <w:rFonts w:hint="eastAsia" w:hAnsi="宋体" w:cs="宋体"/>
                <w:sz w:val="21"/>
              </w:rPr>
              <w:t>2.采购代理费收取标准：</w:t>
            </w:r>
          </w:p>
          <w:p w14:paraId="43302298">
            <w:pPr>
              <w:pStyle w:val="27"/>
              <w:spacing w:line="420" w:lineRule="exact"/>
              <w:ind w:firstLine="210" w:firstLineChars="100"/>
              <w:jc w:val="both"/>
              <w:rPr>
                <w:rFonts w:hint="eastAsia" w:ascii="宋体" w:hAnsi="宋体"/>
                <w:color w:val="000000"/>
                <w:szCs w:val="21"/>
              </w:rPr>
            </w:pPr>
            <w:r>
              <w:rPr>
                <w:rFonts w:hint="eastAsia" w:hAnsi="宋体" w:cs="宋体"/>
              </w:rPr>
              <w:t>☑</w:t>
            </w:r>
            <w:r>
              <w:rPr>
                <w:rFonts w:hint="eastAsia"/>
              </w:rPr>
              <w:t>本项目的招标代理服务费按国家发展计划委员会计价格[2002]1980号《招标代理服务费管理暂行办法》文执行的收费标准，由成交人向采购代理机构支付。</w:t>
            </w:r>
          </w:p>
        </w:tc>
      </w:tr>
      <w:tr w14:paraId="2042F3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58" w:hRule="atLeast"/>
        </w:trPr>
        <w:tc>
          <w:tcPr>
            <w:tcW w:w="939" w:type="dxa"/>
            <w:noWrap w:val="0"/>
            <w:vAlign w:val="center"/>
          </w:tcPr>
          <w:p w14:paraId="6359863F">
            <w:pPr>
              <w:numPr>
                <w:ilvl w:val="0"/>
                <w:numId w:val="0"/>
              </w:numPr>
              <w:spacing w:line="360" w:lineRule="auto"/>
              <w:ind w:left="420" w:leftChars="0" w:hanging="420" w:firstLineChars="0"/>
              <w:jc w:val="center"/>
              <w:rPr>
                <w:rFonts w:hint="eastAsia" w:ascii="宋体" w:hAnsi="宋体"/>
                <w:color w:val="000000"/>
                <w:szCs w:val="21"/>
              </w:rPr>
            </w:pPr>
            <w:r>
              <w:rPr>
                <w:rFonts w:hint="eastAsia" w:ascii="宋体" w:hAnsi="宋体" w:eastAsia="宋体" w:cs="Times New Roman"/>
                <w:color w:val="000000"/>
                <w:kern w:val="2"/>
                <w:sz w:val="21"/>
                <w:szCs w:val="21"/>
                <w:lang w:val="en-US" w:eastAsia="zh-CN" w:bidi="ar-SA"/>
              </w:rPr>
              <w:t>4</w:t>
            </w:r>
          </w:p>
        </w:tc>
        <w:tc>
          <w:tcPr>
            <w:tcW w:w="1126" w:type="dxa"/>
            <w:noWrap w:val="0"/>
            <w:vAlign w:val="center"/>
          </w:tcPr>
          <w:p w14:paraId="22DD1E60">
            <w:pPr>
              <w:spacing w:line="360" w:lineRule="auto"/>
              <w:jc w:val="center"/>
              <w:rPr>
                <w:rFonts w:hint="eastAsia" w:ascii="宋体" w:hAnsi="宋体"/>
                <w:color w:val="000000"/>
                <w:szCs w:val="21"/>
              </w:rPr>
            </w:pPr>
            <w:r>
              <w:rPr>
                <w:rFonts w:hint="eastAsia" w:ascii="宋体" w:hAnsi="宋体"/>
                <w:color w:val="000000"/>
                <w:szCs w:val="21"/>
              </w:rPr>
              <w:t>7.1</w:t>
            </w:r>
          </w:p>
        </w:tc>
        <w:tc>
          <w:tcPr>
            <w:tcW w:w="8010" w:type="dxa"/>
            <w:noWrap w:val="0"/>
            <w:vAlign w:val="center"/>
          </w:tcPr>
          <w:p w14:paraId="6E51C175">
            <w:pPr>
              <w:spacing w:line="360" w:lineRule="auto"/>
              <w:rPr>
                <w:rFonts w:hint="eastAsia" w:ascii="宋体" w:hAnsi="宋体"/>
                <w:color w:val="000000"/>
                <w:szCs w:val="21"/>
              </w:rPr>
            </w:pPr>
            <w:r>
              <w:rPr>
                <w:rFonts w:hint="eastAsia" w:ascii="宋体" w:hAnsi="宋体"/>
                <w:color w:val="000000"/>
                <w:spacing w:val="4"/>
              </w:rPr>
              <w:t>现场踏勘：</w:t>
            </w:r>
            <w:r>
              <w:rPr>
                <w:rFonts w:hint="eastAsia" w:ascii="宋体" w:hAnsi="宋体"/>
                <w:color w:val="000000"/>
                <w:szCs w:val="21"/>
              </w:rPr>
              <w:t>不组织现场踏勘，潜在供应商可自行考察现场。</w:t>
            </w:r>
          </w:p>
        </w:tc>
      </w:tr>
      <w:tr w14:paraId="7CB653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61" w:hRule="atLeast"/>
        </w:trPr>
        <w:tc>
          <w:tcPr>
            <w:tcW w:w="939" w:type="dxa"/>
            <w:noWrap w:val="0"/>
            <w:vAlign w:val="center"/>
          </w:tcPr>
          <w:p w14:paraId="018CA926">
            <w:pPr>
              <w:numPr>
                <w:ilvl w:val="0"/>
                <w:numId w:val="0"/>
              </w:numPr>
              <w:spacing w:line="360" w:lineRule="auto"/>
              <w:ind w:left="420" w:leftChars="0" w:hanging="420" w:firstLineChars="0"/>
              <w:jc w:val="center"/>
              <w:rPr>
                <w:rFonts w:hint="eastAsia" w:ascii="宋体" w:hAnsi="宋体"/>
                <w:color w:val="000000"/>
                <w:szCs w:val="21"/>
              </w:rPr>
            </w:pPr>
            <w:r>
              <w:rPr>
                <w:rFonts w:hint="eastAsia" w:ascii="宋体" w:hAnsi="宋体" w:eastAsia="宋体" w:cs="Times New Roman"/>
                <w:color w:val="000000"/>
                <w:kern w:val="2"/>
                <w:sz w:val="21"/>
                <w:szCs w:val="21"/>
                <w:lang w:val="en-US" w:eastAsia="zh-CN" w:bidi="ar-SA"/>
              </w:rPr>
              <w:t>5</w:t>
            </w:r>
          </w:p>
        </w:tc>
        <w:tc>
          <w:tcPr>
            <w:tcW w:w="1126" w:type="dxa"/>
            <w:noWrap w:val="0"/>
            <w:vAlign w:val="center"/>
          </w:tcPr>
          <w:p w14:paraId="5AD4A808">
            <w:pPr>
              <w:jc w:val="center"/>
              <w:rPr>
                <w:rFonts w:hint="eastAsia" w:ascii="宋体" w:hAnsi="宋体"/>
                <w:color w:val="000000"/>
                <w:spacing w:val="2"/>
                <w:szCs w:val="22"/>
              </w:rPr>
            </w:pPr>
            <w:r>
              <w:rPr>
                <w:rFonts w:hint="eastAsia" w:ascii="宋体" w:hAnsi="宋体"/>
                <w:color w:val="000000"/>
                <w:spacing w:val="2"/>
                <w:szCs w:val="22"/>
              </w:rPr>
              <w:t>付款方式</w:t>
            </w:r>
          </w:p>
        </w:tc>
        <w:tc>
          <w:tcPr>
            <w:tcW w:w="8010" w:type="dxa"/>
            <w:noWrap w:val="0"/>
            <w:vAlign w:val="center"/>
          </w:tcPr>
          <w:p w14:paraId="19CC6E51">
            <w:pPr>
              <w:pStyle w:val="5"/>
              <w:numPr>
                <w:ilvl w:val="3"/>
                <w:numId w:val="0"/>
              </w:numPr>
              <w:tabs>
                <w:tab w:val="left" w:pos="0"/>
              </w:tabs>
              <w:bidi w:val="0"/>
              <w:ind w:firstLine="422" w:firstLineChars="200"/>
              <w:rPr>
                <w:rFonts w:hint="eastAsia"/>
              </w:rPr>
            </w:pPr>
            <w:r>
              <w:rPr>
                <w:rFonts w:hint="eastAsia" w:ascii="宋体" w:hAnsi="宋体" w:eastAsia="宋体" w:cs="宋体"/>
                <w:b/>
                <w:bCs w:val="0"/>
                <w:sz w:val="21"/>
                <w:szCs w:val="21"/>
              </w:rPr>
              <w:t>①签订合同后，材料进场且开始施工后支付合同总价款的30%为工程预付款；②甲方根据工程需要和工程进度情况，可支付至合同总价款的</w:t>
            </w:r>
            <w:ins w:id="0" w:author="让一切随风" w:date="2025-07-30T10:06:11Z">
              <w:r>
                <w:rPr>
                  <w:rFonts w:hint="eastAsia" w:ascii="宋体" w:hAnsi="宋体" w:eastAsia="宋体" w:cs="宋体"/>
                  <w:b/>
                  <w:bCs w:val="0"/>
                  <w:color w:val="FF0000"/>
                  <w:sz w:val="21"/>
                  <w:szCs w:val="21"/>
                  <w:lang w:val="en-US" w:eastAsia="zh-CN"/>
                </w:rPr>
                <w:t>80</w:t>
              </w:r>
            </w:ins>
            <w:ins w:id="1" w:author="让一切随风" w:date="2025-07-30T10:06:12Z">
              <w:r>
                <w:rPr>
                  <w:rFonts w:hint="eastAsia" w:ascii="宋体" w:hAnsi="宋体" w:eastAsia="宋体" w:cs="宋体"/>
                  <w:b/>
                  <w:bCs w:val="0"/>
                  <w:color w:val="FF0000"/>
                  <w:sz w:val="21"/>
                  <w:szCs w:val="21"/>
                  <w:lang w:val="en-US" w:eastAsia="zh-CN"/>
                </w:rPr>
                <w:t>%</w:t>
              </w:r>
            </w:ins>
            <w:r>
              <w:rPr>
                <w:rFonts w:hint="eastAsia" w:ascii="宋体" w:hAnsi="宋体" w:eastAsia="宋体" w:cs="宋体"/>
                <w:b/>
                <w:bCs w:val="0"/>
                <w:sz w:val="21"/>
                <w:szCs w:val="21"/>
              </w:rPr>
              <w:t>；③工程竣工验收达到合格质量要求后，支付至工程合同总价款的90%；④经结算审计（审核、评审）后，乙方向甲方缴纳结算审计（审核、评审）价款3%的工程款作为工程质量保证金，甲方向乙方支付至结算审计（审核、评审）价款的100%的工程款 ；</w:t>
            </w:r>
            <w:ins w:id="2" w:author="让一切随风" w:date="2025-07-30T10:07:47Z">
              <w:r>
                <w:rPr>
                  <w:rFonts w:hint="eastAsia" w:ascii="宋体" w:hAnsi="宋体" w:eastAsia="宋体" w:cs="宋体"/>
                  <w:b/>
                  <w:bCs w:val="0"/>
                  <w:color w:val="FF0000"/>
                  <w:sz w:val="21"/>
                  <w:szCs w:val="21"/>
                  <w:lang w:eastAsia="zh-CN"/>
                </w:rPr>
                <w:t>若</w:t>
              </w:r>
            </w:ins>
            <w:ins w:id="3" w:author="让一切随风" w:date="2025-07-30T10:08:56Z">
              <w:r>
                <w:rPr>
                  <w:rFonts w:hint="eastAsia" w:ascii="宋体" w:hAnsi="宋体" w:eastAsia="宋体" w:cs="宋体"/>
                  <w:b/>
                  <w:bCs w:val="0"/>
                  <w:color w:val="FF0000"/>
                  <w:sz w:val="21"/>
                  <w:szCs w:val="21"/>
                  <w:lang w:eastAsia="zh-CN"/>
                </w:rPr>
                <w:t>乙方</w:t>
              </w:r>
            </w:ins>
            <w:ins w:id="4" w:author="让一切随风" w:date="2025-07-30T10:08:57Z">
              <w:r>
                <w:rPr>
                  <w:rFonts w:hint="eastAsia" w:ascii="宋体" w:hAnsi="宋体" w:eastAsia="宋体" w:cs="宋体"/>
                  <w:b/>
                  <w:bCs w:val="0"/>
                  <w:color w:val="FF0000"/>
                  <w:sz w:val="21"/>
                  <w:szCs w:val="21"/>
                  <w:lang w:eastAsia="zh-CN"/>
                </w:rPr>
                <w:t>未</w:t>
              </w:r>
            </w:ins>
            <w:ins w:id="5" w:author="让一切随风" w:date="2025-07-30T10:08:58Z">
              <w:r>
                <w:rPr>
                  <w:rFonts w:hint="eastAsia" w:ascii="宋体" w:hAnsi="宋体" w:eastAsia="宋体" w:cs="宋体"/>
                  <w:b/>
                  <w:bCs w:val="0"/>
                  <w:color w:val="FF0000"/>
                  <w:sz w:val="21"/>
                  <w:szCs w:val="21"/>
                  <w:lang w:eastAsia="zh-CN"/>
                </w:rPr>
                <w:t>向</w:t>
              </w:r>
            </w:ins>
            <w:ins w:id="6" w:author="让一切随风" w:date="2025-07-30T10:09:13Z">
              <w:r>
                <w:rPr>
                  <w:rFonts w:hint="eastAsia" w:ascii="宋体" w:hAnsi="宋体" w:eastAsia="宋体" w:cs="宋体"/>
                  <w:b/>
                  <w:bCs w:val="0"/>
                  <w:color w:val="FF0000"/>
                  <w:sz w:val="21"/>
                  <w:szCs w:val="21"/>
                  <w:lang w:eastAsia="zh-CN"/>
                </w:rPr>
                <w:t>甲方</w:t>
              </w:r>
            </w:ins>
            <w:ins w:id="7" w:author="让一切随风" w:date="2025-07-30T10:09:26Z">
              <w:r>
                <w:rPr>
                  <w:rFonts w:hint="eastAsia" w:ascii="宋体" w:hAnsi="宋体" w:eastAsia="宋体" w:cs="宋体"/>
                  <w:b/>
                  <w:bCs w:val="0"/>
                  <w:color w:val="FF0000"/>
                  <w:sz w:val="21"/>
                  <w:szCs w:val="21"/>
                  <w:lang w:eastAsia="zh-CN"/>
                </w:rPr>
                <w:t>缴纳</w:t>
              </w:r>
            </w:ins>
            <w:ins w:id="8" w:author="让一切随风" w:date="2025-07-30T10:09:33Z">
              <w:r>
                <w:rPr>
                  <w:rFonts w:hint="eastAsia" w:ascii="宋体" w:hAnsi="宋体" w:eastAsia="宋体" w:cs="宋体"/>
                  <w:b/>
                  <w:bCs w:val="0"/>
                  <w:color w:val="FF0000"/>
                  <w:sz w:val="21"/>
                  <w:szCs w:val="21"/>
                  <w:lang w:eastAsia="zh-CN"/>
                </w:rPr>
                <w:t>结算</w:t>
              </w:r>
            </w:ins>
            <w:ins w:id="9" w:author="让一切随风" w:date="2025-07-30T10:09:35Z">
              <w:r>
                <w:rPr>
                  <w:rFonts w:hint="eastAsia" w:ascii="宋体" w:hAnsi="宋体" w:eastAsia="宋体" w:cs="宋体"/>
                  <w:b/>
                  <w:bCs w:val="0"/>
                  <w:color w:val="FF0000"/>
                  <w:sz w:val="21"/>
                  <w:szCs w:val="21"/>
                  <w:lang w:eastAsia="zh-CN"/>
                </w:rPr>
                <w:t>审计（</w:t>
              </w:r>
            </w:ins>
            <w:ins w:id="10" w:author="让一切随风" w:date="2025-07-30T10:09:38Z">
              <w:r>
                <w:rPr>
                  <w:rFonts w:hint="eastAsia" w:ascii="宋体" w:hAnsi="宋体" w:eastAsia="宋体" w:cs="宋体"/>
                  <w:b/>
                  <w:bCs w:val="0"/>
                  <w:color w:val="FF0000"/>
                  <w:sz w:val="21"/>
                  <w:szCs w:val="21"/>
                  <w:lang w:eastAsia="zh-CN"/>
                </w:rPr>
                <w:t>审核、</w:t>
              </w:r>
            </w:ins>
            <w:ins w:id="11" w:author="让一切随风" w:date="2025-07-30T10:09:40Z">
              <w:r>
                <w:rPr>
                  <w:rFonts w:hint="eastAsia" w:ascii="宋体" w:hAnsi="宋体" w:eastAsia="宋体" w:cs="宋体"/>
                  <w:b/>
                  <w:bCs w:val="0"/>
                  <w:color w:val="FF0000"/>
                  <w:sz w:val="21"/>
                  <w:szCs w:val="21"/>
                  <w:lang w:eastAsia="zh-CN"/>
                </w:rPr>
                <w:t>评审</w:t>
              </w:r>
            </w:ins>
            <w:ins w:id="12" w:author="让一切随风" w:date="2025-07-30T10:09:35Z">
              <w:r>
                <w:rPr>
                  <w:rFonts w:hint="eastAsia" w:ascii="宋体" w:hAnsi="宋体" w:eastAsia="宋体" w:cs="宋体"/>
                  <w:b/>
                  <w:bCs w:val="0"/>
                  <w:color w:val="FF0000"/>
                  <w:sz w:val="21"/>
                  <w:szCs w:val="21"/>
                  <w:lang w:eastAsia="zh-CN"/>
                </w:rPr>
                <w:t>）</w:t>
              </w:r>
            </w:ins>
            <w:ins w:id="13" w:author="让一切随风" w:date="2025-07-30T10:09:46Z">
              <w:r>
                <w:rPr>
                  <w:rFonts w:hint="eastAsia" w:ascii="宋体" w:hAnsi="宋体" w:eastAsia="宋体" w:cs="宋体"/>
                  <w:b/>
                  <w:bCs w:val="0"/>
                  <w:color w:val="FF0000"/>
                  <w:sz w:val="21"/>
                  <w:szCs w:val="21"/>
                  <w:lang w:eastAsia="zh-CN"/>
                </w:rPr>
                <w:t>价款</w:t>
              </w:r>
            </w:ins>
            <w:ins w:id="14" w:author="让一切随风" w:date="2025-07-30T10:09:46Z">
              <w:r>
                <w:rPr>
                  <w:rFonts w:hint="eastAsia" w:ascii="宋体" w:hAnsi="宋体" w:eastAsia="宋体" w:cs="宋体"/>
                  <w:b/>
                  <w:bCs w:val="0"/>
                  <w:color w:val="FF0000"/>
                  <w:sz w:val="21"/>
                  <w:szCs w:val="21"/>
                  <w:lang w:val="en-US" w:eastAsia="zh-CN"/>
                </w:rPr>
                <w:t>3</w:t>
              </w:r>
            </w:ins>
            <w:ins w:id="15" w:author="让一切随风" w:date="2025-07-30T10:09:47Z">
              <w:r>
                <w:rPr>
                  <w:rFonts w:hint="eastAsia" w:ascii="宋体" w:hAnsi="宋体" w:eastAsia="宋体" w:cs="宋体"/>
                  <w:b/>
                  <w:bCs w:val="0"/>
                  <w:color w:val="FF0000"/>
                  <w:sz w:val="21"/>
                  <w:szCs w:val="21"/>
                  <w:lang w:val="en-US" w:eastAsia="zh-CN"/>
                </w:rPr>
                <w:t>%</w:t>
              </w:r>
            </w:ins>
            <w:ins w:id="16" w:author="让一切随风" w:date="2025-07-30T10:09:55Z">
              <w:r>
                <w:rPr>
                  <w:rFonts w:hint="eastAsia" w:ascii="宋体" w:hAnsi="宋体" w:eastAsia="宋体" w:cs="宋体"/>
                  <w:b/>
                  <w:bCs w:val="0"/>
                  <w:color w:val="FF0000"/>
                  <w:sz w:val="21"/>
                  <w:szCs w:val="21"/>
                  <w:lang w:val="en-US" w:eastAsia="zh-CN"/>
                </w:rPr>
                <w:t>的</w:t>
              </w:r>
            </w:ins>
            <w:ins w:id="17" w:author="让一切随风" w:date="2025-07-30T10:09:58Z">
              <w:r>
                <w:rPr>
                  <w:rFonts w:hint="eastAsia" w:ascii="宋体" w:hAnsi="宋体" w:eastAsia="宋体" w:cs="宋体"/>
                  <w:b/>
                  <w:bCs w:val="0"/>
                  <w:color w:val="FF0000"/>
                  <w:sz w:val="21"/>
                  <w:szCs w:val="21"/>
                  <w:lang w:val="en-US" w:eastAsia="zh-CN"/>
                </w:rPr>
                <w:t>工</w:t>
              </w:r>
            </w:ins>
            <w:ins w:id="18" w:author="让一切随风" w:date="2025-07-30T10:09:59Z">
              <w:r>
                <w:rPr>
                  <w:rFonts w:hint="eastAsia" w:ascii="宋体" w:hAnsi="宋体" w:eastAsia="宋体" w:cs="宋体"/>
                  <w:b/>
                  <w:bCs w:val="0"/>
                  <w:color w:val="FF0000"/>
                  <w:sz w:val="21"/>
                  <w:szCs w:val="21"/>
                  <w:lang w:val="en-US" w:eastAsia="zh-CN"/>
                </w:rPr>
                <w:t>程款</w:t>
              </w:r>
            </w:ins>
            <w:ins w:id="19" w:author="让一切随风" w:date="2025-07-30T10:10:00Z">
              <w:r>
                <w:rPr>
                  <w:rFonts w:hint="eastAsia" w:ascii="宋体" w:hAnsi="宋体" w:eastAsia="宋体" w:cs="宋体"/>
                  <w:b/>
                  <w:bCs w:val="0"/>
                  <w:color w:val="FF0000"/>
                  <w:sz w:val="21"/>
                  <w:szCs w:val="21"/>
                  <w:lang w:val="en-US" w:eastAsia="zh-CN"/>
                </w:rPr>
                <w:t>作为</w:t>
              </w:r>
            </w:ins>
            <w:ins w:id="20" w:author="让一切随风" w:date="2025-07-30T10:10:13Z">
              <w:r>
                <w:rPr>
                  <w:rFonts w:hint="eastAsia" w:ascii="宋体" w:hAnsi="宋体" w:eastAsia="宋体" w:cs="宋体"/>
                  <w:b/>
                  <w:bCs w:val="0"/>
                  <w:color w:val="FF0000"/>
                  <w:sz w:val="21"/>
                  <w:szCs w:val="21"/>
                  <w:lang w:val="en-US" w:eastAsia="zh-CN"/>
                </w:rPr>
                <w:t>工程</w:t>
              </w:r>
            </w:ins>
            <w:ins w:id="21" w:author="让一切随风" w:date="2025-07-30T10:10:21Z">
              <w:r>
                <w:rPr>
                  <w:rFonts w:hint="eastAsia" w:ascii="宋体" w:hAnsi="宋体" w:eastAsia="宋体" w:cs="宋体"/>
                  <w:b/>
                  <w:bCs w:val="0"/>
                  <w:color w:val="FF0000"/>
                  <w:sz w:val="21"/>
                  <w:szCs w:val="21"/>
                  <w:lang w:val="en-US" w:eastAsia="zh-CN"/>
                </w:rPr>
                <w:t>质量</w:t>
              </w:r>
            </w:ins>
            <w:ins w:id="22" w:author="让一切随风" w:date="2025-07-30T10:10:22Z">
              <w:r>
                <w:rPr>
                  <w:rFonts w:hint="eastAsia" w:ascii="宋体" w:hAnsi="宋体" w:eastAsia="宋体" w:cs="宋体"/>
                  <w:b/>
                  <w:bCs w:val="0"/>
                  <w:color w:val="FF0000"/>
                  <w:sz w:val="21"/>
                  <w:szCs w:val="21"/>
                  <w:lang w:val="en-US" w:eastAsia="zh-CN"/>
                </w:rPr>
                <w:t>保证金</w:t>
              </w:r>
            </w:ins>
            <w:ins w:id="23" w:author="让一切随风" w:date="2025-07-30T10:10:23Z">
              <w:r>
                <w:rPr>
                  <w:rFonts w:hint="eastAsia" w:ascii="宋体" w:hAnsi="宋体" w:eastAsia="宋体" w:cs="宋体"/>
                  <w:b/>
                  <w:bCs w:val="0"/>
                  <w:color w:val="FF0000"/>
                  <w:sz w:val="21"/>
                  <w:szCs w:val="21"/>
                  <w:lang w:val="en-US" w:eastAsia="zh-CN"/>
                </w:rPr>
                <w:t>，</w:t>
              </w:r>
            </w:ins>
            <w:ins w:id="24" w:author="让一切随风" w:date="2025-07-30T10:10:25Z">
              <w:r>
                <w:rPr>
                  <w:rFonts w:hint="eastAsia" w:ascii="宋体" w:hAnsi="宋体" w:eastAsia="宋体" w:cs="宋体"/>
                  <w:b/>
                  <w:bCs w:val="0"/>
                  <w:color w:val="FF0000"/>
                  <w:sz w:val="21"/>
                  <w:szCs w:val="21"/>
                  <w:lang w:val="en-US" w:eastAsia="zh-CN"/>
                </w:rPr>
                <w:t>则</w:t>
              </w:r>
            </w:ins>
            <w:ins w:id="25" w:author="让一切随风" w:date="2025-07-30T10:10:27Z">
              <w:r>
                <w:rPr>
                  <w:rFonts w:hint="eastAsia" w:ascii="宋体" w:hAnsi="宋体" w:eastAsia="宋体" w:cs="宋体"/>
                  <w:b/>
                  <w:bCs w:val="0"/>
                  <w:color w:val="FF0000"/>
                  <w:sz w:val="21"/>
                  <w:szCs w:val="21"/>
                  <w:lang w:val="en-US" w:eastAsia="zh-CN"/>
                </w:rPr>
                <w:t>甲方</w:t>
              </w:r>
            </w:ins>
            <w:ins w:id="26" w:author="让一切随风" w:date="2025-07-30T10:10:30Z">
              <w:r>
                <w:rPr>
                  <w:rFonts w:hint="eastAsia" w:ascii="宋体" w:hAnsi="宋体" w:eastAsia="宋体" w:cs="宋体"/>
                  <w:b/>
                  <w:bCs w:val="0"/>
                  <w:color w:val="FF0000"/>
                  <w:sz w:val="21"/>
                  <w:szCs w:val="21"/>
                  <w:lang w:val="en-US" w:eastAsia="zh-CN"/>
                </w:rPr>
                <w:t>向</w:t>
              </w:r>
            </w:ins>
            <w:ins w:id="27" w:author="让一切随风" w:date="2025-07-30T10:10:31Z">
              <w:r>
                <w:rPr>
                  <w:rFonts w:hint="eastAsia" w:ascii="宋体" w:hAnsi="宋体" w:eastAsia="宋体" w:cs="宋体"/>
                  <w:b/>
                  <w:bCs w:val="0"/>
                  <w:color w:val="FF0000"/>
                  <w:sz w:val="21"/>
                  <w:szCs w:val="21"/>
                  <w:lang w:val="en-US" w:eastAsia="zh-CN"/>
                </w:rPr>
                <w:t>乙方</w:t>
              </w:r>
            </w:ins>
            <w:ins w:id="28" w:author="让一切随风" w:date="2025-07-30T10:10:32Z">
              <w:r>
                <w:rPr>
                  <w:rFonts w:hint="eastAsia" w:ascii="宋体" w:hAnsi="宋体" w:eastAsia="宋体" w:cs="宋体"/>
                  <w:b/>
                  <w:bCs w:val="0"/>
                  <w:color w:val="FF0000"/>
                  <w:sz w:val="21"/>
                  <w:szCs w:val="21"/>
                  <w:lang w:val="en-US" w:eastAsia="zh-CN"/>
                </w:rPr>
                <w:t>支付</w:t>
              </w:r>
            </w:ins>
            <w:ins w:id="29" w:author="让一切随风" w:date="2025-07-30T10:10:34Z">
              <w:r>
                <w:rPr>
                  <w:rFonts w:hint="eastAsia" w:ascii="宋体" w:hAnsi="宋体" w:eastAsia="宋体" w:cs="宋体"/>
                  <w:b/>
                  <w:bCs w:val="0"/>
                  <w:color w:val="FF0000"/>
                  <w:sz w:val="21"/>
                  <w:szCs w:val="21"/>
                  <w:lang w:val="en-US" w:eastAsia="zh-CN"/>
                </w:rPr>
                <w:t>至</w:t>
              </w:r>
            </w:ins>
            <w:ins w:id="30" w:author="让一切随风" w:date="2025-07-30T10:10:35Z">
              <w:r>
                <w:rPr>
                  <w:rFonts w:hint="eastAsia" w:ascii="宋体" w:hAnsi="宋体" w:eastAsia="宋体" w:cs="宋体"/>
                  <w:b/>
                  <w:bCs w:val="0"/>
                  <w:color w:val="FF0000"/>
                  <w:sz w:val="21"/>
                  <w:szCs w:val="21"/>
                  <w:lang w:val="en-US" w:eastAsia="zh-CN"/>
                </w:rPr>
                <w:t>结算</w:t>
              </w:r>
            </w:ins>
            <w:ins w:id="31" w:author="让一切随风" w:date="2025-07-30T10:10:39Z">
              <w:r>
                <w:rPr>
                  <w:rFonts w:hint="eastAsia" w:ascii="宋体" w:hAnsi="宋体" w:eastAsia="宋体" w:cs="宋体"/>
                  <w:b/>
                  <w:bCs w:val="0"/>
                  <w:color w:val="FF0000"/>
                  <w:sz w:val="21"/>
                  <w:szCs w:val="21"/>
                  <w:lang w:val="en-US" w:eastAsia="zh-CN"/>
                </w:rPr>
                <w:t>审计</w:t>
              </w:r>
            </w:ins>
            <w:ins w:id="32" w:author="让一切随风" w:date="2025-07-30T10:10:40Z">
              <w:r>
                <w:rPr>
                  <w:rFonts w:hint="eastAsia" w:ascii="宋体" w:hAnsi="宋体" w:eastAsia="宋体" w:cs="宋体"/>
                  <w:b/>
                  <w:bCs w:val="0"/>
                  <w:color w:val="FF0000"/>
                  <w:sz w:val="21"/>
                  <w:szCs w:val="21"/>
                  <w:lang w:val="en-US" w:eastAsia="zh-CN"/>
                </w:rPr>
                <w:t>（</w:t>
              </w:r>
            </w:ins>
            <w:ins w:id="33" w:author="让一切随风" w:date="2025-07-30T10:10:42Z">
              <w:r>
                <w:rPr>
                  <w:rFonts w:hint="eastAsia" w:ascii="宋体" w:hAnsi="宋体" w:eastAsia="宋体" w:cs="宋体"/>
                  <w:b/>
                  <w:bCs w:val="0"/>
                  <w:color w:val="FF0000"/>
                  <w:sz w:val="21"/>
                  <w:szCs w:val="21"/>
                  <w:lang w:val="en-US" w:eastAsia="zh-CN"/>
                </w:rPr>
                <w:t>审核、</w:t>
              </w:r>
            </w:ins>
            <w:ins w:id="34" w:author="让一切随风" w:date="2025-07-30T10:10:45Z">
              <w:r>
                <w:rPr>
                  <w:rFonts w:hint="eastAsia" w:ascii="宋体" w:hAnsi="宋体" w:eastAsia="宋体" w:cs="宋体"/>
                  <w:b/>
                  <w:bCs w:val="0"/>
                  <w:color w:val="FF0000"/>
                  <w:sz w:val="21"/>
                  <w:szCs w:val="21"/>
                  <w:lang w:val="en-US" w:eastAsia="zh-CN"/>
                </w:rPr>
                <w:t>评审</w:t>
              </w:r>
            </w:ins>
            <w:ins w:id="35" w:author="让一切随风" w:date="2025-07-30T10:10:40Z">
              <w:r>
                <w:rPr>
                  <w:rFonts w:hint="eastAsia" w:ascii="宋体" w:hAnsi="宋体" w:eastAsia="宋体" w:cs="宋体"/>
                  <w:b/>
                  <w:bCs w:val="0"/>
                  <w:color w:val="FF0000"/>
                  <w:sz w:val="21"/>
                  <w:szCs w:val="21"/>
                  <w:lang w:val="en-US" w:eastAsia="zh-CN"/>
                </w:rPr>
                <w:t>）</w:t>
              </w:r>
            </w:ins>
            <w:ins w:id="36" w:author="让一切随风" w:date="2025-07-30T10:11:06Z">
              <w:r>
                <w:rPr>
                  <w:rFonts w:hint="eastAsia" w:ascii="宋体" w:hAnsi="宋体" w:eastAsia="宋体" w:cs="宋体"/>
                  <w:b/>
                  <w:bCs w:val="0"/>
                  <w:color w:val="FF0000"/>
                  <w:sz w:val="21"/>
                  <w:szCs w:val="21"/>
                  <w:lang w:val="en-US" w:eastAsia="zh-CN"/>
                </w:rPr>
                <w:t>价款</w:t>
              </w:r>
            </w:ins>
            <w:ins w:id="37" w:author="让一切随风" w:date="2025-07-30T10:11:07Z">
              <w:r>
                <w:rPr>
                  <w:rFonts w:hint="eastAsia" w:ascii="宋体" w:hAnsi="宋体" w:eastAsia="宋体" w:cs="宋体"/>
                  <w:b/>
                  <w:bCs w:val="0"/>
                  <w:color w:val="FF0000"/>
                  <w:sz w:val="21"/>
                  <w:szCs w:val="21"/>
                  <w:lang w:val="en-US" w:eastAsia="zh-CN"/>
                </w:rPr>
                <w:t>的</w:t>
              </w:r>
            </w:ins>
            <w:ins w:id="38" w:author="让一切随风" w:date="2025-07-30T10:11:08Z">
              <w:r>
                <w:rPr>
                  <w:rFonts w:hint="eastAsia" w:ascii="宋体" w:hAnsi="宋体" w:eastAsia="宋体" w:cs="宋体"/>
                  <w:b/>
                  <w:bCs w:val="0"/>
                  <w:color w:val="FF0000"/>
                  <w:sz w:val="21"/>
                  <w:szCs w:val="21"/>
                  <w:lang w:val="en-US" w:eastAsia="zh-CN"/>
                </w:rPr>
                <w:t>9</w:t>
              </w:r>
            </w:ins>
            <w:ins w:id="39" w:author="让一切随风" w:date="2025-07-30T10:11:09Z">
              <w:r>
                <w:rPr>
                  <w:rFonts w:hint="eastAsia" w:ascii="宋体" w:hAnsi="宋体" w:eastAsia="宋体" w:cs="宋体"/>
                  <w:b/>
                  <w:bCs w:val="0"/>
                  <w:color w:val="FF0000"/>
                  <w:sz w:val="21"/>
                  <w:szCs w:val="21"/>
                  <w:lang w:val="en-US" w:eastAsia="zh-CN"/>
                </w:rPr>
                <w:t>7</w:t>
              </w:r>
            </w:ins>
            <w:ins w:id="40" w:author="让一切随风" w:date="2025-07-30T10:11:13Z">
              <w:r>
                <w:rPr>
                  <w:rFonts w:hint="eastAsia" w:ascii="宋体" w:hAnsi="宋体" w:eastAsia="宋体" w:cs="宋体"/>
                  <w:b/>
                  <w:bCs w:val="0"/>
                  <w:color w:val="FF0000"/>
                  <w:sz w:val="21"/>
                  <w:szCs w:val="21"/>
                  <w:lang w:val="en-US" w:eastAsia="zh-CN"/>
                </w:rPr>
                <w:t>%</w:t>
              </w:r>
            </w:ins>
            <w:ins w:id="41" w:author="让一切随风" w:date="2025-07-30T10:15:48Z">
              <w:r>
                <w:rPr>
                  <w:rFonts w:hint="eastAsia" w:ascii="宋体" w:hAnsi="宋体" w:eastAsia="宋体" w:cs="宋体"/>
                  <w:b/>
                  <w:bCs w:val="0"/>
                  <w:color w:val="FF0000"/>
                  <w:sz w:val="21"/>
                  <w:szCs w:val="21"/>
                  <w:lang w:val="en-US" w:eastAsia="zh-CN"/>
                </w:rPr>
                <w:t>作为</w:t>
              </w:r>
            </w:ins>
            <w:ins w:id="42" w:author="让一切随风" w:date="2025-07-30T10:11:16Z">
              <w:r>
                <w:rPr>
                  <w:rFonts w:hint="eastAsia" w:ascii="宋体" w:hAnsi="宋体" w:eastAsia="宋体" w:cs="宋体"/>
                  <w:b/>
                  <w:bCs w:val="0"/>
                  <w:color w:val="FF0000"/>
                  <w:sz w:val="21"/>
                  <w:szCs w:val="21"/>
                  <w:lang w:val="en-US" w:eastAsia="zh-CN"/>
                </w:rPr>
                <w:t>工程款</w:t>
              </w:r>
            </w:ins>
            <w:ins w:id="43" w:author="让一切随风" w:date="2025-07-30T10:15:52Z">
              <w:r>
                <w:rPr>
                  <w:rFonts w:hint="eastAsia" w:ascii="宋体" w:hAnsi="宋体" w:eastAsia="宋体" w:cs="宋体"/>
                  <w:b/>
                  <w:bCs w:val="0"/>
                  <w:color w:val="FF0000"/>
                  <w:sz w:val="21"/>
                  <w:szCs w:val="21"/>
                  <w:lang w:val="en-US" w:eastAsia="zh-CN"/>
                </w:rPr>
                <w:t>，</w:t>
              </w:r>
            </w:ins>
            <w:ins w:id="44" w:author="让一切随风" w:date="2025-07-30T10:15:53Z">
              <w:r>
                <w:rPr>
                  <w:rFonts w:hint="eastAsia" w:ascii="宋体" w:hAnsi="宋体" w:eastAsia="宋体" w:cs="宋体"/>
                  <w:b/>
                  <w:bCs w:val="0"/>
                  <w:color w:val="FF0000"/>
                  <w:sz w:val="21"/>
                  <w:szCs w:val="21"/>
                  <w:lang w:val="en-US" w:eastAsia="zh-CN"/>
                </w:rPr>
                <w:t>余下</w:t>
              </w:r>
            </w:ins>
            <w:ins w:id="45" w:author="让一切随风" w:date="2025-07-30T10:15:54Z">
              <w:r>
                <w:rPr>
                  <w:rFonts w:hint="eastAsia" w:ascii="宋体" w:hAnsi="宋体" w:eastAsia="宋体" w:cs="宋体"/>
                  <w:b/>
                  <w:bCs w:val="0"/>
                  <w:color w:val="FF0000"/>
                  <w:sz w:val="21"/>
                  <w:szCs w:val="21"/>
                  <w:lang w:val="en-US" w:eastAsia="zh-CN"/>
                </w:rPr>
                <w:t>3</w:t>
              </w:r>
            </w:ins>
            <w:ins w:id="46" w:author="让一切随风" w:date="2025-07-30T10:15:55Z">
              <w:r>
                <w:rPr>
                  <w:rFonts w:hint="eastAsia" w:ascii="宋体" w:hAnsi="宋体" w:eastAsia="宋体" w:cs="宋体"/>
                  <w:b/>
                  <w:bCs w:val="0"/>
                  <w:color w:val="FF0000"/>
                  <w:sz w:val="21"/>
                  <w:szCs w:val="21"/>
                  <w:lang w:val="en-US" w:eastAsia="zh-CN"/>
                </w:rPr>
                <w:t>%</w:t>
              </w:r>
            </w:ins>
            <w:ins w:id="47" w:author="让一切随风" w:date="2025-07-30T10:16:04Z">
              <w:r>
                <w:rPr>
                  <w:rFonts w:hint="eastAsia" w:ascii="宋体" w:hAnsi="宋体" w:eastAsia="宋体" w:cs="宋体"/>
                  <w:b/>
                  <w:bCs w:val="0"/>
                  <w:color w:val="FF0000"/>
                  <w:sz w:val="21"/>
                  <w:szCs w:val="21"/>
                  <w:lang w:val="en-US" w:eastAsia="zh-CN"/>
                </w:rPr>
                <w:t>作为</w:t>
              </w:r>
            </w:ins>
            <w:ins w:id="48" w:author="让一切随风" w:date="2025-07-30T10:16:05Z">
              <w:r>
                <w:rPr>
                  <w:rFonts w:hint="eastAsia" w:ascii="宋体" w:hAnsi="宋体" w:eastAsia="宋体" w:cs="宋体"/>
                  <w:b/>
                  <w:bCs w:val="0"/>
                  <w:color w:val="FF0000"/>
                  <w:sz w:val="21"/>
                  <w:szCs w:val="21"/>
                  <w:lang w:val="en-US" w:eastAsia="zh-CN"/>
                </w:rPr>
                <w:t>工程</w:t>
              </w:r>
            </w:ins>
            <w:ins w:id="49" w:author="让一切随风" w:date="2025-07-30T10:16:07Z">
              <w:r>
                <w:rPr>
                  <w:rFonts w:hint="eastAsia" w:ascii="宋体" w:hAnsi="宋体" w:eastAsia="宋体" w:cs="宋体"/>
                  <w:b/>
                  <w:bCs w:val="0"/>
                  <w:color w:val="FF0000"/>
                  <w:sz w:val="21"/>
                  <w:szCs w:val="21"/>
                  <w:lang w:val="en-US" w:eastAsia="zh-CN"/>
                </w:rPr>
                <w:t>质量</w:t>
              </w:r>
            </w:ins>
            <w:ins w:id="50" w:author="让一切随风" w:date="2025-07-30T10:16:08Z">
              <w:r>
                <w:rPr>
                  <w:rFonts w:hint="eastAsia" w:ascii="宋体" w:hAnsi="宋体" w:eastAsia="宋体" w:cs="宋体"/>
                  <w:b/>
                  <w:bCs w:val="0"/>
                  <w:color w:val="FF0000"/>
                  <w:sz w:val="21"/>
                  <w:szCs w:val="21"/>
                  <w:lang w:val="en-US" w:eastAsia="zh-CN"/>
                </w:rPr>
                <w:t>保证金</w:t>
              </w:r>
            </w:ins>
            <w:r>
              <w:rPr>
                <w:rFonts w:hint="eastAsia" w:ascii="宋体" w:hAnsi="宋体" w:eastAsia="宋体" w:cs="宋体"/>
                <w:b/>
                <w:bCs w:val="0"/>
                <w:sz w:val="21"/>
                <w:szCs w:val="21"/>
              </w:rPr>
              <w:t>⑤3%工程质量保证金，待工程质量保修期满后返还。本工程质量保质期为1年。在工程质量保质期内，若存在质量缺陷的，由乙方负责保修，费用由乙方负责，工程质量保质期从甲方验收合格后开始计算。</w:t>
            </w:r>
          </w:p>
        </w:tc>
      </w:tr>
      <w:tr w14:paraId="6076B6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1" w:hRule="atLeast"/>
        </w:trPr>
        <w:tc>
          <w:tcPr>
            <w:tcW w:w="939" w:type="dxa"/>
            <w:noWrap w:val="0"/>
            <w:vAlign w:val="center"/>
          </w:tcPr>
          <w:p w14:paraId="2290B0E2">
            <w:pPr>
              <w:numPr>
                <w:ilvl w:val="0"/>
                <w:numId w:val="0"/>
              </w:numPr>
              <w:spacing w:line="360" w:lineRule="auto"/>
              <w:ind w:left="420" w:leftChars="0" w:hanging="420" w:firstLineChars="0"/>
              <w:jc w:val="center"/>
              <w:rPr>
                <w:rFonts w:hint="eastAsia" w:ascii="宋体" w:hAnsi="宋体"/>
                <w:color w:val="000000"/>
                <w:szCs w:val="21"/>
              </w:rPr>
            </w:pPr>
            <w:r>
              <w:rPr>
                <w:rFonts w:hint="eastAsia" w:ascii="宋体" w:hAnsi="宋体" w:eastAsia="宋体" w:cs="Times New Roman"/>
                <w:color w:val="000000"/>
                <w:kern w:val="2"/>
                <w:sz w:val="21"/>
                <w:szCs w:val="21"/>
                <w:lang w:val="en-US" w:eastAsia="zh-CN" w:bidi="ar-SA"/>
              </w:rPr>
              <w:t>6</w:t>
            </w:r>
          </w:p>
        </w:tc>
        <w:tc>
          <w:tcPr>
            <w:tcW w:w="1126" w:type="dxa"/>
            <w:noWrap w:val="0"/>
            <w:vAlign w:val="center"/>
          </w:tcPr>
          <w:p w14:paraId="47AF7812">
            <w:pPr>
              <w:spacing w:line="360" w:lineRule="auto"/>
              <w:jc w:val="center"/>
              <w:rPr>
                <w:rFonts w:hint="eastAsia" w:ascii="宋体" w:hAnsi="宋体"/>
                <w:color w:val="000000"/>
                <w:szCs w:val="21"/>
              </w:rPr>
            </w:pPr>
            <w:r>
              <w:rPr>
                <w:rFonts w:hint="eastAsia" w:ascii="宋体" w:hAnsi="宋体"/>
                <w:color w:val="000000"/>
                <w:szCs w:val="21"/>
              </w:rPr>
              <w:t>11</w:t>
            </w:r>
          </w:p>
        </w:tc>
        <w:tc>
          <w:tcPr>
            <w:tcW w:w="8010" w:type="dxa"/>
            <w:noWrap w:val="0"/>
            <w:vAlign w:val="center"/>
          </w:tcPr>
          <w:p w14:paraId="7CAE70C4">
            <w:pPr>
              <w:spacing w:line="360" w:lineRule="auto"/>
              <w:rPr>
                <w:rFonts w:hint="eastAsia" w:ascii="宋体" w:hAnsi="宋体"/>
                <w:color w:val="000000"/>
                <w:szCs w:val="21"/>
              </w:rPr>
            </w:pPr>
            <w:r>
              <w:rPr>
                <w:rFonts w:hint="eastAsia" w:ascii="宋体" w:hAnsi="宋体"/>
                <w:color w:val="000000"/>
                <w:szCs w:val="21"/>
              </w:rPr>
              <w:t>响应文件有效期：</w:t>
            </w:r>
            <w:r>
              <w:rPr>
                <w:rFonts w:hint="eastAsia" w:ascii="宋体" w:hAnsi="宋体"/>
                <w:color w:val="000000"/>
                <w:spacing w:val="1"/>
                <w:szCs w:val="22"/>
              </w:rPr>
              <w:t>响应文件递交截止日期后</w:t>
            </w:r>
            <w:r>
              <w:rPr>
                <w:rFonts w:hint="eastAsia"/>
                <w:color w:val="000000"/>
                <w:szCs w:val="21"/>
                <w:u w:val="single"/>
              </w:rPr>
              <w:t xml:space="preserve"> </w:t>
            </w:r>
            <w:r>
              <w:rPr>
                <w:rFonts w:hint="eastAsia" w:ascii="宋体" w:hAnsi="宋体"/>
                <w:color w:val="000000"/>
                <w:spacing w:val="1"/>
                <w:u w:val="single"/>
              </w:rPr>
              <w:t>6</w:t>
            </w:r>
            <w:r>
              <w:rPr>
                <w:rFonts w:hint="eastAsia" w:ascii="宋体" w:hAnsi="宋体"/>
                <w:color w:val="000000"/>
                <w:u w:val="single"/>
              </w:rPr>
              <w:t>0</w:t>
            </w:r>
            <w:r>
              <w:rPr>
                <w:rFonts w:hint="eastAsia" w:ascii="宋体" w:hAnsi="宋体"/>
                <w:color w:val="000000"/>
                <w:spacing w:val="-71"/>
                <w:u w:val="single"/>
              </w:rPr>
              <w:t xml:space="preserve"> </w:t>
            </w:r>
            <w:r>
              <w:rPr>
                <w:rFonts w:hint="eastAsia" w:ascii="宋体" w:hAnsi="宋体"/>
                <w:color w:val="000000"/>
                <w:spacing w:val="4"/>
              </w:rPr>
              <w:t>天（日</w:t>
            </w:r>
            <w:r>
              <w:rPr>
                <w:rFonts w:hint="eastAsia" w:ascii="宋体" w:hAnsi="宋体"/>
                <w:color w:val="000000"/>
                <w:spacing w:val="7"/>
              </w:rPr>
              <w:t>历</w:t>
            </w:r>
            <w:r>
              <w:rPr>
                <w:rFonts w:hint="eastAsia" w:ascii="宋体" w:hAnsi="宋体"/>
                <w:color w:val="000000"/>
                <w:spacing w:val="4"/>
              </w:rPr>
              <w:t>天</w:t>
            </w:r>
            <w:r>
              <w:rPr>
                <w:rFonts w:hint="eastAsia" w:ascii="宋体" w:hAnsi="宋体"/>
                <w:color w:val="000000"/>
              </w:rPr>
              <w:t>）</w:t>
            </w:r>
          </w:p>
        </w:tc>
      </w:tr>
      <w:tr w14:paraId="30F288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2" w:hRule="atLeast"/>
        </w:trPr>
        <w:tc>
          <w:tcPr>
            <w:tcW w:w="939" w:type="dxa"/>
            <w:noWrap w:val="0"/>
            <w:vAlign w:val="center"/>
          </w:tcPr>
          <w:p w14:paraId="46308AED">
            <w:pPr>
              <w:numPr>
                <w:ilvl w:val="0"/>
                <w:numId w:val="0"/>
              </w:numPr>
              <w:spacing w:line="360" w:lineRule="auto"/>
              <w:ind w:left="420" w:leftChars="0" w:hanging="420" w:firstLineChars="0"/>
              <w:jc w:val="center"/>
              <w:rPr>
                <w:rFonts w:hint="eastAsia" w:ascii="宋体" w:hAnsi="宋体"/>
                <w:color w:val="000000"/>
                <w:szCs w:val="21"/>
              </w:rPr>
            </w:pPr>
            <w:r>
              <w:rPr>
                <w:rFonts w:hint="eastAsia" w:ascii="宋体" w:hAnsi="宋体" w:eastAsia="宋体" w:cs="Times New Roman"/>
                <w:color w:val="000000"/>
                <w:kern w:val="2"/>
                <w:sz w:val="21"/>
                <w:szCs w:val="21"/>
                <w:lang w:val="en-US" w:eastAsia="zh-CN" w:bidi="ar-SA"/>
              </w:rPr>
              <w:t>7</w:t>
            </w:r>
          </w:p>
        </w:tc>
        <w:tc>
          <w:tcPr>
            <w:tcW w:w="1126" w:type="dxa"/>
            <w:noWrap w:val="0"/>
            <w:vAlign w:val="center"/>
          </w:tcPr>
          <w:p w14:paraId="65336CF9">
            <w:pPr>
              <w:spacing w:line="360" w:lineRule="auto"/>
              <w:jc w:val="center"/>
              <w:rPr>
                <w:rFonts w:hint="eastAsia" w:ascii="宋体" w:hAnsi="宋体"/>
                <w:color w:val="000000"/>
                <w:szCs w:val="21"/>
              </w:rPr>
            </w:pPr>
            <w:r>
              <w:rPr>
                <w:rFonts w:hint="eastAsia" w:ascii="宋体" w:hAnsi="宋体"/>
                <w:color w:val="000000"/>
                <w:szCs w:val="21"/>
              </w:rPr>
              <w:t>12</w:t>
            </w:r>
          </w:p>
        </w:tc>
        <w:tc>
          <w:tcPr>
            <w:tcW w:w="8010" w:type="dxa"/>
            <w:noWrap w:val="0"/>
            <w:vAlign w:val="center"/>
          </w:tcPr>
          <w:p w14:paraId="5FC1DEB0">
            <w:pPr>
              <w:snapToGrid w:val="0"/>
              <w:spacing w:line="360" w:lineRule="auto"/>
              <w:rPr>
                <w:rFonts w:hint="eastAsia" w:ascii="宋体" w:hAnsi="宋体"/>
                <w:color w:val="000000"/>
                <w:szCs w:val="21"/>
              </w:rPr>
            </w:pPr>
            <w:r>
              <w:rPr>
                <w:rFonts w:hint="eastAsia" w:ascii="宋体" w:hAnsi="宋体"/>
                <w:color w:val="000000"/>
                <w:szCs w:val="21"/>
              </w:rPr>
              <w:t>磋商保证金金额：本项目免收保证金。</w:t>
            </w:r>
          </w:p>
        </w:tc>
      </w:tr>
      <w:tr w14:paraId="2B16D4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13" w:hRule="atLeast"/>
        </w:trPr>
        <w:tc>
          <w:tcPr>
            <w:tcW w:w="939" w:type="dxa"/>
            <w:noWrap w:val="0"/>
            <w:vAlign w:val="center"/>
          </w:tcPr>
          <w:p w14:paraId="685D9485">
            <w:pPr>
              <w:numPr>
                <w:ilvl w:val="0"/>
                <w:numId w:val="0"/>
              </w:numPr>
              <w:spacing w:line="360" w:lineRule="auto"/>
              <w:ind w:left="420" w:leftChars="0" w:hanging="420" w:firstLineChars="0"/>
              <w:jc w:val="center"/>
              <w:rPr>
                <w:rFonts w:hint="eastAsia" w:ascii="宋体" w:hAnsi="宋体"/>
                <w:color w:val="000000"/>
                <w:szCs w:val="21"/>
              </w:rPr>
            </w:pPr>
            <w:r>
              <w:rPr>
                <w:rFonts w:hint="eastAsia" w:ascii="宋体" w:hAnsi="宋体" w:eastAsia="宋体" w:cs="Times New Roman"/>
                <w:color w:val="000000"/>
                <w:kern w:val="2"/>
                <w:sz w:val="21"/>
                <w:szCs w:val="21"/>
                <w:lang w:val="en-US" w:eastAsia="zh-CN" w:bidi="ar-SA"/>
              </w:rPr>
              <w:t>8</w:t>
            </w:r>
          </w:p>
        </w:tc>
        <w:tc>
          <w:tcPr>
            <w:tcW w:w="1126" w:type="dxa"/>
            <w:noWrap w:val="0"/>
            <w:vAlign w:val="center"/>
          </w:tcPr>
          <w:p w14:paraId="6A06FEB6">
            <w:pPr>
              <w:spacing w:line="360" w:lineRule="auto"/>
              <w:jc w:val="center"/>
              <w:rPr>
                <w:rFonts w:hint="eastAsia" w:ascii="宋体" w:hAnsi="宋体"/>
                <w:color w:val="000000"/>
                <w:szCs w:val="21"/>
              </w:rPr>
            </w:pPr>
            <w:r>
              <w:rPr>
                <w:rFonts w:hint="eastAsia" w:ascii="宋体" w:hAnsi="宋体"/>
                <w:color w:val="000000"/>
                <w:szCs w:val="21"/>
              </w:rPr>
              <w:t>13.1</w:t>
            </w:r>
          </w:p>
        </w:tc>
        <w:tc>
          <w:tcPr>
            <w:tcW w:w="8010" w:type="dxa"/>
            <w:noWrap w:val="0"/>
            <w:vAlign w:val="center"/>
          </w:tcPr>
          <w:p w14:paraId="0BC2B56A">
            <w:pPr>
              <w:tabs>
                <w:tab w:val="left" w:pos="525"/>
              </w:tabs>
              <w:snapToGrid w:val="0"/>
              <w:spacing w:line="360" w:lineRule="auto"/>
              <w:jc w:val="left"/>
              <w:rPr>
                <w:rFonts w:hint="eastAsia" w:ascii="宋体" w:hAnsi="宋体"/>
                <w:color w:val="000000"/>
                <w:szCs w:val="21"/>
              </w:rPr>
            </w:pPr>
            <w:r>
              <w:rPr>
                <w:rFonts w:hint="eastAsia" w:ascii="宋体" w:hAnsi="宋体"/>
                <w:color w:val="000000"/>
                <w:szCs w:val="21"/>
              </w:rPr>
              <w:t>磋商报价：</w:t>
            </w:r>
          </w:p>
          <w:p w14:paraId="57E4DFA6">
            <w:pPr>
              <w:tabs>
                <w:tab w:val="left" w:pos="525"/>
              </w:tabs>
              <w:snapToGrid w:val="0"/>
              <w:spacing w:line="360" w:lineRule="auto"/>
              <w:jc w:val="left"/>
              <w:rPr>
                <w:rFonts w:hint="eastAsia" w:ascii="宋体" w:hAnsi="宋体"/>
                <w:color w:val="000000"/>
                <w:szCs w:val="21"/>
              </w:rPr>
            </w:pPr>
            <w:r>
              <w:rPr>
                <w:rFonts w:hint="eastAsia" w:ascii="宋体" w:hAnsi="宋体"/>
                <w:color w:val="000000"/>
                <w:szCs w:val="21"/>
              </w:rPr>
              <w:t>（1）供应商必须就所磋商的全部内容作完整报价，漏项报价的或有选择的或有条件的报价，其磋商将视为无效。</w:t>
            </w:r>
          </w:p>
          <w:p w14:paraId="4FF0F561">
            <w:pPr>
              <w:tabs>
                <w:tab w:val="left" w:pos="525"/>
              </w:tabs>
              <w:snapToGrid w:val="0"/>
              <w:spacing w:line="360" w:lineRule="auto"/>
              <w:jc w:val="left"/>
              <w:rPr>
                <w:rFonts w:hint="eastAsia" w:ascii="宋体" w:hAnsi="宋体"/>
                <w:color w:val="000000"/>
                <w:szCs w:val="21"/>
              </w:rPr>
            </w:pPr>
            <w:r>
              <w:rPr>
                <w:rFonts w:hint="eastAsia" w:ascii="宋体" w:hAnsi="宋体"/>
                <w:color w:val="000000"/>
                <w:szCs w:val="21"/>
              </w:rPr>
              <w:t>（2）本项目采用工程量清单报价方式,</w:t>
            </w:r>
            <w:r>
              <w:rPr>
                <w:rFonts w:hint="eastAsia"/>
                <w:color w:val="000000"/>
                <w:szCs w:val="21"/>
              </w:rPr>
              <w:t xml:space="preserve"> </w:t>
            </w:r>
            <w:r>
              <w:rPr>
                <w:rFonts w:hint="eastAsia" w:ascii="宋体" w:hAnsi="宋体"/>
                <w:color w:val="000000"/>
                <w:szCs w:val="21"/>
              </w:rPr>
              <w:t>供应商应使用符合该数据交换标准的计价软件导入电子工程量清单，填写单价和计算总额价，完成已标价工程量清单的编制。严禁供应商修改工程量清单的项目结构、分标名称、单项工程名称、单位工程名称、项目编码、项目名称、项目特征、计量单位、工程量、清单顺序和序号。供应商不得对工程量清单项目进行增减调整。</w:t>
            </w:r>
          </w:p>
          <w:p w14:paraId="76878FD6">
            <w:pPr>
              <w:tabs>
                <w:tab w:val="left" w:pos="525"/>
              </w:tabs>
              <w:snapToGrid w:val="0"/>
              <w:spacing w:line="360" w:lineRule="auto"/>
              <w:jc w:val="left"/>
              <w:rPr>
                <w:rFonts w:hint="eastAsia" w:ascii="宋体" w:hAnsi="宋体"/>
                <w:color w:val="000000"/>
                <w:szCs w:val="21"/>
              </w:rPr>
            </w:pPr>
            <w:r>
              <w:rPr>
                <w:rFonts w:hint="eastAsia" w:ascii="宋体" w:hAnsi="宋体"/>
                <w:color w:val="000000"/>
                <w:szCs w:val="21"/>
              </w:rPr>
              <w:t>（3）供应商在响应文件递交截止时间前修改磋商报价表中的磋商总报价，应同时修改第五章“响应文件格式”中的相应报价。此修改须符合“供应商须知”第16条的有关要求。</w:t>
            </w:r>
          </w:p>
        </w:tc>
      </w:tr>
      <w:tr w14:paraId="5EA6F8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8" w:hRule="atLeast"/>
        </w:trPr>
        <w:tc>
          <w:tcPr>
            <w:tcW w:w="939" w:type="dxa"/>
            <w:noWrap w:val="0"/>
            <w:vAlign w:val="center"/>
          </w:tcPr>
          <w:p w14:paraId="410238A6">
            <w:pPr>
              <w:numPr>
                <w:ilvl w:val="0"/>
                <w:numId w:val="0"/>
              </w:numPr>
              <w:spacing w:line="360" w:lineRule="auto"/>
              <w:ind w:left="420" w:leftChars="0" w:hanging="420" w:firstLineChars="0"/>
              <w:jc w:val="center"/>
              <w:rPr>
                <w:rFonts w:hint="eastAsia" w:ascii="宋体" w:hAnsi="宋体"/>
                <w:color w:val="000000"/>
                <w:szCs w:val="21"/>
              </w:rPr>
            </w:pPr>
            <w:r>
              <w:rPr>
                <w:rFonts w:hint="eastAsia" w:ascii="宋体" w:hAnsi="宋体" w:eastAsia="宋体" w:cs="Times New Roman"/>
                <w:color w:val="000000"/>
                <w:kern w:val="2"/>
                <w:sz w:val="21"/>
                <w:szCs w:val="21"/>
                <w:lang w:val="en-US" w:eastAsia="zh-CN" w:bidi="ar-SA"/>
              </w:rPr>
              <w:t>9</w:t>
            </w:r>
          </w:p>
        </w:tc>
        <w:tc>
          <w:tcPr>
            <w:tcW w:w="1126" w:type="dxa"/>
            <w:noWrap w:val="0"/>
            <w:vAlign w:val="center"/>
          </w:tcPr>
          <w:p w14:paraId="0D8A1DB3">
            <w:pPr>
              <w:spacing w:line="360" w:lineRule="auto"/>
              <w:jc w:val="center"/>
              <w:rPr>
                <w:rFonts w:hint="eastAsia" w:ascii="宋体" w:hAnsi="宋体"/>
                <w:color w:val="000000"/>
                <w:szCs w:val="21"/>
              </w:rPr>
            </w:pPr>
            <w:r>
              <w:rPr>
                <w:rFonts w:hint="eastAsia" w:ascii="宋体" w:hAnsi="宋体"/>
                <w:color w:val="000000"/>
                <w:szCs w:val="21"/>
              </w:rPr>
              <w:t>14.1</w:t>
            </w:r>
          </w:p>
        </w:tc>
        <w:tc>
          <w:tcPr>
            <w:tcW w:w="8010" w:type="dxa"/>
            <w:noWrap w:val="0"/>
            <w:vAlign w:val="center"/>
          </w:tcPr>
          <w:p w14:paraId="21C2AE4D">
            <w:pPr>
              <w:spacing w:line="360" w:lineRule="auto"/>
              <w:rPr>
                <w:rFonts w:hint="eastAsia" w:ascii="宋体" w:hAnsi="宋体"/>
                <w:color w:val="000000"/>
                <w:szCs w:val="21"/>
              </w:rPr>
            </w:pPr>
            <w:r>
              <w:rPr>
                <w:rFonts w:hint="eastAsia" w:ascii="宋体" w:hAnsi="宋体"/>
                <w:color w:val="000000"/>
                <w:szCs w:val="21"/>
              </w:rPr>
              <w:t>响应文件份数：电子响应文件一份</w:t>
            </w:r>
          </w:p>
        </w:tc>
      </w:tr>
      <w:tr w14:paraId="187576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939" w:type="dxa"/>
            <w:noWrap w:val="0"/>
            <w:vAlign w:val="center"/>
          </w:tcPr>
          <w:p w14:paraId="755D6306">
            <w:pPr>
              <w:numPr>
                <w:ilvl w:val="0"/>
                <w:numId w:val="0"/>
              </w:numPr>
              <w:spacing w:line="360" w:lineRule="auto"/>
              <w:ind w:left="420" w:leftChars="0" w:hanging="420" w:firstLineChars="0"/>
              <w:jc w:val="center"/>
              <w:rPr>
                <w:rFonts w:hint="eastAsia" w:ascii="宋体" w:hAnsi="宋体"/>
                <w:color w:val="000000"/>
                <w:szCs w:val="21"/>
              </w:rPr>
            </w:pPr>
            <w:r>
              <w:rPr>
                <w:rFonts w:hint="eastAsia" w:ascii="宋体" w:hAnsi="宋体" w:eastAsia="宋体" w:cs="Times New Roman"/>
                <w:color w:val="000000"/>
                <w:kern w:val="2"/>
                <w:sz w:val="21"/>
                <w:szCs w:val="21"/>
                <w:lang w:val="en-US" w:eastAsia="zh-CN" w:bidi="ar-SA"/>
              </w:rPr>
              <w:t>10</w:t>
            </w:r>
          </w:p>
        </w:tc>
        <w:tc>
          <w:tcPr>
            <w:tcW w:w="1126" w:type="dxa"/>
            <w:noWrap w:val="0"/>
            <w:vAlign w:val="center"/>
          </w:tcPr>
          <w:p w14:paraId="2804053E">
            <w:pPr>
              <w:spacing w:line="360" w:lineRule="auto"/>
              <w:jc w:val="center"/>
              <w:rPr>
                <w:rFonts w:hint="eastAsia" w:ascii="宋体" w:hAnsi="宋体"/>
                <w:color w:val="000000"/>
                <w:szCs w:val="21"/>
              </w:rPr>
            </w:pPr>
            <w:r>
              <w:rPr>
                <w:rFonts w:hint="eastAsia" w:ascii="宋体" w:hAnsi="宋体"/>
                <w:color w:val="000000"/>
                <w:szCs w:val="21"/>
              </w:rPr>
              <w:t>15</w:t>
            </w:r>
          </w:p>
        </w:tc>
        <w:tc>
          <w:tcPr>
            <w:tcW w:w="8010" w:type="dxa"/>
            <w:noWrap w:val="0"/>
            <w:vAlign w:val="center"/>
          </w:tcPr>
          <w:p w14:paraId="725C20E1">
            <w:pPr>
              <w:spacing w:line="360" w:lineRule="auto"/>
              <w:rPr>
                <w:rFonts w:hint="eastAsia" w:ascii="宋体" w:hAnsi="宋体"/>
                <w:color w:val="000000"/>
                <w:szCs w:val="21"/>
              </w:rPr>
            </w:pPr>
            <w:r>
              <w:rPr>
                <w:rFonts w:hint="eastAsia" w:ascii="宋体" w:hAnsi="宋体" w:cs="宋体"/>
                <w:color w:val="000000"/>
                <w:szCs w:val="21"/>
              </w:rPr>
              <w:t>响应文件递交截止时间</w:t>
            </w:r>
            <w:r>
              <w:rPr>
                <w:rFonts w:hint="eastAsia" w:ascii="宋体" w:hAnsi="宋体" w:cs="宋体"/>
                <w:szCs w:val="21"/>
              </w:rPr>
              <w:t>：</w:t>
            </w:r>
            <w:r>
              <w:rPr>
                <w:rFonts w:hint="eastAsia" w:ascii="宋体" w:hAnsi="宋体"/>
                <w:color w:val="000000"/>
                <w:szCs w:val="21"/>
                <w:lang w:val="en-US" w:eastAsia="zh-CN"/>
              </w:rPr>
              <w:t>2025</w:t>
            </w:r>
            <w:r>
              <w:rPr>
                <w:rFonts w:hint="eastAsia" w:ascii="宋体" w:hAnsi="宋体"/>
                <w:color w:val="000000"/>
                <w:szCs w:val="21"/>
              </w:rPr>
              <w:t>年</w:t>
            </w:r>
            <w:r>
              <w:rPr>
                <w:rFonts w:hint="eastAsia" w:ascii="宋体" w:hAnsi="宋体"/>
                <w:color w:val="000000"/>
                <w:szCs w:val="21"/>
                <w:lang w:val="en-US" w:eastAsia="zh-CN"/>
              </w:rPr>
              <w:t xml:space="preserve"> </w:t>
            </w:r>
            <w:r>
              <w:rPr>
                <w:rFonts w:hint="eastAsia" w:ascii="宋体" w:hAnsi="宋体"/>
                <w:color w:val="000000"/>
                <w:szCs w:val="21"/>
              </w:rPr>
              <w:t>月</w:t>
            </w:r>
            <w:r>
              <w:rPr>
                <w:rFonts w:hint="eastAsia" w:ascii="宋体" w:hAnsi="宋体"/>
                <w:color w:val="000000"/>
                <w:szCs w:val="21"/>
                <w:lang w:val="en-US" w:eastAsia="zh-CN"/>
              </w:rPr>
              <w:t xml:space="preserve"> </w:t>
            </w:r>
            <w:r>
              <w:rPr>
                <w:rFonts w:hint="eastAsia" w:ascii="宋体" w:hAnsi="宋体"/>
                <w:color w:val="000000"/>
                <w:szCs w:val="21"/>
              </w:rPr>
              <w:t>日</w:t>
            </w:r>
            <w:r>
              <w:rPr>
                <w:rFonts w:hint="eastAsia" w:ascii="宋体" w:hAnsi="宋体"/>
                <w:color w:val="000000"/>
                <w:szCs w:val="21"/>
                <w:lang w:val="en-US" w:eastAsia="zh-CN"/>
              </w:rPr>
              <w:t xml:space="preserve">  </w:t>
            </w:r>
            <w:r>
              <w:rPr>
                <w:rFonts w:hint="eastAsia" w:ascii="宋体" w:hAnsi="宋体"/>
                <w:color w:val="000000"/>
                <w:szCs w:val="21"/>
              </w:rPr>
              <w:t>点</w:t>
            </w:r>
            <w:r>
              <w:rPr>
                <w:rFonts w:hint="eastAsia" w:ascii="宋体" w:hAnsi="宋体"/>
                <w:color w:val="000000"/>
                <w:szCs w:val="21"/>
                <w:lang w:val="en-US" w:eastAsia="zh-CN"/>
              </w:rPr>
              <w:t xml:space="preserve">  </w:t>
            </w:r>
            <w:r>
              <w:rPr>
                <w:rFonts w:hint="eastAsia" w:ascii="宋体" w:hAnsi="宋体"/>
                <w:color w:val="000000"/>
                <w:szCs w:val="21"/>
              </w:rPr>
              <w:t>分之前将电子磋商响应文件上传到政采云平台。应按照本项目竞争性磋商文件和政采云平台的要求编制、加密传输磋商响应文件。供应商在使用系统进行投标的过程中遇到涉及平台使用的任何问题，可致电政采云平台技术支持热线咨询，联系方式：400-881-7190。</w:t>
            </w:r>
          </w:p>
        </w:tc>
      </w:tr>
      <w:tr w14:paraId="5F43E0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8" w:hRule="atLeast"/>
        </w:trPr>
        <w:tc>
          <w:tcPr>
            <w:tcW w:w="939" w:type="dxa"/>
            <w:noWrap w:val="0"/>
            <w:vAlign w:val="center"/>
          </w:tcPr>
          <w:p w14:paraId="48B78896">
            <w:pPr>
              <w:numPr>
                <w:ilvl w:val="0"/>
                <w:numId w:val="0"/>
              </w:numPr>
              <w:spacing w:line="360" w:lineRule="auto"/>
              <w:ind w:left="420" w:leftChars="0" w:hanging="420" w:firstLineChars="0"/>
              <w:jc w:val="center"/>
              <w:rPr>
                <w:rFonts w:hint="eastAsia" w:ascii="宋体" w:hAnsi="宋体"/>
                <w:color w:val="000000"/>
                <w:szCs w:val="21"/>
              </w:rPr>
            </w:pPr>
            <w:r>
              <w:rPr>
                <w:rFonts w:hint="eastAsia" w:ascii="宋体" w:hAnsi="宋体" w:eastAsia="宋体" w:cs="Times New Roman"/>
                <w:color w:val="000000"/>
                <w:kern w:val="2"/>
                <w:sz w:val="21"/>
                <w:szCs w:val="21"/>
                <w:lang w:val="en-US" w:eastAsia="zh-CN" w:bidi="ar-SA"/>
              </w:rPr>
              <w:t>11</w:t>
            </w:r>
          </w:p>
        </w:tc>
        <w:tc>
          <w:tcPr>
            <w:tcW w:w="1126" w:type="dxa"/>
            <w:noWrap w:val="0"/>
            <w:vAlign w:val="center"/>
          </w:tcPr>
          <w:p w14:paraId="541CA033">
            <w:pPr>
              <w:spacing w:line="360" w:lineRule="auto"/>
              <w:jc w:val="center"/>
              <w:rPr>
                <w:rFonts w:hint="eastAsia" w:ascii="宋体" w:hAnsi="宋体"/>
                <w:color w:val="000000"/>
                <w:szCs w:val="21"/>
              </w:rPr>
            </w:pPr>
            <w:r>
              <w:rPr>
                <w:rFonts w:hint="eastAsia" w:ascii="宋体" w:hAnsi="宋体"/>
                <w:color w:val="000000"/>
                <w:szCs w:val="21"/>
              </w:rPr>
              <w:t>18.1</w:t>
            </w:r>
          </w:p>
        </w:tc>
        <w:tc>
          <w:tcPr>
            <w:tcW w:w="8010" w:type="dxa"/>
            <w:noWrap w:val="0"/>
            <w:vAlign w:val="center"/>
          </w:tcPr>
          <w:p w14:paraId="5AB0F115">
            <w:pPr>
              <w:spacing w:line="360" w:lineRule="auto"/>
              <w:rPr>
                <w:rFonts w:hint="eastAsia" w:ascii="宋体" w:hAnsi="宋体" w:cs="宋体"/>
                <w:color w:val="000000"/>
                <w:szCs w:val="21"/>
              </w:rPr>
            </w:pPr>
            <w:r>
              <w:rPr>
                <w:rFonts w:hint="eastAsia" w:ascii="宋体" w:hAnsi="宋体" w:cs="宋体"/>
                <w:szCs w:val="21"/>
              </w:rPr>
              <w:t>磋商小组的人数：</w:t>
            </w:r>
            <w:r>
              <w:rPr>
                <w:rFonts w:hint="eastAsia" w:ascii="宋体" w:hAnsi="宋体" w:cs="宋体"/>
                <w:szCs w:val="21"/>
                <w:u w:val="single"/>
              </w:rPr>
              <w:t xml:space="preserve"> 3 </w:t>
            </w:r>
            <w:r>
              <w:rPr>
                <w:rFonts w:hint="eastAsia" w:ascii="宋体" w:hAnsi="宋体" w:cs="宋体"/>
                <w:szCs w:val="21"/>
              </w:rPr>
              <w:t>人。</w:t>
            </w:r>
          </w:p>
        </w:tc>
      </w:tr>
      <w:tr w14:paraId="1B8897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94" w:hRule="atLeast"/>
        </w:trPr>
        <w:tc>
          <w:tcPr>
            <w:tcW w:w="939" w:type="dxa"/>
            <w:noWrap w:val="0"/>
            <w:vAlign w:val="center"/>
          </w:tcPr>
          <w:p w14:paraId="726FE45A">
            <w:pPr>
              <w:numPr>
                <w:ilvl w:val="0"/>
                <w:numId w:val="0"/>
              </w:numPr>
              <w:spacing w:line="360" w:lineRule="auto"/>
              <w:ind w:left="420" w:leftChars="0" w:hanging="420" w:firstLineChars="0"/>
              <w:jc w:val="center"/>
              <w:rPr>
                <w:rFonts w:hint="eastAsia" w:ascii="宋体" w:hAnsi="宋体"/>
                <w:color w:val="000000"/>
                <w:szCs w:val="21"/>
              </w:rPr>
            </w:pPr>
            <w:r>
              <w:rPr>
                <w:rFonts w:hint="eastAsia" w:ascii="宋体" w:hAnsi="宋体" w:eastAsia="宋体" w:cs="Times New Roman"/>
                <w:color w:val="000000"/>
                <w:kern w:val="2"/>
                <w:sz w:val="21"/>
                <w:szCs w:val="21"/>
                <w:lang w:val="en-US" w:eastAsia="zh-CN" w:bidi="ar-SA"/>
              </w:rPr>
              <w:t>12</w:t>
            </w:r>
          </w:p>
        </w:tc>
        <w:tc>
          <w:tcPr>
            <w:tcW w:w="1126" w:type="dxa"/>
            <w:noWrap w:val="0"/>
            <w:vAlign w:val="center"/>
          </w:tcPr>
          <w:p w14:paraId="4FC7CDDE">
            <w:pPr>
              <w:spacing w:line="360" w:lineRule="auto"/>
              <w:jc w:val="center"/>
              <w:rPr>
                <w:rFonts w:hint="eastAsia" w:ascii="宋体" w:hAnsi="宋体"/>
                <w:color w:val="000000"/>
                <w:szCs w:val="21"/>
              </w:rPr>
            </w:pPr>
            <w:r>
              <w:rPr>
                <w:rFonts w:hint="eastAsia" w:ascii="宋体" w:hAnsi="宋体"/>
                <w:color w:val="000000"/>
                <w:szCs w:val="21"/>
              </w:rPr>
              <w:t>19.2</w:t>
            </w:r>
          </w:p>
        </w:tc>
        <w:tc>
          <w:tcPr>
            <w:tcW w:w="8010" w:type="dxa"/>
            <w:noWrap w:val="0"/>
            <w:vAlign w:val="center"/>
          </w:tcPr>
          <w:p w14:paraId="3615D298">
            <w:pPr>
              <w:snapToGrid w:val="0"/>
              <w:spacing w:line="360" w:lineRule="auto"/>
              <w:rPr>
                <w:rFonts w:hint="eastAsia" w:ascii="宋体" w:hAnsi="宋体"/>
                <w:color w:val="000000"/>
                <w:szCs w:val="21"/>
              </w:rPr>
            </w:pPr>
            <w:r>
              <w:rPr>
                <w:rFonts w:hint="eastAsia" w:ascii="宋体" w:hAnsi="宋体"/>
                <w:color w:val="000000"/>
                <w:szCs w:val="21"/>
              </w:rPr>
              <w:t>在对供应商资格审查时进行信用查询，查询结果与响应文件不一致时，以资格审查时查询结果为准。</w:t>
            </w:r>
          </w:p>
          <w:p w14:paraId="30FAACBF">
            <w:pPr>
              <w:snapToGrid w:val="0"/>
              <w:spacing w:line="360" w:lineRule="auto"/>
              <w:rPr>
                <w:rFonts w:hint="eastAsia" w:ascii="宋体" w:hAnsi="宋体"/>
                <w:color w:val="000000"/>
                <w:szCs w:val="21"/>
              </w:rPr>
            </w:pPr>
            <w:r>
              <w:rPr>
                <w:rFonts w:hint="eastAsia" w:ascii="宋体" w:hAnsi="宋体"/>
                <w:color w:val="000000"/>
                <w:szCs w:val="21"/>
              </w:rPr>
              <w:t>查询渠道：“</w:t>
            </w:r>
            <w:r>
              <w:rPr>
                <w:rFonts w:ascii="宋体" w:hAnsi="宋体"/>
                <w:color w:val="000000"/>
                <w:szCs w:val="21"/>
              </w:rPr>
              <w:t>信用中国</w:t>
            </w:r>
            <w:r>
              <w:rPr>
                <w:rFonts w:hint="eastAsia" w:ascii="宋体" w:hAnsi="宋体"/>
                <w:color w:val="000000"/>
                <w:szCs w:val="21"/>
              </w:rPr>
              <w:t>”</w:t>
            </w:r>
            <w:r>
              <w:rPr>
                <w:rFonts w:ascii="宋体" w:hAnsi="宋体"/>
                <w:color w:val="000000"/>
                <w:szCs w:val="21"/>
              </w:rPr>
              <w:t>网站(www.creditchina.gov.cn)</w:t>
            </w:r>
            <w:r>
              <w:rPr>
                <w:rFonts w:hint="eastAsia" w:ascii="宋体" w:hAnsi="宋体"/>
                <w:color w:val="000000"/>
                <w:szCs w:val="21"/>
              </w:rPr>
              <w:t>、</w:t>
            </w:r>
            <w:r>
              <w:rPr>
                <w:rFonts w:hint="eastAsia"/>
                <w:color w:val="000000"/>
                <w:szCs w:val="21"/>
              </w:rPr>
              <w:t>中国政府采购网(www.ccgp.gov.cn)</w:t>
            </w:r>
            <w:r>
              <w:rPr>
                <w:rFonts w:hint="eastAsia" w:ascii="宋体" w:hAnsi="宋体"/>
                <w:color w:val="000000"/>
                <w:szCs w:val="21"/>
              </w:rPr>
              <w:t>等。</w:t>
            </w:r>
          </w:p>
          <w:p w14:paraId="5FA28BB8">
            <w:pPr>
              <w:snapToGrid w:val="0"/>
              <w:spacing w:line="360" w:lineRule="auto"/>
              <w:rPr>
                <w:rFonts w:hint="eastAsia" w:ascii="宋体" w:hAnsi="宋体"/>
                <w:color w:val="000000"/>
                <w:szCs w:val="21"/>
              </w:rPr>
            </w:pPr>
            <w:r>
              <w:rPr>
                <w:rFonts w:hint="eastAsia" w:ascii="宋体" w:hAnsi="宋体"/>
                <w:color w:val="000000"/>
                <w:szCs w:val="21"/>
              </w:rPr>
              <w:t>查询起止时间：首次提交响应文件截止时间前</w:t>
            </w:r>
          </w:p>
          <w:p w14:paraId="345C6CA4">
            <w:pPr>
              <w:snapToGrid w:val="0"/>
              <w:spacing w:line="360" w:lineRule="auto"/>
              <w:rPr>
                <w:rFonts w:hint="eastAsia" w:ascii="宋体" w:hAnsi="宋体"/>
                <w:color w:val="000000"/>
                <w:szCs w:val="21"/>
              </w:rPr>
            </w:pPr>
            <w:r>
              <w:rPr>
                <w:rFonts w:hint="eastAsia" w:ascii="宋体" w:hAnsi="宋体"/>
                <w:color w:val="000000"/>
                <w:szCs w:val="21"/>
              </w:rPr>
              <w:t>查询记录和证据留存方式：在查询网站中直接打印查询记录，打印材料作为评审资料保存。</w:t>
            </w:r>
          </w:p>
          <w:p w14:paraId="7D3697CA">
            <w:pPr>
              <w:spacing w:line="360" w:lineRule="auto"/>
              <w:rPr>
                <w:rFonts w:hint="eastAsia" w:ascii="宋体" w:hAnsi="宋体"/>
                <w:color w:val="000000"/>
                <w:szCs w:val="21"/>
              </w:rPr>
            </w:pPr>
            <w:r>
              <w:rPr>
                <w:rFonts w:hint="eastAsia" w:ascii="宋体" w:hAnsi="宋体"/>
                <w:color w:val="000000"/>
                <w:szCs w:val="21"/>
              </w:rPr>
              <w:t>信用信息使用规则：对在“</w:t>
            </w:r>
            <w:r>
              <w:rPr>
                <w:rFonts w:ascii="宋体" w:hAnsi="宋体"/>
                <w:color w:val="000000"/>
                <w:szCs w:val="21"/>
              </w:rPr>
              <w:t>信用中国</w:t>
            </w:r>
            <w:r>
              <w:rPr>
                <w:rFonts w:hint="eastAsia" w:ascii="宋体" w:hAnsi="宋体"/>
                <w:color w:val="000000"/>
                <w:szCs w:val="21"/>
              </w:rPr>
              <w:t>”</w:t>
            </w:r>
            <w:r>
              <w:rPr>
                <w:rFonts w:ascii="宋体" w:hAnsi="宋体"/>
                <w:color w:val="000000"/>
                <w:szCs w:val="21"/>
              </w:rPr>
              <w:t>网站(www.creditchina.gov.cn)、</w:t>
            </w:r>
            <w:r>
              <w:rPr>
                <w:rFonts w:hint="eastAsia"/>
                <w:color w:val="000000"/>
                <w:szCs w:val="21"/>
              </w:rPr>
              <w:t>中国政府采购网(www.ccgp.gov.cn)等</w:t>
            </w:r>
            <w:r>
              <w:rPr>
                <w:rFonts w:ascii="宋体" w:hAnsi="宋体"/>
                <w:color w:val="000000"/>
                <w:szCs w:val="21"/>
              </w:rPr>
              <w:t>渠道</w:t>
            </w:r>
            <w:r>
              <w:rPr>
                <w:rFonts w:hint="eastAsia" w:ascii="宋体" w:hAnsi="宋体"/>
                <w:color w:val="000000"/>
                <w:szCs w:val="21"/>
              </w:rPr>
              <w:t>被列入失信被执行人、重大税收违法案件当事人名单、政府采购严重违法失信行为记录名单及其他不符合《中华人民共和国政府采购法》第二十二条规定条件的供应商，资格审查不通过，不得参与政府采购活动。</w:t>
            </w:r>
            <w:r>
              <w:rPr>
                <w:rFonts w:ascii="宋体" w:hAnsi="宋体" w:cs="Helvetica"/>
                <w:color w:val="000000"/>
                <w:szCs w:val="21"/>
              </w:rPr>
              <w:t>两个以上的自然人、法人或者其他组织组成一个联合体，以一个供应商的身份共同参加政府采购活动的，应当对所有联合体成员进行信用记录查询，联合体成员存在不良信用记录的，视同联合体存在不良信用记录。</w:t>
            </w:r>
          </w:p>
        </w:tc>
      </w:tr>
      <w:tr w14:paraId="4A3212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49" w:hRule="atLeast"/>
        </w:trPr>
        <w:tc>
          <w:tcPr>
            <w:tcW w:w="939" w:type="dxa"/>
            <w:noWrap w:val="0"/>
            <w:vAlign w:val="center"/>
          </w:tcPr>
          <w:p w14:paraId="2F97430E">
            <w:pPr>
              <w:numPr>
                <w:ilvl w:val="0"/>
                <w:numId w:val="0"/>
              </w:numPr>
              <w:spacing w:line="360" w:lineRule="auto"/>
              <w:ind w:left="420" w:leftChars="0" w:hanging="420" w:firstLineChars="0"/>
              <w:jc w:val="center"/>
              <w:rPr>
                <w:rFonts w:hint="eastAsia" w:ascii="宋体" w:hAnsi="宋体"/>
                <w:color w:val="000000"/>
                <w:szCs w:val="21"/>
              </w:rPr>
            </w:pPr>
            <w:r>
              <w:rPr>
                <w:rFonts w:hint="eastAsia" w:ascii="宋体" w:hAnsi="宋体" w:eastAsia="宋体" w:cs="Times New Roman"/>
                <w:color w:val="000000"/>
                <w:kern w:val="2"/>
                <w:sz w:val="21"/>
                <w:szCs w:val="21"/>
                <w:lang w:val="en-US" w:eastAsia="zh-CN" w:bidi="ar-SA"/>
              </w:rPr>
              <w:t>13</w:t>
            </w:r>
          </w:p>
        </w:tc>
        <w:tc>
          <w:tcPr>
            <w:tcW w:w="1126" w:type="dxa"/>
            <w:noWrap w:val="0"/>
            <w:vAlign w:val="center"/>
          </w:tcPr>
          <w:p w14:paraId="3E0C92D9">
            <w:pPr>
              <w:spacing w:line="360" w:lineRule="auto"/>
              <w:jc w:val="center"/>
              <w:rPr>
                <w:rFonts w:hint="eastAsia" w:ascii="宋体" w:hAnsi="宋体"/>
                <w:color w:val="000000"/>
                <w:szCs w:val="21"/>
              </w:rPr>
            </w:pPr>
            <w:r>
              <w:rPr>
                <w:rFonts w:hint="eastAsia" w:ascii="宋体" w:hAnsi="宋体"/>
                <w:color w:val="000000"/>
                <w:szCs w:val="21"/>
              </w:rPr>
              <w:t>19.4.1</w:t>
            </w:r>
          </w:p>
        </w:tc>
        <w:tc>
          <w:tcPr>
            <w:tcW w:w="8010" w:type="dxa"/>
            <w:noWrap w:val="0"/>
            <w:vAlign w:val="center"/>
          </w:tcPr>
          <w:p w14:paraId="6D028EB6">
            <w:pPr>
              <w:spacing w:line="360" w:lineRule="auto"/>
              <w:rPr>
                <w:rFonts w:hint="eastAsia" w:ascii="宋体" w:hAnsi="宋体"/>
                <w:color w:val="000000"/>
                <w:szCs w:val="21"/>
              </w:rPr>
            </w:pPr>
            <w:r>
              <w:rPr>
                <w:rFonts w:hint="eastAsia" w:ascii="宋体" w:hAnsi="宋体"/>
                <w:color w:val="000000"/>
                <w:szCs w:val="21"/>
              </w:rPr>
              <w:t>磋商开始时间：响应文件递交截止时间后。</w:t>
            </w:r>
          </w:p>
          <w:p w14:paraId="2007FC96">
            <w:pPr>
              <w:spacing w:line="360" w:lineRule="auto"/>
              <w:rPr>
                <w:rFonts w:hint="eastAsia" w:ascii="宋体" w:hAnsi="宋体"/>
                <w:color w:val="000000"/>
                <w:szCs w:val="21"/>
              </w:rPr>
            </w:pPr>
            <w:r>
              <w:rPr>
                <w:rFonts w:hint="eastAsia" w:ascii="宋体" w:hAnsi="宋体"/>
                <w:color w:val="000000"/>
                <w:szCs w:val="21"/>
              </w:rPr>
              <w:t>磋商地点：详见公告。</w:t>
            </w:r>
          </w:p>
        </w:tc>
      </w:tr>
      <w:tr w14:paraId="48BCD0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939" w:type="dxa"/>
            <w:noWrap w:val="0"/>
            <w:vAlign w:val="center"/>
          </w:tcPr>
          <w:p w14:paraId="68F89AFC">
            <w:pPr>
              <w:numPr>
                <w:ilvl w:val="0"/>
                <w:numId w:val="0"/>
              </w:numPr>
              <w:spacing w:line="360" w:lineRule="auto"/>
              <w:ind w:left="420" w:leftChars="0" w:hanging="420" w:firstLineChars="0"/>
              <w:jc w:val="center"/>
              <w:rPr>
                <w:rFonts w:hint="eastAsia" w:ascii="宋体" w:hAnsi="宋体"/>
                <w:color w:val="000000"/>
                <w:szCs w:val="21"/>
              </w:rPr>
            </w:pPr>
            <w:r>
              <w:rPr>
                <w:rFonts w:hint="eastAsia" w:ascii="宋体" w:hAnsi="宋体" w:eastAsia="宋体" w:cs="Times New Roman"/>
                <w:color w:val="000000"/>
                <w:kern w:val="2"/>
                <w:sz w:val="21"/>
                <w:szCs w:val="21"/>
                <w:lang w:val="en-US" w:eastAsia="zh-CN" w:bidi="ar-SA"/>
              </w:rPr>
              <w:t>14</w:t>
            </w:r>
          </w:p>
        </w:tc>
        <w:tc>
          <w:tcPr>
            <w:tcW w:w="1126" w:type="dxa"/>
            <w:noWrap w:val="0"/>
            <w:vAlign w:val="center"/>
          </w:tcPr>
          <w:p w14:paraId="0F203926">
            <w:pPr>
              <w:spacing w:line="360" w:lineRule="auto"/>
              <w:jc w:val="center"/>
              <w:rPr>
                <w:rFonts w:hint="eastAsia" w:ascii="宋体" w:hAnsi="宋体"/>
                <w:color w:val="000000"/>
                <w:szCs w:val="21"/>
              </w:rPr>
            </w:pPr>
            <w:r>
              <w:rPr>
                <w:rFonts w:hint="eastAsia" w:ascii="宋体" w:hAnsi="宋体"/>
                <w:color w:val="000000"/>
                <w:szCs w:val="21"/>
              </w:rPr>
              <w:t>19.4.2</w:t>
            </w:r>
          </w:p>
        </w:tc>
        <w:tc>
          <w:tcPr>
            <w:tcW w:w="8010" w:type="dxa"/>
            <w:noWrap w:val="0"/>
            <w:vAlign w:val="center"/>
          </w:tcPr>
          <w:p w14:paraId="1D3DCAF9">
            <w:pPr>
              <w:spacing w:line="380" w:lineRule="exact"/>
              <w:rPr>
                <w:rFonts w:ascii="宋体" w:hAnsi="宋体"/>
                <w:b/>
                <w:bCs/>
                <w:color w:val="000000"/>
                <w:szCs w:val="21"/>
              </w:rPr>
            </w:pPr>
            <w:r>
              <w:rPr>
                <w:rFonts w:hint="eastAsia" w:ascii="宋体" w:hAnsi="宋体"/>
                <w:b/>
                <w:bCs/>
                <w:color w:val="000000"/>
                <w:szCs w:val="21"/>
              </w:rPr>
              <w:t>磋商前准备：</w:t>
            </w:r>
          </w:p>
          <w:p w14:paraId="3D76FDED">
            <w:pPr>
              <w:spacing w:line="380" w:lineRule="exact"/>
              <w:rPr>
                <w:rFonts w:ascii="宋体" w:hAnsi="宋体"/>
                <w:color w:val="000000"/>
                <w:szCs w:val="21"/>
              </w:rPr>
            </w:pPr>
            <w:r>
              <w:rPr>
                <w:rFonts w:hint="eastAsia" w:ascii="宋体" w:hAnsi="宋体"/>
                <w:color w:val="000000"/>
                <w:szCs w:val="21"/>
              </w:rPr>
              <w:t>1、</w:t>
            </w:r>
            <w:r>
              <w:rPr>
                <w:rFonts w:ascii="宋体" w:hAnsi="宋体"/>
                <w:color w:val="000000"/>
                <w:szCs w:val="21"/>
              </w:rPr>
              <w:t>本项目实行网上</w:t>
            </w:r>
            <w:r>
              <w:rPr>
                <w:rFonts w:hint="eastAsia" w:ascii="宋体" w:hAnsi="宋体"/>
                <w:color w:val="000000"/>
                <w:szCs w:val="21"/>
              </w:rPr>
              <w:t>磋商</w:t>
            </w:r>
            <w:r>
              <w:rPr>
                <w:rFonts w:ascii="宋体" w:hAnsi="宋体"/>
                <w:color w:val="000000"/>
                <w:szCs w:val="21"/>
              </w:rPr>
              <w:t>，采用电子</w:t>
            </w:r>
            <w:r>
              <w:rPr>
                <w:rFonts w:hint="eastAsia" w:ascii="宋体" w:hAnsi="宋体"/>
                <w:color w:val="000000"/>
                <w:szCs w:val="21"/>
              </w:rPr>
              <w:t>磋商响应</w:t>
            </w:r>
            <w:r>
              <w:rPr>
                <w:rFonts w:ascii="宋体" w:hAnsi="宋体"/>
                <w:color w:val="000000"/>
                <w:szCs w:val="21"/>
              </w:rPr>
              <w:t>文件。若供应商参与</w:t>
            </w:r>
            <w:r>
              <w:rPr>
                <w:rFonts w:hint="eastAsia" w:ascii="宋体" w:hAnsi="宋体"/>
                <w:color w:val="000000"/>
                <w:szCs w:val="21"/>
              </w:rPr>
              <w:t>磋商</w:t>
            </w:r>
            <w:r>
              <w:rPr>
                <w:rFonts w:ascii="宋体" w:hAnsi="宋体"/>
                <w:color w:val="000000"/>
                <w:szCs w:val="21"/>
              </w:rPr>
              <w:t>，自行承担</w:t>
            </w:r>
            <w:r>
              <w:rPr>
                <w:rFonts w:hint="eastAsia" w:ascii="宋体" w:hAnsi="宋体"/>
                <w:color w:val="000000"/>
                <w:szCs w:val="21"/>
              </w:rPr>
              <w:t>磋商</w:t>
            </w:r>
            <w:r>
              <w:rPr>
                <w:rFonts w:ascii="宋体" w:hAnsi="宋体"/>
                <w:color w:val="000000"/>
                <w:szCs w:val="21"/>
              </w:rPr>
              <w:t>一切费用</w:t>
            </w:r>
            <w:r>
              <w:rPr>
                <w:rFonts w:hint="eastAsia" w:ascii="宋体" w:hAnsi="宋体"/>
                <w:color w:val="000000"/>
                <w:szCs w:val="21"/>
              </w:rPr>
              <w:t>。</w:t>
            </w:r>
          </w:p>
          <w:p w14:paraId="27DF78C1">
            <w:pPr>
              <w:spacing w:line="380" w:lineRule="exact"/>
              <w:rPr>
                <w:rFonts w:ascii="宋体" w:hAnsi="宋体"/>
                <w:color w:val="000000"/>
                <w:szCs w:val="21"/>
              </w:rPr>
            </w:pPr>
            <w:r>
              <w:rPr>
                <w:rFonts w:hint="eastAsia" w:ascii="宋体" w:hAnsi="宋体"/>
                <w:color w:val="000000"/>
                <w:szCs w:val="21"/>
              </w:rPr>
              <w:t>2、</w:t>
            </w:r>
            <w:r>
              <w:rPr>
                <w:rFonts w:ascii="宋体" w:hAnsi="宋体"/>
                <w:color w:val="000000"/>
                <w:szCs w:val="21"/>
              </w:rPr>
              <w:t>各供应商应在</w:t>
            </w:r>
            <w:r>
              <w:rPr>
                <w:rFonts w:hint="eastAsia" w:ascii="宋体" w:hAnsi="宋体"/>
                <w:color w:val="000000"/>
                <w:szCs w:val="21"/>
              </w:rPr>
              <w:t>截</w:t>
            </w:r>
            <w:r>
              <w:rPr>
                <w:rFonts w:ascii="宋体" w:hAnsi="宋体"/>
                <w:color w:val="000000"/>
                <w:szCs w:val="21"/>
              </w:rPr>
              <w:t>标前应确保成为</w:t>
            </w:r>
            <w:r>
              <w:rPr>
                <w:rFonts w:hint="eastAsia" w:ascii="宋体" w:hAnsi="宋体"/>
                <w:color w:val="000000"/>
                <w:szCs w:val="21"/>
              </w:rPr>
              <w:t>政采云平台</w:t>
            </w:r>
            <w:r>
              <w:rPr>
                <w:rFonts w:ascii="宋体" w:hAnsi="宋体"/>
                <w:color w:val="000000"/>
                <w:szCs w:val="21"/>
              </w:rPr>
              <w:t>正式注册入库供应商，并完成CA数字证书</w:t>
            </w:r>
            <w:r>
              <w:rPr>
                <w:rFonts w:hint="eastAsia" w:ascii="宋体" w:hAnsi="宋体"/>
                <w:color w:val="000000"/>
                <w:szCs w:val="21"/>
              </w:rPr>
              <w:t>申领</w:t>
            </w:r>
            <w:r>
              <w:rPr>
                <w:rFonts w:ascii="宋体" w:hAnsi="宋体"/>
                <w:color w:val="000000"/>
                <w:szCs w:val="21"/>
              </w:rPr>
              <w:t>。因未注册入库、未办理CA数字证书等原因造成无法</w:t>
            </w:r>
            <w:r>
              <w:rPr>
                <w:rFonts w:hint="eastAsia" w:ascii="宋体" w:hAnsi="宋体"/>
                <w:color w:val="000000"/>
                <w:szCs w:val="21"/>
              </w:rPr>
              <w:t>磋商</w:t>
            </w:r>
            <w:r>
              <w:rPr>
                <w:rFonts w:ascii="宋体" w:hAnsi="宋体"/>
                <w:color w:val="000000"/>
                <w:szCs w:val="21"/>
              </w:rPr>
              <w:t>或</w:t>
            </w:r>
            <w:r>
              <w:rPr>
                <w:rFonts w:hint="eastAsia" w:ascii="宋体" w:hAnsi="宋体"/>
                <w:color w:val="000000"/>
                <w:szCs w:val="21"/>
              </w:rPr>
              <w:t>磋商</w:t>
            </w:r>
            <w:r>
              <w:rPr>
                <w:rFonts w:ascii="宋体" w:hAnsi="宋体"/>
                <w:color w:val="000000"/>
                <w:szCs w:val="21"/>
              </w:rPr>
              <w:t>失败等后果由供应商自行承担。</w:t>
            </w:r>
          </w:p>
          <w:p w14:paraId="6E7F93FF">
            <w:pPr>
              <w:spacing w:line="380" w:lineRule="exact"/>
              <w:rPr>
                <w:rFonts w:ascii="宋体" w:hAnsi="宋体"/>
                <w:color w:val="000000"/>
                <w:szCs w:val="21"/>
              </w:rPr>
            </w:pPr>
            <w:r>
              <w:rPr>
                <w:rFonts w:hint="eastAsia" w:ascii="宋体" w:hAnsi="宋体"/>
                <w:color w:val="000000"/>
                <w:szCs w:val="21"/>
              </w:rPr>
              <w:t>3、</w:t>
            </w:r>
            <w:r>
              <w:rPr>
                <w:rFonts w:ascii="宋体" w:hAnsi="宋体"/>
                <w:color w:val="000000"/>
                <w:szCs w:val="21"/>
              </w:rPr>
              <w:t>供应商将政采云电子交易客户端下载、安装完成后，可通过账号密码或CA登录客户端进行</w:t>
            </w:r>
            <w:r>
              <w:rPr>
                <w:rFonts w:hint="eastAsia" w:ascii="宋体" w:hAnsi="宋体"/>
                <w:color w:val="000000"/>
                <w:szCs w:val="21"/>
              </w:rPr>
              <w:t>响应文件</w:t>
            </w:r>
            <w:r>
              <w:rPr>
                <w:rFonts w:ascii="宋体" w:hAnsi="宋体"/>
                <w:color w:val="000000"/>
                <w:szCs w:val="21"/>
              </w:rPr>
              <w:t>制作。</w:t>
            </w:r>
            <w:r>
              <w:rPr>
                <w:rFonts w:hint="eastAsia" w:ascii="宋体" w:hAnsi="宋体"/>
                <w:color w:val="000000"/>
                <w:szCs w:val="21"/>
              </w:rPr>
              <w:t>客户端请至网站下载专区查看，如有问题可拨打政采云客户服务热线4</w:t>
            </w:r>
            <w:r>
              <w:rPr>
                <w:rFonts w:ascii="宋体" w:hAnsi="宋体"/>
                <w:color w:val="000000"/>
                <w:szCs w:val="21"/>
              </w:rPr>
              <w:t>00-881-7190</w:t>
            </w:r>
            <w:r>
              <w:rPr>
                <w:rFonts w:hint="eastAsia" w:ascii="宋体" w:hAnsi="宋体"/>
                <w:color w:val="000000"/>
                <w:szCs w:val="21"/>
              </w:rPr>
              <w:t>进行咨询。</w:t>
            </w:r>
          </w:p>
          <w:p w14:paraId="45ED27C0">
            <w:pPr>
              <w:spacing w:line="380" w:lineRule="exact"/>
              <w:rPr>
                <w:rFonts w:ascii="宋体" w:hAnsi="宋体"/>
                <w:b/>
                <w:bCs/>
                <w:color w:val="000000"/>
                <w:szCs w:val="21"/>
              </w:rPr>
            </w:pPr>
            <w:r>
              <w:rPr>
                <w:rFonts w:hint="eastAsia" w:ascii="宋体" w:hAnsi="宋体"/>
                <w:b/>
                <w:bCs/>
                <w:color w:val="000000"/>
                <w:szCs w:val="21"/>
              </w:rPr>
              <w:t>磋商响应文件解密时间：</w:t>
            </w:r>
          </w:p>
          <w:p w14:paraId="14C43E5A">
            <w:pPr>
              <w:spacing w:line="360" w:lineRule="auto"/>
              <w:rPr>
                <w:rFonts w:hint="eastAsia" w:ascii="宋体" w:hAnsi="宋体"/>
                <w:color w:val="000000"/>
                <w:szCs w:val="21"/>
              </w:rPr>
            </w:pPr>
            <w:r>
              <w:rPr>
                <w:rFonts w:hint="eastAsia" w:ascii="宋体" w:hAnsi="宋体"/>
                <w:color w:val="000000"/>
                <w:szCs w:val="21"/>
              </w:rPr>
              <w:t>截标时间后30分钟内磋商供应商可以登录政采云平台，用“项目采购-开标评标”功能进行解密磋商响应文件。若磋商供应商在规定时间内无法解密或解密失败，可以以电子备份磋商响应文件作为依据，若电子备份磋商响应文件件与政采云平台上传的电子磋商响应文件被识别为不一致的，以电子备份磋商响应文件作为评审依据；磋商供应商按时在线解密响应文件的，以在线解密的响应文件作为评审依据。若磋商供应商在规定时间内无法解密或解密失败且未提供电子备份磋商响应文件的，视为响应文件撤回。</w:t>
            </w:r>
          </w:p>
        </w:tc>
      </w:tr>
      <w:tr w14:paraId="6A28A2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8" w:hRule="atLeast"/>
        </w:trPr>
        <w:tc>
          <w:tcPr>
            <w:tcW w:w="939" w:type="dxa"/>
            <w:noWrap w:val="0"/>
            <w:vAlign w:val="center"/>
          </w:tcPr>
          <w:p w14:paraId="31753260">
            <w:pPr>
              <w:numPr>
                <w:ilvl w:val="0"/>
                <w:numId w:val="0"/>
              </w:numPr>
              <w:spacing w:line="360" w:lineRule="auto"/>
              <w:ind w:left="420" w:leftChars="0" w:hanging="420" w:firstLineChars="0"/>
              <w:jc w:val="center"/>
              <w:rPr>
                <w:rFonts w:hint="eastAsia" w:ascii="宋体" w:hAnsi="宋体"/>
                <w:color w:val="000000"/>
                <w:szCs w:val="21"/>
              </w:rPr>
            </w:pPr>
            <w:r>
              <w:rPr>
                <w:rFonts w:hint="eastAsia" w:ascii="宋体" w:hAnsi="宋体" w:eastAsia="宋体" w:cs="Times New Roman"/>
                <w:color w:val="000000"/>
                <w:kern w:val="2"/>
                <w:sz w:val="21"/>
                <w:szCs w:val="21"/>
                <w:lang w:val="en-US" w:eastAsia="zh-CN" w:bidi="ar-SA"/>
              </w:rPr>
              <w:t>15</w:t>
            </w:r>
          </w:p>
        </w:tc>
        <w:tc>
          <w:tcPr>
            <w:tcW w:w="1126" w:type="dxa"/>
            <w:noWrap w:val="0"/>
            <w:vAlign w:val="center"/>
          </w:tcPr>
          <w:p w14:paraId="49602CA9">
            <w:pPr>
              <w:spacing w:line="360" w:lineRule="auto"/>
              <w:jc w:val="center"/>
              <w:rPr>
                <w:rFonts w:hint="eastAsia" w:ascii="宋体" w:hAnsi="宋体"/>
                <w:color w:val="000000"/>
                <w:szCs w:val="21"/>
              </w:rPr>
            </w:pPr>
            <w:r>
              <w:rPr>
                <w:rFonts w:hint="eastAsia" w:ascii="宋体" w:hAnsi="宋体"/>
                <w:color w:val="000000"/>
                <w:szCs w:val="21"/>
              </w:rPr>
              <w:t>28</w:t>
            </w:r>
          </w:p>
        </w:tc>
        <w:tc>
          <w:tcPr>
            <w:tcW w:w="8010" w:type="dxa"/>
            <w:noWrap w:val="0"/>
            <w:vAlign w:val="center"/>
          </w:tcPr>
          <w:p w14:paraId="751C306F">
            <w:pPr>
              <w:spacing w:line="360" w:lineRule="auto"/>
              <w:rPr>
                <w:rFonts w:hint="eastAsia" w:ascii="宋体" w:hAnsi="宋体"/>
                <w:color w:val="000000"/>
                <w:szCs w:val="21"/>
              </w:rPr>
            </w:pPr>
            <w:r>
              <w:rPr>
                <w:rFonts w:hint="eastAsia" w:ascii="宋体" w:hAnsi="宋体"/>
                <w:color w:val="000000"/>
                <w:szCs w:val="21"/>
              </w:rPr>
              <w:t>履约保证金金额：无磋商主要内容及程序：</w:t>
            </w:r>
          </w:p>
        </w:tc>
      </w:tr>
      <w:tr w14:paraId="34DB5F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939" w:type="dxa"/>
            <w:noWrap w:val="0"/>
            <w:vAlign w:val="center"/>
          </w:tcPr>
          <w:p w14:paraId="2111F50B">
            <w:pPr>
              <w:numPr>
                <w:ilvl w:val="0"/>
                <w:numId w:val="0"/>
              </w:numPr>
              <w:spacing w:line="360" w:lineRule="auto"/>
              <w:ind w:left="420" w:leftChars="0" w:hanging="420" w:firstLineChars="0"/>
              <w:jc w:val="center"/>
              <w:rPr>
                <w:rFonts w:hint="eastAsia" w:ascii="宋体" w:hAnsi="宋体"/>
                <w:color w:val="000000"/>
                <w:szCs w:val="21"/>
              </w:rPr>
            </w:pPr>
            <w:r>
              <w:rPr>
                <w:rFonts w:hint="eastAsia" w:ascii="宋体" w:hAnsi="宋体" w:eastAsia="宋体" w:cs="Times New Roman"/>
                <w:color w:val="000000"/>
                <w:kern w:val="2"/>
                <w:sz w:val="21"/>
                <w:szCs w:val="21"/>
                <w:lang w:val="en-US" w:eastAsia="zh-CN" w:bidi="ar-SA"/>
              </w:rPr>
              <w:t>16</w:t>
            </w:r>
          </w:p>
        </w:tc>
        <w:tc>
          <w:tcPr>
            <w:tcW w:w="1126" w:type="dxa"/>
            <w:noWrap w:val="0"/>
            <w:vAlign w:val="center"/>
          </w:tcPr>
          <w:p w14:paraId="1384B34F">
            <w:pPr>
              <w:spacing w:line="360" w:lineRule="auto"/>
              <w:jc w:val="center"/>
              <w:rPr>
                <w:rFonts w:hint="eastAsia" w:ascii="宋体" w:hAnsi="宋体"/>
                <w:color w:val="000000"/>
                <w:szCs w:val="21"/>
              </w:rPr>
            </w:pPr>
          </w:p>
        </w:tc>
        <w:tc>
          <w:tcPr>
            <w:tcW w:w="8010" w:type="dxa"/>
            <w:noWrap w:val="0"/>
            <w:vAlign w:val="center"/>
          </w:tcPr>
          <w:p w14:paraId="59EFD6FE">
            <w:pPr>
              <w:snapToGrid w:val="0"/>
              <w:spacing w:line="360" w:lineRule="auto"/>
              <w:textAlignment w:val="bottom"/>
              <w:rPr>
                <w:rFonts w:hint="eastAsia" w:ascii="宋体" w:hAnsi="宋体"/>
                <w:color w:val="000000"/>
                <w:szCs w:val="21"/>
              </w:rPr>
            </w:pPr>
            <w:r>
              <w:rPr>
                <w:rFonts w:hint="eastAsia" w:ascii="宋体" w:hAnsi="宋体"/>
                <w:color w:val="000000"/>
                <w:szCs w:val="21"/>
              </w:rPr>
              <w:t xml:space="preserve">1. 技术要求、服务要求以及合同草案条款，其中磋商供应商资格条件和标注★号的条款除外； </w:t>
            </w:r>
          </w:p>
          <w:p w14:paraId="20027FF9">
            <w:pPr>
              <w:autoSpaceDE w:val="0"/>
              <w:autoSpaceDN w:val="0"/>
              <w:snapToGrid w:val="0"/>
              <w:spacing w:line="360" w:lineRule="auto"/>
              <w:textAlignment w:val="bottom"/>
              <w:rPr>
                <w:rFonts w:hint="eastAsia" w:ascii="宋体" w:hAnsi="宋体"/>
                <w:color w:val="000000"/>
                <w:szCs w:val="21"/>
              </w:rPr>
            </w:pPr>
            <w:r>
              <w:rPr>
                <w:rFonts w:hint="eastAsia" w:ascii="宋体" w:hAnsi="宋体"/>
                <w:color w:val="000000"/>
                <w:szCs w:val="21"/>
              </w:rPr>
              <w:t>2、实质性变动的内容，须经采购人确认。</w:t>
            </w:r>
          </w:p>
        </w:tc>
      </w:tr>
      <w:tr w14:paraId="3AA82E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939" w:type="dxa"/>
            <w:noWrap w:val="0"/>
            <w:vAlign w:val="center"/>
          </w:tcPr>
          <w:p w14:paraId="57CB5552">
            <w:pPr>
              <w:numPr>
                <w:ilvl w:val="0"/>
                <w:numId w:val="0"/>
              </w:numPr>
              <w:spacing w:line="360" w:lineRule="auto"/>
              <w:ind w:left="420" w:leftChars="0" w:hanging="420" w:firstLineChars="0"/>
              <w:jc w:val="center"/>
              <w:rPr>
                <w:rFonts w:hint="eastAsia" w:ascii="宋体" w:hAnsi="宋体"/>
                <w:color w:val="000000"/>
                <w:szCs w:val="21"/>
              </w:rPr>
            </w:pPr>
            <w:r>
              <w:rPr>
                <w:rFonts w:hint="eastAsia" w:ascii="宋体" w:hAnsi="宋体" w:eastAsia="宋体" w:cs="Times New Roman"/>
                <w:color w:val="000000"/>
                <w:kern w:val="2"/>
                <w:sz w:val="21"/>
                <w:szCs w:val="21"/>
                <w:lang w:val="en-US" w:eastAsia="zh-CN" w:bidi="ar-SA"/>
              </w:rPr>
              <w:t>17</w:t>
            </w:r>
          </w:p>
        </w:tc>
        <w:tc>
          <w:tcPr>
            <w:tcW w:w="1126" w:type="dxa"/>
            <w:noWrap w:val="0"/>
            <w:vAlign w:val="center"/>
          </w:tcPr>
          <w:p w14:paraId="37BEB502">
            <w:pPr>
              <w:spacing w:line="360" w:lineRule="auto"/>
              <w:jc w:val="center"/>
              <w:rPr>
                <w:rFonts w:hint="eastAsia" w:ascii="宋体" w:hAnsi="宋体"/>
                <w:color w:val="000000"/>
                <w:szCs w:val="21"/>
              </w:rPr>
            </w:pPr>
            <w:r>
              <w:rPr>
                <w:rFonts w:hint="eastAsia" w:ascii="宋体" w:hAnsi="宋体"/>
                <w:color w:val="000000"/>
                <w:szCs w:val="21"/>
              </w:rPr>
              <w:t>其他内容</w:t>
            </w:r>
          </w:p>
        </w:tc>
        <w:tc>
          <w:tcPr>
            <w:tcW w:w="8010" w:type="dxa"/>
            <w:noWrap w:val="0"/>
            <w:vAlign w:val="center"/>
          </w:tcPr>
          <w:p w14:paraId="456E423C">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 xml:space="preserve">1. </w:t>
            </w:r>
            <w:r>
              <w:rPr>
                <w:rFonts w:ascii="宋体" w:hAnsi="宋体" w:cs="宋体"/>
                <w:color w:val="000000"/>
                <w:szCs w:val="21"/>
              </w:rPr>
              <w:t>本文件中描述</w:t>
            </w:r>
            <w:r>
              <w:rPr>
                <w:rFonts w:hint="eastAsia" w:ascii="宋体" w:hAnsi="宋体" w:cs="宋体"/>
                <w:color w:val="000000"/>
                <w:szCs w:val="21"/>
              </w:rPr>
              <w:t>供应商</w:t>
            </w:r>
            <w:r>
              <w:rPr>
                <w:rFonts w:ascii="宋体" w:hAnsi="宋体" w:cs="宋体"/>
                <w:color w:val="000000"/>
                <w:szCs w:val="21"/>
              </w:rPr>
              <w:t>的“公章”是指根据我国对公章的管理规定，用</w:t>
            </w:r>
            <w:r>
              <w:rPr>
                <w:rFonts w:hint="eastAsia" w:ascii="宋体" w:hAnsi="宋体" w:cs="宋体"/>
                <w:color w:val="000000"/>
                <w:szCs w:val="21"/>
              </w:rPr>
              <w:t>供应商</w:t>
            </w:r>
            <w:r>
              <w:rPr>
                <w:rFonts w:ascii="宋体" w:hAnsi="宋体" w:cs="宋体"/>
                <w:color w:val="000000"/>
                <w:szCs w:val="21"/>
              </w:rPr>
              <w:t>法定主体行为名称制作的印章，除本文件有特殊规定外，</w:t>
            </w:r>
            <w:r>
              <w:rPr>
                <w:rFonts w:hint="eastAsia" w:ascii="宋体" w:hAnsi="宋体" w:cs="宋体"/>
                <w:color w:val="000000"/>
                <w:szCs w:val="21"/>
              </w:rPr>
              <w:t>供应商</w:t>
            </w:r>
            <w:r>
              <w:rPr>
                <w:rFonts w:ascii="宋体" w:hAnsi="宋体" w:cs="宋体"/>
                <w:color w:val="000000"/>
                <w:szCs w:val="21"/>
              </w:rPr>
              <w:t>的财务章、部门章、分公司章、工会章、合同章、投标专用章、业务专用章及银行的转账章、现金收讫章、现金付讫章等其它形式印章均不能代替公章。</w:t>
            </w:r>
          </w:p>
          <w:p w14:paraId="09FE3702">
            <w:pPr>
              <w:spacing w:line="360" w:lineRule="auto"/>
              <w:ind w:firstLine="420" w:firstLineChars="200"/>
              <w:rPr>
                <w:rFonts w:hint="eastAsia" w:ascii="宋体" w:hAnsi="宋体"/>
                <w:color w:val="000000"/>
                <w:szCs w:val="21"/>
              </w:rPr>
            </w:pPr>
            <w:r>
              <w:rPr>
                <w:rFonts w:hint="eastAsia" w:ascii="宋体" w:hAnsi="宋体"/>
                <w:color w:val="000000"/>
                <w:szCs w:val="21"/>
              </w:rPr>
              <w:t xml:space="preserve">2. </w:t>
            </w:r>
            <w:r>
              <w:rPr>
                <w:rFonts w:ascii="宋体" w:hAnsi="宋体" w:cs="宋体"/>
                <w:color w:val="000000"/>
                <w:szCs w:val="21"/>
              </w:rPr>
              <w:t>本文件中描述</w:t>
            </w:r>
            <w:r>
              <w:rPr>
                <w:rFonts w:hint="eastAsia" w:ascii="宋体" w:hAnsi="宋体" w:cs="宋体"/>
                <w:color w:val="000000"/>
                <w:szCs w:val="21"/>
              </w:rPr>
              <w:t>供应商</w:t>
            </w:r>
            <w:r>
              <w:rPr>
                <w:rFonts w:ascii="宋体" w:hAnsi="宋体" w:cs="宋体"/>
                <w:color w:val="000000"/>
                <w:szCs w:val="21"/>
              </w:rPr>
              <w:t>的“</w:t>
            </w:r>
            <w:r>
              <w:rPr>
                <w:rFonts w:hint="eastAsia" w:ascii="宋体" w:hAnsi="宋体" w:cs="宋体"/>
                <w:color w:val="000000"/>
                <w:szCs w:val="21"/>
              </w:rPr>
              <w:t>签字</w:t>
            </w:r>
            <w:r>
              <w:rPr>
                <w:rFonts w:ascii="宋体" w:hAnsi="宋体" w:cs="宋体"/>
                <w:color w:val="000000"/>
                <w:szCs w:val="21"/>
              </w:rPr>
              <w:t>”是指</w:t>
            </w:r>
            <w:r>
              <w:rPr>
                <w:rFonts w:hint="eastAsia" w:ascii="宋体" w:hAnsi="宋体" w:cs="宋体"/>
                <w:color w:val="000000"/>
                <w:szCs w:val="21"/>
              </w:rPr>
              <w:t>供应商的法定代表人或被授权人亲自在磋商文件规定签署处亲笔写上个人的名字的行为，私章、签字章、印鉴、影印等其它形式</w:t>
            </w:r>
            <w:r>
              <w:rPr>
                <w:rFonts w:ascii="宋体" w:hAnsi="宋体" w:cs="宋体"/>
                <w:color w:val="000000"/>
                <w:szCs w:val="21"/>
              </w:rPr>
              <w:t>均不能代替</w:t>
            </w:r>
            <w:r>
              <w:rPr>
                <w:rFonts w:hint="eastAsia" w:ascii="宋体" w:hAnsi="宋体" w:cs="宋体"/>
                <w:color w:val="000000"/>
                <w:szCs w:val="21"/>
              </w:rPr>
              <w:t>亲笔签字</w:t>
            </w:r>
            <w:r>
              <w:rPr>
                <w:rFonts w:ascii="宋体" w:hAnsi="宋体" w:cs="宋体"/>
                <w:color w:val="000000"/>
                <w:szCs w:val="21"/>
              </w:rPr>
              <w:t>。</w:t>
            </w:r>
          </w:p>
        </w:tc>
      </w:tr>
    </w:tbl>
    <w:p w14:paraId="31281D4E">
      <w:pPr>
        <w:pStyle w:val="44"/>
        <w:outlineLvl w:val="0"/>
      </w:pPr>
      <w:r>
        <w:br w:type="page"/>
      </w:r>
      <w:r>
        <w:t>供应商须知</w:t>
      </w:r>
    </w:p>
    <w:p w14:paraId="01AF47D2">
      <w:pPr>
        <w:pStyle w:val="2"/>
        <w:numPr>
          <w:ilvl w:val="0"/>
          <w:numId w:val="10"/>
        </w:numPr>
        <w:topLinePunct w:val="0"/>
        <w:ind w:left="0" w:leftChars="0" w:firstLine="0" w:firstLineChars="0"/>
        <w:rPr>
          <w:b/>
        </w:rPr>
      </w:pPr>
      <w:r>
        <w:t>总　则</w:t>
      </w:r>
    </w:p>
    <w:p w14:paraId="0AA27F40">
      <w:pPr>
        <w:pStyle w:val="3"/>
        <w:numPr>
          <w:ilvl w:val="0"/>
          <w:numId w:val="11"/>
        </w:numPr>
        <w:tabs>
          <w:tab w:val="left" w:pos="420"/>
          <w:tab w:val="clear" w:pos="482"/>
        </w:tabs>
        <w:ind w:left="0" w:leftChars="0" w:firstLine="482" w:firstLineChars="0"/>
        <w:rPr>
          <w:b/>
        </w:rPr>
      </w:pPr>
      <w:r>
        <w:t>适用范围</w:t>
      </w:r>
    </w:p>
    <w:p w14:paraId="6AA352A8">
      <w:pPr>
        <w:pStyle w:val="11"/>
        <w:numPr>
          <w:ilvl w:val="0"/>
          <w:numId w:val="12"/>
        </w:numPr>
        <w:tabs>
          <w:tab w:val="left" w:pos="0"/>
        </w:tabs>
        <w:ind w:left="0" w:leftChars="0" w:firstLine="482" w:firstLineChars="0"/>
        <w:rPr>
          <w:color w:val="000000"/>
        </w:rPr>
      </w:pPr>
      <w:r>
        <w:rPr>
          <w:color w:val="000000"/>
        </w:rPr>
        <w:t>本竞争性磋商采购文件根据《中华人民共和国政府采购法》及相关法律法规编制，仅适用于本文件中所叙述的工程、货物或服务类采购项目。</w:t>
      </w:r>
    </w:p>
    <w:p w14:paraId="520BBA42">
      <w:pPr>
        <w:pStyle w:val="3"/>
        <w:numPr>
          <w:ilvl w:val="0"/>
          <w:numId w:val="11"/>
        </w:numPr>
        <w:tabs>
          <w:tab w:val="clear" w:pos="482"/>
        </w:tabs>
        <w:ind w:left="0" w:leftChars="0" w:firstLine="482" w:firstLineChars="0"/>
        <w:rPr>
          <w:b/>
        </w:rPr>
      </w:pPr>
      <w:r>
        <w:t>定义</w:t>
      </w:r>
    </w:p>
    <w:p w14:paraId="2AC089AE">
      <w:pPr>
        <w:pStyle w:val="11"/>
        <w:numPr>
          <w:ilvl w:val="0"/>
          <w:numId w:val="13"/>
        </w:numPr>
        <w:tabs>
          <w:tab w:val="left" w:pos="0"/>
        </w:tabs>
        <w:ind w:left="0" w:leftChars="0" w:firstLine="482" w:firstLineChars="0"/>
        <w:rPr>
          <w:b w:val="0"/>
          <w:color w:val="000000"/>
        </w:rPr>
      </w:pPr>
      <w:r>
        <w:rPr>
          <w:color w:val="000000"/>
        </w:rPr>
        <w:t>竞争性磋商采购人：是指获得资金、贷款的国家机关、企事业单位或者其他社会组织。本项目竞争性磋商采购人特指：</w:t>
      </w:r>
      <w:r>
        <w:t>上思县农业农村局</w:t>
      </w:r>
      <w:r>
        <w:rPr>
          <w:color w:val="000000"/>
        </w:rPr>
        <w:t>。</w:t>
      </w:r>
    </w:p>
    <w:p w14:paraId="30AA00B8">
      <w:pPr>
        <w:pStyle w:val="11"/>
        <w:numPr>
          <w:ilvl w:val="0"/>
          <w:numId w:val="13"/>
        </w:numPr>
        <w:tabs>
          <w:tab w:val="left" w:pos="0"/>
        </w:tabs>
        <w:ind w:left="0" w:leftChars="0" w:firstLine="482" w:firstLineChars="0"/>
        <w:rPr>
          <w:b w:val="0"/>
          <w:color w:val="000000"/>
        </w:rPr>
      </w:pPr>
      <w:r>
        <w:rPr>
          <w:color w:val="000000"/>
        </w:rPr>
        <w:t>竞争性磋商采购代理机构：竞争性磋商采购代理机构是指依法取得采购代理资格、从事竞争性磋商采购代理业务并提供相关服务的专门机构。本竞争性磋商文件的竞争性磋商采购代理机构特指：</w:t>
      </w:r>
      <w:r>
        <w:rPr>
          <w:rFonts w:hint="eastAsia"/>
          <w:color w:val="000000"/>
          <w:lang w:eastAsia="zh-CN"/>
        </w:rPr>
        <w:t>广西国立工程咨询有限公司</w:t>
      </w:r>
      <w:r>
        <w:rPr>
          <w:color w:val="000000"/>
        </w:rPr>
        <w:t>　。</w:t>
      </w:r>
    </w:p>
    <w:p w14:paraId="75C437E2">
      <w:pPr>
        <w:pStyle w:val="11"/>
        <w:numPr>
          <w:ilvl w:val="0"/>
          <w:numId w:val="13"/>
        </w:numPr>
        <w:tabs>
          <w:tab w:val="left" w:pos="0"/>
        </w:tabs>
        <w:ind w:left="0" w:leftChars="0" w:firstLine="482" w:firstLineChars="0"/>
        <w:rPr>
          <w:b w:val="0"/>
          <w:color w:val="000000"/>
        </w:rPr>
      </w:pPr>
      <w:r>
        <w:rPr>
          <w:color w:val="000000"/>
        </w:rPr>
        <w:t>供应商：指已经报名，且响应本竞争性磋商文件要求、能提供本工程所必需的设施、人员和专业技术能力且具有独立法人资格的法人单位或其他组织。</w:t>
      </w:r>
    </w:p>
    <w:p w14:paraId="52232B09">
      <w:pPr>
        <w:pStyle w:val="11"/>
        <w:numPr>
          <w:ilvl w:val="0"/>
          <w:numId w:val="13"/>
        </w:numPr>
        <w:tabs>
          <w:tab w:val="left" w:pos="0"/>
        </w:tabs>
        <w:ind w:left="0" w:leftChars="0" w:firstLine="482" w:firstLineChars="0"/>
        <w:rPr>
          <w:b w:val="0"/>
          <w:color w:val="000000"/>
        </w:rPr>
      </w:pPr>
      <w:r>
        <w:rPr>
          <w:color w:val="000000"/>
        </w:rPr>
        <w:t>日期：如无特别说明，均指公历日。</w:t>
      </w:r>
    </w:p>
    <w:p w14:paraId="133B1E0A">
      <w:pPr>
        <w:pStyle w:val="11"/>
        <w:numPr>
          <w:ilvl w:val="0"/>
          <w:numId w:val="13"/>
        </w:numPr>
        <w:tabs>
          <w:tab w:val="left" w:pos="0"/>
        </w:tabs>
        <w:ind w:left="0" w:leftChars="0" w:firstLine="482" w:firstLineChars="0"/>
        <w:rPr>
          <w:b w:val="0"/>
          <w:color w:val="000000"/>
        </w:rPr>
      </w:pPr>
      <w:r>
        <w:rPr>
          <w:color w:val="000000"/>
        </w:rPr>
        <w:t>合同：指采购人与成交供应商双方按合同格式签署的书面协议，包括所有的附件、附录及双方认可的其它相关书面文件。</w:t>
      </w:r>
    </w:p>
    <w:p w14:paraId="25FCAAE7">
      <w:pPr>
        <w:pStyle w:val="11"/>
        <w:numPr>
          <w:ilvl w:val="0"/>
          <w:numId w:val="13"/>
        </w:numPr>
        <w:tabs>
          <w:tab w:val="left" w:pos="0"/>
        </w:tabs>
        <w:ind w:left="0" w:leftChars="0" w:firstLine="482" w:firstLineChars="0"/>
        <w:rPr>
          <w:b w:val="0"/>
          <w:color w:val="000000"/>
        </w:rPr>
      </w:pPr>
      <w:r>
        <w:rPr>
          <w:color w:val="000000"/>
        </w:rPr>
        <w:t>政府采购信息发布媒体：与本项目相关的政府采购业务信息（包括竞争性磋商采购公告、成交公告及其更正事项等）将在以下媒体上发布：中国政府采购网、广西壮族自治区政府采购网、全国公共资源交易平台（广西·防城港）上发布。</w:t>
      </w:r>
    </w:p>
    <w:p w14:paraId="21FC6D6D">
      <w:pPr>
        <w:pStyle w:val="3"/>
        <w:numPr>
          <w:ilvl w:val="0"/>
          <w:numId w:val="11"/>
        </w:numPr>
        <w:tabs>
          <w:tab w:val="clear" w:pos="482"/>
        </w:tabs>
        <w:ind w:left="0" w:leftChars="0" w:firstLine="482" w:firstLineChars="0"/>
        <w:rPr>
          <w:b/>
        </w:rPr>
      </w:pPr>
      <w:r>
        <w:t>供应商资格要求</w:t>
      </w:r>
    </w:p>
    <w:p w14:paraId="710F8769">
      <w:pPr>
        <w:pStyle w:val="11"/>
        <w:numPr>
          <w:ilvl w:val="0"/>
          <w:numId w:val="14"/>
        </w:numPr>
        <w:ind w:left="0" w:leftChars="0" w:firstLine="480" w:firstLineChars="0"/>
        <w:rPr>
          <w:b w:val="0"/>
          <w:color w:val="000000"/>
        </w:rPr>
      </w:pPr>
      <w:r>
        <w:rPr>
          <w:color w:val="000000"/>
        </w:rPr>
        <w:t>供应商的基本条件：见本须知前附表。</w:t>
      </w:r>
    </w:p>
    <w:p w14:paraId="73E05E7C">
      <w:pPr>
        <w:pStyle w:val="11"/>
        <w:numPr>
          <w:ilvl w:val="0"/>
          <w:numId w:val="14"/>
        </w:numPr>
        <w:ind w:left="0" w:leftChars="0" w:firstLine="480" w:firstLineChars="0"/>
        <w:rPr>
          <w:b w:val="0"/>
          <w:color w:val="000000"/>
        </w:rPr>
      </w:pPr>
      <w:r>
        <w:rPr>
          <w:color w:val="000000"/>
        </w:rPr>
        <w:t>供应商不得存在下列情形之一：</w:t>
      </w:r>
    </w:p>
    <w:p w14:paraId="04DBCC44">
      <w:pPr>
        <w:pStyle w:val="11"/>
        <w:numPr>
          <w:ilvl w:val="0"/>
          <w:numId w:val="15"/>
        </w:numPr>
        <w:topLinePunct w:val="0"/>
        <w:ind w:left="0" w:leftChars="0" w:firstLine="480" w:firstLineChars="0"/>
        <w:rPr>
          <w:b w:val="0"/>
          <w:color w:val="000000"/>
        </w:rPr>
      </w:pPr>
      <w:r>
        <w:rPr>
          <w:color w:val="000000"/>
        </w:rPr>
        <w:t>不具有独立法人资格的附属机构（单位）；</w:t>
      </w:r>
    </w:p>
    <w:p w14:paraId="1B7BDAB9">
      <w:pPr>
        <w:pStyle w:val="11"/>
        <w:numPr>
          <w:ilvl w:val="0"/>
          <w:numId w:val="15"/>
        </w:numPr>
        <w:topLinePunct w:val="0"/>
        <w:ind w:left="0" w:leftChars="0" w:firstLine="480" w:firstLineChars="0"/>
        <w:rPr>
          <w:b w:val="0"/>
          <w:color w:val="000000"/>
        </w:rPr>
      </w:pPr>
      <w:r>
        <w:rPr>
          <w:color w:val="000000"/>
        </w:rPr>
        <w:t>为本项目前期准备提供设计或咨询服务的，但设计施工总承包的除外；</w:t>
      </w:r>
    </w:p>
    <w:p w14:paraId="4D43DE35">
      <w:pPr>
        <w:pStyle w:val="11"/>
        <w:numPr>
          <w:ilvl w:val="0"/>
          <w:numId w:val="15"/>
        </w:numPr>
        <w:topLinePunct w:val="0"/>
        <w:ind w:left="0" w:leftChars="0" w:firstLine="480" w:firstLineChars="0"/>
        <w:rPr>
          <w:b w:val="0"/>
          <w:color w:val="000000"/>
        </w:rPr>
      </w:pPr>
      <w:r>
        <w:rPr>
          <w:color w:val="000000"/>
        </w:rPr>
        <w:t>为本项目的监理人；</w:t>
      </w:r>
    </w:p>
    <w:p w14:paraId="56047F93">
      <w:pPr>
        <w:pStyle w:val="11"/>
        <w:numPr>
          <w:ilvl w:val="0"/>
          <w:numId w:val="15"/>
        </w:numPr>
        <w:topLinePunct w:val="0"/>
        <w:ind w:left="0" w:leftChars="0" w:firstLine="480" w:firstLineChars="0"/>
        <w:rPr>
          <w:b w:val="0"/>
          <w:color w:val="000000"/>
        </w:rPr>
      </w:pPr>
      <w:r>
        <w:rPr>
          <w:color w:val="000000"/>
        </w:rPr>
        <w:t>为本项目的代建人；</w:t>
      </w:r>
    </w:p>
    <w:p w14:paraId="445E9968">
      <w:pPr>
        <w:pStyle w:val="11"/>
        <w:numPr>
          <w:ilvl w:val="0"/>
          <w:numId w:val="15"/>
        </w:numPr>
        <w:topLinePunct w:val="0"/>
        <w:ind w:left="0" w:leftChars="0" w:firstLine="480" w:firstLineChars="0"/>
        <w:rPr>
          <w:b w:val="0"/>
          <w:color w:val="000000"/>
        </w:rPr>
      </w:pPr>
      <w:r>
        <w:rPr>
          <w:color w:val="000000"/>
        </w:rPr>
        <w:t>为本项目提供采购代理服务的；</w:t>
      </w:r>
    </w:p>
    <w:p w14:paraId="6FF11F1C">
      <w:pPr>
        <w:pStyle w:val="11"/>
        <w:numPr>
          <w:ilvl w:val="0"/>
          <w:numId w:val="15"/>
        </w:numPr>
        <w:topLinePunct w:val="0"/>
        <w:ind w:left="0" w:leftChars="0" w:firstLine="480" w:firstLineChars="0"/>
        <w:rPr>
          <w:b w:val="0"/>
          <w:color w:val="000000"/>
        </w:rPr>
      </w:pPr>
      <w:r>
        <w:rPr>
          <w:color w:val="000000"/>
        </w:rPr>
        <w:t>与本项目的监理人或代建人或采购代理机构同为一个法定代表人的；</w:t>
      </w:r>
    </w:p>
    <w:p w14:paraId="7E42D1ED">
      <w:pPr>
        <w:pStyle w:val="11"/>
        <w:numPr>
          <w:ilvl w:val="0"/>
          <w:numId w:val="15"/>
        </w:numPr>
        <w:topLinePunct w:val="0"/>
        <w:ind w:left="0" w:leftChars="0" w:firstLine="480" w:firstLineChars="0"/>
        <w:rPr>
          <w:b w:val="0"/>
          <w:color w:val="000000"/>
        </w:rPr>
      </w:pPr>
      <w:r>
        <w:rPr>
          <w:color w:val="000000"/>
        </w:rPr>
        <w:t>与本项目的监理人或代建人或采购代理机构相互控股或参股的；</w:t>
      </w:r>
    </w:p>
    <w:p w14:paraId="6D71FF0E">
      <w:pPr>
        <w:pStyle w:val="11"/>
        <w:numPr>
          <w:ilvl w:val="0"/>
          <w:numId w:val="15"/>
        </w:numPr>
        <w:topLinePunct w:val="0"/>
        <w:ind w:left="0" w:leftChars="0" w:firstLine="480" w:firstLineChars="0"/>
        <w:rPr>
          <w:b w:val="0"/>
          <w:color w:val="000000"/>
        </w:rPr>
      </w:pPr>
      <w:r>
        <w:rPr>
          <w:color w:val="000000"/>
        </w:rPr>
        <w:t>与本项目的监理人或代建人或采购代理机构相互任职或工作的；</w:t>
      </w:r>
    </w:p>
    <w:p w14:paraId="08A1F86D">
      <w:pPr>
        <w:pStyle w:val="11"/>
        <w:numPr>
          <w:ilvl w:val="0"/>
          <w:numId w:val="15"/>
        </w:numPr>
        <w:topLinePunct w:val="0"/>
        <w:ind w:left="0" w:leftChars="0" w:firstLine="480" w:firstLineChars="0"/>
        <w:rPr>
          <w:b w:val="0"/>
          <w:color w:val="000000"/>
        </w:rPr>
      </w:pPr>
      <w:r>
        <w:rPr>
          <w:color w:val="000000"/>
        </w:rPr>
        <w:t>被责令停业整顿的；</w:t>
      </w:r>
    </w:p>
    <w:p w14:paraId="6ED2E14F">
      <w:pPr>
        <w:pStyle w:val="11"/>
        <w:numPr>
          <w:ilvl w:val="0"/>
          <w:numId w:val="15"/>
        </w:numPr>
        <w:topLinePunct w:val="0"/>
        <w:ind w:left="0" w:leftChars="0" w:firstLine="480" w:firstLineChars="0"/>
        <w:rPr>
          <w:b w:val="0"/>
          <w:color w:val="000000"/>
        </w:rPr>
      </w:pPr>
      <w:r>
        <w:rPr>
          <w:color w:val="000000"/>
        </w:rPr>
        <w:t>被暂停或取消磋商资格的；</w:t>
      </w:r>
    </w:p>
    <w:p w14:paraId="57E1A5C6">
      <w:pPr>
        <w:pStyle w:val="11"/>
        <w:numPr>
          <w:ilvl w:val="0"/>
          <w:numId w:val="15"/>
        </w:numPr>
        <w:topLinePunct w:val="0"/>
        <w:ind w:left="0" w:leftChars="0" w:firstLine="480" w:firstLineChars="0"/>
        <w:rPr>
          <w:b w:val="0"/>
          <w:color w:val="000000"/>
        </w:rPr>
      </w:pPr>
      <w:r>
        <w:rPr>
          <w:color w:val="000000"/>
        </w:rPr>
        <w:t>财产被接管或冻结的；</w:t>
      </w:r>
    </w:p>
    <w:p w14:paraId="5B5AA3E5">
      <w:pPr>
        <w:pStyle w:val="11"/>
        <w:numPr>
          <w:ilvl w:val="0"/>
          <w:numId w:val="15"/>
        </w:numPr>
        <w:topLinePunct w:val="0"/>
        <w:ind w:left="0" w:leftChars="0" w:firstLine="480" w:firstLineChars="0"/>
        <w:rPr>
          <w:b w:val="0"/>
          <w:color w:val="000000"/>
        </w:rPr>
      </w:pPr>
      <w:r>
        <w:rPr>
          <w:color w:val="000000"/>
        </w:rPr>
        <w:t>有骗取中标或严重违约或工程质量安全问题，正处在停业整顿或暂停磋商期间的。</w:t>
      </w:r>
    </w:p>
    <w:p w14:paraId="052A6E35">
      <w:pPr>
        <w:pStyle w:val="3"/>
        <w:numPr>
          <w:ilvl w:val="0"/>
          <w:numId w:val="11"/>
        </w:numPr>
        <w:tabs>
          <w:tab w:val="clear" w:pos="482"/>
        </w:tabs>
        <w:ind w:left="0" w:leftChars="0" w:firstLine="482" w:firstLineChars="0"/>
        <w:rPr>
          <w:b/>
        </w:rPr>
      </w:pPr>
      <w:r>
        <w:t>磋商费用</w:t>
      </w:r>
    </w:p>
    <w:p w14:paraId="23491F1B">
      <w:pPr>
        <w:pStyle w:val="11"/>
        <w:numPr>
          <w:ilvl w:val="0"/>
          <w:numId w:val="16"/>
        </w:numPr>
        <w:ind w:left="0" w:leftChars="0" w:firstLine="480" w:firstLineChars="0"/>
        <w:rPr>
          <w:b w:val="0"/>
          <w:color w:val="000000"/>
        </w:rPr>
      </w:pPr>
      <w:r>
        <w:rPr>
          <w:color w:val="000000"/>
        </w:rPr>
        <w:t>不论磋商结果如何，供应商应自行承担所有与编写和提交响应文件有关的费用，采购人和采购代理机构在任何情况下无义务和责任承担此类费用。</w:t>
      </w:r>
    </w:p>
    <w:p w14:paraId="7B19721F">
      <w:pPr>
        <w:pStyle w:val="11"/>
        <w:numPr>
          <w:ilvl w:val="0"/>
          <w:numId w:val="16"/>
        </w:numPr>
        <w:ind w:left="0" w:leftChars="0" w:firstLine="480" w:firstLineChars="0"/>
        <w:rPr>
          <w:b w:val="0"/>
          <w:color w:val="000000"/>
        </w:rPr>
      </w:pPr>
      <w:r>
        <w:rPr>
          <w:color w:val="000000"/>
        </w:rPr>
        <w:t>本项目代理服务费：见本须知前附表。</w:t>
      </w:r>
    </w:p>
    <w:p w14:paraId="7BD233FC">
      <w:pPr>
        <w:pStyle w:val="2"/>
        <w:numPr>
          <w:ilvl w:val="0"/>
          <w:numId w:val="10"/>
        </w:numPr>
        <w:topLinePunct w:val="0"/>
        <w:ind w:left="0" w:leftChars="0" w:firstLine="0" w:firstLineChars="0"/>
        <w:rPr>
          <w:b/>
        </w:rPr>
      </w:pPr>
      <w:r>
        <w:t>磋商文件</w:t>
      </w:r>
    </w:p>
    <w:p w14:paraId="1CDB8105">
      <w:pPr>
        <w:pStyle w:val="3"/>
        <w:numPr>
          <w:ilvl w:val="0"/>
          <w:numId w:val="11"/>
        </w:numPr>
        <w:tabs>
          <w:tab w:val="clear" w:pos="482"/>
        </w:tabs>
        <w:ind w:left="0" w:leftChars="0" w:firstLine="482" w:firstLineChars="0"/>
        <w:rPr>
          <w:b/>
        </w:rPr>
      </w:pPr>
      <w:r>
        <w:t>磋商文件的组成</w:t>
      </w:r>
    </w:p>
    <w:p w14:paraId="1BDBFD0A">
      <w:pPr>
        <w:pStyle w:val="11"/>
        <w:numPr>
          <w:ilvl w:val="0"/>
          <w:numId w:val="17"/>
        </w:numPr>
        <w:topLinePunct w:val="0"/>
        <w:ind w:left="0" w:leftChars="0" w:firstLine="480" w:firstLineChars="0"/>
        <w:rPr>
          <w:b w:val="0"/>
          <w:color w:val="000000"/>
        </w:rPr>
      </w:pPr>
      <w:r>
        <w:rPr>
          <w:color w:val="000000"/>
        </w:rPr>
        <w:t>磋商公告；</w:t>
      </w:r>
    </w:p>
    <w:p w14:paraId="5E3E6062">
      <w:pPr>
        <w:pStyle w:val="11"/>
        <w:numPr>
          <w:ilvl w:val="0"/>
          <w:numId w:val="17"/>
        </w:numPr>
        <w:topLinePunct w:val="0"/>
        <w:ind w:left="0" w:leftChars="0" w:firstLine="480" w:firstLineChars="0"/>
        <w:rPr>
          <w:b w:val="0"/>
          <w:color w:val="000000"/>
        </w:rPr>
      </w:pPr>
      <w:r>
        <w:rPr>
          <w:color w:val="000000"/>
        </w:rPr>
        <w:t>磋商须知；</w:t>
      </w:r>
    </w:p>
    <w:p w14:paraId="7764F99B">
      <w:pPr>
        <w:pStyle w:val="11"/>
        <w:numPr>
          <w:ilvl w:val="0"/>
          <w:numId w:val="17"/>
        </w:numPr>
        <w:topLinePunct w:val="0"/>
        <w:ind w:left="0" w:leftChars="0" w:firstLine="480" w:firstLineChars="0"/>
        <w:rPr>
          <w:b w:val="0"/>
          <w:color w:val="000000"/>
        </w:rPr>
      </w:pPr>
      <w:r>
        <w:rPr>
          <w:color w:val="000000"/>
        </w:rPr>
        <w:t>评审办法和定标标准；</w:t>
      </w:r>
    </w:p>
    <w:p w14:paraId="467F52AA">
      <w:pPr>
        <w:pStyle w:val="11"/>
        <w:numPr>
          <w:ilvl w:val="0"/>
          <w:numId w:val="17"/>
        </w:numPr>
        <w:topLinePunct w:val="0"/>
        <w:ind w:left="0" w:leftChars="0" w:firstLine="480" w:firstLineChars="0"/>
        <w:rPr>
          <w:b w:val="0"/>
          <w:color w:val="000000"/>
        </w:rPr>
      </w:pPr>
      <w:r>
        <w:rPr>
          <w:color w:val="000000"/>
        </w:rPr>
        <w:t>响应文件格式；</w:t>
      </w:r>
    </w:p>
    <w:p w14:paraId="20678EF5">
      <w:pPr>
        <w:pStyle w:val="11"/>
        <w:numPr>
          <w:ilvl w:val="0"/>
          <w:numId w:val="17"/>
        </w:numPr>
        <w:topLinePunct w:val="0"/>
        <w:ind w:left="0" w:leftChars="0" w:firstLine="480" w:firstLineChars="0"/>
        <w:rPr>
          <w:b w:val="0"/>
          <w:color w:val="000000"/>
        </w:rPr>
      </w:pPr>
      <w:r>
        <w:rPr>
          <w:color w:val="000000"/>
        </w:rPr>
        <w:t>合同主要条款；</w:t>
      </w:r>
    </w:p>
    <w:p w14:paraId="4F9BAF5E">
      <w:pPr>
        <w:pStyle w:val="11"/>
        <w:numPr>
          <w:ilvl w:val="0"/>
          <w:numId w:val="17"/>
        </w:numPr>
        <w:topLinePunct w:val="0"/>
        <w:ind w:left="0" w:leftChars="0" w:firstLine="480" w:firstLineChars="0"/>
        <w:rPr>
          <w:b w:val="0"/>
          <w:color w:val="000000"/>
        </w:rPr>
      </w:pPr>
      <w:r>
        <w:rPr>
          <w:color w:val="000000"/>
        </w:rPr>
        <w:t>其他资料。</w:t>
      </w:r>
    </w:p>
    <w:p w14:paraId="372BF7F2">
      <w:pPr>
        <w:pStyle w:val="3"/>
        <w:numPr>
          <w:ilvl w:val="0"/>
          <w:numId w:val="11"/>
        </w:numPr>
        <w:tabs>
          <w:tab w:val="clear" w:pos="482"/>
        </w:tabs>
        <w:ind w:left="0" w:leftChars="0" w:firstLine="482" w:firstLineChars="0"/>
        <w:rPr>
          <w:b/>
        </w:rPr>
      </w:pPr>
      <w:r>
        <w:t>磋商文件的澄清或修改</w:t>
      </w:r>
    </w:p>
    <w:p w14:paraId="24309A81">
      <w:pPr>
        <w:pStyle w:val="11"/>
        <w:rPr>
          <w:color w:val="000000"/>
        </w:rPr>
      </w:pPr>
      <w:r>
        <w:rPr>
          <w:color w:val="000000"/>
        </w:rPr>
        <w:t>在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应当在提交首次响应文件截止时间至少5日前，以发布媒体的形式通知所有获取磋商文件的供应商；不足5日的，采购人、采购代理机构应当顺延提交首次响应文件截止时间。</w:t>
      </w:r>
    </w:p>
    <w:p w14:paraId="227DFE9B">
      <w:pPr>
        <w:pStyle w:val="3"/>
        <w:numPr>
          <w:ilvl w:val="0"/>
          <w:numId w:val="11"/>
        </w:numPr>
        <w:tabs>
          <w:tab w:val="clear" w:pos="482"/>
        </w:tabs>
        <w:ind w:left="0" w:leftChars="0" w:firstLine="482" w:firstLineChars="0"/>
        <w:rPr>
          <w:b/>
        </w:rPr>
      </w:pPr>
      <w:r>
        <w:t>现场考察或答疑会</w:t>
      </w:r>
    </w:p>
    <w:p w14:paraId="60243D56">
      <w:pPr>
        <w:pStyle w:val="11"/>
        <w:numPr>
          <w:ilvl w:val="0"/>
          <w:numId w:val="18"/>
        </w:numPr>
        <w:tabs>
          <w:tab w:val="left" w:pos="0"/>
        </w:tabs>
        <w:ind w:left="0" w:leftChars="0" w:firstLine="482" w:firstLineChars="0"/>
        <w:rPr>
          <w:b w:val="0"/>
          <w:color w:val="000000"/>
        </w:rPr>
      </w:pPr>
      <w:r>
        <w:rPr>
          <w:color w:val="000000"/>
        </w:rPr>
        <w:t>采购人、采购代理机构可以视采购项目的具体情况，按须知前附表的规定组织供应商进行现场考察或召开磋商前答疑会，但不得单独或分别组织只有一个供应商参加的现场考察和答疑会。</w:t>
      </w:r>
    </w:p>
    <w:p w14:paraId="70ADA74D">
      <w:pPr>
        <w:pStyle w:val="11"/>
        <w:numPr>
          <w:ilvl w:val="0"/>
          <w:numId w:val="18"/>
        </w:numPr>
        <w:tabs>
          <w:tab w:val="left" w:pos="0"/>
        </w:tabs>
        <w:ind w:left="0" w:leftChars="0" w:firstLine="482" w:firstLineChars="0"/>
        <w:rPr>
          <w:b w:val="0"/>
          <w:color w:val="000000"/>
        </w:rPr>
      </w:pPr>
      <w:r>
        <w:rPr>
          <w:color w:val="000000"/>
        </w:rPr>
        <w:t>供应商考察现场或参加答疑会发生的费用自理。</w:t>
      </w:r>
    </w:p>
    <w:p w14:paraId="55C10102">
      <w:pPr>
        <w:pStyle w:val="11"/>
        <w:numPr>
          <w:ilvl w:val="0"/>
          <w:numId w:val="18"/>
        </w:numPr>
        <w:tabs>
          <w:tab w:val="left" w:pos="0"/>
        </w:tabs>
        <w:ind w:left="0" w:leftChars="0" w:firstLine="482" w:firstLineChars="0"/>
        <w:rPr>
          <w:b w:val="0"/>
          <w:color w:val="000000"/>
        </w:rPr>
      </w:pPr>
      <w:r>
        <w:rPr>
          <w:color w:val="000000"/>
        </w:rPr>
        <w:t>供应商自行负责在考察现场或参加答疑会中所发生的人员伤亡和财产损失。</w:t>
      </w:r>
    </w:p>
    <w:p w14:paraId="4A192142">
      <w:pPr>
        <w:pStyle w:val="2"/>
        <w:numPr>
          <w:ilvl w:val="0"/>
          <w:numId w:val="10"/>
        </w:numPr>
        <w:tabs>
          <w:tab w:val="clear" w:pos="482"/>
        </w:tabs>
        <w:topLinePunct w:val="0"/>
        <w:ind w:left="0" w:leftChars="0" w:firstLine="0" w:firstLineChars="0"/>
      </w:pPr>
      <w:r>
        <w:t>响应文件</w:t>
      </w:r>
    </w:p>
    <w:p w14:paraId="0CBBCACD">
      <w:pPr>
        <w:pStyle w:val="3"/>
        <w:numPr>
          <w:ilvl w:val="0"/>
          <w:numId w:val="11"/>
        </w:numPr>
        <w:tabs>
          <w:tab w:val="clear" w:pos="482"/>
        </w:tabs>
        <w:ind w:left="0" w:leftChars="0" w:firstLine="482" w:firstLineChars="0"/>
        <w:rPr>
          <w:b/>
          <w:color w:val="000000"/>
        </w:rPr>
      </w:pPr>
      <w:r>
        <w:rPr>
          <w:b/>
          <w:color w:val="000000"/>
        </w:rPr>
        <w:t>响应文件组成</w:t>
      </w:r>
    </w:p>
    <w:p w14:paraId="7EBAE225">
      <w:pPr>
        <w:pStyle w:val="11"/>
        <w:numPr>
          <w:ilvl w:val="0"/>
          <w:numId w:val="0"/>
        </w:numPr>
        <w:tabs>
          <w:tab w:val="left" w:pos="0"/>
        </w:tabs>
        <w:ind w:left="480" w:leftChars="0"/>
        <w:rPr>
          <w:color w:val="000000"/>
        </w:rPr>
      </w:pPr>
      <w:r>
        <w:rPr>
          <w:color w:val="000000"/>
        </w:rPr>
        <w:t>响应文件应分为资格审查文件、商务文件、技术文件组成。</w:t>
      </w:r>
      <w:r>
        <w:rPr>
          <w:b/>
          <w:color w:val="000000"/>
        </w:rPr>
        <w:t>（上述文件均须加盖供应商单位公章；标注有“必须提供”的必须提供，如未提供，磋商小组有权拒绝其响应文件。）</w:t>
      </w:r>
    </w:p>
    <w:p w14:paraId="07D5F083">
      <w:pPr>
        <w:pStyle w:val="11"/>
        <w:numPr>
          <w:ilvl w:val="0"/>
          <w:numId w:val="19"/>
        </w:numPr>
        <w:tabs>
          <w:tab w:val="left" w:pos="0"/>
        </w:tabs>
        <w:ind w:left="0" w:leftChars="0" w:firstLine="480" w:firstLineChars="0"/>
        <w:rPr>
          <w:rFonts w:ascii="Times New Roman" w:hAnsi="Times New Roman" w:eastAsia="宋体" w:cs="Times New Roman"/>
          <w:b/>
          <w:bCs/>
          <w:sz w:val="24"/>
        </w:rPr>
      </w:pPr>
      <w:r>
        <w:rPr>
          <w:rFonts w:ascii="Times New Roman" w:hAnsi="Times New Roman" w:eastAsia="宋体" w:cs="Times New Roman"/>
          <w:b/>
          <w:bCs/>
          <w:sz w:val="24"/>
        </w:rPr>
        <w:t>资格审查文件</w:t>
      </w:r>
    </w:p>
    <w:p w14:paraId="524762BB">
      <w:pPr>
        <w:pStyle w:val="11"/>
        <w:numPr>
          <w:ilvl w:val="0"/>
          <w:numId w:val="20"/>
        </w:numPr>
        <w:topLinePunct w:val="0"/>
        <w:ind w:left="0" w:leftChars="0" w:firstLine="480" w:firstLineChars="0"/>
        <w:rPr>
          <w:b w:val="0"/>
        </w:rPr>
      </w:pPr>
      <w:r>
        <w:t>法定代表人身份证明书及法定代表人有效身份证正反面复印件；</w:t>
      </w:r>
      <w:r>
        <w:rPr>
          <w:b/>
        </w:rPr>
        <w:t>（必须提供，加盖单位公章）</w:t>
      </w:r>
    </w:p>
    <w:p w14:paraId="18D18A2E">
      <w:pPr>
        <w:pStyle w:val="11"/>
        <w:numPr>
          <w:ilvl w:val="0"/>
          <w:numId w:val="20"/>
        </w:numPr>
        <w:topLinePunct w:val="0"/>
        <w:ind w:left="0" w:leftChars="0" w:firstLine="480" w:firstLineChars="0"/>
        <w:rPr>
          <w:b w:val="0"/>
        </w:rPr>
      </w:pPr>
      <w:r>
        <w:t>法定代表人授权委托书及被授权人有效身份证正反面复印件；</w:t>
      </w:r>
      <w:r>
        <w:rPr>
          <w:b/>
        </w:rPr>
        <w:t>（委托代理时必须提供，加盖单位公章）</w:t>
      </w:r>
    </w:p>
    <w:p w14:paraId="61860FEB">
      <w:pPr>
        <w:pStyle w:val="11"/>
        <w:numPr>
          <w:ilvl w:val="0"/>
          <w:numId w:val="20"/>
        </w:numPr>
        <w:topLinePunct w:val="0"/>
        <w:ind w:left="0" w:leftChars="0" w:firstLine="480" w:firstLineChars="0"/>
        <w:rPr>
          <w:b w:val="0"/>
        </w:rPr>
      </w:pPr>
      <w:r>
        <w:t>供应商基本情况表（附有效的营业执照副本、企业资质证书副本、安全生产许可证副本复印件）；</w:t>
      </w:r>
      <w:r>
        <w:rPr>
          <w:b/>
        </w:rPr>
        <w:t>（必须提供，加盖单位公章）</w:t>
      </w:r>
    </w:p>
    <w:p w14:paraId="479584ED">
      <w:pPr>
        <w:pStyle w:val="11"/>
        <w:numPr>
          <w:ilvl w:val="0"/>
          <w:numId w:val="20"/>
        </w:numPr>
        <w:topLinePunct w:val="0"/>
        <w:ind w:left="0" w:leftChars="0" w:firstLine="480" w:firstLineChars="0"/>
        <w:rPr>
          <w:b w:val="0"/>
        </w:rPr>
      </w:pPr>
      <w:r>
        <w:t>建设工程项目管理承诺书；</w:t>
      </w:r>
      <w:r>
        <w:rPr>
          <w:b/>
        </w:rPr>
        <w:t>（必须提供，加盖单位公章）</w:t>
      </w:r>
    </w:p>
    <w:p w14:paraId="3F53A7D4">
      <w:pPr>
        <w:pStyle w:val="11"/>
        <w:numPr>
          <w:ilvl w:val="0"/>
          <w:numId w:val="20"/>
        </w:numPr>
        <w:topLinePunct w:val="0"/>
        <w:ind w:left="0" w:leftChars="0" w:firstLine="480" w:firstLineChars="0"/>
        <w:rPr>
          <w:b w:val="0"/>
        </w:rPr>
      </w:pPr>
      <w:r>
        <w:t>项目经理须具备公路工程或市政公用工程专业二级（含二级）以上注册建造师执业资格，具备有效的安全生产考核合格证书（B类）的证明材料复印件；（必须提供，加盖单位公章）</w:t>
      </w:r>
    </w:p>
    <w:p w14:paraId="634832A4">
      <w:pPr>
        <w:pStyle w:val="11"/>
        <w:numPr>
          <w:ilvl w:val="0"/>
          <w:numId w:val="20"/>
        </w:numPr>
        <w:topLinePunct w:val="0"/>
        <w:ind w:left="0" w:leftChars="0" w:firstLine="480" w:firstLineChars="0"/>
        <w:rPr>
          <w:b w:val="0"/>
        </w:rPr>
      </w:pPr>
      <w:r>
        <w:t>磋商供应商提供近半年内连续三个月的依法缴纳的社保费凭证复印件或者《依法缴纳或依法交社保证明》复印件（如社保凭证或证明未包含养老保险及医疗保险部分，供应商须同时提供养老保险及医疗保险凭证或缴纳证明），如为新成立的磋商单位请按实际依法缴纳月份提供（必须提供，并加盖公章）；</w:t>
      </w:r>
    </w:p>
    <w:p w14:paraId="1AF22011">
      <w:pPr>
        <w:pStyle w:val="11"/>
        <w:numPr>
          <w:ilvl w:val="0"/>
          <w:numId w:val="20"/>
        </w:numPr>
        <w:topLinePunct w:val="0"/>
        <w:ind w:left="0" w:leftChars="0" w:firstLine="480" w:firstLineChars="0"/>
        <w:rPr>
          <w:b w:val="0"/>
        </w:rPr>
      </w:pPr>
      <w:r>
        <w:t>磋商供应商提供近半年内连续三个月依法纳税的完税凭证复印件或者《依法纳税或依法免税证明》复印件，如为新成立的磋商单位请按实际依法缴纳月份提供（必须提供，并加盖公章）；</w:t>
      </w:r>
    </w:p>
    <w:p w14:paraId="3605A88F">
      <w:pPr>
        <w:pStyle w:val="11"/>
        <w:numPr>
          <w:ilvl w:val="0"/>
          <w:numId w:val="20"/>
        </w:numPr>
        <w:topLinePunct w:val="0"/>
        <w:ind w:left="0" w:leftChars="0" w:firstLine="480" w:firstLineChars="0"/>
        <w:rPr>
          <w:b w:val="0"/>
        </w:rPr>
      </w:pPr>
      <w:r>
        <w:t>磋商供应商2022或2023年度经审计财务报告复印件（若为新成立的企业，可根据实际情况提供月度财务报表，格式自拟）；</w:t>
      </w:r>
    </w:p>
    <w:p w14:paraId="31CA2BD2">
      <w:pPr>
        <w:pStyle w:val="11"/>
        <w:numPr>
          <w:ilvl w:val="0"/>
          <w:numId w:val="20"/>
        </w:numPr>
        <w:topLinePunct w:val="0"/>
        <w:ind w:left="0" w:leftChars="0" w:firstLine="480" w:firstLineChars="0"/>
        <w:rPr>
          <w:b w:val="0"/>
        </w:rPr>
      </w:pPr>
      <w:r>
        <w:t>参加政府采购活动前3年内在经营活动中没有重大违法记录的书面声明；（</w:t>
      </w:r>
      <w:r>
        <w:rPr>
          <w:b/>
        </w:rPr>
        <w:t>必须提供，加盖单位公章</w:t>
      </w:r>
      <w:r>
        <w:t>）</w:t>
      </w:r>
    </w:p>
    <w:p w14:paraId="5A5D2132">
      <w:pPr>
        <w:pStyle w:val="11"/>
        <w:numPr>
          <w:ilvl w:val="0"/>
          <w:numId w:val="20"/>
        </w:numPr>
        <w:topLinePunct w:val="0"/>
        <w:ind w:left="0" w:leftChars="0" w:firstLine="480" w:firstLineChars="0"/>
        <w:rPr>
          <w:b w:val="0"/>
        </w:rPr>
      </w:pPr>
      <w:r>
        <w:t>供应商参加本项目无围标串标行为的承诺函（格式后附）（</w:t>
      </w:r>
      <w:r>
        <w:rPr>
          <w:b/>
        </w:rPr>
        <w:t>必须提供，加盖单位公章</w:t>
      </w:r>
      <w:r>
        <w:t>）</w:t>
      </w:r>
    </w:p>
    <w:p w14:paraId="3AA0797F">
      <w:pPr>
        <w:pStyle w:val="11"/>
        <w:numPr>
          <w:ilvl w:val="0"/>
          <w:numId w:val="20"/>
        </w:numPr>
        <w:topLinePunct w:val="0"/>
        <w:ind w:left="0" w:leftChars="0" w:firstLine="480" w:firstLineChars="0"/>
        <w:rPr>
          <w:b w:val="0"/>
        </w:rPr>
      </w:pPr>
      <w:r>
        <w:t>供应商认为资格审查需要的其他材料</w:t>
      </w:r>
    </w:p>
    <w:p w14:paraId="64E14F9E">
      <w:pPr>
        <w:pStyle w:val="11"/>
        <w:numPr>
          <w:ilvl w:val="0"/>
          <w:numId w:val="19"/>
        </w:numPr>
        <w:tabs>
          <w:tab w:val="left" w:pos="0"/>
        </w:tabs>
        <w:ind w:left="0" w:leftChars="0" w:firstLine="480" w:firstLineChars="0"/>
        <w:rPr>
          <w:b/>
          <w:color w:val="000000"/>
        </w:rPr>
      </w:pPr>
      <w:r>
        <w:rPr>
          <w:rFonts w:ascii="Times New Roman" w:hAnsi="Times New Roman" w:eastAsia="宋体" w:cs="Times New Roman"/>
          <w:b/>
          <w:bCs/>
          <w:sz w:val="24"/>
        </w:rPr>
        <w:t>商务</w:t>
      </w:r>
      <w:r>
        <w:rPr>
          <w:b/>
          <w:color w:val="000000"/>
        </w:rPr>
        <w:t>文件</w:t>
      </w:r>
    </w:p>
    <w:p w14:paraId="33B3A6D9">
      <w:pPr>
        <w:pStyle w:val="11"/>
        <w:numPr>
          <w:ilvl w:val="0"/>
          <w:numId w:val="21"/>
        </w:numPr>
        <w:topLinePunct w:val="0"/>
        <w:ind w:left="0" w:leftChars="0" w:firstLine="480" w:firstLineChars="0"/>
        <w:rPr>
          <w:b w:val="0"/>
          <w:color w:val="000000"/>
        </w:rPr>
      </w:pPr>
      <w:r>
        <w:rPr>
          <w:color w:val="000000"/>
        </w:rPr>
        <w:t>磋商函；</w:t>
      </w:r>
      <w:r>
        <w:rPr>
          <w:b/>
          <w:color w:val="000000"/>
        </w:rPr>
        <w:t>（必须提供，加盖单位公章）</w:t>
      </w:r>
    </w:p>
    <w:p w14:paraId="7D197EDA">
      <w:pPr>
        <w:pStyle w:val="11"/>
        <w:numPr>
          <w:ilvl w:val="0"/>
          <w:numId w:val="21"/>
        </w:numPr>
        <w:topLinePunct w:val="0"/>
        <w:ind w:left="0" w:leftChars="0" w:firstLine="480" w:firstLineChars="0"/>
        <w:rPr>
          <w:b w:val="0"/>
          <w:color w:val="000000"/>
        </w:rPr>
      </w:pPr>
      <w:r>
        <w:rPr>
          <w:color w:val="000000"/>
        </w:rPr>
        <w:t>磋商函附录；</w:t>
      </w:r>
      <w:r>
        <w:rPr>
          <w:b/>
          <w:color w:val="000000"/>
        </w:rPr>
        <w:t>（必须提供，加盖单位公章）</w:t>
      </w:r>
    </w:p>
    <w:p w14:paraId="6A09E191">
      <w:pPr>
        <w:pStyle w:val="11"/>
        <w:numPr>
          <w:ilvl w:val="0"/>
          <w:numId w:val="21"/>
        </w:numPr>
        <w:topLinePunct w:val="0"/>
        <w:ind w:left="0" w:leftChars="0" w:firstLine="480" w:firstLineChars="0"/>
        <w:rPr>
          <w:b w:val="0"/>
          <w:color w:val="000000"/>
        </w:rPr>
      </w:pPr>
      <w:r>
        <w:rPr>
          <w:color w:val="000000"/>
        </w:rPr>
        <w:t>磋商报价表；</w:t>
      </w:r>
      <w:r>
        <w:rPr>
          <w:b/>
          <w:color w:val="000000"/>
        </w:rPr>
        <w:t>（必须提供，加盖单位公章）</w:t>
      </w:r>
    </w:p>
    <w:p w14:paraId="5033D4AE">
      <w:pPr>
        <w:pStyle w:val="11"/>
        <w:numPr>
          <w:ilvl w:val="0"/>
          <w:numId w:val="21"/>
        </w:numPr>
        <w:topLinePunct w:val="0"/>
        <w:ind w:left="0" w:leftChars="0" w:firstLine="480" w:firstLineChars="0"/>
        <w:rPr>
          <w:b w:val="0"/>
          <w:color w:val="000000"/>
        </w:rPr>
      </w:pPr>
      <w:r>
        <w:rPr>
          <w:color w:val="000000"/>
        </w:rPr>
        <w:t>已标价工程量清单；</w:t>
      </w:r>
      <w:r>
        <w:rPr>
          <w:b/>
          <w:color w:val="000000"/>
        </w:rPr>
        <w:t>（必须提供，加盖单位公章）</w:t>
      </w:r>
    </w:p>
    <w:p w14:paraId="2EEA7882">
      <w:pPr>
        <w:pStyle w:val="11"/>
        <w:numPr>
          <w:ilvl w:val="0"/>
          <w:numId w:val="21"/>
        </w:numPr>
        <w:topLinePunct w:val="0"/>
        <w:ind w:left="0" w:leftChars="0" w:firstLine="480" w:firstLineChars="0"/>
        <w:rPr>
          <w:b w:val="0"/>
          <w:color w:val="000000"/>
        </w:rPr>
      </w:pPr>
      <w:r>
        <w:rPr>
          <w:color w:val="000000"/>
        </w:rPr>
        <w:t>供应商认为必要提供的其它资料</w:t>
      </w:r>
    </w:p>
    <w:p w14:paraId="7F2CFCE9">
      <w:pPr>
        <w:pStyle w:val="11"/>
        <w:numPr>
          <w:ilvl w:val="0"/>
          <w:numId w:val="19"/>
        </w:numPr>
        <w:tabs>
          <w:tab w:val="left" w:pos="0"/>
        </w:tabs>
        <w:ind w:left="0" w:leftChars="0" w:firstLine="480" w:firstLineChars="0"/>
        <w:rPr>
          <w:b/>
          <w:color w:val="000000"/>
        </w:rPr>
      </w:pPr>
      <w:r>
        <w:rPr>
          <w:b/>
          <w:color w:val="000000"/>
        </w:rPr>
        <w:t>技术文件</w:t>
      </w:r>
    </w:p>
    <w:p w14:paraId="6380025B">
      <w:pPr>
        <w:pStyle w:val="11"/>
        <w:numPr>
          <w:ilvl w:val="0"/>
          <w:numId w:val="22"/>
        </w:numPr>
        <w:topLinePunct w:val="0"/>
        <w:ind w:left="0" w:leftChars="0" w:firstLine="480" w:firstLineChars="0"/>
        <w:rPr>
          <w:b w:val="0"/>
          <w:color w:val="000000"/>
        </w:rPr>
      </w:pPr>
      <w:r>
        <w:rPr>
          <w:color w:val="000000"/>
        </w:rPr>
        <w:t>施工组织设计；（必须提供，加盖单位公章）</w:t>
      </w:r>
    </w:p>
    <w:p w14:paraId="5CBB49F5">
      <w:pPr>
        <w:pStyle w:val="11"/>
        <w:numPr>
          <w:ilvl w:val="0"/>
          <w:numId w:val="22"/>
        </w:numPr>
        <w:topLinePunct w:val="0"/>
        <w:ind w:left="0" w:leftChars="0" w:firstLine="480" w:firstLineChars="0"/>
        <w:rPr>
          <w:b w:val="0"/>
          <w:color w:val="000000"/>
        </w:rPr>
      </w:pPr>
      <w:r>
        <w:rPr>
          <w:color w:val="000000"/>
        </w:rPr>
        <w:t>项目管理机构配备情况表；（必须提供，加盖单位公章）</w:t>
      </w:r>
    </w:p>
    <w:p w14:paraId="48BC3449">
      <w:pPr>
        <w:pStyle w:val="11"/>
        <w:numPr>
          <w:ilvl w:val="0"/>
          <w:numId w:val="22"/>
        </w:numPr>
        <w:topLinePunct w:val="0"/>
        <w:ind w:left="0" w:leftChars="0" w:firstLine="480" w:firstLineChars="0"/>
        <w:rPr>
          <w:b w:val="0"/>
          <w:color w:val="000000"/>
        </w:rPr>
      </w:pPr>
      <w:r>
        <w:rPr>
          <w:color w:val="000000"/>
        </w:rPr>
        <w:t>按本竞争性磋商文件规定提交的其它资料。</w:t>
      </w:r>
    </w:p>
    <w:p w14:paraId="39FB85E3">
      <w:pPr>
        <w:pStyle w:val="43"/>
        <w:numPr>
          <w:ilvl w:val="0"/>
          <w:numId w:val="0"/>
        </w:numPr>
        <w:ind w:leftChars="-1662"/>
        <w:jc w:val="left"/>
        <w:outlineLvl w:val="1"/>
        <w:rPr>
          <w:b/>
          <w:color w:val="000000"/>
        </w:rPr>
      </w:pPr>
      <w:r>
        <w:rPr>
          <w:b/>
          <w:color w:val="000000"/>
        </w:rPr>
        <w:t>▲特别说明：</w:t>
      </w:r>
    </w:p>
    <w:p w14:paraId="095FE50C">
      <w:pPr>
        <w:pStyle w:val="11"/>
        <w:rPr>
          <w:b/>
          <w:color w:val="000000"/>
        </w:rPr>
      </w:pPr>
      <w:r>
        <w:rPr>
          <w:rFonts w:hint="eastAsia" w:ascii="宋体" w:hAnsi="宋体"/>
          <w:b/>
          <w:color w:val="000000"/>
          <w:szCs w:val="21"/>
        </w:rPr>
        <w:t>▲特别说明：</w:t>
      </w:r>
      <w:r>
        <w:rPr>
          <w:b/>
          <w:color w:val="000000"/>
        </w:rPr>
        <w:t>（1）电子磋商响应文件中所须加盖公章部分均采用CA签章。若竞争性磋商响应文件中有专门标注的某关联点，并要求供应商在电子投标系统中作出磋商响应的，如供应商未对关联点进行响应或者在响应文件其它内容进行描述，造成电子评审不能查询的责任由供应商自行承担。</w:t>
      </w:r>
    </w:p>
    <w:p w14:paraId="3BE598EC">
      <w:pPr>
        <w:pStyle w:val="11"/>
        <w:numPr>
          <w:ilvl w:val="0"/>
          <w:numId w:val="0"/>
        </w:numPr>
        <w:topLinePunct w:val="0"/>
        <w:ind w:left="480" w:leftChars="0"/>
        <w:rPr>
          <w:b/>
          <w:color w:val="000000"/>
        </w:rPr>
      </w:pPr>
      <w:r>
        <w:rPr>
          <w:rFonts w:hint="eastAsia"/>
          <w:b/>
          <w:color w:val="000000"/>
          <w:lang w:eastAsia="zh-CN"/>
        </w:rPr>
        <w:t>（</w:t>
      </w:r>
      <w:r>
        <w:rPr>
          <w:rFonts w:hint="eastAsia"/>
          <w:b/>
          <w:color w:val="000000"/>
          <w:lang w:val="en-US" w:eastAsia="zh-CN"/>
        </w:rPr>
        <w:t>2</w:t>
      </w:r>
      <w:r>
        <w:rPr>
          <w:rFonts w:hint="eastAsia"/>
          <w:b/>
          <w:color w:val="000000"/>
          <w:lang w:eastAsia="zh-CN"/>
        </w:rPr>
        <w:t>）</w:t>
      </w:r>
      <w:r>
        <w:rPr>
          <w:b/>
          <w:color w:val="000000"/>
        </w:rPr>
        <w:t>竞争性磋商文件要求提供的的各种复印件，须加盖磋商供应商CA签章，否则其磋商无效。</w:t>
      </w:r>
    </w:p>
    <w:p w14:paraId="785FD460">
      <w:pPr>
        <w:pStyle w:val="11"/>
        <w:numPr>
          <w:ilvl w:val="0"/>
          <w:numId w:val="0"/>
        </w:numPr>
        <w:topLinePunct w:val="0"/>
        <w:ind w:left="480" w:leftChars="0"/>
        <w:rPr>
          <w:b/>
          <w:color w:val="000000"/>
        </w:rPr>
      </w:pPr>
      <w:r>
        <w:rPr>
          <w:rFonts w:hint="eastAsia"/>
          <w:b/>
          <w:color w:val="000000"/>
          <w:lang w:eastAsia="zh-CN"/>
        </w:rPr>
        <w:t>（</w:t>
      </w:r>
      <w:r>
        <w:rPr>
          <w:rFonts w:hint="eastAsia"/>
          <w:b/>
          <w:color w:val="000000"/>
          <w:lang w:val="en-US" w:eastAsia="zh-CN"/>
        </w:rPr>
        <w:t>3</w:t>
      </w:r>
      <w:r>
        <w:rPr>
          <w:rFonts w:hint="eastAsia"/>
          <w:b/>
          <w:color w:val="000000"/>
          <w:lang w:eastAsia="zh-CN"/>
        </w:rPr>
        <w:t>）</w:t>
      </w:r>
      <w:r>
        <w:rPr>
          <w:b/>
          <w:color w:val="000000"/>
        </w:rPr>
        <w:t>竞争性磋商文件要求“必须提供”的证明等材料，磋商供应商必须全部提供，缺一不可，否则磋商无效。</w:t>
      </w:r>
    </w:p>
    <w:p w14:paraId="74FE2DE2">
      <w:pPr>
        <w:pStyle w:val="11"/>
        <w:numPr>
          <w:ilvl w:val="0"/>
          <w:numId w:val="22"/>
        </w:numPr>
        <w:topLinePunct w:val="0"/>
        <w:ind w:left="0" w:leftChars="0" w:firstLine="480" w:firstLineChars="0"/>
        <w:rPr>
          <w:b/>
          <w:color w:val="000000"/>
        </w:rPr>
      </w:pPr>
      <w:r>
        <w:rPr>
          <w:b/>
          <w:color w:val="000000"/>
        </w:rPr>
        <w:t>竞争性磋商文件要求法定代表人（负责人）或委托代理人签字的部分必须签字然后扫描或者拍照做成pdf格式上传，无签字的视为磋商无效。</w:t>
      </w:r>
    </w:p>
    <w:p w14:paraId="1D457FE5">
      <w:pPr>
        <w:pStyle w:val="3"/>
        <w:numPr>
          <w:ilvl w:val="0"/>
          <w:numId w:val="11"/>
        </w:numPr>
        <w:tabs>
          <w:tab w:val="clear" w:pos="482"/>
        </w:tabs>
        <w:ind w:left="0" w:leftChars="0" w:firstLine="482" w:firstLineChars="0"/>
        <w:rPr>
          <w:b/>
          <w:color w:val="000000"/>
        </w:rPr>
      </w:pPr>
      <w:r>
        <w:t>响应文件</w:t>
      </w:r>
      <w:r>
        <w:rPr>
          <w:b/>
          <w:color w:val="000000"/>
        </w:rPr>
        <w:t>编制要求</w:t>
      </w:r>
    </w:p>
    <w:p w14:paraId="4247DE17">
      <w:pPr>
        <w:pStyle w:val="11"/>
        <w:numPr>
          <w:ilvl w:val="0"/>
          <w:numId w:val="23"/>
        </w:numPr>
        <w:ind w:left="0" w:leftChars="0" w:firstLine="480" w:firstLineChars="0"/>
        <w:rPr>
          <w:b w:val="0"/>
          <w:color w:val="000000"/>
        </w:rPr>
      </w:pPr>
      <w:r>
        <w:rPr>
          <w:rFonts w:hint="default" w:ascii="Times New Roman" w:hAnsi="Times New Roman" w:eastAsia="宋体" w:cs="Times New Roman"/>
          <w:b w:val="0"/>
          <w:color w:val="000000"/>
          <w:sz w:val="24"/>
        </w:rPr>
        <w:t>.</w:t>
      </w:r>
      <w:r>
        <w:rPr>
          <w:color w:val="000000"/>
        </w:rPr>
        <w:t>本项目实行电子投标，供应商应准备电子磋商响应文件：</w:t>
      </w:r>
    </w:p>
    <w:p w14:paraId="4761EE72">
      <w:pPr>
        <w:pStyle w:val="11"/>
        <w:rPr>
          <w:color w:val="000000"/>
        </w:rPr>
      </w:pPr>
      <w:r>
        <w:rPr>
          <w:color w:val="000000"/>
        </w:rPr>
        <w:t>9.1.1电子响应文件按政采云平台要求及本竞争性磋商文件要求制作、加密并递交。具体操作流程可参考《政府采购项目电子交易管理操作指南-供应商》，指南可在“http://www.ccgp-guangxi.gov.cn/PurchaseAdvisory/ImportantNotice/2866753.html”下载。</w:t>
      </w:r>
    </w:p>
    <w:p w14:paraId="51E44A9F">
      <w:pPr>
        <w:pStyle w:val="11"/>
        <w:rPr>
          <w:color w:val="000000"/>
        </w:rPr>
      </w:pPr>
      <w:r>
        <w:rPr>
          <w:color w:val="000000"/>
        </w:rPr>
        <w:t>▲9.1.2磋商响应文件启用顺序和效力：磋商响应文件的启用，按先后顺位分别为电子磋商响应文件、电子备份磋商响应文件。若磋商供应商在规定时间内无法解密或解密失败，可以以电子备份磋商响应文件作为依据，若电子备份磋商响应文件与政采云平台上传的电子磋商响应文件被识别为不一致的，以电子备份磋商响应文件作为评审依据；磋商供应商按时在线解密响应文件的，以在线解密的响应文件作为评审依据。若磋商供应商在规定时间内无法解密或解密失败且未提供电子备份磋商响应文件的，视为响应文件撤回。</w:t>
      </w:r>
    </w:p>
    <w:p w14:paraId="3ADAD3AB">
      <w:pPr>
        <w:pStyle w:val="11"/>
        <w:numPr>
          <w:ilvl w:val="0"/>
          <w:numId w:val="23"/>
        </w:numPr>
        <w:ind w:left="0" w:leftChars="0" w:firstLine="480" w:firstLineChars="0"/>
        <w:rPr>
          <w:b w:val="0"/>
          <w:color w:val="000000"/>
        </w:rPr>
      </w:pPr>
      <w:r>
        <w:rPr>
          <w:color w:val="000000"/>
        </w:rPr>
        <w:t xml:space="preserve">磋商供应商应按采购文件的要求对竞争性磋商电子响应文件进行编制。  </w:t>
      </w:r>
    </w:p>
    <w:p w14:paraId="502E5C6F">
      <w:pPr>
        <w:pStyle w:val="11"/>
        <w:numPr>
          <w:ilvl w:val="0"/>
          <w:numId w:val="23"/>
        </w:numPr>
        <w:ind w:left="0" w:leftChars="0" w:firstLine="480" w:firstLineChars="0"/>
        <w:rPr>
          <w:b w:val="0"/>
          <w:color w:val="000000"/>
        </w:rPr>
      </w:pPr>
      <w:r>
        <w:rPr>
          <w:color w:val="000000"/>
        </w:rPr>
        <w:t xml:space="preserve">磋商供应商提交的竞争性磋商响应文件以及磋商供应商与本公司和采购人就有关磋商的所有来往函电均应使用中文。磋商供应商提交的支持文件和印刷的文献可以使用别的语言，但其相应内容必须附有中文翻译文本，在解释竞争性磋商响应文件时以翻译文本为主。  </w:t>
      </w:r>
    </w:p>
    <w:p w14:paraId="37E115A4">
      <w:pPr>
        <w:pStyle w:val="11"/>
        <w:numPr>
          <w:ilvl w:val="0"/>
          <w:numId w:val="23"/>
        </w:numPr>
        <w:ind w:left="0" w:leftChars="0" w:firstLine="480" w:firstLineChars="0"/>
        <w:rPr>
          <w:b w:val="0"/>
          <w:color w:val="000000"/>
        </w:rPr>
      </w:pPr>
      <w:r>
        <w:rPr>
          <w:color w:val="000000"/>
        </w:rPr>
        <w:t xml:space="preserve">磋商供应商应认真阅读、并充分理解本文件的全部内容（包括所有的澄清、更改、补充、答疑等内容），承诺并履行本文件中各项条款规定及要求 。  </w:t>
      </w:r>
    </w:p>
    <w:p w14:paraId="67E45F83">
      <w:pPr>
        <w:pStyle w:val="11"/>
        <w:numPr>
          <w:ilvl w:val="0"/>
          <w:numId w:val="23"/>
        </w:numPr>
        <w:ind w:left="0" w:leftChars="0" w:firstLine="480" w:firstLineChars="0"/>
        <w:rPr>
          <w:b w:val="0"/>
          <w:color w:val="000000"/>
        </w:rPr>
      </w:pPr>
      <w:r>
        <w:rPr>
          <w:color w:val="000000"/>
        </w:rPr>
        <w:t>竞争性磋商响应文件必须按本文件的全部内容，包括所有的澄清、更改、补充、答疑等内容及附件进行编制。</w:t>
      </w:r>
    </w:p>
    <w:p w14:paraId="144B755D">
      <w:pPr>
        <w:pStyle w:val="11"/>
        <w:numPr>
          <w:ilvl w:val="0"/>
          <w:numId w:val="23"/>
        </w:numPr>
        <w:ind w:left="0" w:leftChars="0" w:firstLine="480" w:firstLineChars="0"/>
        <w:rPr>
          <w:b w:val="0"/>
          <w:color w:val="000000"/>
        </w:rPr>
      </w:pPr>
      <w:r>
        <w:rPr>
          <w:color w:val="000000"/>
        </w:rPr>
        <w:t xml:space="preserve">如因磋商供应商只填写和提供了本文件要求的部分内容和附件，而给磋商小组评审造成困难，其可能导致的结果和责任由磋商供应商自行承担。 </w:t>
      </w:r>
    </w:p>
    <w:p w14:paraId="2E55126E">
      <w:pPr>
        <w:pStyle w:val="11"/>
        <w:numPr>
          <w:ilvl w:val="0"/>
          <w:numId w:val="23"/>
        </w:numPr>
        <w:ind w:left="0" w:leftChars="0" w:firstLine="480" w:firstLineChars="0"/>
        <w:rPr>
          <w:b w:val="0"/>
          <w:color w:val="000000"/>
        </w:rPr>
      </w:pPr>
      <w:r>
        <w:rPr>
          <w:color w:val="000000"/>
        </w:rPr>
        <w:t xml:space="preserve">竞争性磋商响应文件的组成：竞争性磋商响应文件应分为资格审查文件、商务文件和技术文件三个部分组成。 </w:t>
      </w:r>
    </w:p>
    <w:p w14:paraId="2906BCF9">
      <w:pPr>
        <w:pStyle w:val="3"/>
        <w:numPr>
          <w:ilvl w:val="0"/>
          <w:numId w:val="11"/>
        </w:numPr>
        <w:tabs>
          <w:tab w:val="clear" w:pos="482"/>
        </w:tabs>
        <w:ind w:left="0" w:leftChars="0" w:firstLine="482" w:firstLineChars="0"/>
      </w:pPr>
      <w:r>
        <w:t>计量单位</w:t>
      </w:r>
    </w:p>
    <w:p w14:paraId="08BF59AF">
      <w:pPr>
        <w:pStyle w:val="11"/>
        <w:rPr>
          <w:color w:val="000000"/>
        </w:rPr>
      </w:pPr>
      <w:r>
        <w:rPr>
          <w:color w:val="000000"/>
        </w:rPr>
        <w:t>10.1除技术要求中另有规定外，本文件所要求使用的计量单位均应采用国家法定计量单位。</w:t>
      </w:r>
    </w:p>
    <w:p w14:paraId="2A27BCB9">
      <w:pPr>
        <w:pStyle w:val="3"/>
        <w:numPr>
          <w:ilvl w:val="0"/>
          <w:numId w:val="11"/>
        </w:numPr>
        <w:tabs>
          <w:tab w:val="clear" w:pos="482"/>
        </w:tabs>
        <w:ind w:left="0" w:leftChars="0" w:firstLine="482" w:firstLineChars="0"/>
        <w:rPr>
          <w:b/>
          <w:color w:val="000000"/>
        </w:rPr>
      </w:pPr>
      <w:r>
        <w:t>响应</w:t>
      </w:r>
      <w:r>
        <w:rPr>
          <w:b/>
          <w:color w:val="000000"/>
        </w:rPr>
        <w:t>文件有效期</w:t>
      </w:r>
    </w:p>
    <w:p w14:paraId="2B3ED28D">
      <w:pPr>
        <w:pStyle w:val="11"/>
        <w:numPr>
          <w:ilvl w:val="0"/>
          <w:numId w:val="24"/>
        </w:numPr>
        <w:ind w:left="0" w:leftChars="0" w:firstLine="480" w:firstLineChars="0"/>
        <w:rPr>
          <w:b w:val="0"/>
          <w:color w:val="000000"/>
        </w:rPr>
      </w:pPr>
      <w:r>
        <w:rPr>
          <w:color w:val="000000"/>
        </w:rPr>
        <w:t>响应文件有效期按须知前附表规定的期限，有效期不足的响应文件按无效处理。</w:t>
      </w:r>
    </w:p>
    <w:p w14:paraId="380BF1FE">
      <w:pPr>
        <w:pStyle w:val="11"/>
        <w:numPr>
          <w:ilvl w:val="0"/>
          <w:numId w:val="24"/>
        </w:numPr>
        <w:ind w:left="0" w:leftChars="0" w:firstLine="480" w:firstLineChars="0"/>
        <w:rPr>
          <w:b w:val="0"/>
          <w:color w:val="000000"/>
        </w:rPr>
      </w:pPr>
      <w:bookmarkStart w:id="47" w:name="_Toc254970540"/>
      <w:bookmarkStart w:id="48" w:name="_Toc254970681"/>
      <w:r>
        <w:rPr>
          <w:color w:val="000000"/>
        </w:rPr>
        <w:t>未成交的响应文件有效期内均应保持有效。</w:t>
      </w:r>
      <w:bookmarkEnd w:id="47"/>
      <w:bookmarkEnd w:id="48"/>
    </w:p>
    <w:p w14:paraId="331F5137">
      <w:pPr>
        <w:pStyle w:val="11"/>
        <w:numPr>
          <w:ilvl w:val="0"/>
          <w:numId w:val="24"/>
        </w:numPr>
        <w:ind w:left="0" w:leftChars="0" w:firstLine="480" w:firstLineChars="0"/>
        <w:rPr>
          <w:b w:val="0"/>
          <w:color w:val="000000"/>
        </w:rPr>
      </w:pPr>
      <w:r>
        <w:rPr>
          <w:color w:val="000000"/>
        </w:rPr>
        <w:t>成交供应商的响应文件自响应文件递交截止之日起至合同履行完毕止均应保持有效。</w:t>
      </w:r>
    </w:p>
    <w:p w14:paraId="7171DB91">
      <w:pPr>
        <w:pStyle w:val="3"/>
        <w:numPr>
          <w:ilvl w:val="0"/>
          <w:numId w:val="11"/>
        </w:numPr>
        <w:tabs>
          <w:tab w:val="clear" w:pos="482"/>
        </w:tabs>
        <w:ind w:left="0" w:leftChars="0" w:firstLine="482" w:firstLineChars="0"/>
        <w:rPr>
          <w:b/>
          <w:color w:val="000000"/>
        </w:rPr>
      </w:pPr>
      <w:r>
        <w:t>磋商</w:t>
      </w:r>
      <w:r>
        <w:rPr>
          <w:b/>
          <w:color w:val="000000"/>
        </w:rPr>
        <w:t>保证金</w:t>
      </w:r>
    </w:p>
    <w:p w14:paraId="0769A59E">
      <w:pPr>
        <w:pStyle w:val="11"/>
        <w:numPr>
          <w:ilvl w:val="0"/>
          <w:numId w:val="25"/>
        </w:numPr>
        <w:ind w:left="0" w:leftChars="0" w:firstLine="480" w:firstLineChars="0"/>
        <w:rPr>
          <w:b w:val="0"/>
          <w:color w:val="000000"/>
        </w:rPr>
      </w:pPr>
      <w:r>
        <w:rPr>
          <w:color w:val="000000"/>
        </w:rPr>
        <w:t>供应商必须按须知前附表的规定交纳磋商保证金，否则，其响应文件按无效响应处理。</w:t>
      </w:r>
    </w:p>
    <w:p w14:paraId="27F73E8A">
      <w:pPr>
        <w:pStyle w:val="11"/>
        <w:numPr>
          <w:ilvl w:val="0"/>
          <w:numId w:val="25"/>
        </w:numPr>
        <w:ind w:left="0" w:leftChars="0" w:firstLine="480" w:firstLineChars="0"/>
        <w:rPr>
          <w:b w:val="0"/>
          <w:color w:val="000000"/>
        </w:rPr>
      </w:pPr>
      <w:r>
        <w:rPr>
          <w:color w:val="000000"/>
        </w:rPr>
        <w:t>磋商保证金交纳方式：按须知前附表的规定。</w:t>
      </w:r>
    </w:p>
    <w:p w14:paraId="5163E597">
      <w:pPr>
        <w:pStyle w:val="11"/>
        <w:numPr>
          <w:ilvl w:val="0"/>
          <w:numId w:val="25"/>
        </w:numPr>
        <w:ind w:left="0" w:leftChars="0" w:firstLine="480" w:firstLineChars="0"/>
        <w:rPr>
          <w:b w:val="0"/>
          <w:color w:val="000000"/>
        </w:rPr>
      </w:pPr>
      <w:r>
        <w:rPr>
          <w:color w:val="000000"/>
        </w:rPr>
        <w:t>磋商保证金交纳截止时间：按须知前附表的规定。</w:t>
      </w:r>
    </w:p>
    <w:p w14:paraId="235DA851">
      <w:pPr>
        <w:pStyle w:val="11"/>
        <w:numPr>
          <w:ilvl w:val="0"/>
          <w:numId w:val="25"/>
        </w:numPr>
        <w:ind w:left="0" w:leftChars="0" w:firstLine="480" w:firstLineChars="0"/>
        <w:rPr>
          <w:b w:val="0"/>
          <w:color w:val="000000"/>
        </w:rPr>
      </w:pPr>
      <w:r>
        <w:rPr>
          <w:color w:val="000000"/>
        </w:rPr>
        <w:t>磋商保证金：详见须知前附表。</w:t>
      </w:r>
    </w:p>
    <w:p w14:paraId="7EDF76F2">
      <w:pPr>
        <w:pStyle w:val="11"/>
        <w:numPr>
          <w:ilvl w:val="0"/>
          <w:numId w:val="25"/>
        </w:numPr>
        <w:ind w:left="0" w:leftChars="0" w:firstLine="480" w:firstLineChars="0"/>
        <w:rPr>
          <w:b w:val="0"/>
          <w:color w:val="000000"/>
        </w:rPr>
      </w:pPr>
      <w:r>
        <w:rPr>
          <w:color w:val="000000"/>
        </w:rPr>
        <w:t>磋商保证金的退还均以转账形式退回到供应商银行账户。</w:t>
      </w:r>
    </w:p>
    <w:p w14:paraId="320B5B66">
      <w:pPr>
        <w:pStyle w:val="11"/>
        <w:numPr>
          <w:ilvl w:val="0"/>
          <w:numId w:val="25"/>
        </w:numPr>
        <w:ind w:left="0" w:leftChars="0" w:firstLine="480" w:firstLineChars="0"/>
        <w:rPr>
          <w:b w:val="0"/>
          <w:color w:val="000000"/>
        </w:rPr>
      </w:pPr>
      <w:r>
        <w:rPr>
          <w:color w:val="000000"/>
        </w:rPr>
        <w:t>有下列情形之一的，磋商保证金不予退还：</w:t>
      </w:r>
    </w:p>
    <w:p w14:paraId="5604B58E">
      <w:pPr>
        <w:pStyle w:val="11"/>
        <w:numPr>
          <w:ilvl w:val="0"/>
          <w:numId w:val="26"/>
        </w:numPr>
        <w:ind w:left="0" w:leftChars="0" w:firstLine="480" w:firstLineChars="0"/>
        <w:rPr>
          <w:b w:val="0"/>
          <w:color w:val="000000"/>
        </w:rPr>
      </w:pPr>
      <w:r>
        <w:rPr>
          <w:color w:val="000000"/>
        </w:rPr>
        <w:t xml:space="preserve">供应商在提交响应文件截止时间后撤回响应文件的； </w:t>
      </w:r>
    </w:p>
    <w:p w14:paraId="57FCE81E">
      <w:pPr>
        <w:pStyle w:val="11"/>
        <w:numPr>
          <w:ilvl w:val="0"/>
          <w:numId w:val="26"/>
        </w:numPr>
        <w:ind w:left="0" w:leftChars="0" w:firstLine="480" w:firstLineChars="0"/>
        <w:rPr>
          <w:b w:val="0"/>
          <w:color w:val="000000"/>
        </w:rPr>
      </w:pPr>
      <w:r>
        <w:rPr>
          <w:color w:val="000000"/>
        </w:rPr>
        <w:t>供应商在响应文件中提供虚假材料的；</w:t>
      </w:r>
    </w:p>
    <w:p w14:paraId="7A01B46A">
      <w:pPr>
        <w:pStyle w:val="11"/>
        <w:numPr>
          <w:ilvl w:val="0"/>
          <w:numId w:val="26"/>
        </w:numPr>
        <w:ind w:left="0" w:leftChars="0" w:firstLine="480" w:firstLineChars="0"/>
        <w:rPr>
          <w:b w:val="0"/>
          <w:color w:val="000000"/>
        </w:rPr>
      </w:pPr>
      <w:r>
        <w:rPr>
          <w:color w:val="000000"/>
        </w:rPr>
        <w:t>除因不可抗力或磋商文件认可的情形以外，成交供应商不与采购人签订合同的；</w:t>
      </w:r>
    </w:p>
    <w:p w14:paraId="33A9771C">
      <w:pPr>
        <w:pStyle w:val="11"/>
        <w:numPr>
          <w:ilvl w:val="0"/>
          <w:numId w:val="26"/>
        </w:numPr>
        <w:ind w:left="0" w:leftChars="0" w:firstLine="480" w:firstLineChars="0"/>
        <w:rPr>
          <w:b w:val="0"/>
          <w:color w:val="000000"/>
        </w:rPr>
      </w:pPr>
      <w:r>
        <w:rPr>
          <w:color w:val="000000"/>
        </w:rPr>
        <w:t>供应商与采购人、其他供应商或者采购代理机构恶意串通的；</w:t>
      </w:r>
    </w:p>
    <w:p w14:paraId="5D10B749">
      <w:pPr>
        <w:pStyle w:val="11"/>
        <w:numPr>
          <w:ilvl w:val="0"/>
          <w:numId w:val="26"/>
        </w:numPr>
        <w:ind w:left="0" w:leftChars="0" w:firstLine="480" w:firstLineChars="0"/>
        <w:rPr>
          <w:b w:val="0"/>
          <w:color w:val="000000"/>
        </w:rPr>
      </w:pPr>
      <w:r>
        <w:rPr>
          <w:color w:val="000000"/>
        </w:rPr>
        <w:t>法律法规规定的其他情形。</w:t>
      </w:r>
    </w:p>
    <w:p w14:paraId="31BA8C48">
      <w:pPr>
        <w:pStyle w:val="3"/>
        <w:numPr>
          <w:ilvl w:val="0"/>
          <w:numId w:val="11"/>
        </w:numPr>
        <w:tabs>
          <w:tab w:val="clear" w:pos="482"/>
        </w:tabs>
        <w:ind w:left="0" w:leftChars="0" w:firstLine="482" w:firstLineChars="0"/>
        <w:rPr>
          <w:b/>
          <w:color w:val="000000"/>
        </w:rPr>
      </w:pPr>
      <w:r>
        <w:rPr>
          <w:b/>
          <w:color w:val="000000"/>
        </w:rPr>
        <w:t>磋</w:t>
      </w:r>
      <w:r>
        <w:rPr>
          <w:rFonts w:ascii="Times New Roman" w:hAnsi="Times New Roman" w:eastAsia="宋体" w:cs="Times New Roman"/>
          <w:b/>
          <w:kern w:val="2"/>
          <w:sz w:val="24"/>
        </w:rPr>
        <w:t>商</w:t>
      </w:r>
      <w:r>
        <w:rPr>
          <w:b/>
          <w:color w:val="000000"/>
        </w:rPr>
        <w:t>报价要求</w:t>
      </w:r>
      <w:r>
        <w:rPr>
          <w:color w:val="000000"/>
        </w:rPr>
        <w:t>：见本须知前附表。</w:t>
      </w:r>
    </w:p>
    <w:p w14:paraId="7BFD0B5F">
      <w:pPr>
        <w:pStyle w:val="3"/>
        <w:numPr>
          <w:ilvl w:val="0"/>
          <w:numId w:val="11"/>
        </w:numPr>
        <w:tabs>
          <w:tab w:val="clear" w:pos="482"/>
        </w:tabs>
        <w:ind w:left="0" w:leftChars="0" w:firstLine="482" w:firstLineChars="0"/>
        <w:rPr>
          <w:b/>
          <w:color w:val="000000"/>
        </w:rPr>
      </w:pPr>
      <w:r>
        <w:rPr>
          <w:b/>
          <w:color w:val="000000"/>
        </w:rPr>
        <w:t>响应文件的份数、封装</w:t>
      </w:r>
    </w:p>
    <w:p w14:paraId="7623666F">
      <w:pPr>
        <w:pStyle w:val="11"/>
        <w:numPr>
          <w:ilvl w:val="0"/>
          <w:numId w:val="27"/>
        </w:numPr>
        <w:ind w:left="0" w:leftChars="0" w:firstLine="480" w:firstLineChars="0"/>
        <w:rPr>
          <w:b w:val="0"/>
          <w:color w:val="000000"/>
        </w:rPr>
      </w:pPr>
      <w:r>
        <w:rPr>
          <w:color w:val="000000"/>
        </w:rPr>
        <w:t>磋商响应文件的封装</w:t>
      </w:r>
    </w:p>
    <w:p w14:paraId="1CB70441">
      <w:pPr>
        <w:pStyle w:val="11"/>
        <w:numPr>
          <w:ilvl w:val="0"/>
          <w:numId w:val="28"/>
        </w:numPr>
        <w:ind w:left="0" w:leftChars="0" w:firstLine="480" w:firstLineChars="0"/>
        <w:rPr>
          <w:b w:val="0"/>
          <w:color w:val="000000"/>
        </w:rPr>
      </w:pPr>
      <w:r>
        <w:rPr>
          <w:color w:val="000000"/>
        </w:rPr>
        <w:t>电子磋商响应文件中须加盖供应商公章部分均采用 CA 签章，并根据“政府采购项目电子交易管理操作指南-供应商”及本竞争性磋商文件规定的格式和顺序编制电子磋商响应文件并进行关联定位，以便磋商小组在评审时，点击评分项可直接定位到该评分项内容。如对竞争性磋商文件的某项要求，供应商的电子磋商响应文件未能关联定位提供相应的内容与其对应，则磋商小组在评审时如做出对供应商不利的评审由供应商自行承担。电子磋商响应文件如内容不完整、编排混乱导致磋商响应文件被误读、 漏读，或者在按竞争性磋商文件规定的部位查找不到相关内容的，由供应商自行承担。</w:t>
      </w:r>
    </w:p>
    <w:p w14:paraId="02332B1B">
      <w:pPr>
        <w:pStyle w:val="11"/>
        <w:numPr>
          <w:ilvl w:val="0"/>
          <w:numId w:val="28"/>
        </w:numPr>
        <w:ind w:left="0" w:leftChars="0" w:firstLine="480" w:firstLineChars="0"/>
        <w:rPr>
          <w:b w:val="0"/>
          <w:color w:val="000000"/>
        </w:rPr>
      </w:pPr>
      <w:r>
        <w:rPr>
          <w:color w:val="000000"/>
        </w:rPr>
        <w:t>CA 签章上目前没有法人（负责人）或授权代表签字信息，供应商在磋商响应文件中涉及到签字的位置线下签好字然后扫描或者拍照做成PDF的格式即可。</w:t>
      </w:r>
    </w:p>
    <w:p w14:paraId="6D2424C2">
      <w:pPr>
        <w:pStyle w:val="11"/>
        <w:numPr>
          <w:ilvl w:val="0"/>
          <w:numId w:val="27"/>
        </w:numPr>
        <w:ind w:left="0" w:leftChars="0" w:firstLine="480" w:firstLineChars="0"/>
        <w:rPr>
          <w:b w:val="0"/>
          <w:color w:val="000000"/>
        </w:rPr>
      </w:pPr>
      <w:r>
        <w:rPr>
          <w:color w:val="000000"/>
        </w:rPr>
        <w:t>磋商响应文件不得涂改，若有修改错漏处，须法定代表人（负责人）或授权委托人签字。磋商响应文件因字迹潦草或表达不清所引起的后果由供应商负责。</w:t>
      </w:r>
    </w:p>
    <w:p w14:paraId="7BCCFD84">
      <w:pPr>
        <w:pStyle w:val="3"/>
        <w:numPr>
          <w:ilvl w:val="0"/>
          <w:numId w:val="11"/>
        </w:numPr>
        <w:tabs>
          <w:tab w:val="clear" w:pos="482"/>
        </w:tabs>
        <w:ind w:left="0" w:leftChars="0" w:firstLine="482" w:firstLineChars="0"/>
        <w:rPr>
          <w:b/>
          <w:color w:val="000000"/>
        </w:rPr>
      </w:pPr>
      <w:r>
        <w:rPr>
          <w:b/>
          <w:color w:val="000000"/>
        </w:rPr>
        <w:t>响应文件的递交</w:t>
      </w:r>
    </w:p>
    <w:p w14:paraId="730229FA">
      <w:pPr>
        <w:pStyle w:val="11"/>
        <w:numPr>
          <w:ilvl w:val="0"/>
          <w:numId w:val="29"/>
        </w:numPr>
        <w:ind w:left="0" w:leftChars="0" w:firstLine="480" w:firstLineChars="0"/>
        <w:rPr>
          <w:b w:val="0"/>
          <w:color w:val="000000"/>
        </w:rPr>
      </w:pPr>
      <w:r>
        <w:rPr>
          <w:color w:val="000000"/>
        </w:rPr>
        <w:t>所有竞争性磋商响应文件应于竞争性磋商文件中规定的时间前上传递交至政采云平台。</w:t>
      </w:r>
    </w:p>
    <w:p w14:paraId="60AC7614">
      <w:pPr>
        <w:pStyle w:val="11"/>
        <w:numPr>
          <w:ilvl w:val="0"/>
          <w:numId w:val="29"/>
        </w:numPr>
        <w:ind w:left="0" w:leftChars="0" w:firstLine="480" w:firstLineChars="0"/>
        <w:rPr>
          <w:b w:val="0"/>
          <w:color w:val="000000"/>
        </w:rPr>
      </w:pPr>
      <w:r>
        <w:rPr>
          <w:color w:val="000000"/>
        </w:rPr>
        <w:t xml:space="preserve">竞争性磋商响应文件从响应文件递交截止日期后60天内有效。  </w:t>
      </w:r>
    </w:p>
    <w:p w14:paraId="77776321">
      <w:pPr>
        <w:pStyle w:val="11"/>
        <w:numPr>
          <w:ilvl w:val="0"/>
          <w:numId w:val="0"/>
        </w:numPr>
        <w:ind w:left="480" w:leftChars="0"/>
        <w:rPr>
          <w:b/>
          <w:color w:val="000000"/>
        </w:rPr>
      </w:pPr>
      <w:r>
        <w:rPr>
          <w:b/>
          <w:color w:val="000000"/>
        </w:rPr>
        <w:t>电子响应文件的相关说明</w:t>
      </w:r>
    </w:p>
    <w:p w14:paraId="77BAE903">
      <w:pPr>
        <w:pStyle w:val="11"/>
        <w:numPr>
          <w:ilvl w:val="0"/>
          <w:numId w:val="30"/>
        </w:numPr>
        <w:topLinePunct w:val="0"/>
        <w:ind w:left="0" w:leftChars="0" w:firstLine="482" w:firstLineChars="0"/>
        <w:rPr>
          <w:b/>
          <w:color w:val="000000"/>
        </w:rPr>
      </w:pPr>
      <w:r>
        <w:rPr>
          <w:b/>
          <w:color w:val="000000"/>
        </w:rPr>
        <w:t>供应商进行电子投标应安装客户端软件，并按照竞争性磋商文件和电子交易平台的要求编制并加密磋商响应文件。供应商未按规定加密的磋商响应文件，电子交易平台将拒收。供应商应当在磋商截止时间前完成磋商响应文件的传输递交，并可以补充、修改或者撤回磋商响应文件。补充或者修改磋商响应文件的，应当先行撤回原文件，补充、修改后重新传输递交。磋商截止时间前未完成传输的，视为撤回磋商响应文件。磋商截止时间后递交的磋商响应文件，电子交易平台将拒收。</w:t>
      </w:r>
    </w:p>
    <w:p w14:paraId="1F510085">
      <w:pPr>
        <w:pStyle w:val="11"/>
        <w:numPr>
          <w:ilvl w:val="0"/>
          <w:numId w:val="30"/>
        </w:numPr>
        <w:topLinePunct w:val="0"/>
        <w:ind w:left="0" w:leftChars="0" w:firstLine="482" w:firstLineChars="0"/>
        <w:rPr>
          <w:b/>
          <w:color w:val="000000"/>
        </w:rPr>
      </w:pPr>
      <w:r>
        <w:rPr>
          <w:b/>
          <w:color w:val="000000"/>
        </w:rPr>
        <w:t>如有特殊情况，采购代理机构延长截止时间和开标时间，采购代理机构和供应商的权利和义务将受到新的截止时间和开标时间的约束。</w:t>
      </w:r>
    </w:p>
    <w:p w14:paraId="3CDAA722">
      <w:pPr>
        <w:pStyle w:val="3"/>
        <w:numPr>
          <w:ilvl w:val="0"/>
          <w:numId w:val="11"/>
        </w:numPr>
        <w:tabs>
          <w:tab w:val="clear" w:pos="482"/>
        </w:tabs>
        <w:ind w:left="0" w:leftChars="0" w:firstLine="482" w:firstLineChars="0"/>
        <w:rPr>
          <w:b/>
          <w:color w:val="000000"/>
        </w:rPr>
      </w:pPr>
      <w:r>
        <w:rPr>
          <w:b/>
          <w:color w:val="000000"/>
        </w:rPr>
        <w:t>响应文件的补充、修改</w:t>
      </w:r>
    </w:p>
    <w:p w14:paraId="7FDE9817">
      <w:pPr>
        <w:pStyle w:val="11"/>
        <w:rPr>
          <w:color w:val="000000"/>
        </w:rPr>
      </w:pPr>
      <w:r>
        <w:rPr>
          <w:color w:val="000000"/>
        </w:rPr>
        <w:t>供应商在提交响应文件截止时间前，可以对所提交的响应文件进行补充、修改或者撤回，并书面通知采购人、采购代理机构。补充、修改的内容作为响应文件的组成部分。补充、修改的内容与响应文件不一致的，以补充、修改的内容为准。</w:t>
      </w:r>
    </w:p>
    <w:p w14:paraId="1B491C42">
      <w:pPr>
        <w:pStyle w:val="3"/>
        <w:numPr>
          <w:ilvl w:val="0"/>
          <w:numId w:val="11"/>
        </w:numPr>
        <w:tabs>
          <w:tab w:val="clear" w:pos="482"/>
        </w:tabs>
        <w:ind w:left="0" w:leftChars="0" w:firstLine="482" w:firstLineChars="0"/>
        <w:rPr>
          <w:b/>
          <w:color w:val="000000"/>
        </w:rPr>
      </w:pPr>
      <w:r>
        <w:rPr>
          <w:b/>
          <w:color w:val="000000"/>
        </w:rPr>
        <w:t>迟交的响应文件</w:t>
      </w:r>
    </w:p>
    <w:p w14:paraId="23205449">
      <w:pPr>
        <w:pStyle w:val="11"/>
        <w:rPr>
          <w:color w:val="000000"/>
        </w:rPr>
      </w:pPr>
      <w:r>
        <w:rPr>
          <w:color w:val="000000"/>
        </w:rPr>
        <w:t>采购代理机构拒绝在其规定的递交响应文件截止时间之后收到的任何响应文件。</w:t>
      </w:r>
    </w:p>
    <w:p w14:paraId="2950F2DC">
      <w:pPr>
        <w:pStyle w:val="11"/>
        <w:rPr>
          <w:color w:val="000000"/>
        </w:rPr>
      </w:pPr>
      <w:r>
        <w:rPr>
          <w:color w:val="000000"/>
        </w:rPr>
        <w:t>供应商应认真阅读、并充分理解本文件的全部内容（包括所有的补充、修改内容），承诺并履行本文件中各项条款规定及要求。</w:t>
      </w:r>
    </w:p>
    <w:p w14:paraId="776E74FE">
      <w:pPr>
        <w:pStyle w:val="11"/>
        <w:rPr>
          <w:color w:val="000000"/>
        </w:rPr>
      </w:pPr>
      <w:r>
        <w:rPr>
          <w:color w:val="000000"/>
        </w:rPr>
        <w:t>响应文件必须按本文件的全部内容，包括所有的补充通知及附件进行编制。</w:t>
      </w:r>
    </w:p>
    <w:p w14:paraId="67434592">
      <w:pPr>
        <w:pStyle w:val="11"/>
        <w:rPr>
          <w:color w:val="000000"/>
        </w:rPr>
      </w:pPr>
      <w:r>
        <w:rPr>
          <w:color w:val="000000"/>
        </w:rPr>
        <w:t>如因供应商只填写和提供了本文件要求的部分内容和附件，而给评审造成困难，其可能导致的结果和责任由供应商自行承担。</w:t>
      </w:r>
    </w:p>
    <w:p w14:paraId="4A8140A9">
      <w:pPr>
        <w:pStyle w:val="2"/>
        <w:numPr>
          <w:ilvl w:val="0"/>
          <w:numId w:val="10"/>
        </w:numPr>
        <w:tabs>
          <w:tab w:val="clear" w:pos="482"/>
        </w:tabs>
        <w:topLinePunct w:val="0"/>
        <w:ind w:left="0" w:leftChars="0" w:firstLine="0" w:firstLineChars="0"/>
        <w:rPr>
          <w:b/>
        </w:rPr>
      </w:pPr>
      <w:r>
        <w:t>响应文件评审程序</w:t>
      </w:r>
    </w:p>
    <w:p w14:paraId="45E352BF">
      <w:pPr>
        <w:pStyle w:val="3"/>
        <w:numPr>
          <w:ilvl w:val="0"/>
          <w:numId w:val="11"/>
        </w:numPr>
        <w:tabs>
          <w:tab w:val="clear" w:pos="482"/>
        </w:tabs>
        <w:ind w:left="0" w:leftChars="0" w:firstLine="482" w:firstLineChars="0"/>
        <w:rPr>
          <w:b/>
          <w:color w:val="000000"/>
        </w:rPr>
      </w:pPr>
      <w:r>
        <w:rPr>
          <w:b/>
          <w:color w:val="000000"/>
        </w:rPr>
        <w:t>磋商小组组建</w:t>
      </w:r>
    </w:p>
    <w:p w14:paraId="4B8D3B9C">
      <w:pPr>
        <w:pStyle w:val="11"/>
        <w:numPr>
          <w:ilvl w:val="0"/>
          <w:numId w:val="31"/>
        </w:numPr>
        <w:ind w:left="0" w:leftChars="0" w:firstLine="480" w:firstLineChars="0"/>
        <w:rPr>
          <w:b w:val="0"/>
          <w:color w:val="000000"/>
        </w:rPr>
      </w:pPr>
      <w:r>
        <w:t>成立磋商小组：磋商小组由采购人代表和评审专家共3人以上单数组成，具体人数见“供应商须知前附表”，其中评审专家人数不得少于磋商小组成员总数的2/3。采购人代表不得以评审专家身份参加本部门或本单位采购项目的评审。采购代理机构人员不得参加本机构代理的采购项目的评审。达到公开招标数额标准的货物或者服务采购项目，或者达到公开招标规模标准的政府采购工程，经批准采用竞争性磋商方式采购的，磋商小组由3人以上单数组成。</w:t>
      </w:r>
    </w:p>
    <w:p w14:paraId="219F6152">
      <w:pPr>
        <w:pStyle w:val="11"/>
        <w:numPr>
          <w:ilvl w:val="0"/>
          <w:numId w:val="31"/>
        </w:numPr>
        <w:ind w:left="0" w:leftChars="0" w:firstLine="480" w:firstLineChars="0"/>
        <w:rPr>
          <w:b w:val="0"/>
          <w:color w:val="000000"/>
        </w:rPr>
      </w:pPr>
      <w:r>
        <w:rPr>
          <w:color w:val="000000"/>
        </w:rPr>
        <w:t>评审专家应当从政府采购评审专家库内相关专业的专家名单中随机抽取。属于市场竞争不充分的科研项目，或需要扶持的科技成果转化项目，或情况特殊、通过随机方式难以确定合适的评审专家的项目，经主管预算单位同意，可以自行选定评审专家。技术复杂、专业性强的采购项目，评审专家中应当包含1名法律专家。</w:t>
      </w:r>
    </w:p>
    <w:p w14:paraId="18479465">
      <w:pPr>
        <w:pStyle w:val="3"/>
        <w:numPr>
          <w:ilvl w:val="0"/>
          <w:numId w:val="11"/>
        </w:numPr>
        <w:tabs>
          <w:tab w:val="clear" w:pos="482"/>
        </w:tabs>
        <w:ind w:left="0" w:leftChars="0" w:firstLine="482" w:firstLineChars="0"/>
        <w:rPr>
          <w:b/>
          <w:color w:val="000000"/>
        </w:rPr>
      </w:pPr>
      <w:r>
        <w:t>评审</w:t>
      </w:r>
      <w:r>
        <w:rPr>
          <w:b/>
          <w:color w:val="000000"/>
        </w:rPr>
        <w:t>程序</w:t>
      </w:r>
    </w:p>
    <w:p w14:paraId="1417FA05">
      <w:pPr>
        <w:pStyle w:val="11"/>
        <w:numPr>
          <w:ilvl w:val="0"/>
          <w:numId w:val="32"/>
        </w:numPr>
        <w:ind w:left="0" w:leftChars="0" w:firstLine="482" w:firstLineChars="0"/>
        <w:rPr>
          <w:b/>
          <w:color w:val="000000"/>
        </w:rPr>
      </w:pPr>
      <w:r>
        <w:rPr>
          <w:b/>
          <w:color w:val="000000"/>
        </w:rPr>
        <w:t>采购代理机构向磋商小组移交接收所有的响应文件。</w:t>
      </w:r>
    </w:p>
    <w:p w14:paraId="30B77323">
      <w:pPr>
        <w:pStyle w:val="11"/>
        <w:numPr>
          <w:ilvl w:val="0"/>
          <w:numId w:val="32"/>
        </w:numPr>
        <w:ind w:left="0" w:leftChars="0" w:firstLine="482" w:firstLineChars="0"/>
        <w:rPr>
          <w:b/>
          <w:color w:val="000000"/>
        </w:rPr>
      </w:pPr>
      <w:r>
        <w:rPr>
          <w:b/>
          <w:color w:val="000000"/>
        </w:rPr>
        <w:t>磋商小组评审响应文件</w:t>
      </w:r>
    </w:p>
    <w:p w14:paraId="390E9506">
      <w:pPr>
        <w:pStyle w:val="11"/>
        <w:rPr>
          <w:color w:val="000000"/>
        </w:rPr>
      </w:pPr>
      <w:r>
        <w:rPr>
          <w:color w:val="000000"/>
        </w:rPr>
        <w:t>磋商小组对供应商资格条件和响应文件的有效性、完整性和响应程度进行审查。对资格条件不符合的供应商或未实质性响应磋商文件的响应文件按无效响应处理，磋商小组应当告知有关供应商。</w:t>
      </w:r>
    </w:p>
    <w:p w14:paraId="628CDCCE">
      <w:pPr>
        <w:pStyle w:val="11"/>
        <w:numPr>
          <w:ilvl w:val="0"/>
          <w:numId w:val="32"/>
        </w:numPr>
        <w:ind w:left="0" w:leftChars="0" w:firstLine="482" w:firstLineChars="0"/>
        <w:rPr>
          <w:b/>
          <w:color w:val="000000"/>
        </w:rPr>
      </w:pPr>
      <w:r>
        <w:rPr>
          <w:b/>
          <w:color w:val="000000"/>
        </w:rPr>
        <w:t>澄清</w:t>
      </w:r>
    </w:p>
    <w:p w14:paraId="39A837F6">
      <w:pPr>
        <w:pStyle w:val="11"/>
        <w:rPr>
          <w:color w:val="000000"/>
        </w:rPr>
      </w:pPr>
      <w:r>
        <w:rPr>
          <w:color w:val="000000"/>
        </w:rPr>
        <w:t>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1F0089B8">
      <w:pPr>
        <w:pStyle w:val="11"/>
        <w:rPr>
          <w:color w:val="000000"/>
        </w:rPr>
      </w:pPr>
      <w:r>
        <w:rPr>
          <w:color w:val="000000"/>
        </w:rPr>
        <w:t>磋商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14:paraId="1CD0070F">
      <w:pPr>
        <w:pStyle w:val="11"/>
        <w:widowControl/>
        <w:numPr>
          <w:ilvl w:val="0"/>
          <w:numId w:val="32"/>
        </w:numPr>
        <w:ind w:left="0" w:leftChars="0" w:firstLine="482" w:firstLineChars="0"/>
        <w:rPr>
          <w:b/>
          <w:color w:val="000000"/>
        </w:rPr>
      </w:pPr>
      <w:r>
        <w:rPr>
          <w:b/>
          <w:color w:val="000000"/>
        </w:rPr>
        <w:t>磋商</w:t>
      </w:r>
    </w:p>
    <w:p w14:paraId="468D7CAB">
      <w:pPr>
        <w:pStyle w:val="11"/>
        <w:widowControl/>
        <w:numPr>
          <w:ilvl w:val="0"/>
          <w:numId w:val="33"/>
        </w:numPr>
        <w:tabs>
          <w:tab w:val="left" w:pos="0"/>
        </w:tabs>
        <w:ind w:left="0" w:leftChars="0" w:firstLine="480" w:firstLineChars="0"/>
        <w:rPr>
          <w:b w:val="0"/>
          <w:color w:val="000000"/>
        </w:rPr>
      </w:pPr>
      <w:r>
        <w:rPr>
          <w:color w:val="000000"/>
        </w:rPr>
        <w:t>磋商时间及地点：按须知前附表规定。</w:t>
      </w:r>
    </w:p>
    <w:p w14:paraId="6D002A1F">
      <w:pPr>
        <w:pStyle w:val="11"/>
        <w:widowControl/>
        <w:numPr>
          <w:ilvl w:val="0"/>
          <w:numId w:val="33"/>
        </w:numPr>
        <w:tabs>
          <w:tab w:val="left" w:pos="0"/>
        </w:tabs>
        <w:ind w:left="0" w:leftChars="0" w:firstLine="480" w:firstLineChars="0"/>
        <w:rPr>
          <w:b w:val="0"/>
          <w:color w:val="000000"/>
        </w:rPr>
      </w:pPr>
      <w:r>
        <w:rPr>
          <w:color w:val="000000"/>
        </w:rPr>
        <w:t>供应商参加需要携带的材料：按须知前附表规定。</w:t>
      </w:r>
    </w:p>
    <w:p w14:paraId="5A301E23">
      <w:pPr>
        <w:pStyle w:val="11"/>
        <w:widowControl/>
        <w:numPr>
          <w:ilvl w:val="0"/>
          <w:numId w:val="33"/>
        </w:numPr>
        <w:tabs>
          <w:tab w:val="left" w:pos="0"/>
        </w:tabs>
        <w:ind w:left="0" w:leftChars="0" w:firstLine="480" w:firstLineChars="0"/>
        <w:rPr>
          <w:b w:val="0"/>
          <w:color w:val="000000"/>
        </w:rPr>
      </w:pPr>
      <w:r>
        <w:rPr>
          <w:color w:val="000000"/>
        </w:rPr>
        <w:t>磋商小组按须知前附表规定的磋商顺序，集中与单一供应商分别进行磋商，并给予所有参加磋商的供应商平等的磋商机会。符合磋商资格的供应商未在规定时间内参加磋商的，视同放弃参加磋商权利，其响应文件作无效处理。</w:t>
      </w:r>
    </w:p>
    <w:p w14:paraId="628B3A74">
      <w:pPr>
        <w:pStyle w:val="11"/>
        <w:keepNext w:val="0"/>
        <w:keepLines w:val="0"/>
        <w:pageBreakBefore w:val="0"/>
        <w:widowControl/>
        <w:numPr>
          <w:ilvl w:val="0"/>
          <w:numId w:val="0"/>
        </w:numPr>
        <w:tabs>
          <w:tab w:val="left" w:pos="0"/>
        </w:tabs>
        <w:kinsoku/>
        <w:wordWrap/>
        <w:overflowPunct/>
        <w:topLinePunct w:val="0"/>
        <w:autoSpaceDE/>
        <w:autoSpaceDN/>
        <w:bidi w:val="0"/>
        <w:adjustRightInd/>
        <w:snapToGrid/>
        <w:ind w:left="0" w:leftChars="0" w:firstLine="480" w:firstLineChars="200"/>
        <w:textAlignment w:val="auto"/>
        <w:rPr>
          <w:color w:val="000000"/>
        </w:rPr>
      </w:pPr>
      <w:r>
        <w:rPr>
          <w:color w:val="000000"/>
        </w:rPr>
        <w:t>在磋商过程中，磋商小组可以根据磋商文件和磋商情况实质性变动采购需求中的技术、服务要求以及合同草案条款，但不得变动磋商文件中的其他内容。实质性变动的内容，须经采购人代表确认。</w:t>
      </w:r>
    </w:p>
    <w:p w14:paraId="4CE641A6">
      <w:pPr>
        <w:pStyle w:val="11"/>
        <w:keepNext w:val="0"/>
        <w:keepLines w:val="0"/>
        <w:pageBreakBefore w:val="0"/>
        <w:widowControl/>
        <w:numPr>
          <w:ilvl w:val="0"/>
          <w:numId w:val="0"/>
        </w:numPr>
        <w:tabs>
          <w:tab w:val="left" w:pos="0"/>
        </w:tabs>
        <w:kinsoku/>
        <w:wordWrap/>
        <w:overflowPunct/>
        <w:topLinePunct w:val="0"/>
        <w:autoSpaceDE/>
        <w:autoSpaceDN/>
        <w:bidi w:val="0"/>
        <w:adjustRightInd/>
        <w:snapToGrid/>
        <w:ind w:left="0" w:leftChars="0" w:firstLine="480" w:firstLineChars="200"/>
        <w:textAlignment w:val="auto"/>
        <w:rPr>
          <w:color w:val="000000"/>
        </w:rPr>
      </w:pPr>
      <w:r>
        <w:rPr>
          <w:color w:val="000000"/>
        </w:rPr>
        <w:t>对磋商文件作出的实质性变动是磋商文件的有效组成部分，磋商小组应当及时以书面形式同时通知所有参加磋商的供应商。</w:t>
      </w:r>
    </w:p>
    <w:p w14:paraId="0E1B2AA9">
      <w:pPr>
        <w:pStyle w:val="11"/>
        <w:keepNext w:val="0"/>
        <w:keepLines w:val="0"/>
        <w:pageBreakBefore w:val="0"/>
        <w:widowControl/>
        <w:numPr>
          <w:ilvl w:val="0"/>
          <w:numId w:val="0"/>
        </w:numPr>
        <w:tabs>
          <w:tab w:val="left" w:pos="0"/>
        </w:tabs>
        <w:kinsoku/>
        <w:wordWrap/>
        <w:overflowPunct/>
        <w:topLinePunct w:val="0"/>
        <w:autoSpaceDE/>
        <w:autoSpaceDN/>
        <w:bidi w:val="0"/>
        <w:adjustRightInd/>
        <w:snapToGrid/>
        <w:ind w:left="0" w:leftChars="0" w:firstLine="480" w:firstLineChars="200"/>
        <w:textAlignment w:val="auto"/>
        <w:rPr>
          <w:color w:val="000000"/>
        </w:rPr>
      </w:pPr>
      <w:r>
        <w:rPr>
          <w:color w:val="000000"/>
        </w:rPr>
        <w:t>供应商应当按照磋商文件的变动情况和磋商小组的要求重新提交响应文件，并由其法定代表人或授权代表签字或者加盖公章。由授权代表签字的，应当附法定代表人授权书。参加磋商的供应商未在规定时间内重新提交响应文件的，视同放弃提交权利，其响应文件作无效处理。</w:t>
      </w:r>
    </w:p>
    <w:p w14:paraId="2254F355">
      <w:pPr>
        <w:pStyle w:val="11"/>
        <w:keepNext w:val="0"/>
        <w:keepLines w:val="0"/>
        <w:pageBreakBefore w:val="0"/>
        <w:widowControl/>
        <w:numPr>
          <w:ilvl w:val="0"/>
          <w:numId w:val="0"/>
        </w:numPr>
        <w:tabs>
          <w:tab w:val="left" w:pos="0"/>
        </w:tabs>
        <w:kinsoku/>
        <w:wordWrap/>
        <w:overflowPunct/>
        <w:topLinePunct w:val="0"/>
        <w:autoSpaceDE/>
        <w:autoSpaceDN/>
        <w:bidi w:val="0"/>
        <w:adjustRightInd/>
        <w:snapToGrid/>
        <w:ind w:left="0" w:leftChars="0" w:firstLine="480" w:firstLineChars="200"/>
        <w:textAlignment w:val="auto"/>
        <w:rPr>
          <w:color w:val="000000"/>
        </w:rPr>
      </w:pPr>
      <w:r>
        <w:rPr>
          <w:color w:val="000000"/>
        </w:rPr>
        <w:t>磋商中，磋商的任何一方不得透露与磋商有关的其他供应商的技术资料、价格和其他信息。</w:t>
      </w:r>
    </w:p>
    <w:p w14:paraId="3826862B">
      <w:pPr>
        <w:pStyle w:val="11"/>
        <w:keepNext w:val="0"/>
        <w:keepLines w:val="0"/>
        <w:pageBreakBefore w:val="0"/>
        <w:widowControl/>
        <w:numPr>
          <w:ilvl w:val="0"/>
          <w:numId w:val="0"/>
        </w:numPr>
        <w:tabs>
          <w:tab w:val="left" w:pos="0"/>
        </w:tabs>
        <w:kinsoku/>
        <w:wordWrap/>
        <w:overflowPunct/>
        <w:topLinePunct w:val="0"/>
        <w:autoSpaceDE/>
        <w:autoSpaceDN/>
        <w:bidi w:val="0"/>
        <w:adjustRightInd/>
        <w:snapToGrid/>
        <w:ind w:left="0" w:leftChars="0" w:firstLine="480" w:firstLineChars="200"/>
        <w:textAlignment w:val="auto"/>
        <w:rPr>
          <w:color w:val="000000"/>
        </w:rPr>
      </w:pPr>
      <w:r>
        <w:rPr>
          <w:color w:val="000000"/>
        </w:rPr>
        <w:t>采购代理机构对磋商过程和重要磋商内容进行记录，磋商双方在记录上签字确认。</w:t>
      </w:r>
    </w:p>
    <w:p w14:paraId="00FE7621">
      <w:pPr>
        <w:pStyle w:val="11"/>
        <w:widowControl/>
        <w:numPr>
          <w:ilvl w:val="0"/>
          <w:numId w:val="0"/>
        </w:numPr>
        <w:tabs>
          <w:tab w:val="left" w:pos="0"/>
        </w:tabs>
        <w:ind w:left="480" w:leftChars="0"/>
        <w:rPr>
          <w:b/>
          <w:bCs w:val="0"/>
          <w:color w:val="000000"/>
        </w:rPr>
      </w:pPr>
      <w:r>
        <w:rPr>
          <w:b/>
          <w:bCs w:val="0"/>
          <w:color w:val="000000"/>
        </w:rPr>
        <w:t>特别说明：政采云公司如对电子化磋商及评审程序有调整的，按调整后的程序操作。</w:t>
      </w:r>
    </w:p>
    <w:p w14:paraId="0A9EDCD9">
      <w:pPr>
        <w:pStyle w:val="11"/>
        <w:keepNext w:val="0"/>
        <w:keepLines w:val="0"/>
        <w:pageBreakBefore w:val="0"/>
        <w:widowControl/>
        <w:numPr>
          <w:ilvl w:val="0"/>
          <w:numId w:val="0"/>
        </w:numPr>
        <w:tabs>
          <w:tab w:val="left" w:pos="0"/>
        </w:tabs>
        <w:kinsoku/>
        <w:wordWrap/>
        <w:overflowPunct/>
        <w:topLinePunct w:val="0"/>
        <w:autoSpaceDE/>
        <w:autoSpaceDN/>
        <w:bidi w:val="0"/>
        <w:adjustRightInd/>
        <w:snapToGrid/>
        <w:ind w:left="0" w:leftChars="0" w:firstLine="480" w:firstLineChars="200"/>
        <w:textAlignment w:val="auto"/>
        <w:rPr>
          <w:color w:val="000000"/>
        </w:rPr>
      </w:pPr>
      <w:r>
        <w:rPr>
          <w:color w:val="000000"/>
        </w:rPr>
        <w:t>澄清有关问题。对响应文件中含义不明确、同类问题表述不一致或者有明显文字和计算错误的内容，磋商小组可以书面形式（应当由磋商小组专家签字）要求供应商作出必要的澄清、说明或者纠正。供应商的澄清、说明或者纠正应当采用书面形式，由法定代表人或其委托代理人签字或盖章确认，且不得超出响应文件的范围或者改变响应文件的实质性内容。该澄清、说明或者纠正是响应文件的组成部分。</w:t>
      </w:r>
    </w:p>
    <w:p w14:paraId="03A0F65F">
      <w:pPr>
        <w:pStyle w:val="11"/>
        <w:numPr>
          <w:ilvl w:val="0"/>
          <w:numId w:val="33"/>
        </w:numPr>
        <w:tabs>
          <w:tab w:val="left" w:pos="0"/>
        </w:tabs>
        <w:ind w:left="0" w:leftChars="0" w:firstLine="480" w:firstLineChars="0"/>
        <w:rPr>
          <w:b w:val="0"/>
          <w:color w:val="000000"/>
        </w:rPr>
      </w:pPr>
      <w:r>
        <w:rPr>
          <w:color w:val="000000"/>
        </w:rPr>
        <w:t xml:space="preserve">确定参加磋商的供应商名单。磋商小组将所有通过资格性审查及符合性审查的供应商确定为参加磋商的供应商。 </w:t>
      </w:r>
    </w:p>
    <w:p w14:paraId="28CF7324">
      <w:pPr>
        <w:pStyle w:val="11"/>
        <w:numPr>
          <w:ilvl w:val="0"/>
          <w:numId w:val="33"/>
        </w:numPr>
        <w:tabs>
          <w:tab w:val="left" w:pos="0"/>
        </w:tabs>
        <w:ind w:left="0" w:leftChars="0" w:firstLine="480" w:firstLineChars="0"/>
        <w:rPr>
          <w:b w:val="0"/>
          <w:color w:val="000000"/>
        </w:rPr>
      </w:pPr>
      <w:r>
        <w:rPr>
          <w:color w:val="000000"/>
        </w:rPr>
        <w:t>采购过程中出现以下情形，导致电子交易平台无法正常运行，或者无法保证电子交易的公平、公正和安全时，采购组织机构可中止电子交易活动：</w:t>
      </w:r>
    </w:p>
    <w:p w14:paraId="619CACF9">
      <w:pPr>
        <w:pStyle w:val="11"/>
        <w:numPr>
          <w:ilvl w:val="0"/>
          <w:numId w:val="33"/>
        </w:numPr>
        <w:tabs>
          <w:tab w:val="left" w:pos="0"/>
        </w:tabs>
        <w:ind w:left="0" w:leftChars="0" w:firstLine="480" w:firstLineChars="0"/>
        <w:rPr>
          <w:b w:val="0"/>
          <w:color w:val="000000"/>
        </w:rPr>
      </w:pPr>
      <w:r>
        <w:rPr>
          <w:color w:val="000000"/>
        </w:rPr>
        <w:t xml:space="preserve">电子交易平台发生故障而无法登录访问的； </w:t>
      </w:r>
    </w:p>
    <w:p w14:paraId="3AFE2E02">
      <w:pPr>
        <w:pStyle w:val="11"/>
        <w:numPr>
          <w:ilvl w:val="0"/>
          <w:numId w:val="33"/>
        </w:numPr>
        <w:tabs>
          <w:tab w:val="left" w:pos="0"/>
        </w:tabs>
        <w:ind w:left="0" w:leftChars="0" w:firstLine="480" w:firstLineChars="0"/>
        <w:rPr>
          <w:b w:val="0"/>
          <w:color w:val="000000"/>
        </w:rPr>
      </w:pPr>
      <w:r>
        <w:rPr>
          <w:color w:val="000000"/>
        </w:rPr>
        <w:t>电子交易平台应用或数据库出现错误，不能进行正常操作的；</w:t>
      </w:r>
    </w:p>
    <w:p w14:paraId="61640D90">
      <w:pPr>
        <w:pStyle w:val="11"/>
        <w:numPr>
          <w:ilvl w:val="0"/>
          <w:numId w:val="33"/>
        </w:numPr>
        <w:tabs>
          <w:tab w:val="left" w:pos="0"/>
        </w:tabs>
        <w:ind w:left="0" w:leftChars="0" w:firstLine="480" w:firstLineChars="0"/>
        <w:rPr>
          <w:b w:val="0"/>
          <w:color w:val="000000"/>
        </w:rPr>
      </w:pPr>
      <w:r>
        <w:rPr>
          <w:color w:val="000000"/>
        </w:rPr>
        <w:t>电子交易平台发现严重安全漏洞，有潜在泄密危险的；</w:t>
      </w:r>
    </w:p>
    <w:p w14:paraId="616DFD56">
      <w:pPr>
        <w:pStyle w:val="11"/>
        <w:numPr>
          <w:ilvl w:val="0"/>
          <w:numId w:val="33"/>
        </w:numPr>
        <w:tabs>
          <w:tab w:val="left" w:pos="0"/>
        </w:tabs>
        <w:ind w:left="0" w:leftChars="0" w:firstLine="480" w:firstLineChars="0"/>
        <w:rPr>
          <w:b w:val="0"/>
          <w:color w:val="000000"/>
        </w:rPr>
      </w:pPr>
      <w:r>
        <w:rPr>
          <w:color w:val="000000"/>
        </w:rPr>
        <w:t xml:space="preserve">病毒发作导致不能进行正常操作的； </w:t>
      </w:r>
    </w:p>
    <w:p w14:paraId="48EBDB42">
      <w:pPr>
        <w:pStyle w:val="11"/>
        <w:numPr>
          <w:ilvl w:val="0"/>
          <w:numId w:val="33"/>
        </w:numPr>
        <w:tabs>
          <w:tab w:val="left" w:pos="0"/>
        </w:tabs>
        <w:ind w:left="0" w:leftChars="0" w:firstLine="480" w:firstLineChars="0"/>
        <w:rPr>
          <w:b w:val="0"/>
          <w:color w:val="000000"/>
        </w:rPr>
      </w:pPr>
      <w:r>
        <w:rPr>
          <w:color w:val="000000"/>
        </w:rPr>
        <w:t>其他无法保证电子交易的公平、公正和安全的情况。</w:t>
      </w:r>
    </w:p>
    <w:p w14:paraId="1EEFBB12">
      <w:pPr>
        <w:pStyle w:val="11"/>
        <w:numPr>
          <w:ilvl w:val="0"/>
          <w:numId w:val="33"/>
        </w:numPr>
        <w:tabs>
          <w:tab w:val="left" w:pos="0"/>
        </w:tabs>
        <w:ind w:left="0" w:leftChars="0" w:firstLine="480" w:firstLineChars="0"/>
        <w:rPr>
          <w:b w:val="0"/>
          <w:color w:val="000000"/>
        </w:rPr>
      </w:pPr>
      <w:r>
        <w:rPr>
          <w:color w:val="000000"/>
        </w:rPr>
        <w:t>出现前款规定情形，不影响采购公平、公正性的，采购组织机构可以待上述情形消除后继续组织电子交易活动，也可以决定某些环节以纸质形式进行；影响或可能影响采购公平、公正性的，应当重新采购。</w:t>
      </w:r>
    </w:p>
    <w:p w14:paraId="31A9CA87">
      <w:pPr>
        <w:pStyle w:val="11"/>
        <w:numPr>
          <w:ilvl w:val="0"/>
          <w:numId w:val="33"/>
        </w:numPr>
        <w:tabs>
          <w:tab w:val="left" w:pos="0"/>
        </w:tabs>
        <w:ind w:left="0" w:leftChars="0" w:firstLine="480" w:firstLineChars="0"/>
        <w:rPr>
          <w:b w:val="0"/>
          <w:color w:val="000000"/>
        </w:rPr>
      </w:pPr>
      <w:r>
        <w:rPr>
          <w:color w:val="000000"/>
        </w:rPr>
        <w:t>磋商小组对磋商资格条件及响应文件进行评审，并从符合竟争性磋商文件规定的相应资格条件的供应商名单中确定不少于3家的供应商参加磋商，符合财库〔2014〕214号《政府采购竞争性磋商采购方式管理暂行办法》第三条第一项（政府购买服务项目）情形的，确定不少于2家的供应商参加磋商。资格条件不符合的供应商或未实质性响应磋商文件的响应文件按无效响应处理，磋商小组应当告知有关供应商。</w:t>
      </w:r>
    </w:p>
    <w:p w14:paraId="53D87641">
      <w:pPr>
        <w:pStyle w:val="11"/>
        <w:widowControl/>
        <w:numPr>
          <w:ilvl w:val="0"/>
          <w:numId w:val="33"/>
        </w:numPr>
        <w:tabs>
          <w:tab w:val="left" w:pos="0"/>
        </w:tabs>
        <w:ind w:left="0" w:leftChars="0" w:firstLine="480" w:firstLineChars="0"/>
        <w:rPr>
          <w:color w:val="000000"/>
        </w:rPr>
      </w:pPr>
      <w:r>
        <w:rPr>
          <w:color w:val="000000"/>
        </w:rPr>
        <w:t>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374220EF">
      <w:pPr>
        <w:pStyle w:val="11"/>
        <w:widowControl/>
        <w:numPr>
          <w:ilvl w:val="0"/>
          <w:numId w:val="33"/>
        </w:numPr>
        <w:tabs>
          <w:tab w:val="left" w:pos="0"/>
        </w:tabs>
        <w:ind w:left="0" w:leftChars="0" w:firstLine="480" w:firstLineChars="0"/>
        <w:rPr>
          <w:rStyle w:val="28"/>
          <w:color w:val="000000"/>
        </w:rPr>
      </w:pPr>
      <w:r>
        <w:rPr>
          <w:color w:val="000000"/>
        </w:rPr>
        <w:t>磋商小组要求供应商澄清、说明或者更正响应文件应当在政采云在线评标系统向供应商发起在线询标澄清。供应商的澄清、说明或者更正应当由法定代表人或其授权代表签字或者加盖公章。由授权代表签字的，应当附法定代表人授权书。供应商为自然人的，应当由本人签字并附身份证明。</w:t>
      </w:r>
    </w:p>
    <w:p w14:paraId="55705C6C">
      <w:pPr>
        <w:pStyle w:val="11"/>
        <w:widowControl/>
        <w:numPr>
          <w:ilvl w:val="0"/>
          <w:numId w:val="0"/>
        </w:numPr>
        <w:tabs>
          <w:tab w:val="left" w:pos="0"/>
        </w:tabs>
        <w:ind w:left="480" w:leftChars="0"/>
        <w:rPr>
          <w:rStyle w:val="28"/>
          <w:color w:val="000000"/>
        </w:rPr>
      </w:pPr>
      <w:r>
        <w:rPr>
          <w:rStyle w:val="28"/>
          <w:color w:val="000000"/>
        </w:rPr>
        <w:t>磋商主要内容及程序：</w:t>
      </w:r>
    </w:p>
    <w:p w14:paraId="51441620">
      <w:pPr>
        <w:pStyle w:val="11"/>
        <w:numPr>
          <w:ilvl w:val="0"/>
          <w:numId w:val="34"/>
        </w:numPr>
        <w:ind w:left="0" w:leftChars="0" w:firstLine="480" w:firstLineChars="0"/>
        <w:rPr>
          <w:rStyle w:val="28"/>
          <w:b w:val="0"/>
          <w:color w:val="000000"/>
        </w:rPr>
      </w:pPr>
      <w:r>
        <w:rPr>
          <w:rStyle w:val="28"/>
          <w:color w:val="000000"/>
        </w:rPr>
        <w:t xml:space="preserve">就本项目各类报价进行磋商； </w:t>
      </w:r>
    </w:p>
    <w:p w14:paraId="1A839BDB">
      <w:pPr>
        <w:pStyle w:val="11"/>
        <w:numPr>
          <w:ilvl w:val="0"/>
          <w:numId w:val="34"/>
        </w:numPr>
        <w:ind w:left="0" w:leftChars="0" w:firstLine="480" w:firstLineChars="0"/>
        <w:rPr>
          <w:rStyle w:val="28"/>
          <w:b w:val="0"/>
          <w:color w:val="000000"/>
        </w:rPr>
      </w:pPr>
      <w:r>
        <w:rPr>
          <w:rStyle w:val="28"/>
          <w:color w:val="000000"/>
        </w:rPr>
        <w:t>就本项目的服务承诺进行磋商；</w:t>
      </w:r>
    </w:p>
    <w:p w14:paraId="768D0304">
      <w:pPr>
        <w:pStyle w:val="11"/>
        <w:numPr>
          <w:ilvl w:val="0"/>
          <w:numId w:val="34"/>
        </w:numPr>
        <w:ind w:left="0" w:leftChars="0" w:firstLine="480" w:firstLineChars="0"/>
        <w:rPr>
          <w:rStyle w:val="28"/>
          <w:b w:val="0"/>
          <w:color w:val="000000"/>
        </w:rPr>
      </w:pPr>
      <w:r>
        <w:rPr>
          <w:rStyle w:val="28"/>
          <w:color w:val="000000"/>
        </w:rPr>
        <w:t>就本项目的质量要求进行磋商并对其作出相关承诺。</w:t>
      </w:r>
    </w:p>
    <w:p w14:paraId="7D6D8022">
      <w:pPr>
        <w:pStyle w:val="11"/>
        <w:widowControl/>
        <w:numPr>
          <w:ilvl w:val="0"/>
          <w:numId w:val="33"/>
        </w:numPr>
        <w:tabs>
          <w:tab w:val="left" w:pos="0"/>
        </w:tabs>
        <w:ind w:left="0" w:leftChars="0" w:firstLine="480" w:firstLineChars="0"/>
        <w:rPr>
          <w:color w:val="000000"/>
        </w:rPr>
      </w:pPr>
      <w:r>
        <w:rPr>
          <w:rStyle w:val="28"/>
          <w:color w:val="000000"/>
        </w:rPr>
        <w:t>磋商评审在严格保密的情况下进行，磋商的任何一方不得透露与磋商有关的其他供应商的技术服务资料、价格和其他信息。</w:t>
      </w:r>
    </w:p>
    <w:p w14:paraId="78A71E19">
      <w:pPr>
        <w:pStyle w:val="11"/>
        <w:widowControl/>
        <w:numPr>
          <w:ilvl w:val="0"/>
          <w:numId w:val="32"/>
        </w:numPr>
        <w:ind w:left="0" w:leftChars="0" w:firstLine="482" w:firstLineChars="0"/>
        <w:rPr>
          <w:b/>
          <w:color w:val="000000"/>
        </w:rPr>
      </w:pPr>
      <w:r>
        <w:rPr>
          <w:b/>
          <w:color w:val="000000"/>
        </w:rPr>
        <w:t>最后报价</w:t>
      </w:r>
    </w:p>
    <w:p w14:paraId="42BFC000">
      <w:pPr>
        <w:pStyle w:val="11"/>
        <w:keepNext w:val="0"/>
        <w:keepLines w:val="0"/>
        <w:pageBreakBefore w:val="0"/>
        <w:widowControl/>
        <w:numPr>
          <w:ilvl w:val="0"/>
          <w:numId w:val="35"/>
        </w:numPr>
        <w:kinsoku/>
        <w:wordWrap/>
        <w:overflowPunct/>
        <w:topLinePunct w:val="0"/>
        <w:autoSpaceDE/>
        <w:autoSpaceDN/>
        <w:bidi w:val="0"/>
        <w:adjustRightInd/>
        <w:snapToGrid/>
        <w:ind w:left="0" w:leftChars="0" w:firstLine="480" w:firstLineChars="0"/>
        <w:textAlignment w:val="auto"/>
        <w:rPr>
          <w:color w:val="000000"/>
        </w:rPr>
      </w:pPr>
      <w:r>
        <w:rPr>
          <w:rFonts w:hint="eastAsia"/>
          <w:color w:val="000000"/>
          <w:lang w:eastAsia="zh-CN"/>
        </w:rPr>
        <w:t>（</w:t>
      </w:r>
      <w:r>
        <w:rPr>
          <w:rFonts w:hint="eastAsia"/>
          <w:color w:val="000000"/>
          <w:lang w:val="en-US" w:eastAsia="zh-CN"/>
        </w:rPr>
        <w:t>1</w:t>
      </w:r>
      <w:r>
        <w:rPr>
          <w:rFonts w:hint="eastAsia"/>
          <w:color w:val="000000"/>
          <w:lang w:eastAsia="zh-CN"/>
        </w:rPr>
        <w:t>）</w:t>
      </w:r>
      <w:r>
        <w:rPr>
          <w:color w:val="000000"/>
        </w:rPr>
        <w:t>采购组织机构在平台开启新一轮报价，供应商点击【报价】，参与报价。在报价页面填写最终报价、项目负责人等信息，生成报价文件。生成报价文件后，供应商需报价文件进行CA签章。</w:t>
      </w:r>
    </w:p>
    <w:p w14:paraId="5B2CF2E7">
      <w:pPr>
        <w:pStyle w:val="11"/>
        <w:numPr>
          <w:ilvl w:val="0"/>
          <w:numId w:val="36"/>
        </w:numPr>
        <w:topLinePunct w:val="0"/>
        <w:ind w:left="0" w:leftChars="0" w:firstLine="480" w:firstLineChars="0"/>
        <w:rPr>
          <w:b w:val="0"/>
        </w:rPr>
      </w:pPr>
      <w:r>
        <w:t>修改报价文件：生成报价文件后，报价栏内容都置灰，无法编辑，如供应商需要修改，可点击【重新编辑】，进行修改。</w:t>
      </w:r>
    </w:p>
    <w:p w14:paraId="4D3644EE">
      <w:pPr>
        <w:pStyle w:val="11"/>
        <w:numPr>
          <w:ilvl w:val="0"/>
          <w:numId w:val="36"/>
        </w:numPr>
        <w:topLinePunct w:val="0"/>
        <w:ind w:left="0" w:leftChars="0" w:firstLine="480" w:firstLineChars="0"/>
        <w:rPr>
          <w:b w:val="0"/>
        </w:rPr>
      </w:pPr>
      <w:r>
        <w:t>提交报价文件：确认报价文件后，点击右上角【提交】，提交报价文件。</w:t>
      </w:r>
    </w:p>
    <w:p w14:paraId="16A75E23">
      <w:pPr>
        <w:pStyle w:val="11"/>
        <w:widowControl/>
        <w:rPr>
          <w:b/>
          <w:color w:val="000000"/>
        </w:rPr>
      </w:pPr>
      <w:r>
        <w:rPr>
          <w:b/>
        </w:rPr>
        <w:t>注：本项目磋商采用二次报价（在线多轮报价（最终报价））方式，如磋商人的第二次报价有调整时，报价文件必须以工程量清单报价表的格式编制转为pdf格式作为附件上传系统。磋商人不得以总价下浮的方式做报价，否则作无效磋商处理。请各磋商人须提前做好相关准备并按时递交报价文件，报价高于本项目招标控制价的磋商响应文件将被拒绝。</w:t>
      </w:r>
    </w:p>
    <w:p w14:paraId="571815F5">
      <w:pPr>
        <w:pStyle w:val="11"/>
        <w:keepNext w:val="0"/>
        <w:keepLines w:val="0"/>
        <w:pageBreakBefore w:val="0"/>
        <w:widowControl/>
        <w:numPr>
          <w:ilvl w:val="0"/>
          <w:numId w:val="35"/>
        </w:numPr>
        <w:kinsoku/>
        <w:wordWrap/>
        <w:overflowPunct/>
        <w:topLinePunct w:val="0"/>
        <w:autoSpaceDE/>
        <w:autoSpaceDN/>
        <w:bidi w:val="0"/>
        <w:adjustRightInd/>
        <w:snapToGrid/>
        <w:ind w:left="0" w:leftChars="0" w:firstLine="480" w:firstLineChars="0"/>
        <w:textAlignment w:val="auto"/>
        <w:rPr>
          <w:b w:val="0"/>
          <w:color w:val="000000"/>
        </w:rPr>
      </w:pPr>
      <w:r>
        <w:rPr>
          <w:color w:val="000000"/>
        </w:rPr>
        <w:t>磋商文件能够详细列明采购标的的技术、服务要求的，磋商结束后，磋商小组应当要求所有继续参加磋商的供应商在规定时间内提交最终报价，提交最终报价的供应商不得少于3家。</w:t>
      </w:r>
    </w:p>
    <w:p w14:paraId="61882BC0">
      <w:pPr>
        <w:pStyle w:val="11"/>
        <w:keepNext w:val="0"/>
        <w:keepLines w:val="0"/>
        <w:pageBreakBefore w:val="0"/>
        <w:widowControl/>
        <w:numPr>
          <w:ilvl w:val="0"/>
          <w:numId w:val="35"/>
        </w:numPr>
        <w:kinsoku/>
        <w:wordWrap/>
        <w:overflowPunct/>
        <w:topLinePunct w:val="0"/>
        <w:autoSpaceDE/>
        <w:autoSpaceDN/>
        <w:bidi w:val="0"/>
        <w:adjustRightInd/>
        <w:snapToGrid/>
        <w:ind w:left="0" w:leftChars="0" w:firstLine="480" w:firstLineChars="0"/>
        <w:textAlignment w:val="auto"/>
        <w:rPr>
          <w:b w:val="0"/>
          <w:color w:val="000000"/>
        </w:rPr>
      </w:pPr>
      <w:r>
        <w:rPr>
          <w:color w:val="000000"/>
        </w:rPr>
        <w:t>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密封提交最后报价。供应商未在规定时间内提交最后报价的，视同放弃最后报价权利。</w:t>
      </w:r>
    </w:p>
    <w:p w14:paraId="0E73C831">
      <w:pPr>
        <w:pStyle w:val="11"/>
        <w:keepNext w:val="0"/>
        <w:keepLines w:val="0"/>
        <w:pageBreakBefore w:val="0"/>
        <w:widowControl/>
        <w:numPr>
          <w:ilvl w:val="0"/>
          <w:numId w:val="35"/>
        </w:numPr>
        <w:kinsoku/>
        <w:wordWrap/>
        <w:overflowPunct/>
        <w:topLinePunct w:val="0"/>
        <w:autoSpaceDE/>
        <w:autoSpaceDN/>
        <w:bidi w:val="0"/>
        <w:adjustRightInd/>
        <w:snapToGrid/>
        <w:ind w:left="0" w:leftChars="0" w:firstLine="480" w:firstLineChars="0"/>
        <w:textAlignment w:val="auto"/>
        <w:rPr>
          <w:b w:val="0"/>
          <w:color w:val="000000"/>
        </w:rPr>
      </w:pPr>
      <w:r>
        <w:rPr>
          <w:color w:val="000000"/>
        </w:rPr>
        <w:t>属于市场竞争不充分的科研项目，以及需要扶持的科技成果转化项目，提交最后报价的供应商可以为2家。</w:t>
      </w:r>
    </w:p>
    <w:p w14:paraId="57230550">
      <w:pPr>
        <w:pStyle w:val="11"/>
        <w:keepNext w:val="0"/>
        <w:keepLines w:val="0"/>
        <w:pageBreakBefore w:val="0"/>
        <w:widowControl/>
        <w:numPr>
          <w:ilvl w:val="0"/>
          <w:numId w:val="35"/>
        </w:numPr>
        <w:kinsoku/>
        <w:wordWrap/>
        <w:overflowPunct/>
        <w:topLinePunct w:val="0"/>
        <w:autoSpaceDE/>
        <w:autoSpaceDN/>
        <w:bidi w:val="0"/>
        <w:adjustRightInd/>
        <w:snapToGrid/>
        <w:ind w:left="0" w:leftChars="0" w:firstLine="480" w:firstLineChars="0"/>
        <w:textAlignment w:val="auto"/>
        <w:rPr>
          <w:b w:val="0"/>
          <w:color w:val="000000"/>
        </w:rPr>
      </w:pPr>
      <w:r>
        <w:rPr>
          <w:color w:val="000000"/>
        </w:rPr>
        <w:t>根据财库【2015】124号《财政部关于政府采购竞争性磋商采购方式有关问题的通知》的规定，采用竞争性磋商采购方式采购的政府购买服务项目（含政府和社会资本合作项目），在采购过程中符合要求的供应商（社会资本）只有2家的，竞争性磋商采购活动可以继续进行。采购过程中符合要求的供应商（社会资本）只有1家的，采购人（项目实施机构）或者采购代理机构应当终止竞争性磋商采购活动，发布项目终止公告并说明原因，重新开展采购活动。</w:t>
      </w:r>
    </w:p>
    <w:p w14:paraId="402CC021">
      <w:pPr>
        <w:pStyle w:val="11"/>
        <w:keepNext w:val="0"/>
        <w:keepLines w:val="0"/>
        <w:pageBreakBefore w:val="0"/>
        <w:widowControl/>
        <w:numPr>
          <w:ilvl w:val="0"/>
          <w:numId w:val="35"/>
        </w:numPr>
        <w:kinsoku/>
        <w:wordWrap/>
        <w:overflowPunct/>
        <w:topLinePunct w:val="0"/>
        <w:autoSpaceDE/>
        <w:autoSpaceDN/>
        <w:bidi w:val="0"/>
        <w:adjustRightInd/>
        <w:snapToGrid/>
        <w:ind w:left="0" w:leftChars="0" w:firstLine="480" w:firstLineChars="0"/>
        <w:textAlignment w:val="auto"/>
        <w:rPr>
          <w:b w:val="0"/>
          <w:color w:val="000000"/>
        </w:rPr>
      </w:pPr>
      <w:r>
        <w:rPr>
          <w:color w:val="000000"/>
        </w:rPr>
        <w:t>最后报价是供应商响应文件的有效组成部分。</w:t>
      </w:r>
    </w:p>
    <w:p w14:paraId="61DE9AC3">
      <w:pPr>
        <w:pStyle w:val="11"/>
        <w:keepNext w:val="0"/>
        <w:keepLines w:val="0"/>
        <w:pageBreakBefore w:val="0"/>
        <w:widowControl/>
        <w:numPr>
          <w:ilvl w:val="0"/>
          <w:numId w:val="35"/>
        </w:numPr>
        <w:kinsoku/>
        <w:wordWrap/>
        <w:overflowPunct/>
        <w:topLinePunct w:val="0"/>
        <w:autoSpaceDE/>
        <w:autoSpaceDN/>
        <w:bidi w:val="0"/>
        <w:adjustRightInd/>
        <w:snapToGrid/>
        <w:ind w:left="0" w:leftChars="0" w:firstLine="480" w:firstLineChars="0"/>
        <w:textAlignment w:val="auto"/>
        <w:rPr>
          <w:b w:val="0"/>
          <w:color w:val="000000"/>
        </w:rPr>
      </w:pPr>
      <w:r>
        <w:rPr>
          <w:color w:val="000000"/>
        </w:rPr>
        <w:t>已经提交响应文件的供应商，在提交最后报价之前，可以根据磋商情况退出磋商。采购人、采购代理机构将退还退出磋商的供应商的保证金。</w:t>
      </w:r>
    </w:p>
    <w:p w14:paraId="4F47CE10">
      <w:pPr>
        <w:pStyle w:val="11"/>
        <w:keepNext w:val="0"/>
        <w:keepLines w:val="0"/>
        <w:pageBreakBefore w:val="0"/>
        <w:widowControl/>
        <w:numPr>
          <w:ilvl w:val="0"/>
          <w:numId w:val="35"/>
        </w:numPr>
        <w:kinsoku/>
        <w:wordWrap/>
        <w:overflowPunct/>
        <w:topLinePunct w:val="0"/>
        <w:autoSpaceDE/>
        <w:autoSpaceDN/>
        <w:bidi w:val="0"/>
        <w:adjustRightInd/>
        <w:snapToGrid/>
        <w:ind w:left="0" w:leftChars="0" w:firstLine="480" w:firstLineChars="0"/>
        <w:textAlignment w:val="auto"/>
        <w:rPr>
          <w:b w:val="0"/>
          <w:color w:val="000000"/>
        </w:rPr>
      </w:pPr>
      <w:r>
        <w:rPr>
          <w:color w:val="000000"/>
        </w:rPr>
        <w:t>响应供应商的报价均超过了采购预算，采购人不能支付的，磋商活动终止。</w:t>
      </w:r>
    </w:p>
    <w:p w14:paraId="7D9A2BC6">
      <w:pPr>
        <w:pStyle w:val="11"/>
        <w:keepNext w:val="0"/>
        <w:keepLines w:val="0"/>
        <w:pageBreakBefore w:val="0"/>
        <w:widowControl/>
        <w:numPr>
          <w:ilvl w:val="0"/>
          <w:numId w:val="35"/>
        </w:numPr>
        <w:kinsoku/>
        <w:wordWrap/>
        <w:overflowPunct/>
        <w:topLinePunct w:val="0"/>
        <w:autoSpaceDE/>
        <w:autoSpaceDN/>
        <w:bidi w:val="0"/>
        <w:adjustRightInd/>
        <w:snapToGrid/>
        <w:ind w:left="0" w:leftChars="0" w:firstLine="480" w:firstLineChars="0"/>
        <w:textAlignment w:val="auto"/>
        <w:rPr>
          <w:b w:val="0"/>
          <w:color w:val="000000"/>
        </w:rPr>
      </w:pPr>
      <w:r>
        <w:rPr>
          <w:color w:val="000000"/>
        </w:rPr>
        <w:t>低于成本报价</w:t>
      </w:r>
    </w:p>
    <w:p w14:paraId="77CDE26E">
      <w:pPr>
        <w:pStyle w:val="11"/>
        <w:widowControl/>
        <w:rPr>
          <w:color w:val="000000"/>
        </w:rPr>
      </w:pPr>
      <w:r>
        <w:rPr>
          <w:color w:val="000000"/>
        </w:rPr>
        <w:t>磋商小组在评审过程中发现供应商的总报价明显低于其他供应商的总报价或者明显低于采购预算价，有理由怀疑其报价可能低于其成本的，应当要求该供应商做出书面说明并提供相关证明材料。供应商不能合理说明或者不能提供相关证明材料的，视作该供应商报价以低于成本价，其响应文件无效。</w:t>
      </w:r>
    </w:p>
    <w:p w14:paraId="13B131B9">
      <w:pPr>
        <w:pStyle w:val="3"/>
        <w:numPr>
          <w:ilvl w:val="0"/>
          <w:numId w:val="11"/>
        </w:numPr>
        <w:tabs>
          <w:tab w:val="clear" w:pos="482"/>
        </w:tabs>
        <w:ind w:left="0" w:leftChars="0" w:firstLine="482" w:firstLineChars="0"/>
        <w:rPr>
          <w:b/>
          <w:color w:val="000000"/>
        </w:rPr>
      </w:pPr>
      <w:r>
        <w:rPr>
          <w:b/>
          <w:color w:val="000000"/>
        </w:rPr>
        <w:t>最终磋</w:t>
      </w:r>
      <w:r>
        <w:t>商</w:t>
      </w:r>
      <w:r>
        <w:rPr>
          <w:b/>
          <w:color w:val="000000"/>
        </w:rPr>
        <w:t>结束后，磋商小组不得再与供应商进行任何形式的商谈</w:t>
      </w:r>
    </w:p>
    <w:p w14:paraId="6D848310">
      <w:pPr>
        <w:pStyle w:val="3"/>
        <w:numPr>
          <w:ilvl w:val="0"/>
          <w:numId w:val="11"/>
        </w:numPr>
        <w:tabs>
          <w:tab w:val="clear" w:pos="482"/>
        </w:tabs>
        <w:ind w:left="0" w:leftChars="0" w:firstLine="482" w:firstLineChars="0"/>
        <w:rPr>
          <w:b/>
          <w:color w:val="000000"/>
        </w:rPr>
      </w:pPr>
      <w:r>
        <w:rPr>
          <w:b/>
          <w:color w:val="000000"/>
        </w:rPr>
        <w:t>评审与比较</w:t>
      </w:r>
    </w:p>
    <w:p w14:paraId="6237DB1F">
      <w:pPr>
        <w:pStyle w:val="11"/>
        <w:widowControl/>
        <w:numPr>
          <w:ilvl w:val="0"/>
          <w:numId w:val="37"/>
        </w:numPr>
        <w:ind w:left="0" w:leftChars="0" w:firstLine="480" w:firstLineChars="0"/>
        <w:rPr>
          <w:b w:val="0"/>
          <w:color w:val="000000"/>
        </w:rPr>
      </w:pPr>
      <w:r>
        <w:rPr>
          <w:color w:val="000000"/>
        </w:rPr>
        <w:t>经磋商确定最终采购需求和提交最后报价的供应商后，由磋商小组采用综合评分法对提交最后报价的供应商的响应文件和最后报价进行综合评分。</w:t>
      </w:r>
    </w:p>
    <w:p w14:paraId="63D5F800">
      <w:pPr>
        <w:pStyle w:val="11"/>
        <w:widowControl/>
        <w:numPr>
          <w:ilvl w:val="0"/>
          <w:numId w:val="37"/>
        </w:numPr>
        <w:ind w:left="0" w:leftChars="0" w:firstLine="480" w:firstLineChars="0"/>
        <w:rPr>
          <w:b w:val="0"/>
          <w:color w:val="000000"/>
        </w:rPr>
      </w:pPr>
      <w:r>
        <w:rPr>
          <w:color w:val="000000"/>
        </w:rPr>
        <w:t>评审原则。磋商小组必须公平、公正、客观，不带任何倾向性和启发性；不得向外界透露任何与评审有关的内容；任何单位和个人不得干扰、影响评审的正常进行。</w:t>
      </w:r>
    </w:p>
    <w:p w14:paraId="4F57D743">
      <w:pPr>
        <w:pStyle w:val="11"/>
        <w:widowControl/>
        <w:numPr>
          <w:ilvl w:val="0"/>
          <w:numId w:val="37"/>
        </w:numPr>
        <w:ind w:left="0" w:leftChars="0" w:firstLine="480" w:firstLineChars="0"/>
        <w:rPr>
          <w:b w:val="0"/>
          <w:color w:val="000000"/>
        </w:rPr>
      </w:pPr>
      <w:r>
        <w:rPr>
          <w:color w:val="000000"/>
        </w:rPr>
        <w:t>评标办法及标准详见第四章。</w:t>
      </w:r>
    </w:p>
    <w:p w14:paraId="550E6A29">
      <w:pPr>
        <w:pStyle w:val="3"/>
        <w:numPr>
          <w:ilvl w:val="0"/>
          <w:numId w:val="11"/>
        </w:numPr>
        <w:tabs>
          <w:tab w:val="clear" w:pos="482"/>
        </w:tabs>
        <w:ind w:left="0" w:leftChars="0" w:firstLine="482" w:firstLineChars="0"/>
        <w:rPr>
          <w:b w:val="0"/>
          <w:bCs/>
          <w:color w:val="000000"/>
        </w:rPr>
      </w:pPr>
      <w:r>
        <w:rPr>
          <w:b w:val="0"/>
          <w:bCs/>
          <w:color w:val="000000"/>
        </w:rPr>
        <w:t>在评审过程中出现法律法规和磋商文件均没有明确规定的情形时，由磋商小组现场协商解决，协商不一致的，由全体磋商小组投票表决，以得票率二分之一以上专家的意见为准。</w:t>
      </w:r>
    </w:p>
    <w:p w14:paraId="7F4F3195">
      <w:pPr>
        <w:pStyle w:val="3"/>
        <w:numPr>
          <w:ilvl w:val="0"/>
          <w:numId w:val="11"/>
        </w:numPr>
        <w:tabs>
          <w:tab w:val="clear" w:pos="482"/>
        </w:tabs>
        <w:ind w:left="0" w:leftChars="0" w:firstLine="482" w:firstLineChars="0"/>
        <w:rPr>
          <w:b/>
          <w:color w:val="000000"/>
        </w:rPr>
      </w:pPr>
      <w:r>
        <w:rPr>
          <w:b/>
          <w:color w:val="000000"/>
        </w:rPr>
        <w:t>特别说明：</w:t>
      </w:r>
    </w:p>
    <w:p w14:paraId="4026DDBB">
      <w:pPr>
        <w:pStyle w:val="11"/>
        <w:widowControl/>
        <w:numPr>
          <w:ilvl w:val="0"/>
          <w:numId w:val="38"/>
        </w:numPr>
        <w:ind w:left="0" w:leftChars="0" w:firstLine="480" w:firstLineChars="0"/>
        <w:rPr>
          <w:b w:val="0"/>
          <w:color w:val="000000"/>
        </w:rPr>
      </w:pPr>
      <w:r>
        <w:rPr>
          <w:color w:val="000000"/>
        </w:rPr>
        <w:t>供应商磋商所使用的资格、信誉、荣誉、业绩与企业认证必须为本法人所拥有。供应商磋商所使用的采购项目实施人员必须为本法人员工（或必须为本法人或控股公司正式员工）。</w:t>
      </w:r>
    </w:p>
    <w:p w14:paraId="2F7D4FB9">
      <w:pPr>
        <w:pStyle w:val="11"/>
        <w:widowControl/>
        <w:numPr>
          <w:ilvl w:val="0"/>
          <w:numId w:val="38"/>
        </w:numPr>
        <w:ind w:left="0" w:leftChars="0" w:firstLine="480" w:firstLineChars="0"/>
        <w:rPr>
          <w:b w:val="0"/>
          <w:color w:val="000000"/>
        </w:rPr>
      </w:pPr>
      <w:r>
        <w:rPr>
          <w:color w:val="000000"/>
        </w:rPr>
        <w:t>供应商应仔细阅读竞争性磋商文件的所有内容，按照竞争性磋商文件的要求提交响应文件，并对所提供的全部资料的真实性承担法律责任。</w:t>
      </w:r>
    </w:p>
    <w:p w14:paraId="727EB495">
      <w:pPr>
        <w:pStyle w:val="11"/>
        <w:widowControl/>
        <w:numPr>
          <w:ilvl w:val="0"/>
          <w:numId w:val="38"/>
        </w:numPr>
        <w:ind w:left="0" w:leftChars="0" w:firstLine="480" w:firstLineChars="0"/>
        <w:rPr>
          <w:b w:val="0"/>
          <w:color w:val="000000"/>
        </w:rPr>
      </w:pPr>
      <w:r>
        <w:rPr>
          <w:color w:val="000000"/>
        </w:rPr>
        <w:t>供应商在磋商活动中提供任何虚假材料，其磋商无效，并报监管部门查处；中标后发现的，成交供应商须依照《中华人民共和国消费者权益保护法》的规定赔偿采购人，且民事赔偿并不免除违法供应商的行政与刑事责任。</w:t>
      </w:r>
    </w:p>
    <w:p w14:paraId="253EE705">
      <w:pPr>
        <w:pStyle w:val="11"/>
        <w:numPr>
          <w:ilvl w:val="0"/>
          <w:numId w:val="38"/>
        </w:numPr>
        <w:ind w:left="0" w:leftChars="0" w:firstLine="480" w:firstLineChars="0"/>
        <w:rPr>
          <w:b w:val="0"/>
          <w:color w:val="000000"/>
        </w:rPr>
      </w:pPr>
      <w:r>
        <w:rPr>
          <w:color w:val="000000"/>
        </w:rPr>
        <w:t>有下列情形之一的视为供应商相互串通投标，响应文件将被视为无效：</w:t>
      </w:r>
    </w:p>
    <w:p w14:paraId="39B9EAF9">
      <w:pPr>
        <w:pStyle w:val="11"/>
        <w:numPr>
          <w:ilvl w:val="0"/>
          <w:numId w:val="39"/>
        </w:numPr>
        <w:topLinePunct w:val="0"/>
        <w:ind w:left="0" w:leftChars="0" w:firstLine="480" w:firstLineChars="0"/>
        <w:rPr>
          <w:b w:val="0"/>
          <w:color w:val="000000"/>
        </w:rPr>
      </w:pPr>
      <w:r>
        <w:rPr>
          <w:color w:val="000000"/>
        </w:rPr>
        <w:t>不同供应商的响应文件由同一单位或者个人编制；或不同供应商报名的IP地址一致的；</w:t>
      </w:r>
    </w:p>
    <w:p w14:paraId="444B5031">
      <w:pPr>
        <w:pStyle w:val="11"/>
        <w:numPr>
          <w:ilvl w:val="0"/>
          <w:numId w:val="39"/>
        </w:numPr>
        <w:topLinePunct w:val="0"/>
        <w:ind w:left="0" w:leftChars="0" w:firstLine="480" w:firstLineChars="0"/>
        <w:rPr>
          <w:b w:val="0"/>
          <w:color w:val="000000"/>
        </w:rPr>
      </w:pPr>
      <w:r>
        <w:rPr>
          <w:color w:val="000000"/>
        </w:rPr>
        <w:t>不同供应商委托同一单位或者个人办理磋商事宜；</w:t>
      </w:r>
    </w:p>
    <w:p w14:paraId="2B335A39">
      <w:pPr>
        <w:pStyle w:val="11"/>
        <w:numPr>
          <w:ilvl w:val="0"/>
          <w:numId w:val="39"/>
        </w:numPr>
        <w:topLinePunct w:val="0"/>
        <w:ind w:left="0" w:leftChars="0" w:firstLine="480" w:firstLineChars="0"/>
        <w:rPr>
          <w:b w:val="0"/>
          <w:color w:val="000000"/>
        </w:rPr>
      </w:pPr>
      <w:r>
        <w:rPr>
          <w:color w:val="000000"/>
        </w:rPr>
        <w:t>不同的供应商的响应文件载明的项目管理员为同一个人；</w:t>
      </w:r>
    </w:p>
    <w:p w14:paraId="0226429D">
      <w:pPr>
        <w:pStyle w:val="11"/>
        <w:numPr>
          <w:ilvl w:val="0"/>
          <w:numId w:val="39"/>
        </w:numPr>
        <w:topLinePunct w:val="0"/>
        <w:ind w:left="0" w:leftChars="0" w:firstLine="480" w:firstLineChars="0"/>
        <w:rPr>
          <w:b w:val="0"/>
          <w:color w:val="000000"/>
        </w:rPr>
      </w:pPr>
      <w:r>
        <w:rPr>
          <w:color w:val="000000"/>
        </w:rPr>
        <w:t>不同供应商的响应文件异常一致或报价呈规律性差异；</w:t>
      </w:r>
    </w:p>
    <w:p w14:paraId="3EE1B04B">
      <w:pPr>
        <w:pStyle w:val="11"/>
        <w:numPr>
          <w:ilvl w:val="0"/>
          <w:numId w:val="39"/>
        </w:numPr>
        <w:topLinePunct w:val="0"/>
        <w:ind w:left="0" w:leftChars="0" w:firstLine="480" w:firstLineChars="0"/>
        <w:rPr>
          <w:b w:val="0"/>
          <w:color w:val="000000"/>
        </w:rPr>
      </w:pPr>
      <w:r>
        <w:rPr>
          <w:color w:val="000000"/>
        </w:rPr>
        <w:t>不同供应商的响应文件相互混装；</w:t>
      </w:r>
    </w:p>
    <w:p w14:paraId="683E4ED4">
      <w:pPr>
        <w:pStyle w:val="11"/>
        <w:numPr>
          <w:ilvl w:val="0"/>
          <w:numId w:val="39"/>
        </w:numPr>
        <w:topLinePunct w:val="0"/>
        <w:ind w:left="0" w:leftChars="0" w:firstLine="480" w:firstLineChars="0"/>
        <w:rPr>
          <w:b w:val="0"/>
          <w:color w:val="000000"/>
        </w:rPr>
      </w:pPr>
      <w:r>
        <w:rPr>
          <w:color w:val="000000"/>
        </w:rPr>
        <w:t>不同供应商的保证金从同一单位或者个人账户转出。</w:t>
      </w:r>
    </w:p>
    <w:p w14:paraId="3593AF46">
      <w:pPr>
        <w:pStyle w:val="11"/>
        <w:numPr>
          <w:ilvl w:val="0"/>
          <w:numId w:val="38"/>
        </w:numPr>
        <w:ind w:left="0" w:leftChars="0" w:firstLine="480" w:firstLineChars="0"/>
        <w:rPr>
          <w:b w:val="0"/>
          <w:color w:val="000000"/>
        </w:rPr>
      </w:pPr>
      <w:r>
        <w:rPr>
          <w:color w:val="000000"/>
        </w:rPr>
        <w:t>供应商有下列情形之一的，属于恶意串通行为：</w:t>
      </w:r>
    </w:p>
    <w:p w14:paraId="3B1EC18D">
      <w:pPr>
        <w:pStyle w:val="11"/>
        <w:numPr>
          <w:ilvl w:val="0"/>
          <w:numId w:val="40"/>
        </w:numPr>
        <w:topLinePunct w:val="0"/>
        <w:ind w:left="0" w:leftChars="0" w:firstLine="480" w:firstLineChars="0"/>
        <w:rPr>
          <w:b w:val="0"/>
          <w:color w:val="000000"/>
        </w:rPr>
      </w:pPr>
      <w:r>
        <w:rPr>
          <w:color w:val="000000"/>
        </w:rPr>
        <w:t>供应商直接或者间接从采购人或者采购代理机构处获得其他供应商的相关信息并修改其响应文件：</w:t>
      </w:r>
    </w:p>
    <w:p w14:paraId="4ECF93BD">
      <w:pPr>
        <w:pStyle w:val="11"/>
        <w:numPr>
          <w:ilvl w:val="0"/>
          <w:numId w:val="40"/>
        </w:numPr>
        <w:topLinePunct w:val="0"/>
        <w:ind w:left="0" w:leftChars="0" w:firstLine="480" w:firstLineChars="0"/>
        <w:rPr>
          <w:b w:val="0"/>
          <w:color w:val="000000"/>
        </w:rPr>
      </w:pPr>
      <w:r>
        <w:rPr>
          <w:color w:val="000000"/>
        </w:rPr>
        <w:t>供应商按照采购人或者采购代理机构的授意撤换、修改响应文件；</w:t>
      </w:r>
    </w:p>
    <w:p w14:paraId="520A481F">
      <w:pPr>
        <w:pStyle w:val="11"/>
        <w:numPr>
          <w:ilvl w:val="0"/>
          <w:numId w:val="40"/>
        </w:numPr>
        <w:topLinePunct w:val="0"/>
        <w:ind w:left="0" w:leftChars="0" w:firstLine="480" w:firstLineChars="0"/>
        <w:rPr>
          <w:b w:val="0"/>
          <w:color w:val="000000"/>
        </w:rPr>
      </w:pPr>
      <w:r>
        <w:rPr>
          <w:color w:val="000000"/>
        </w:rPr>
        <w:t>供应商之间协商报价、技术方案等响应文件的实质性内容；</w:t>
      </w:r>
    </w:p>
    <w:p w14:paraId="0247A57E">
      <w:pPr>
        <w:pStyle w:val="11"/>
        <w:numPr>
          <w:ilvl w:val="0"/>
          <w:numId w:val="40"/>
        </w:numPr>
        <w:topLinePunct w:val="0"/>
        <w:ind w:left="0" w:leftChars="0" w:firstLine="480" w:firstLineChars="0"/>
        <w:rPr>
          <w:b w:val="0"/>
          <w:color w:val="000000"/>
        </w:rPr>
      </w:pPr>
      <w:r>
        <w:rPr>
          <w:color w:val="000000"/>
        </w:rPr>
        <w:t>属于同一集团、协会、商会等组织成员的供应商按照该组织要求协同参加政府采购活动；</w:t>
      </w:r>
    </w:p>
    <w:p w14:paraId="1733C7F2">
      <w:pPr>
        <w:pStyle w:val="11"/>
        <w:numPr>
          <w:ilvl w:val="0"/>
          <w:numId w:val="40"/>
        </w:numPr>
        <w:topLinePunct w:val="0"/>
        <w:ind w:left="0" w:leftChars="0" w:firstLine="480" w:firstLineChars="0"/>
        <w:rPr>
          <w:b w:val="0"/>
          <w:color w:val="000000"/>
        </w:rPr>
      </w:pPr>
      <w:r>
        <w:rPr>
          <w:color w:val="000000"/>
        </w:rPr>
        <w:t>供应商之间事先约定一致抬高或者压低报价,或者在采购项目中事先约定轮流以高价位或者低价位成交,或者事先约定由某一特定供应商成交,然后再参加磋商；</w:t>
      </w:r>
    </w:p>
    <w:p w14:paraId="3D7B23C7">
      <w:pPr>
        <w:pStyle w:val="11"/>
        <w:numPr>
          <w:ilvl w:val="0"/>
          <w:numId w:val="40"/>
        </w:numPr>
        <w:topLinePunct w:val="0"/>
        <w:ind w:left="0" w:leftChars="0" w:firstLine="480" w:firstLineChars="0"/>
        <w:rPr>
          <w:b w:val="0"/>
          <w:color w:val="000000"/>
        </w:rPr>
      </w:pPr>
      <w:r>
        <w:rPr>
          <w:color w:val="000000"/>
        </w:rPr>
        <w:t>供应商之间商定部分供应商放弃参加政府采购活动或者放弃成交；</w:t>
      </w:r>
    </w:p>
    <w:p w14:paraId="66DEFA4C">
      <w:pPr>
        <w:pStyle w:val="11"/>
        <w:numPr>
          <w:ilvl w:val="0"/>
          <w:numId w:val="40"/>
        </w:numPr>
        <w:topLinePunct w:val="0"/>
        <w:ind w:left="0" w:leftChars="0" w:firstLine="480" w:firstLineChars="0"/>
        <w:rPr>
          <w:b w:val="0"/>
          <w:color w:val="000000"/>
        </w:rPr>
      </w:pPr>
      <w:r>
        <w:rPr>
          <w:color w:val="000000"/>
        </w:rPr>
        <w:t>供应商与采购人或者采购代理机构之间、供应商相互之间，为谋求特定供应商成交或者排斥其他供应商的其他串通行为。</w:t>
      </w:r>
    </w:p>
    <w:p w14:paraId="5730D702">
      <w:pPr>
        <w:pStyle w:val="11"/>
        <w:numPr>
          <w:ilvl w:val="0"/>
          <w:numId w:val="38"/>
        </w:numPr>
        <w:ind w:left="0" w:leftChars="0" w:firstLine="480" w:firstLineChars="0"/>
        <w:rPr>
          <w:b w:val="0"/>
          <w:color w:val="000000"/>
        </w:rPr>
      </w:pPr>
      <w:r>
        <w:rPr>
          <w:color w:val="000000"/>
        </w:rPr>
        <w:t>单位负责人为同一人或者存在直接控股、管理关系的不同的供应商，不得参加同一合同项下的政府采购活动，否则响应文件将被视为无效。</w:t>
      </w:r>
    </w:p>
    <w:p w14:paraId="2FA9892F">
      <w:pPr>
        <w:pStyle w:val="3"/>
        <w:numPr>
          <w:ilvl w:val="0"/>
          <w:numId w:val="11"/>
        </w:numPr>
        <w:tabs>
          <w:tab w:val="clear" w:pos="482"/>
        </w:tabs>
        <w:ind w:left="0" w:leftChars="0" w:firstLine="482" w:firstLineChars="0"/>
        <w:rPr>
          <w:b w:val="0"/>
          <w:bCs/>
          <w:color w:val="000000"/>
        </w:rPr>
      </w:pPr>
      <w:r>
        <w:rPr>
          <w:b w:val="0"/>
          <w:bCs/>
          <w:color w:val="000000"/>
        </w:rPr>
        <w:t>出现下列情形之一的，采购人或者采购代理机构应当终止竞争性磋商采购活动，发布项目终止公告并说明原因，重新开展采购活动：</w:t>
      </w:r>
    </w:p>
    <w:p w14:paraId="688EE1DC">
      <w:pPr>
        <w:pStyle w:val="11"/>
        <w:widowControl/>
        <w:numPr>
          <w:ilvl w:val="0"/>
          <w:numId w:val="41"/>
        </w:numPr>
        <w:ind w:left="0" w:leftChars="0" w:firstLine="480" w:firstLineChars="0"/>
        <w:rPr>
          <w:b w:val="0"/>
          <w:color w:val="000000"/>
        </w:rPr>
      </w:pPr>
      <w:r>
        <w:rPr>
          <w:color w:val="000000"/>
        </w:rPr>
        <w:t>因情况变化，不再符合规定的竞争性磋商采购方式适用情形的；</w:t>
      </w:r>
    </w:p>
    <w:p w14:paraId="02B94E8A">
      <w:pPr>
        <w:pStyle w:val="11"/>
        <w:widowControl/>
        <w:numPr>
          <w:ilvl w:val="0"/>
          <w:numId w:val="41"/>
        </w:numPr>
        <w:ind w:left="0" w:leftChars="0" w:firstLine="480" w:firstLineChars="0"/>
        <w:rPr>
          <w:b w:val="0"/>
          <w:color w:val="000000"/>
        </w:rPr>
      </w:pPr>
      <w:r>
        <w:rPr>
          <w:color w:val="000000"/>
        </w:rPr>
        <w:t>出现影响采购公正的违法、违规行为的；</w:t>
      </w:r>
    </w:p>
    <w:p w14:paraId="3E02BD65">
      <w:pPr>
        <w:pStyle w:val="11"/>
        <w:widowControl/>
        <w:numPr>
          <w:ilvl w:val="0"/>
          <w:numId w:val="41"/>
        </w:numPr>
        <w:ind w:left="0" w:leftChars="0" w:firstLine="480" w:firstLineChars="0"/>
        <w:rPr>
          <w:b w:val="0"/>
          <w:color w:val="000000"/>
        </w:rPr>
      </w:pPr>
      <w:r>
        <w:rPr>
          <w:color w:val="000000"/>
        </w:rPr>
        <w:t>除本须知19.5.4、19.5.5及法律法规规定的情形外，在采购过程中符合要求的供应商或者报价未超过采购预算的供应商不足3家的。</w:t>
      </w:r>
    </w:p>
    <w:p w14:paraId="3DCFB017">
      <w:pPr>
        <w:pStyle w:val="3"/>
        <w:numPr>
          <w:ilvl w:val="0"/>
          <w:numId w:val="11"/>
        </w:numPr>
        <w:tabs>
          <w:tab w:val="clear" w:pos="482"/>
        </w:tabs>
        <w:ind w:left="0" w:leftChars="0" w:firstLine="482" w:firstLineChars="0"/>
        <w:rPr>
          <w:b w:val="0"/>
          <w:bCs/>
          <w:color w:val="000000"/>
        </w:rPr>
      </w:pPr>
      <w:r>
        <w:rPr>
          <w:b w:val="0"/>
          <w:bCs/>
          <w:color w:val="000000"/>
        </w:rPr>
        <w:t>在采购活动中因重大变故，采购任务取消的，采购人或者采购代理机构应当终止采购活动，通知所有参加采购活动的供应商，并将项目实施情况和采购任务取消原因报送本级财政部门。</w:t>
      </w:r>
    </w:p>
    <w:p w14:paraId="549892CE">
      <w:pPr>
        <w:pStyle w:val="2"/>
        <w:numPr>
          <w:ilvl w:val="0"/>
          <w:numId w:val="10"/>
        </w:numPr>
        <w:tabs>
          <w:tab w:val="clear" w:pos="482"/>
        </w:tabs>
        <w:topLinePunct w:val="0"/>
        <w:ind w:left="0" w:leftChars="0" w:firstLine="0" w:firstLineChars="0"/>
        <w:rPr>
          <w:b/>
        </w:rPr>
      </w:pPr>
      <w:r>
        <w:t>确定成交供应商办法及结果公告</w:t>
      </w:r>
    </w:p>
    <w:p w14:paraId="16296913">
      <w:pPr>
        <w:pStyle w:val="3"/>
        <w:numPr>
          <w:ilvl w:val="0"/>
          <w:numId w:val="11"/>
        </w:numPr>
        <w:tabs>
          <w:tab w:val="clear" w:pos="482"/>
        </w:tabs>
        <w:ind w:left="0" w:leftChars="0" w:firstLine="482" w:firstLineChars="0"/>
        <w:rPr>
          <w:b w:val="0"/>
          <w:bCs/>
          <w:color w:val="000000"/>
        </w:rPr>
      </w:pPr>
      <w:r>
        <w:rPr>
          <w:b w:val="0"/>
          <w:bCs/>
          <w:color w:val="000000"/>
        </w:rPr>
        <w:t>代理机构应当自评审结束之日起2个工作日内将评审报告送交采购人，采购人在收到代理机构提交的评审报告后，2个工作日内从评审报告提出的成交候选供应商中确定成交供应商。</w:t>
      </w:r>
    </w:p>
    <w:p w14:paraId="3059E0B6">
      <w:pPr>
        <w:pStyle w:val="3"/>
        <w:numPr>
          <w:ilvl w:val="0"/>
          <w:numId w:val="11"/>
        </w:numPr>
        <w:tabs>
          <w:tab w:val="clear" w:pos="482"/>
        </w:tabs>
        <w:ind w:left="0" w:leftChars="0" w:firstLine="482" w:firstLineChars="0"/>
        <w:rPr>
          <w:b w:val="0"/>
          <w:color w:val="000000"/>
        </w:rPr>
      </w:pPr>
      <w:r>
        <w:rPr>
          <w:b w:val="0"/>
          <w:bCs/>
          <w:color w:val="000000"/>
        </w:rPr>
        <w:t>采购代理机构应当在成交供应商确定后2个工作日内，在磋商公告发布媒体上公告成交结果，同时向成交供应商发出成交通知书。采购人或采购代理发出成交通知书前，应当对成交供应商信用进行查询，对列入失信被执行人、重大税收违法案件当事人名单、政府采购严重违法失信行为记录名单及其他不符合《中华人民共和国政府采购法》第二十二条规定条件的供应商，取消其成交资格，并确定排名第二的成交候选人为成交供应商。排名第二的成交候选人因前款规定的同样原因被取消成交资格的，采购人可以确定排名第三的成交候选人</w:t>
      </w:r>
      <w:r>
        <w:rPr>
          <w:color w:val="000000"/>
        </w:rPr>
        <w:t>为成交人。</w:t>
      </w:r>
    </w:p>
    <w:p w14:paraId="3E021F28">
      <w:pPr>
        <w:pStyle w:val="11"/>
        <w:rPr>
          <w:color w:val="000000"/>
        </w:rPr>
      </w:pPr>
      <w:r>
        <w:rPr>
          <w:color w:val="000000"/>
        </w:rPr>
        <w:t>以上信息查询记录及相关证据与采购文件一并保存。</w:t>
      </w:r>
    </w:p>
    <w:p w14:paraId="03A2930E">
      <w:pPr>
        <w:pStyle w:val="2"/>
        <w:numPr>
          <w:ilvl w:val="0"/>
          <w:numId w:val="10"/>
        </w:numPr>
        <w:tabs>
          <w:tab w:val="clear" w:pos="482"/>
        </w:tabs>
        <w:topLinePunct w:val="0"/>
        <w:ind w:left="0" w:leftChars="0" w:firstLine="0" w:firstLineChars="0"/>
        <w:rPr>
          <w:b/>
        </w:rPr>
      </w:pPr>
      <w:r>
        <w:t>履约保证金</w:t>
      </w:r>
    </w:p>
    <w:p w14:paraId="2810AFE3">
      <w:pPr>
        <w:pStyle w:val="3"/>
        <w:numPr>
          <w:ilvl w:val="0"/>
          <w:numId w:val="11"/>
        </w:numPr>
        <w:tabs>
          <w:tab w:val="clear" w:pos="482"/>
        </w:tabs>
        <w:ind w:left="0" w:leftChars="0" w:firstLine="482" w:firstLineChars="0"/>
        <w:rPr>
          <w:b w:val="0"/>
          <w:bCs/>
          <w:color w:val="000000"/>
        </w:rPr>
      </w:pPr>
      <w:r>
        <w:rPr>
          <w:b w:val="0"/>
          <w:bCs/>
          <w:color w:val="000000"/>
        </w:rPr>
        <w:t>本项目无履约保证金</w:t>
      </w:r>
    </w:p>
    <w:p w14:paraId="5BC55DAD">
      <w:pPr>
        <w:pStyle w:val="2"/>
        <w:numPr>
          <w:ilvl w:val="0"/>
          <w:numId w:val="10"/>
        </w:numPr>
        <w:tabs>
          <w:tab w:val="clear" w:pos="482"/>
        </w:tabs>
        <w:topLinePunct w:val="0"/>
        <w:ind w:left="0" w:leftChars="0" w:firstLine="0" w:firstLineChars="0"/>
        <w:rPr>
          <w:b/>
        </w:rPr>
      </w:pPr>
      <w:r>
        <w:t>签订合同</w:t>
      </w:r>
    </w:p>
    <w:p w14:paraId="56B63B64">
      <w:pPr>
        <w:pStyle w:val="3"/>
        <w:numPr>
          <w:ilvl w:val="0"/>
          <w:numId w:val="11"/>
        </w:numPr>
        <w:tabs>
          <w:tab w:val="clear" w:pos="482"/>
        </w:tabs>
        <w:ind w:left="0" w:leftChars="0" w:firstLine="482" w:firstLineChars="0"/>
        <w:rPr>
          <w:b w:val="0"/>
          <w:bCs/>
          <w:color w:val="000000"/>
        </w:rPr>
      </w:pPr>
      <w:r>
        <w:rPr>
          <w:b w:val="0"/>
          <w:bCs/>
          <w:color w:val="000000"/>
        </w:rPr>
        <w:t>根据《广西深化政府采购制度改革工作方案》和《关于促进政府采购公平竞争优化营商环境的通知》（财库〔2019〕38号）等相关政策的要求，为了提高采购时效，压缩采购合同签订时间，成交供应商自接到成交通知书之日起7个工作日内与采购人签订政府采购合同。</w:t>
      </w:r>
    </w:p>
    <w:p w14:paraId="04449260">
      <w:pPr>
        <w:pStyle w:val="3"/>
        <w:numPr>
          <w:ilvl w:val="0"/>
          <w:numId w:val="11"/>
        </w:numPr>
        <w:tabs>
          <w:tab w:val="clear" w:pos="482"/>
        </w:tabs>
        <w:ind w:left="0" w:leftChars="0" w:firstLine="482" w:firstLineChars="0"/>
        <w:rPr>
          <w:b w:val="0"/>
          <w:bCs/>
          <w:color w:val="000000"/>
        </w:rPr>
      </w:pPr>
      <w:r>
        <w:rPr>
          <w:b w:val="0"/>
          <w:bCs/>
          <w:color w:val="000000"/>
        </w:rPr>
        <w:t>如成交供应商不按成交通知书的规定签订合同，则按成交供应商违约处理。</w:t>
      </w:r>
    </w:p>
    <w:p w14:paraId="4A766311">
      <w:pPr>
        <w:pStyle w:val="3"/>
        <w:numPr>
          <w:ilvl w:val="0"/>
          <w:numId w:val="11"/>
        </w:numPr>
        <w:tabs>
          <w:tab w:val="clear" w:pos="482"/>
        </w:tabs>
        <w:ind w:left="0" w:leftChars="0" w:firstLine="482" w:firstLineChars="0"/>
        <w:rPr>
          <w:b w:val="0"/>
          <w:bCs/>
          <w:color w:val="000000"/>
        </w:rPr>
      </w:pPr>
      <w:r>
        <w:rPr>
          <w:b w:val="0"/>
          <w:bCs/>
          <w:color w:val="000000"/>
        </w:rPr>
        <w:t>成交供应商因不可抗力或者拒绝签订政府采购合同的，采购人可以与成交供应商之后排名第一的成交候选供应商签订采购合同，以此类推。采购人也可以重新开展政府采购活动。拒绝签订政府采购合同的成交供应商不得参加对该项目重新开展的采购活动。</w:t>
      </w:r>
    </w:p>
    <w:p w14:paraId="775D0057">
      <w:pPr>
        <w:pStyle w:val="3"/>
        <w:numPr>
          <w:ilvl w:val="0"/>
          <w:numId w:val="11"/>
        </w:numPr>
        <w:tabs>
          <w:tab w:val="clear" w:pos="482"/>
        </w:tabs>
        <w:ind w:left="0" w:leftChars="0" w:firstLine="482" w:firstLineChars="0"/>
        <w:rPr>
          <w:b w:val="0"/>
          <w:bCs/>
          <w:color w:val="000000"/>
        </w:rPr>
      </w:pPr>
      <w:r>
        <w:rPr>
          <w:b w:val="0"/>
          <w:bCs/>
          <w:color w:val="000000"/>
        </w:rPr>
        <w:t>政府采购合同公告</w:t>
      </w:r>
    </w:p>
    <w:p w14:paraId="074B704B">
      <w:pPr>
        <w:pStyle w:val="11"/>
        <w:rPr>
          <w:color w:val="000000"/>
        </w:rPr>
      </w:pPr>
      <w:r>
        <w:rPr>
          <w:color w:val="000000"/>
        </w:rPr>
        <w:t>根据《中华人民共和国政府采购法实施条例》第五十条规定，采购人应当自政府采购合同签订之日起2个工作日内，将政府采购合同在省级以上人民政府财政部门指定的媒体上公告，但政府采购合同中涉及国家秘密.商业秘密的内容除外。</w:t>
      </w:r>
    </w:p>
    <w:p w14:paraId="60D9D5B5">
      <w:pPr>
        <w:pStyle w:val="2"/>
        <w:numPr>
          <w:ilvl w:val="0"/>
          <w:numId w:val="10"/>
        </w:numPr>
        <w:tabs>
          <w:tab w:val="clear" w:pos="482"/>
        </w:tabs>
        <w:topLinePunct w:val="0"/>
        <w:ind w:left="0" w:leftChars="0" w:firstLine="0" w:firstLineChars="0"/>
        <w:rPr>
          <w:b/>
        </w:rPr>
      </w:pPr>
      <w:r>
        <w:t>适用法律</w:t>
      </w:r>
    </w:p>
    <w:p w14:paraId="3A8D2B3C">
      <w:pPr>
        <w:pStyle w:val="3"/>
        <w:numPr>
          <w:ilvl w:val="0"/>
          <w:numId w:val="11"/>
        </w:numPr>
        <w:tabs>
          <w:tab w:val="clear" w:pos="482"/>
        </w:tabs>
        <w:ind w:left="0" w:leftChars="0" w:firstLine="482" w:firstLineChars="0"/>
        <w:rPr>
          <w:b w:val="0"/>
          <w:bCs/>
          <w:color w:val="000000"/>
        </w:rPr>
      </w:pPr>
      <w:r>
        <w:rPr>
          <w:b w:val="0"/>
          <w:bCs/>
          <w:color w:val="000000"/>
        </w:rPr>
        <w:t>采购当事人的一切活动均适用于《中华人民共和国政府采购法》、《政府采购竞争性磋商采购方式管理暂行办法》及相关规定。</w:t>
      </w:r>
    </w:p>
    <w:p w14:paraId="35289AEC">
      <w:pPr>
        <w:pStyle w:val="2"/>
        <w:numPr>
          <w:ilvl w:val="0"/>
          <w:numId w:val="10"/>
        </w:numPr>
        <w:tabs>
          <w:tab w:val="clear" w:pos="482"/>
        </w:tabs>
        <w:topLinePunct w:val="0"/>
        <w:ind w:left="0" w:leftChars="0" w:firstLine="0" w:firstLineChars="0"/>
        <w:rPr>
          <w:b/>
        </w:rPr>
      </w:pPr>
      <w:r>
        <w:t>其它内容</w:t>
      </w:r>
    </w:p>
    <w:p w14:paraId="02E2840D">
      <w:pPr>
        <w:pStyle w:val="3"/>
        <w:numPr>
          <w:ilvl w:val="0"/>
          <w:numId w:val="11"/>
        </w:numPr>
        <w:tabs>
          <w:tab w:val="clear" w:pos="482"/>
        </w:tabs>
        <w:ind w:left="0" w:leftChars="0" w:firstLine="482" w:firstLineChars="0"/>
        <w:rPr>
          <w:b w:val="0"/>
          <w:bCs/>
        </w:rPr>
      </w:pPr>
      <w:r>
        <w:rPr>
          <w:b w:val="0"/>
          <w:bCs/>
        </w:rPr>
        <w:t>代理服务费</w:t>
      </w:r>
    </w:p>
    <w:p w14:paraId="7E10D127">
      <w:pPr>
        <w:pStyle w:val="11"/>
        <w:rPr>
          <w:color w:val="000000"/>
        </w:rPr>
      </w:pPr>
      <w:r>
        <w:rPr>
          <w:color w:val="000000"/>
        </w:rPr>
        <w:t>见本须知前附表</w:t>
      </w:r>
    </w:p>
    <w:p w14:paraId="6A79065E">
      <w:pPr>
        <w:pStyle w:val="3"/>
        <w:numPr>
          <w:ilvl w:val="0"/>
          <w:numId w:val="11"/>
        </w:numPr>
        <w:tabs>
          <w:tab w:val="clear" w:pos="482"/>
        </w:tabs>
        <w:ind w:left="0" w:leftChars="0" w:firstLine="482" w:firstLineChars="0"/>
        <w:rPr>
          <w:b w:val="0"/>
          <w:bCs/>
        </w:rPr>
      </w:pPr>
      <w:r>
        <w:rPr>
          <w:b w:val="0"/>
          <w:bCs/>
        </w:rPr>
        <w:t>询问、质疑和投诉</w:t>
      </w:r>
    </w:p>
    <w:p w14:paraId="24B6A80D">
      <w:pPr>
        <w:pStyle w:val="3"/>
        <w:numPr>
          <w:ilvl w:val="0"/>
          <w:numId w:val="11"/>
        </w:numPr>
        <w:ind w:left="0" w:leftChars="0" w:firstLine="482" w:firstLineChars="0"/>
        <w:rPr>
          <w:b w:val="0"/>
          <w:bCs/>
          <w:color w:val="000000"/>
        </w:rPr>
      </w:pPr>
      <w:r>
        <w:rPr>
          <w:b w:val="0"/>
          <w:bCs/>
          <w:color w:val="000000"/>
        </w:rPr>
        <w:t>供应商对政府采购活动事项有疑问的，可以向采购人、采购代理机构提出询问。</w:t>
      </w:r>
    </w:p>
    <w:p w14:paraId="0DC3F87F">
      <w:pPr>
        <w:pStyle w:val="11"/>
        <w:numPr>
          <w:ilvl w:val="0"/>
          <w:numId w:val="42"/>
        </w:numPr>
        <w:ind w:left="0" w:leftChars="0" w:firstLine="480" w:firstLineChars="0"/>
        <w:rPr>
          <w:b w:val="0"/>
          <w:color w:val="000000"/>
        </w:rPr>
      </w:pPr>
      <w:r>
        <w:rPr>
          <w:color w:val="000000"/>
        </w:rPr>
        <w:t>供应商认为采购文件、采购过程或成交结果使自己的合法权益受到损害的，应当在知道或者应知其权益受到损害之日起七个工作日内，以书面形式向采购人、采购代理机构提出质疑。具体计算时间如下：</w:t>
      </w:r>
    </w:p>
    <w:p w14:paraId="2E400AC7">
      <w:pPr>
        <w:pStyle w:val="11"/>
        <w:numPr>
          <w:ilvl w:val="0"/>
          <w:numId w:val="43"/>
        </w:numPr>
        <w:topLinePunct w:val="0"/>
        <w:ind w:left="0" w:leftChars="0" w:firstLine="480" w:firstLineChars="0"/>
        <w:rPr>
          <w:b w:val="0"/>
          <w:color w:val="000000"/>
        </w:rPr>
      </w:pPr>
      <w:r>
        <w:rPr>
          <w:color w:val="000000"/>
        </w:rPr>
        <w:t>对可以质疑的采购文件提出质疑的，为收到采购文件之日；</w:t>
      </w:r>
    </w:p>
    <w:p w14:paraId="741DBED1">
      <w:pPr>
        <w:pStyle w:val="11"/>
        <w:numPr>
          <w:ilvl w:val="0"/>
          <w:numId w:val="43"/>
        </w:numPr>
        <w:topLinePunct w:val="0"/>
        <w:ind w:left="0" w:leftChars="0" w:firstLine="480" w:firstLineChars="0"/>
        <w:rPr>
          <w:b w:val="0"/>
          <w:color w:val="000000"/>
        </w:rPr>
      </w:pPr>
      <w:r>
        <w:rPr>
          <w:color w:val="000000"/>
        </w:rPr>
        <w:t>对采购过程提出质疑的，为各采购程序环节结束之日；</w:t>
      </w:r>
    </w:p>
    <w:p w14:paraId="30EDE744">
      <w:pPr>
        <w:pStyle w:val="11"/>
        <w:numPr>
          <w:ilvl w:val="0"/>
          <w:numId w:val="43"/>
        </w:numPr>
        <w:topLinePunct w:val="0"/>
        <w:ind w:left="0" w:leftChars="0" w:firstLine="480" w:firstLineChars="0"/>
        <w:rPr>
          <w:b w:val="0"/>
          <w:color w:val="000000"/>
        </w:rPr>
      </w:pPr>
      <w:r>
        <w:rPr>
          <w:color w:val="000000"/>
        </w:rPr>
        <w:t>对成交结果提出质疑的，为成交结果公告期限届满之日。</w:t>
      </w:r>
    </w:p>
    <w:p w14:paraId="16A81E19">
      <w:pPr>
        <w:pStyle w:val="11"/>
        <w:rPr>
          <w:color w:val="000000"/>
        </w:rPr>
      </w:pPr>
      <w:r>
        <w:rPr>
          <w:color w:val="000000"/>
        </w:rPr>
        <w:t>供应商对采购人或采购代理机构的质疑答复不满意或者采购人或采购代理机构未在规定时间内作出答复的，可以在答复期满后十五个工作日内向同级采购监管部门投诉。</w:t>
      </w:r>
    </w:p>
    <w:p w14:paraId="7AD1D659">
      <w:pPr>
        <w:pStyle w:val="11"/>
        <w:numPr>
          <w:ilvl w:val="0"/>
          <w:numId w:val="42"/>
        </w:numPr>
        <w:ind w:left="0" w:leftChars="0" w:firstLine="480" w:firstLineChars="0"/>
        <w:rPr>
          <w:b w:val="0"/>
          <w:color w:val="000000"/>
        </w:rPr>
      </w:pPr>
      <w:r>
        <w:rPr>
          <w:color w:val="000000"/>
        </w:rPr>
        <w:t>质疑、投诉应当采用书面形式，质疑书、投诉书均应明确阐述采购文件、采购过程、成交结果中使自己合法权益受到损害的实质性内容，提供相关事实、明确的请求、必要的证明材料，便于有关单位调查、答复和处理。</w:t>
      </w:r>
    </w:p>
    <w:p w14:paraId="36C5E83C">
      <w:pPr>
        <w:pStyle w:val="11"/>
        <w:rPr>
          <w:color w:val="000000"/>
        </w:rPr>
      </w:pPr>
      <w:r>
        <w:rPr>
          <w:color w:val="000000"/>
        </w:rPr>
        <w:t>供应商提出质疑应当提交质疑函和必要的证明材料，针对同一采购程序环节的质疑必须在法定质疑期内一次性提出。质疑函应当包括下列内容：</w:t>
      </w:r>
    </w:p>
    <w:p w14:paraId="4D248430">
      <w:pPr>
        <w:pStyle w:val="11"/>
        <w:numPr>
          <w:ilvl w:val="0"/>
          <w:numId w:val="44"/>
        </w:numPr>
        <w:topLinePunct w:val="0"/>
        <w:ind w:left="0" w:leftChars="0" w:firstLine="480" w:firstLineChars="0"/>
        <w:rPr>
          <w:b w:val="0"/>
          <w:color w:val="000000"/>
        </w:rPr>
      </w:pPr>
      <w:r>
        <w:rPr>
          <w:color w:val="000000"/>
        </w:rPr>
        <w:t>供应商的姓名或者名称、地址、邮编、联系人及联系电话；</w:t>
      </w:r>
    </w:p>
    <w:p w14:paraId="1F31AC28">
      <w:pPr>
        <w:pStyle w:val="11"/>
        <w:numPr>
          <w:ilvl w:val="0"/>
          <w:numId w:val="44"/>
        </w:numPr>
        <w:topLinePunct w:val="0"/>
        <w:ind w:left="0" w:leftChars="0" w:firstLine="480" w:firstLineChars="0"/>
        <w:rPr>
          <w:b w:val="0"/>
          <w:color w:val="000000"/>
        </w:rPr>
      </w:pPr>
      <w:r>
        <w:rPr>
          <w:color w:val="000000"/>
        </w:rPr>
        <w:t>质疑项目的名称、编号；</w:t>
      </w:r>
    </w:p>
    <w:p w14:paraId="2858DF2D">
      <w:pPr>
        <w:pStyle w:val="11"/>
        <w:numPr>
          <w:ilvl w:val="0"/>
          <w:numId w:val="44"/>
        </w:numPr>
        <w:topLinePunct w:val="0"/>
        <w:ind w:left="0" w:leftChars="0" w:firstLine="480" w:firstLineChars="0"/>
        <w:rPr>
          <w:b w:val="0"/>
          <w:color w:val="000000"/>
        </w:rPr>
      </w:pPr>
      <w:r>
        <w:rPr>
          <w:color w:val="000000"/>
        </w:rPr>
        <w:t>具体、明确的质疑事项和与质疑事项相关的请求；</w:t>
      </w:r>
    </w:p>
    <w:p w14:paraId="5141F70A">
      <w:pPr>
        <w:pStyle w:val="11"/>
        <w:numPr>
          <w:ilvl w:val="0"/>
          <w:numId w:val="44"/>
        </w:numPr>
        <w:topLinePunct w:val="0"/>
        <w:ind w:left="0" w:leftChars="0" w:firstLine="480" w:firstLineChars="0"/>
        <w:rPr>
          <w:b w:val="0"/>
          <w:color w:val="000000"/>
        </w:rPr>
      </w:pPr>
      <w:r>
        <w:rPr>
          <w:color w:val="000000"/>
        </w:rPr>
        <w:t>事实依据；</w:t>
      </w:r>
    </w:p>
    <w:p w14:paraId="3EE293E3">
      <w:pPr>
        <w:pStyle w:val="11"/>
        <w:numPr>
          <w:ilvl w:val="0"/>
          <w:numId w:val="44"/>
        </w:numPr>
        <w:topLinePunct w:val="0"/>
        <w:ind w:left="0" w:leftChars="0" w:firstLine="480" w:firstLineChars="0"/>
        <w:rPr>
          <w:b w:val="0"/>
          <w:color w:val="000000"/>
        </w:rPr>
      </w:pPr>
      <w:r>
        <w:rPr>
          <w:color w:val="000000"/>
        </w:rPr>
        <w:t>必要的法律依据；</w:t>
      </w:r>
    </w:p>
    <w:p w14:paraId="30B91685">
      <w:pPr>
        <w:pStyle w:val="11"/>
        <w:numPr>
          <w:ilvl w:val="0"/>
          <w:numId w:val="44"/>
        </w:numPr>
        <w:topLinePunct w:val="0"/>
        <w:ind w:left="0" w:leftChars="0" w:firstLine="480" w:firstLineChars="0"/>
        <w:rPr>
          <w:b w:val="0"/>
          <w:color w:val="000000"/>
        </w:rPr>
      </w:pPr>
      <w:r>
        <w:rPr>
          <w:color w:val="000000"/>
        </w:rPr>
        <w:t>提出质疑的日期。</w:t>
      </w:r>
    </w:p>
    <w:p w14:paraId="431CF8AA">
      <w:pPr>
        <w:pStyle w:val="11"/>
        <w:rPr>
          <w:color w:val="000000"/>
        </w:rPr>
      </w:pPr>
      <w:r>
        <w:rPr>
          <w:color w:val="000000"/>
        </w:rPr>
        <w:t>供应商为自然人的，应当由本人签字；供应商为法人或者其他组织的，应当由法定代表人、主要负责人，或者其授权代表签字或者盖章，并加盖公章。</w:t>
      </w:r>
    </w:p>
    <w:p w14:paraId="245A3DEE">
      <w:pPr>
        <w:keepNext/>
        <w:keepLines/>
        <w:widowControl w:val="0"/>
        <w:spacing w:before="280" w:after="290" w:line="376" w:lineRule="auto"/>
        <w:jc w:val="both"/>
        <w:outlineLvl w:val="9"/>
        <w:rPr>
          <w:rFonts w:hint="eastAsia" w:ascii="Arial" w:hAnsi="Arial" w:eastAsia="黑体" w:cs="Times New Roman"/>
          <w:b/>
          <w:bCs/>
          <w:color w:val="000000"/>
          <w:kern w:val="2"/>
          <w:sz w:val="28"/>
          <w:szCs w:val="28"/>
          <w:lang w:val="en-US" w:eastAsia="zh-CN" w:bidi="ar-SA"/>
        </w:rPr>
      </w:pPr>
    </w:p>
    <w:p w14:paraId="4808E4B7">
      <w:pPr>
        <w:rPr>
          <w:rFonts w:hint="eastAsia"/>
          <w:color w:val="000000"/>
        </w:rPr>
      </w:pPr>
    </w:p>
    <w:p w14:paraId="7A6A9398">
      <w:pPr>
        <w:keepNext/>
        <w:keepLines/>
        <w:widowControl w:val="0"/>
        <w:spacing w:before="280" w:after="290" w:line="376" w:lineRule="auto"/>
        <w:jc w:val="both"/>
        <w:outlineLvl w:val="9"/>
        <w:rPr>
          <w:rFonts w:hint="eastAsia" w:ascii="Arial" w:hAnsi="Arial" w:eastAsia="黑体" w:cs="Times New Roman"/>
          <w:b/>
          <w:bCs/>
          <w:color w:val="000000"/>
          <w:kern w:val="2"/>
          <w:sz w:val="28"/>
          <w:szCs w:val="28"/>
          <w:lang w:val="en-US" w:eastAsia="zh-CN" w:bidi="ar-SA"/>
        </w:rPr>
      </w:pPr>
    </w:p>
    <w:p w14:paraId="04D39035">
      <w:pPr>
        <w:keepNext/>
        <w:keepLines/>
        <w:widowControl w:val="0"/>
        <w:spacing w:before="280" w:after="290" w:line="376" w:lineRule="auto"/>
        <w:jc w:val="both"/>
        <w:outlineLvl w:val="9"/>
        <w:rPr>
          <w:rFonts w:hint="eastAsia" w:ascii="Arial" w:hAnsi="Arial" w:eastAsia="黑体" w:cs="Times New Roman"/>
          <w:b/>
          <w:bCs/>
          <w:color w:val="000000"/>
          <w:kern w:val="2"/>
          <w:sz w:val="28"/>
          <w:szCs w:val="28"/>
          <w:lang w:val="en-US" w:eastAsia="zh-CN" w:bidi="ar-SA"/>
        </w:rPr>
      </w:pPr>
    </w:p>
    <w:p w14:paraId="05A56BCB">
      <w:pPr>
        <w:rPr>
          <w:rFonts w:hint="eastAsia"/>
          <w:color w:val="000000"/>
        </w:rPr>
      </w:pPr>
    </w:p>
    <w:p w14:paraId="67282D75">
      <w:pPr>
        <w:pStyle w:val="11"/>
        <w:rPr>
          <w:rFonts w:hint="eastAsia"/>
          <w:color w:val="000000"/>
        </w:rPr>
      </w:pPr>
    </w:p>
    <w:p w14:paraId="21876406">
      <w:pPr>
        <w:rPr>
          <w:rFonts w:hint="eastAsia"/>
          <w:color w:val="000000"/>
        </w:rPr>
      </w:pPr>
    </w:p>
    <w:p w14:paraId="39475841">
      <w:pPr>
        <w:pStyle w:val="11"/>
        <w:rPr>
          <w:rFonts w:hint="eastAsia"/>
          <w:color w:val="000000"/>
        </w:rPr>
      </w:pPr>
    </w:p>
    <w:p w14:paraId="3CED62A0">
      <w:pPr>
        <w:rPr>
          <w:rFonts w:hint="eastAsia"/>
          <w:color w:val="000000"/>
        </w:rPr>
      </w:pPr>
    </w:p>
    <w:p w14:paraId="197604D6">
      <w:pPr>
        <w:pStyle w:val="11"/>
        <w:rPr>
          <w:rFonts w:hint="eastAsia"/>
          <w:color w:val="000000"/>
        </w:rPr>
      </w:pPr>
    </w:p>
    <w:p w14:paraId="1C93A2FB">
      <w:pPr>
        <w:rPr>
          <w:rFonts w:hint="eastAsia"/>
          <w:color w:val="000000"/>
        </w:rPr>
      </w:pPr>
    </w:p>
    <w:p w14:paraId="7B75E0A6">
      <w:pPr>
        <w:pStyle w:val="11"/>
        <w:rPr>
          <w:rFonts w:hint="eastAsia"/>
          <w:color w:val="000000"/>
        </w:rPr>
      </w:pPr>
    </w:p>
    <w:p w14:paraId="5DFF929A">
      <w:pPr>
        <w:rPr>
          <w:rFonts w:hint="eastAsia"/>
          <w:color w:val="000000"/>
        </w:rPr>
      </w:pPr>
    </w:p>
    <w:p w14:paraId="1AB3151C">
      <w:bookmarkStart w:id="49" w:name="_Toc12144"/>
      <w:r>
        <w:br w:type="page"/>
      </w:r>
    </w:p>
    <w:p w14:paraId="1683B67D">
      <w:pPr>
        <w:pStyle w:val="42"/>
        <w:numPr>
          <w:ilvl w:val="0"/>
          <w:numId w:val="2"/>
        </w:numPr>
        <w:ind w:left="0" w:leftChars="0" w:firstLine="0" w:firstLineChars="0"/>
        <w:outlineLvl w:val="0"/>
        <w:rPr>
          <w:b w:val="0"/>
        </w:rPr>
      </w:pPr>
      <w:r>
        <w:t>评审方法及定标标准</w:t>
      </w:r>
      <w:bookmarkEnd w:id="49"/>
    </w:p>
    <w:p w14:paraId="27330177">
      <w:pPr>
        <w:pStyle w:val="2"/>
        <w:numPr>
          <w:ilvl w:val="0"/>
          <w:numId w:val="45"/>
        </w:numPr>
        <w:tabs>
          <w:tab w:val="clear" w:pos="482"/>
        </w:tabs>
        <w:topLinePunct w:val="0"/>
        <w:ind w:left="0" w:leftChars="0" w:firstLine="0" w:firstLineChars="0"/>
        <w:rPr>
          <w:b/>
        </w:rPr>
      </w:pPr>
      <w:r>
        <w:t>评标原则</w:t>
      </w:r>
    </w:p>
    <w:p w14:paraId="3F449896">
      <w:pPr>
        <w:pStyle w:val="11"/>
        <w:numPr>
          <w:ilvl w:val="0"/>
          <w:numId w:val="46"/>
        </w:numPr>
        <w:ind w:left="0" w:leftChars="0" w:firstLine="480" w:firstLineChars="0"/>
        <w:rPr>
          <w:b w:val="0"/>
          <w:color w:val="000000"/>
        </w:rPr>
      </w:pPr>
      <w:r>
        <w:rPr>
          <w:color w:val="000000"/>
        </w:rPr>
        <w:t>磋商小组的构成：</w:t>
      </w:r>
    </w:p>
    <w:p w14:paraId="2663A778">
      <w:pPr>
        <w:pStyle w:val="11"/>
        <w:numPr>
          <w:ilvl w:val="0"/>
          <w:numId w:val="47"/>
        </w:numPr>
        <w:ind w:left="0" w:leftChars="0" w:firstLine="482" w:firstLineChars="0"/>
        <w:rPr>
          <w:b w:val="0"/>
          <w:color w:val="000000"/>
        </w:rPr>
      </w:pPr>
      <w:r>
        <w:rPr>
          <w:color w:val="000000"/>
        </w:rPr>
        <w:t>本采购项目的磋商小组分别由依法组成的评审专家、采购人代表等三人组成，其中专家人数不少于成员总数的三分之二。</w:t>
      </w:r>
    </w:p>
    <w:p w14:paraId="45EE27DF">
      <w:pPr>
        <w:pStyle w:val="11"/>
        <w:numPr>
          <w:ilvl w:val="0"/>
          <w:numId w:val="47"/>
        </w:numPr>
        <w:ind w:left="0" w:leftChars="0" w:firstLine="482" w:firstLineChars="0"/>
      </w:pPr>
      <w:r>
        <w:rPr>
          <w:color w:val="000000"/>
        </w:rPr>
        <w:t>评审专家应当从政府采购评审专家库内相关专业的专家名单中随机抽取。市场竞争不充分的科研项目，以及需要扶持的科技成果转化项目，以及情况特殊、通过随机方式难以确定合适的评审专家的项目，经主管预算单位同意，可以自行选定评审专家。技术复杂、专业性强的采购项目，评审专家中应当包含1名法律专家</w:t>
      </w:r>
      <w:r>
        <w:t>。</w:t>
      </w:r>
    </w:p>
    <w:p w14:paraId="5CF05039">
      <w:pPr>
        <w:pStyle w:val="11"/>
        <w:numPr>
          <w:ilvl w:val="0"/>
          <w:numId w:val="46"/>
        </w:numPr>
        <w:ind w:left="0" w:leftChars="0" w:firstLine="480" w:firstLineChars="0"/>
        <w:rPr>
          <w:b w:val="0"/>
          <w:color w:val="000000"/>
        </w:rPr>
      </w:pPr>
      <w:r>
        <w:rPr>
          <w:color w:val="000000"/>
        </w:rPr>
        <w:t>评标依据：磋商小组将以磋商响应文件为评标依据，对供应商的价格、技术方案分等方面内容按百分制打分。</w:t>
      </w:r>
    </w:p>
    <w:p w14:paraId="3B86394B">
      <w:pPr>
        <w:pStyle w:val="11"/>
        <w:numPr>
          <w:ilvl w:val="0"/>
          <w:numId w:val="46"/>
        </w:numPr>
        <w:ind w:left="0" w:leftChars="0" w:firstLine="480" w:firstLineChars="0"/>
        <w:rPr>
          <w:b w:val="0"/>
          <w:color w:val="000000"/>
        </w:rPr>
      </w:pPr>
      <w:r>
        <w:rPr>
          <w:color w:val="000000"/>
        </w:rPr>
        <w:t>评标方法：综合评分法。</w:t>
      </w:r>
    </w:p>
    <w:p w14:paraId="61633588">
      <w:pPr>
        <w:pStyle w:val="2"/>
        <w:numPr>
          <w:ilvl w:val="0"/>
          <w:numId w:val="45"/>
        </w:numPr>
        <w:tabs>
          <w:tab w:val="clear" w:pos="482"/>
        </w:tabs>
        <w:topLinePunct w:val="0"/>
        <w:ind w:left="0" w:leftChars="0" w:firstLine="0" w:firstLineChars="0"/>
        <w:rPr>
          <w:b/>
        </w:rPr>
      </w:pPr>
      <w:r>
        <w:t>评标方法（计分办法按四舍五入取至百分位）：</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
        <w:gridCol w:w="1691"/>
        <w:gridCol w:w="6784"/>
      </w:tblGrid>
      <w:tr w14:paraId="578CAE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52" w:type="dxa"/>
            <w:noWrap w:val="0"/>
            <w:vAlign w:val="center"/>
          </w:tcPr>
          <w:p w14:paraId="4622B18B">
            <w:pPr>
              <w:widowControl/>
              <w:spacing w:line="400" w:lineRule="exact"/>
              <w:jc w:val="center"/>
              <w:rPr>
                <w:rFonts w:ascii="宋体" w:hAnsi="宋体" w:cs="Tahoma"/>
                <w:b/>
                <w:bCs/>
                <w:color w:val="000000"/>
                <w:kern w:val="0"/>
                <w:szCs w:val="21"/>
              </w:rPr>
            </w:pPr>
            <w:r>
              <w:rPr>
                <w:rFonts w:hint="eastAsia" w:ascii="宋体" w:hAnsi="宋体" w:cs="Tahoma"/>
                <w:b/>
                <w:bCs/>
                <w:color w:val="000000"/>
                <w:kern w:val="0"/>
                <w:szCs w:val="21"/>
              </w:rPr>
              <w:t>序号</w:t>
            </w:r>
          </w:p>
        </w:tc>
        <w:tc>
          <w:tcPr>
            <w:tcW w:w="1691" w:type="dxa"/>
            <w:noWrap w:val="0"/>
            <w:vAlign w:val="center"/>
          </w:tcPr>
          <w:p w14:paraId="6A1226CD">
            <w:pPr>
              <w:widowControl/>
              <w:spacing w:line="400" w:lineRule="exact"/>
              <w:jc w:val="center"/>
              <w:rPr>
                <w:rFonts w:ascii="宋体" w:hAnsi="宋体" w:cs="Tahoma"/>
                <w:b/>
                <w:bCs/>
                <w:color w:val="000000"/>
                <w:kern w:val="0"/>
                <w:szCs w:val="21"/>
              </w:rPr>
            </w:pPr>
            <w:r>
              <w:rPr>
                <w:rFonts w:hint="eastAsia" w:ascii="宋体" w:hAnsi="宋体" w:cs="Tahoma"/>
                <w:b/>
                <w:bCs/>
                <w:color w:val="000000"/>
                <w:kern w:val="0"/>
                <w:szCs w:val="21"/>
              </w:rPr>
              <w:t>评分因素</w:t>
            </w:r>
          </w:p>
        </w:tc>
        <w:tc>
          <w:tcPr>
            <w:tcW w:w="6784" w:type="dxa"/>
            <w:noWrap w:val="0"/>
            <w:vAlign w:val="center"/>
          </w:tcPr>
          <w:p w14:paraId="59FB96FD">
            <w:pPr>
              <w:widowControl/>
              <w:spacing w:line="400" w:lineRule="exact"/>
              <w:jc w:val="center"/>
              <w:rPr>
                <w:rFonts w:ascii="宋体" w:hAnsi="宋体" w:cs="Tahoma"/>
                <w:b/>
                <w:bCs/>
                <w:color w:val="000000"/>
                <w:kern w:val="0"/>
                <w:szCs w:val="21"/>
              </w:rPr>
            </w:pPr>
            <w:r>
              <w:rPr>
                <w:rFonts w:hint="eastAsia" w:ascii="宋体" w:hAnsi="宋体" w:cs="Tahoma"/>
                <w:b/>
                <w:bCs/>
                <w:color w:val="000000"/>
                <w:kern w:val="0"/>
                <w:szCs w:val="21"/>
              </w:rPr>
              <w:t>评分内容</w:t>
            </w:r>
          </w:p>
        </w:tc>
      </w:tr>
      <w:tr w14:paraId="7D5A37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327" w:type="dxa"/>
            <w:gridSpan w:val="3"/>
            <w:noWrap w:val="0"/>
            <w:vAlign w:val="center"/>
          </w:tcPr>
          <w:p w14:paraId="416B54B8">
            <w:pPr>
              <w:widowControl/>
              <w:spacing w:line="400" w:lineRule="exact"/>
              <w:rPr>
                <w:rFonts w:hint="eastAsia" w:ascii="宋体" w:hAnsi="宋体" w:cs="Tahoma"/>
                <w:b/>
                <w:bCs/>
                <w:color w:val="000000"/>
                <w:kern w:val="0"/>
                <w:szCs w:val="21"/>
              </w:rPr>
            </w:pPr>
            <w:r>
              <w:rPr>
                <w:rFonts w:hint="eastAsia" w:ascii="宋体" w:hAnsi="宋体" w:cs="Tahoma"/>
                <w:b/>
                <w:bCs/>
                <w:color w:val="000000"/>
                <w:kern w:val="0"/>
                <w:szCs w:val="21"/>
              </w:rPr>
              <w:t>1、价格分（满分30分）</w:t>
            </w:r>
          </w:p>
        </w:tc>
      </w:tr>
      <w:tr w14:paraId="0E480A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52" w:type="dxa"/>
            <w:noWrap w:val="0"/>
            <w:vAlign w:val="center"/>
          </w:tcPr>
          <w:p w14:paraId="428C760A">
            <w:pPr>
              <w:widowControl/>
              <w:spacing w:line="400" w:lineRule="exact"/>
              <w:jc w:val="center"/>
              <w:rPr>
                <w:rFonts w:ascii="宋体" w:hAnsi="宋体" w:cs="Tahoma"/>
                <w:color w:val="000000"/>
                <w:kern w:val="0"/>
                <w:szCs w:val="21"/>
              </w:rPr>
            </w:pPr>
            <w:r>
              <w:rPr>
                <w:rFonts w:hint="eastAsia" w:ascii="宋体" w:hAnsi="宋体" w:cs="Tahoma"/>
                <w:color w:val="000000"/>
                <w:kern w:val="0"/>
                <w:szCs w:val="21"/>
              </w:rPr>
              <w:t>1.1</w:t>
            </w:r>
          </w:p>
        </w:tc>
        <w:tc>
          <w:tcPr>
            <w:tcW w:w="1691" w:type="dxa"/>
            <w:noWrap w:val="0"/>
            <w:vAlign w:val="center"/>
          </w:tcPr>
          <w:p w14:paraId="4ABDE348">
            <w:pPr>
              <w:widowControl/>
              <w:spacing w:line="400" w:lineRule="exact"/>
              <w:jc w:val="center"/>
              <w:rPr>
                <w:rFonts w:ascii="宋体" w:hAnsi="宋体" w:cs="Tahoma"/>
                <w:color w:val="000000"/>
                <w:kern w:val="0"/>
                <w:szCs w:val="21"/>
              </w:rPr>
            </w:pPr>
            <w:r>
              <w:rPr>
                <w:rFonts w:hint="eastAsia" w:ascii="宋体" w:hAnsi="宋体" w:cs="Tahoma"/>
                <w:color w:val="000000"/>
                <w:kern w:val="0"/>
                <w:szCs w:val="21"/>
              </w:rPr>
              <w:t>价格分</w:t>
            </w:r>
          </w:p>
          <w:p w14:paraId="19340E29">
            <w:pPr>
              <w:widowControl/>
              <w:spacing w:line="400" w:lineRule="exact"/>
              <w:jc w:val="center"/>
              <w:rPr>
                <w:rFonts w:ascii="宋体" w:hAnsi="宋体" w:cs="Tahoma"/>
                <w:color w:val="000000"/>
                <w:kern w:val="0"/>
                <w:szCs w:val="21"/>
              </w:rPr>
            </w:pPr>
            <w:r>
              <w:rPr>
                <w:rFonts w:hint="eastAsia" w:ascii="宋体" w:hAnsi="宋体" w:cs="Tahoma"/>
                <w:color w:val="000000"/>
                <w:kern w:val="0"/>
                <w:szCs w:val="21"/>
              </w:rPr>
              <w:t>（满分30分）</w:t>
            </w:r>
          </w:p>
        </w:tc>
        <w:tc>
          <w:tcPr>
            <w:tcW w:w="6784" w:type="dxa"/>
            <w:noWrap w:val="0"/>
            <w:vAlign w:val="top"/>
          </w:tcPr>
          <w:p w14:paraId="3C0B5175">
            <w:pPr>
              <w:pStyle w:val="15"/>
              <w:numPr>
                <w:ilvl w:val="0"/>
                <w:numId w:val="0"/>
              </w:numPr>
              <w:spacing w:line="400" w:lineRule="exact"/>
              <w:ind w:firstLine="420" w:firstLineChars="200"/>
              <w:rPr>
                <w:rFonts w:hint="eastAsia" w:hAnsi="宋体"/>
                <w:bCs/>
                <w:color w:val="000000"/>
                <w:sz w:val="21"/>
              </w:rPr>
            </w:pPr>
            <w:r>
              <w:rPr>
                <w:rFonts w:hint="eastAsia" w:ascii="宋体" w:hAnsi="宋体" w:eastAsia="宋体" w:cs="Times New Roman"/>
                <w:bCs/>
                <w:color w:val="000000"/>
                <w:kern w:val="0"/>
                <w:sz w:val="21"/>
                <w:szCs w:val="21"/>
                <w:lang w:val="en-US" w:eastAsia="zh-CN" w:bidi="ar-SA"/>
              </w:rPr>
              <w:t>（1）</w:t>
            </w:r>
            <w:r>
              <w:rPr>
                <w:rFonts w:hint="eastAsia" w:hAnsi="宋体"/>
                <w:bCs/>
                <w:color w:val="000000"/>
                <w:sz w:val="21"/>
              </w:rPr>
              <w:t>评标价为供应商的磋商报价进行政策性扣除后的价格，评标价只是作为评标时使用。最终成交供应商的成交金额＝磋商报价。</w:t>
            </w:r>
          </w:p>
          <w:p w14:paraId="755ACB9D">
            <w:pPr>
              <w:pStyle w:val="15"/>
              <w:spacing w:line="400" w:lineRule="exact"/>
              <w:ind w:firstLine="420" w:firstLineChars="200"/>
              <w:rPr>
                <w:rFonts w:hint="eastAsia" w:ascii="宋体" w:hAnsi="宋体" w:eastAsia="宋体" w:cs="宋体"/>
                <w:bCs/>
                <w:color w:val="000000"/>
                <w:sz w:val="21"/>
                <w:szCs w:val="21"/>
                <w:highlight w:val="none"/>
                <w:lang w:val="en-US"/>
              </w:rPr>
            </w:pPr>
            <w:r>
              <w:rPr>
                <w:rFonts w:hint="eastAsia" w:ascii="宋体" w:hAnsi="宋体" w:eastAsia="宋体" w:cs="宋体"/>
                <w:bCs/>
                <w:color w:val="auto"/>
                <w:sz w:val="21"/>
                <w:szCs w:val="21"/>
                <w:highlight w:val="none"/>
                <w:lang w:val="en-US"/>
              </w:rPr>
              <w:t>（</w:t>
            </w:r>
            <w:r>
              <w:rPr>
                <w:rFonts w:hint="eastAsia" w:ascii="宋体" w:hAnsi="宋体" w:eastAsia="宋体" w:cs="宋体"/>
                <w:bCs/>
                <w:color w:val="auto"/>
                <w:sz w:val="21"/>
                <w:szCs w:val="21"/>
                <w:highlight w:val="none"/>
                <w:lang w:val="en-US" w:eastAsia="zh-CN"/>
              </w:rPr>
              <w:t>2</w:t>
            </w:r>
            <w:r>
              <w:rPr>
                <w:rFonts w:hint="eastAsia" w:ascii="宋体" w:hAnsi="宋体" w:eastAsia="宋体" w:cs="宋体"/>
                <w:bCs/>
                <w:color w:val="auto"/>
                <w:sz w:val="21"/>
                <w:szCs w:val="21"/>
                <w:highlight w:val="none"/>
                <w:lang w:val="en-US"/>
              </w:rPr>
              <w:t>）</w:t>
            </w:r>
            <w:r>
              <w:rPr>
                <w:rFonts w:hint="eastAsia" w:ascii="宋体" w:hAnsi="宋体" w:eastAsia="宋体" w:cs="宋体"/>
                <w:bCs/>
                <w:color w:val="000000"/>
                <w:sz w:val="21"/>
                <w:szCs w:val="21"/>
                <w:highlight w:val="none"/>
                <w:lang w:val="en-US"/>
              </w:rPr>
              <w:t>本项目为专门面对中小企业项目，</w:t>
            </w:r>
            <w:r>
              <w:rPr>
                <w:rFonts w:hint="eastAsia" w:ascii="宋体" w:hAnsi="宋体" w:eastAsia="宋体" w:cs="宋体"/>
                <w:bCs/>
                <w:color w:val="000000"/>
                <w:sz w:val="21"/>
                <w:szCs w:val="21"/>
                <w:highlight w:val="none"/>
                <w:lang w:val="en-US" w:eastAsia="zh-CN"/>
              </w:rPr>
              <w:t>按照《政府采购促进中小企业发展管理办法》（财库）</w:t>
            </w:r>
            <w:r>
              <w:rPr>
                <w:rFonts w:hint="eastAsia" w:ascii="宋体" w:hAnsi="宋体" w:eastAsia="宋体" w:cs="宋体"/>
                <w:bCs/>
                <w:color w:val="000000"/>
                <w:sz w:val="21"/>
                <w:szCs w:val="21"/>
                <w:highlight w:val="none"/>
                <w:lang w:val="en-US"/>
              </w:rPr>
              <w:t>〔</w:t>
            </w:r>
            <w:r>
              <w:rPr>
                <w:rFonts w:hint="eastAsia" w:ascii="宋体" w:hAnsi="宋体" w:eastAsia="宋体" w:cs="宋体"/>
                <w:bCs/>
                <w:color w:val="000000"/>
                <w:sz w:val="21"/>
                <w:szCs w:val="21"/>
                <w:highlight w:val="none"/>
                <w:lang w:val="en-US" w:eastAsia="zh-CN"/>
              </w:rPr>
              <w:t>2020</w:t>
            </w:r>
            <w:r>
              <w:rPr>
                <w:rFonts w:hint="eastAsia" w:ascii="宋体" w:hAnsi="宋体" w:eastAsia="宋体" w:cs="宋体"/>
                <w:bCs/>
                <w:color w:val="000000"/>
                <w:sz w:val="21"/>
                <w:szCs w:val="21"/>
                <w:highlight w:val="none"/>
                <w:lang w:val="en-US"/>
              </w:rPr>
              <w:t>〕</w:t>
            </w:r>
            <w:r>
              <w:rPr>
                <w:rFonts w:hint="eastAsia" w:ascii="宋体" w:hAnsi="宋体" w:eastAsia="宋体" w:cs="宋体"/>
                <w:bCs/>
                <w:color w:val="000000"/>
                <w:sz w:val="21"/>
                <w:szCs w:val="21"/>
                <w:highlight w:val="none"/>
                <w:lang w:val="en-US" w:eastAsia="zh-CN"/>
              </w:rPr>
              <w:t>46</w:t>
            </w:r>
            <w:r>
              <w:rPr>
                <w:rFonts w:hint="eastAsia" w:ascii="宋体" w:hAnsi="宋体" w:eastAsia="宋体" w:cs="宋体"/>
                <w:bCs/>
                <w:color w:val="000000"/>
                <w:sz w:val="21"/>
                <w:szCs w:val="21"/>
                <w:highlight w:val="none"/>
                <w:lang w:val="en-US"/>
              </w:rPr>
              <w:t>号</w:t>
            </w:r>
            <w:r>
              <w:rPr>
                <w:rFonts w:hint="eastAsia" w:ascii="宋体" w:hAnsi="宋体" w:eastAsia="宋体" w:cs="宋体"/>
                <w:bCs/>
                <w:color w:val="000000"/>
                <w:sz w:val="21"/>
                <w:szCs w:val="21"/>
                <w:highlight w:val="none"/>
                <w:lang w:val="en-US" w:eastAsia="zh-CN"/>
              </w:rPr>
              <w:t>）的规定及《财政部、司法部关于政府采购支持监狱企业发展有关问题的通知》（财库〔2014〕68号）的规定，对应供应商最后报价不再执行价格评审优惠的扶持政策</w:t>
            </w:r>
            <w:r>
              <w:rPr>
                <w:rFonts w:hint="eastAsia" w:ascii="宋体" w:hAnsi="宋体" w:eastAsia="宋体" w:cs="宋体"/>
                <w:bCs/>
                <w:color w:val="000000"/>
                <w:sz w:val="21"/>
                <w:szCs w:val="21"/>
                <w:highlight w:val="none"/>
                <w:lang w:val="en-US"/>
              </w:rPr>
              <w:t>。</w:t>
            </w:r>
          </w:p>
          <w:p w14:paraId="78CD2CD1">
            <w:pPr>
              <w:pStyle w:val="15"/>
              <w:spacing w:line="400" w:lineRule="exact"/>
              <w:ind w:firstLine="420" w:firstLineChars="200"/>
              <w:rPr>
                <w:rFonts w:hint="eastAsia" w:hAnsi="宋体"/>
                <w:bCs/>
                <w:color w:val="000000"/>
                <w:sz w:val="21"/>
                <w:highlight w:val="none"/>
              </w:rPr>
            </w:pPr>
            <w:r>
              <w:rPr>
                <w:rFonts w:hint="eastAsia" w:hAnsi="宋体"/>
                <w:bCs/>
                <w:color w:val="000000"/>
                <w:sz w:val="21"/>
                <w:highlight w:val="none"/>
              </w:rPr>
              <w:t>（</w:t>
            </w:r>
            <w:r>
              <w:rPr>
                <w:rFonts w:hint="eastAsia" w:hAnsi="宋体"/>
                <w:bCs/>
                <w:color w:val="000000"/>
                <w:sz w:val="21"/>
                <w:highlight w:val="none"/>
                <w:lang w:val="en-US" w:eastAsia="zh-CN"/>
              </w:rPr>
              <w:t>3</w:t>
            </w:r>
            <w:r>
              <w:rPr>
                <w:rFonts w:hint="eastAsia" w:hAnsi="宋体"/>
                <w:bCs/>
                <w:color w:val="000000"/>
                <w:sz w:val="21"/>
                <w:highlight w:val="none"/>
              </w:rPr>
              <w:t>）以进入综合评分环节的最低的评标报价为基准价，基准价报价得分为30分。</w:t>
            </w:r>
          </w:p>
          <w:p w14:paraId="4394017F">
            <w:pPr>
              <w:pStyle w:val="15"/>
              <w:spacing w:line="400" w:lineRule="exact"/>
              <w:ind w:firstLine="420" w:firstLineChars="200"/>
              <w:rPr>
                <w:rFonts w:hAnsi="宋体"/>
                <w:bCs/>
                <w:color w:val="000000"/>
                <w:sz w:val="21"/>
                <w:highlight w:val="none"/>
              </w:rPr>
            </w:pPr>
            <w:r>
              <w:rPr>
                <w:rFonts w:hint="eastAsia" w:hAnsi="宋体"/>
                <w:bCs/>
                <w:color w:val="000000"/>
                <w:sz w:val="21"/>
                <w:highlight w:val="none"/>
              </w:rPr>
              <w:t>（</w:t>
            </w:r>
            <w:r>
              <w:rPr>
                <w:rFonts w:hint="eastAsia" w:hAnsi="宋体"/>
                <w:bCs/>
                <w:color w:val="000000"/>
                <w:sz w:val="21"/>
                <w:highlight w:val="none"/>
                <w:lang w:val="en-US" w:eastAsia="zh-CN"/>
              </w:rPr>
              <w:t>4</w:t>
            </w:r>
            <w:r>
              <w:rPr>
                <w:rFonts w:hint="eastAsia" w:hAnsi="宋体"/>
                <w:bCs/>
                <w:color w:val="000000"/>
                <w:sz w:val="21"/>
                <w:highlight w:val="none"/>
              </w:rPr>
              <w:t>）有效的最后磋商报价应为对磋商文件实质性响应且完整、合理，不低于企业成本，且不超过采购人的政府采购预算的报价。如果磋商人的最后磋商报价超出采购人的政府采购预算做无效标处理。</w:t>
            </w:r>
          </w:p>
          <w:p w14:paraId="07EDBD68">
            <w:pPr>
              <w:pStyle w:val="15"/>
              <w:spacing w:line="400" w:lineRule="exact"/>
              <w:ind w:firstLine="420" w:firstLineChars="200"/>
              <w:rPr>
                <w:rFonts w:hAnsi="宋体"/>
                <w:bCs/>
                <w:color w:val="000000"/>
                <w:sz w:val="21"/>
                <w:highlight w:val="none"/>
              </w:rPr>
            </w:pPr>
            <w:r>
              <w:rPr>
                <w:rFonts w:hint="eastAsia" w:hAnsi="宋体"/>
                <w:bCs/>
                <w:color w:val="000000"/>
                <w:sz w:val="21"/>
                <w:highlight w:val="none"/>
              </w:rPr>
              <w:t>（</w:t>
            </w:r>
            <w:r>
              <w:rPr>
                <w:rFonts w:hint="eastAsia" w:hAnsi="宋体"/>
                <w:bCs/>
                <w:color w:val="000000"/>
                <w:sz w:val="21"/>
                <w:highlight w:val="none"/>
                <w:lang w:val="en-US" w:eastAsia="zh-CN"/>
              </w:rPr>
              <w:t>5</w:t>
            </w:r>
            <w:r>
              <w:rPr>
                <w:rFonts w:hint="eastAsia" w:hAnsi="宋体"/>
                <w:bCs/>
                <w:color w:val="000000"/>
                <w:sz w:val="21"/>
                <w:highlight w:val="none"/>
              </w:rPr>
              <w:t>）价格分计算公式：</w:t>
            </w:r>
          </w:p>
          <w:p w14:paraId="5C1520F5">
            <w:pPr>
              <w:pStyle w:val="15"/>
              <w:spacing w:line="400" w:lineRule="exact"/>
              <w:ind w:firstLine="420" w:firstLineChars="200"/>
              <w:rPr>
                <w:rFonts w:hint="eastAsia" w:hAnsi="宋体"/>
                <w:bCs/>
                <w:color w:val="000000"/>
                <w:sz w:val="21"/>
                <w:highlight w:val="none"/>
              </w:rPr>
            </w:pPr>
            <w:r>
              <w:rPr>
                <w:rFonts w:hint="eastAsia" w:hAnsi="宋体"/>
                <w:bCs/>
                <w:color w:val="000000"/>
                <w:sz w:val="21"/>
                <w:highlight w:val="none"/>
              </w:rPr>
              <w:t>某供应商价格分=基准价/某供应商磋商报价金额×30分</w:t>
            </w:r>
          </w:p>
          <w:p w14:paraId="2AA8BC62">
            <w:pPr>
              <w:pStyle w:val="15"/>
              <w:spacing w:line="400" w:lineRule="exact"/>
              <w:ind w:firstLine="422" w:firstLineChars="200"/>
              <w:rPr>
                <w:rFonts w:hAnsi="宋体"/>
                <w:bCs/>
                <w:color w:val="000000"/>
                <w:sz w:val="21"/>
              </w:rPr>
            </w:pPr>
            <w:r>
              <w:rPr>
                <w:rFonts w:hint="eastAsia" w:hAnsi="宋体"/>
                <w:b/>
                <w:bCs/>
                <w:color w:val="000000"/>
                <w:sz w:val="21"/>
              </w:rPr>
              <w:t>备注: 磋商小组认为供应商的报价明显低于其他通过符合性审查供应商的报价，有可能影响工程质量或者不能诚信履约的，应当要求其在评标现场合理的时间内提供书面说明，必要时提交相关证明材料；供应商不能证明其报价合理性的，磋商小组应当将其作为无效竞标处理。</w:t>
            </w:r>
          </w:p>
        </w:tc>
      </w:tr>
      <w:tr w14:paraId="7F9160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327" w:type="dxa"/>
            <w:gridSpan w:val="3"/>
            <w:noWrap w:val="0"/>
            <w:vAlign w:val="center"/>
          </w:tcPr>
          <w:p w14:paraId="69E3BC9C">
            <w:pPr>
              <w:widowControl/>
              <w:spacing w:line="400" w:lineRule="exact"/>
              <w:rPr>
                <w:rFonts w:hint="eastAsia" w:hAnsi="宋体"/>
                <w:b/>
                <w:bCs/>
                <w:color w:val="000000"/>
              </w:rPr>
            </w:pPr>
            <w:r>
              <w:rPr>
                <w:rFonts w:hint="eastAsia" w:hAnsi="宋体"/>
                <w:b/>
                <w:bCs/>
                <w:color w:val="000000"/>
              </w:rPr>
              <w:t>2、技术方案分（满分</w:t>
            </w:r>
            <w:r>
              <w:rPr>
                <w:rFonts w:hint="eastAsia" w:hAnsi="宋体"/>
                <w:b/>
                <w:bCs/>
                <w:color w:val="000000"/>
                <w:lang w:val="en-US" w:eastAsia="zh-CN"/>
              </w:rPr>
              <w:t>66</w:t>
            </w:r>
            <w:r>
              <w:rPr>
                <w:rFonts w:hint="eastAsia" w:hAnsi="宋体"/>
                <w:b/>
                <w:bCs/>
                <w:color w:val="000000"/>
              </w:rPr>
              <w:t>分）</w:t>
            </w:r>
          </w:p>
        </w:tc>
      </w:tr>
      <w:tr w14:paraId="07A3E5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52" w:type="dxa"/>
            <w:noWrap w:val="0"/>
            <w:vAlign w:val="center"/>
          </w:tcPr>
          <w:p w14:paraId="1B5CAB3A">
            <w:pPr>
              <w:adjustRightInd w:val="0"/>
              <w:spacing w:line="400" w:lineRule="exact"/>
              <w:ind w:left="-105" w:leftChars="-50" w:right="-105" w:rightChars="-50"/>
              <w:jc w:val="center"/>
              <w:textAlignment w:val="baseline"/>
              <w:rPr>
                <w:rFonts w:hint="eastAsia" w:ascii="宋体" w:hAnsi="宋体" w:eastAsia="宋体"/>
                <w:bCs/>
                <w:color w:val="000000"/>
                <w:kern w:val="0"/>
                <w:szCs w:val="21"/>
                <w:lang w:eastAsia="zh-CN"/>
              </w:rPr>
            </w:pPr>
            <w:r>
              <w:rPr>
                <w:rFonts w:hint="eastAsia" w:ascii="宋体" w:hAnsi="宋体"/>
                <w:bCs/>
                <w:color w:val="000000"/>
                <w:kern w:val="0"/>
                <w:szCs w:val="21"/>
              </w:rPr>
              <w:t>2.</w:t>
            </w:r>
            <w:r>
              <w:rPr>
                <w:rFonts w:hint="eastAsia" w:ascii="宋体" w:hAnsi="宋体"/>
                <w:bCs/>
                <w:color w:val="000000"/>
                <w:kern w:val="0"/>
                <w:szCs w:val="21"/>
                <w:lang w:val="en-US" w:eastAsia="zh-CN"/>
              </w:rPr>
              <w:t>1</w:t>
            </w:r>
          </w:p>
        </w:tc>
        <w:tc>
          <w:tcPr>
            <w:tcW w:w="1691" w:type="dxa"/>
            <w:noWrap w:val="0"/>
            <w:vAlign w:val="center"/>
          </w:tcPr>
          <w:p w14:paraId="6B7B9726">
            <w:pPr>
              <w:spacing w:line="400" w:lineRule="exact"/>
              <w:jc w:val="center"/>
              <w:rPr>
                <w:rFonts w:hint="eastAsia" w:ascii="宋体" w:hAnsi="宋体" w:cs="宋体"/>
                <w:bCs/>
                <w:color w:val="000000"/>
                <w:szCs w:val="21"/>
              </w:rPr>
            </w:pPr>
            <w:r>
              <w:rPr>
                <w:rFonts w:hint="eastAsia" w:ascii="宋体" w:hAnsi="宋体" w:cs="宋体"/>
                <w:bCs/>
                <w:color w:val="000000"/>
                <w:szCs w:val="21"/>
              </w:rPr>
              <w:t>主要施工</w:t>
            </w:r>
            <w:r>
              <w:rPr>
                <w:rFonts w:hint="eastAsia" w:ascii="宋体" w:hAnsi="宋体" w:cs="宋体"/>
                <w:bCs/>
                <w:color w:val="000000"/>
                <w:szCs w:val="21"/>
                <w:lang w:val="en-US" w:eastAsia="zh-CN"/>
              </w:rPr>
              <w:t>方法、方案与技术措施</w:t>
            </w:r>
            <w:r>
              <w:rPr>
                <w:rFonts w:hint="eastAsia" w:ascii="宋体" w:hAnsi="宋体" w:cs="宋体"/>
                <w:bCs/>
                <w:color w:val="000000"/>
                <w:szCs w:val="21"/>
              </w:rPr>
              <w:t>（满分</w:t>
            </w:r>
            <w:r>
              <w:rPr>
                <w:rFonts w:hint="eastAsia" w:ascii="宋体" w:hAnsi="宋体" w:cs="宋体"/>
                <w:bCs/>
                <w:color w:val="000000"/>
                <w:szCs w:val="21"/>
                <w:lang w:val="en-US" w:eastAsia="zh-CN"/>
              </w:rPr>
              <w:t>8</w:t>
            </w:r>
            <w:r>
              <w:rPr>
                <w:rFonts w:hint="eastAsia" w:ascii="宋体" w:hAnsi="宋体" w:cs="宋体"/>
                <w:bCs/>
                <w:color w:val="000000"/>
                <w:szCs w:val="21"/>
              </w:rPr>
              <w:t>分）</w:t>
            </w:r>
          </w:p>
        </w:tc>
        <w:tc>
          <w:tcPr>
            <w:tcW w:w="6784" w:type="dxa"/>
            <w:noWrap w:val="0"/>
            <w:vAlign w:val="center"/>
          </w:tcPr>
          <w:p w14:paraId="10CDB340">
            <w:pPr>
              <w:widowControl/>
              <w:spacing w:line="360" w:lineRule="auto"/>
              <w:rPr>
                <w:rFonts w:hint="eastAsia" w:ascii="宋体" w:hAnsi="宋体"/>
                <w:bCs/>
                <w:color w:val="000000"/>
                <w:kern w:val="0"/>
                <w:szCs w:val="21"/>
              </w:rPr>
            </w:pPr>
            <w:r>
              <w:rPr>
                <w:rFonts w:hint="eastAsia" w:ascii="宋体" w:hAnsi="宋体"/>
                <w:bCs/>
                <w:color w:val="000000"/>
                <w:kern w:val="0"/>
                <w:szCs w:val="21"/>
              </w:rPr>
              <w:t>优（</w:t>
            </w:r>
            <w:r>
              <w:rPr>
                <w:rFonts w:hint="eastAsia" w:ascii="宋体" w:hAnsi="宋体"/>
                <w:bCs/>
                <w:color w:val="000000"/>
                <w:kern w:val="0"/>
                <w:szCs w:val="21"/>
                <w:lang w:val="en-US" w:eastAsia="zh-CN"/>
              </w:rPr>
              <w:t>8</w:t>
            </w:r>
            <w:r>
              <w:rPr>
                <w:rFonts w:hint="eastAsia" w:ascii="宋体" w:hAnsi="宋体"/>
                <w:bCs/>
                <w:color w:val="000000"/>
                <w:kern w:val="0"/>
                <w:szCs w:val="21"/>
              </w:rPr>
              <w:t xml:space="preserve">分）：各主要分部施工方法针对性强，施工技术方案详尽周密，工艺先进、方法科学、可行，能很好的指导具体施工并确保安全。 </w:t>
            </w:r>
          </w:p>
          <w:p w14:paraId="0C0AF6E9">
            <w:pPr>
              <w:widowControl/>
              <w:spacing w:line="360" w:lineRule="auto"/>
              <w:rPr>
                <w:rFonts w:hint="eastAsia" w:ascii="宋体" w:hAnsi="宋体"/>
                <w:bCs/>
                <w:color w:val="000000"/>
                <w:kern w:val="0"/>
                <w:szCs w:val="21"/>
              </w:rPr>
            </w:pPr>
            <w:r>
              <w:rPr>
                <w:rFonts w:hint="eastAsia" w:ascii="宋体" w:hAnsi="宋体"/>
                <w:bCs/>
                <w:color w:val="000000"/>
                <w:kern w:val="0"/>
                <w:szCs w:val="21"/>
              </w:rPr>
              <w:t>良（</w:t>
            </w:r>
            <w:r>
              <w:rPr>
                <w:rFonts w:hint="eastAsia" w:ascii="宋体" w:hAnsi="宋体"/>
                <w:bCs/>
                <w:color w:val="000000"/>
                <w:kern w:val="0"/>
                <w:szCs w:val="21"/>
                <w:lang w:val="en-US" w:eastAsia="zh-CN"/>
              </w:rPr>
              <w:t>6</w:t>
            </w:r>
            <w:r>
              <w:rPr>
                <w:rFonts w:hint="eastAsia" w:ascii="宋体" w:hAnsi="宋体"/>
                <w:bCs/>
                <w:color w:val="000000"/>
                <w:kern w:val="0"/>
                <w:szCs w:val="21"/>
              </w:rPr>
              <w:t>分）：各主要分部施工方法符合项目实际，施工技术方案齐全，工艺成熟、方法合理、可行，能指导具体施工并确保安全。</w:t>
            </w:r>
          </w:p>
          <w:p w14:paraId="65040B90">
            <w:pPr>
              <w:widowControl/>
              <w:spacing w:line="360" w:lineRule="auto"/>
              <w:rPr>
                <w:rFonts w:hint="eastAsia" w:ascii="宋体" w:hAnsi="宋体"/>
                <w:bCs/>
                <w:color w:val="000000"/>
                <w:kern w:val="0"/>
                <w:szCs w:val="21"/>
              </w:rPr>
            </w:pPr>
            <w:r>
              <w:rPr>
                <w:rFonts w:hint="eastAsia" w:ascii="宋体" w:hAnsi="宋体"/>
                <w:bCs/>
                <w:color w:val="000000"/>
                <w:kern w:val="0"/>
                <w:szCs w:val="21"/>
              </w:rPr>
              <w:t>中（</w:t>
            </w:r>
            <w:r>
              <w:rPr>
                <w:rFonts w:hint="eastAsia" w:ascii="宋体" w:hAnsi="宋体"/>
                <w:bCs/>
                <w:color w:val="000000"/>
                <w:kern w:val="0"/>
                <w:szCs w:val="21"/>
                <w:lang w:val="en-US" w:eastAsia="zh-CN"/>
              </w:rPr>
              <w:t>4</w:t>
            </w:r>
            <w:r>
              <w:rPr>
                <w:rFonts w:hint="eastAsia" w:ascii="宋体" w:hAnsi="宋体"/>
                <w:bCs/>
                <w:color w:val="000000"/>
                <w:kern w:val="0"/>
                <w:szCs w:val="21"/>
              </w:rPr>
              <w:t>分）：各主要分部施工方法基本符合项目实际，施工技术方案基本齐全，方法基本合理、基本可行，基本能指导具体施工并确保安全。</w:t>
            </w:r>
          </w:p>
          <w:p w14:paraId="7A8A90B4">
            <w:pPr>
              <w:widowControl/>
              <w:spacing w:line="360" w:lineRule="auto"/>
              <w:rPr>
                <w:rFonts w:hint="eastAsia" w:hAnsi="宋体"/>
                <w:bCs/>
                <w:color w:val="000000"/>
              </w:rPr>
            </w:pPr>
            <w:r>
              <w:rPr>
                <w:rFonts w:hint="eastAsia" w:ascii="宋体" w:hAnsi="宋体"/>
                <w:bCs/>
                <w:color w:val="000000"/>
                <w:kern w:val="0"/>
                <w:szCs w:val="21"/>
              </w:rPr>
              <w:t xml:space="preserve"> 差（</w:t>
            </w:r>
            <w:r>
              <w:rPr>
                <w:rFonts w:hint="eastAsia" w:ascii="宋体" w:hAnsi="宋体"/>
                <w:bCs/>
                <w:color w:val="000000"/>
                <w:kern w:val="0"/>
                <w:szCs w:val="21"/>
                <w:lang w:val="en-US" w:eastAsia="zh-CN"/>
              </w:rPr>
              <w:t>2</w:t>
            </w:r>
            <w:r>
              <w:rPr>
                <w:rFonts w:hint="eastAsia" w:ascii="宋体" w:hAnsi="宋体"/>
                <w:bCs/>
                <w:color w:val="000000"/>
                <w:kern w:val="0"/>
                <w:szCs w:val="21"/>
              </w:rPr>
              <w:t>分）：各主要分部施工方法针对性差，施工技术方案差，工艺落后、方法不合理，不能指导具体施工和确保安全。</w:t>
            </w:r>
          </w:p>
        </w:tc>
      </w:tr>
      <w:tr w14:paraId="166C79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52" w:type="dxa"/>
            <w:noWrap w:val="0"/>
            <w:vAlign w:val="center"/>
          </w:tcPr>
          <w:p w14:paraId="0A9265D8">
            <w:pPr>
              <w:adjustRightInd w:val="0"/>
              <w:spacing w:line="400" w:lineRule="exact"/>
              <w:ind w:left="-105" w:leftChars="-50" w:right="-105" w:rightChars="-50"/>
              <w:jc w:val="center"/>
              <w:textAlignment w:val="baseline"/>
              <w:rPr>
                <w:rFonts w:hint="eastAsia" w:ascii="宋体" w:hAnsi="宋体" w:eastAsia="宋体"/>
                <w:bCs/>
                <w:color w:val="000000"/>
                <w:kern w:val="0"/>
                <w:szCs w:val="21"/>
                <w:lang w:eastAsia="zh-CN"/>
              </w:rPr>
            </w:pPr>
            <w:r>
              <w:rPr>
                <w:rFonts w:hint="eastAsia" w:ascii="宋体" w:hAnsi="宋体"/>
                <w:bCs/>
                <w:color w:val="000000"/>
                <w:kern w:val="0"/>
                <w:szCs w:val="21"/>
              </w:rPr>
              <w:t>2.</w:t>
            </w:r>
            <w:r>
              <w:rPr>
                <w:rFonts w:hint="eastAsia" w:ascii="宋体" w:hAnsi="宋体"/>
                <w:bCs/>
                <w:color w:val="000000"/>
                <w:kern w:val="0"/>
                <w:szCs w:val="21"/>
                <w:lang w:val="en-US" w:eastAsia="zh-CN"/>
              </w:rPr>
              <w:t>2</w:t>
            </w:r>
          </w:p>
        </w:tc>
        <w:tc>
          <w:tcPr>
            <w:tcW w:w="1691" w:type="dxa"/>
            <w:noWrap w:val="0"/>
            <w:vAlign w:val="center"/>
          </w:tcPr>
          <w:p w14:paraId="5EA6DADF">
            <w:pPr>
              <w:widowControl/>
              <w:spacing w:line="400" w:lineRule="exact"/>
              <w:jc w:val="center"/>
              <w:rPr>
                <w:rFonts w:ascii="宋体" w:hAnsi="宋体" w:cs="Tahoma"/>
                <w:color w:val="000000"/>
                <w:kern w:val="0"/>
                <w:szCs w:val="21"/>
              </w:rPr>
            </w:pPr>
            <w:r>
              <w:rPr>
                <w:rFonts w:hint="eastAsia" w:ascii="宋体" w:hAnsi="宋体" w:cs="宋体"/>
                <w:color w:val="000000"/>
                <w:kern w:val="0"/>
                <w:szCs w:val="21"/>
              </w:rPr>
              <w:t>拟投入的主要物资计划（满分</w:t>
            </w:r>
            <w:r>
              <w:rPr>
                <w:rFonts w:hint="eastAsia" w:ascii="宋体" w:hAnsi="宋体" w:cs="宋体"/>
                <w:color w:val="000000"/>
                <w:kern w:val="0"/>
                <w:szCs w:val="21"/>
                <w:lang w:val="en-US" w:eastAsia="zh-CN"/>
              </w:rPr>
              <w:t>6</w:t>
            </w:r>
            <w:r>
              <w:rPr>
                <w:rFonts w:hint="eastAsia" w:ascii="宋体" w:hAnsi="宋体" w:cs="宋体"/>
                <w:color w:val="000000"/>
                <w:kern w:val="0"/>
                <w:szCs w:val="21"/>
              </w:rPr>
              <w:t>分）</w:t>
            </w:r>
          </w:p>
        </w:tc>
        <w:tc>
          <w:tcPr>
            <w:tcW w:w="6784" w:type="dxa"/>
            <w:noWrap w:val="0"/>
            <w:vAlign w:val="center"/>
          </w:tcPr>
          <w:p w14:paraId="07EDC60C">
            <w:pPr>
              <w:widowControl/>
              <w:spacing w:line="360" w:lineRule="auto"/>
              <w:rPr>
                <w:rFonts w:hint="eastAsia" w:ascii="宋体" w:hAnsi="宋体"/>
                <w:bCs/>
                <w:color w:val="000000"/>
                <w:kern w:val="0"/>
                <w:szCs w:val="21"/>
              </w:rPr>
            </w:pPr>
            <w:r>
              <w:rPr>
                <w:rFonts w:hint="eastAsia" w:ascii="宋体" w:hAnsi="宋体"/>
                <w:bCs/>
                <w:color w:val="000000"/>
                <w:kern w:val="0"/>
                <w:szCs w:val="21"/>
              </w:rPr>
              <w:t>优（</w:t>
            </w:r>
            <w:r>
              <w:rPr>
                <w:rFonts w:hint="eastAsia" w:ascii="宋体" w:hAnsi="宋体"/>
                <w:bCs/>
                <w:color w:val="000000"/>
                <w:kern w:val="0"/>
                <w:szCs w:val="21"/>
                <w:lang w:val="en-US" w:eastAsia="zh-CN"/>
              </w:rPr>
              <w:t>6</w:t>
            </w:r>
            <w:r>
              <w:rPr>
                <w:rFonts w:hint="eastAsia" w:ascii="宋体" w:hAnsi="宋体"/>
                <w:bCs/>
                <w:color w:val="000000"/>
                <w:kern w:val="0"/>
                <w:szCs w:val="21"/>
              </w:rPr>
              <w:t>分）：投入的施工材料有详细的组织计划且计划周密，投入计划与进度计划呼应，较好满足施工需要，调配投入计划合理、准确。</w:t>
            </w:r>
          </w:p>
          <w:p w14:paraId="7B5544BC">
            <w:pPr>
              <w:widowControl/>
              <w:spacing w:line="360" w:lineRule="auto"/>
              <w:rPr>
                <w:rFonts w:hint="eastAsia" w:ascii="宋体" w:hAnsi="宋体"/>
                <w:bCs/>
                <w:color w:val="000000"/>
                <w:kern w:val="0"/>
                <w:szCs w:val="21"/>
              </w:rPr>
            </w:pPr>
            <w:r>
              <w:rPr>
                <w:rFonts w:hint="eastAsia" w:ascii="宋体" w:hAnsi="宋体"/>
                <w:bCs/>
                <w:color w:val="000000"/>
                <w:kern w:val="0"/>
                <w:szCs w:val="21"/>
              </w:rPr>
              <w:t xml:space="preserve">良（4分）：投入的施工材料有详细的组织计划，投入计划与进度计划呼应，基本满足施工需要，调配投入计划基本合理、准确。 </w:t>
            </w:r>
          </w:p>
          <w:p w14:paraId="4A4D1BF9">
            <w:pPr>
              <w:widowControl/>
              <w:spacing w:line="360" w:lineRule="auto"/>
              <w:rPr>
                <w:rFonts w:hint="eastAsia" w:ascii="宋体" w:hAnsi="宋体"/>
                <w:bCs/>
                <w:color w:val="000000"/>
                <w:kern w:val="0"/>
                <w:szCs w:val="21"/>
              </w:rPr>
            </w:pPr>
            <w:r>
              <w:rPr>
                <w:rFonts w:hint="eastAsia" w:ascii="宋体" w:hAnsi="宋体"/>
                <w:bCs/>
                <w:color w:val="000000"/>
                <w:kern w:val="0"/>
                <w:szCs w:val="21"/>
              </w:rPr>
              <w:t xml:space="preserve">中（2分）：投入的施工材料有详细的组织计划，投入计划与进度计划呼应，基本满足施工需要，调配投入计划基本合理。 </w:t>
            </w:r>
          </w:p>
          <w:p w14:paraId="58A0CFF3">
            <w:pPr>
              <w:widowControl/>
              <w:spacing w:line="360" w:lineRule="auto"/>
              <w:rPr>
                <w:rFonts w:hAnsi="宋体"/>
                <w:bCs/>
                <w:color w:val="000000"/>
              </w:rPr>
            </w:pPr>
            <w:r>
              <w:rPr>
                <w:rFonts w:hint="eastAsia" w:ascii="宋体" w:hAnsi="宋体"/>
                <w:bCs/>
                <w:color w:val="000000"/>
                <w:kern w:val="0"/>
                <w:szCs w:val="21"/>
              </w:rPr>
              <w:t>差（1分）：投入的施工材料的组织计划差，投入计划与进度计划不呼应，不能满足施工需要。</w:t>
            </w:r>
          </w:p>
        </w:tc>
      </w:tr>
      <w:tr w14:paraId="0114E6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52" w:type="dxa"/>
            <w:noWrap w:val="0"/>
            <w:vAlign w:val="center"/>
          </w:tcPr>
          <w:p w14:paraId="14C04F0B">
            <w:pPr>
              <w:adjustRightInd w:val="0"/>
              <w:spacing w:line="400" w:lineRule="exact"/>
              <w:ind w:left="-105" w:leftChars="-50" w:right="-105" w:rightChars="-50"/>
              <w:jc w:val="center"/>
              <w:textAlignment w:val="baseline"/>
              <w:rPr>
                <w:rFonts w:hint="eastAsia" w:ascii="宋体" w:hAnsi="宋体" w:eastAsia="宋体"/>
                <w:bCs/>
                <w:color w:val="000000"/>
                <w:kern w:val="0"/>
                <w:szCs w:val="21"/>
                <w:lang w:eastAsia="zh-CN"/>
              </w:rPr>
            </w:pPr>
            <w:r>
              <w:rPr>
                <w:rFonts w:hint="eastAsia" w:ascii="宋体" w:hAnsi="宋体"/>
                <w:bCs/>
                <w:color w:val="000000"/>
                <w:kern w:val="0"/>
                <w:szCs w:val="21"/>
              </w:rPr>
              <w:t>2.</w:t>
            </w:r>
            <w:r>
              <w:rPr>
                <w:rFonts w:hint="eastAsia" w:ascii="宋体" w:hAnsi="宋体"/>
                <w:bCs/>
                <w:color w:val="000000"/>
                <w:kern w:val="0"/>
                <w:szCs w:val="21"/>
                <w:lang w:val="en-US" w:eastAsia="zh-CN"/>
              </w:rPr>
              <w:t>3</w:t>
            </w:r>
          </w:p>
        </w:tc>
        <w:tc>
          <w:tcPr>
            <w:tcW w:w="1691" w:type="dxa"/>
            <w:noWrap w:val="0"/>
            <w:vAlign w:val="center"/>
          </w:tcPr>
          <w:p w14:paraId="499FA5A3">
            <w:pPr>
              <w:widowControl/>
              <w:spacing w:line="400" w:lineRule="exact"/>
              <w:jc w:val="center"/>
              <w:rPr>
                <w:rFonts w:hint="eastAsia" w:ascii="宋体" w:hAnsi="宋体" w:cs="宋体"/>
                <w:color w:val="000000"/>
                <w:kern w:val="0"/>
                <w:szCs w:val="21"/>
              </w:rPr>
            </w:pPr>
            <w:r>
              <w:rPr>
                <w:rFonts w:hint="eastAsia" w:ascii="宋体" w:hAnsi="宋体" w:cs="宋体"/>
                <w:bCs/>
                <w:szCs w:val="21"/>
              </w:rPr>
              <w:t>拟投入的主要施工机械、设备计划（满分</w:t>
            </w:r>
            <w:r>
              <w:rPr>
                <w:rFonts w:hint="eastAsia" w:ascii="宋体" w:hAnsi="宋体" w:cs="宋体"/>
                <w:bCs/>
                <w:szCs w:val="21"/>
                <w:lang w:val="en-US" w:eastAsia="zh-CN"/>
              </w:rPr>
              <w:t>8</w:t>
            </w:r>
            <w:r>
              <w:rPr>
                <w:rFonts w:hint="eastAsia" w:ascii="宋体" w:hAnsi="宋体" w:cs="宋体"/>
                <w:bCs/>
                <w:szCs w:val="21"/>
              </w:rPr>
              <w:t>分）</w:t>
            </w:r>
          </w:p>
        </w:tc>
        <w:tc>
          <w:tcPr>
            <w:tcW w:w="6784" w:type="dxa"/>
            <w:noWrap w:val="0"/>
            <w:vAlign w:val="center"/>
          </w:tcPr>
          <w:p w14:paraId="37516A70">
            <w:pPr>
              <w:widowControl/>
              <w:spacing w:line="360" w:lineRule="auto"/>
              <w:rPr>
                <w:rFonts w:hint="eastAsia" w:ascii="宋体" w:hAnsi="宋体"/>
                <w:bCs/>
                <w:color w:val="000000"/>
                <w:kern w:val="0"/>
                <w:szCs w:val="21"/>
              </w:rPr>
            </w:pPr>
            <w:r>
              <w:rPr>
                <w:rFonts w:hint="eastAsia" w:ascii="宋体" w:hAnsi="宋体"/>
                <w:bCs/>
                <w:color w:val="000000"/>
                <w:kern w:val="0"/>
                <w:szCs w:val="21"/>
              </w:rPr>
              <w:t>优（</w:t>
            </w:r>
            <w:r>
              <w:rPr>
                <w:rFonts w:hint="eastAsia" w:ascii="宋体" w:hAnsi="宋体"/>
                <w:bCs/>
                <w:color w:val="000000"/>
                <w:kern w:val="0"/>
                <w:szCs w:val="21"/>
                <w:lang w:val="en-US" w:eastAsia="zh-CN"/>
              </w:rPr>
              <w:t>8</w:t>
            </w:r>
            <w:r>
              <w:rPr>
                <w:rFonts w:hint="eastAsia" w:ascii="宋体" w:hAnsi="宋体"/>
                <w:bCs/>
                <w:color w:val="000000"/>
                <w:kern w:val="0"/>
                <w:szCs w:val="21"/>
              </w:rPr>
              <w:t>分）：投入的施工机械、设备、机具有详细的组织计划且计划周密，设备数量、选型配置、进场时间安排合理，满足施工需要。</w:t>
            </w:r>
          </w:p>
          <w:p w14:paraId="72975A05">
            <w:pPr>
              <w:widowControl/>
              <w:spacing w:line="360" w:lineRule="auto"/>
              <w:rPr>
                <w:rFonts w:hint="eastAsia" w:ascii="宋体" w:hAnsi="宋体"/>
                <w:bCs/>
                <w:color w:val="000000"/>
                <w:kern w:val="0"/>
                <w:szCs w:val="21"/>
              </w:rPr>
            </w:pPr>
            <w:r>
              <w:rPr>
                <w:rFonts w:hint="eastAsia" w:ascii="宋体" w:hAnsi="宋体"/>
                <w:bCs/>
                <w:color w:val="000000"/>
                <w:kern w:val="0"/>
                <w:szCs w:val="21"/>
              </w:rPr>
              <w:t>良（</w:t>
            </w:r>
            <w:r>
              <w:rPr>
                <w:rFonts w:hint="eastAsia" w:ascii="宋体" w:hAnsi="宋体"/>
                <w:bCs/>
                <w:color w:val="000000"/>
                <w:kern w:val="0"/>
                <w:szCs w:val="21"/>
                <w:lang w:val="en-US" w:eastAsia="zh-CN"/>
              </w:rPr>
              <w:t>6</w:t>
            </w:r>
            <w:r>
              <w:rPr>
                <w:rFonts w:hint="eastAsia" w:ascii="宋体" w:hAnsi="宋体"/>
                <w:bCs/>
                <w:color w:val="000000"/>
                <w:kern w:val="0"/>
                <w:szCs w:val="21"/>
              </w:rPr>
              <w:t>分）：投入的施工机械、设备、机具有详细的组织计划，设备数量、选型配置、进场投入计划与进度计划呼应，满足施工需要。</w:t>
            </w:r>
          </w:p>
          <w:p w14:paraId="62C22E8A">
            <w:pPr>
              <w:widowControl/>
              <w:spacing w:line="360" w:lineRule="auto"/>
              <w:rPr>
                <w:rFonts w:hint="eastAsia" w:ascii="宋体" w:hAnsi="宋体"/>
                <w:bCs/>
                <w:color w:val="000000"/>
                <w:kern w:val="0"/>
                <w:szCs w:val="21"/>
              </w:rPr>
            </w:pPr>
            <w:r>
              <w:rPr>
                <w:rFonts w:hint="eastAsia" w:ascii="宋体" w:hAnsi="宋体"/>
                <w:bCs/>
                <w:color w:val="000000"/>
                <w:kern w:val="0"/>
                <w:szCs w:val="21"/>
              </w:rPr>
              <w:t>中（</w:t>
            </w:r>
            <w:r>
              <w:rPr>
                <w:rFonts w:hint="eastAsia" w:ascii="宋体" w:hAnsi="宋体"/>
                <w:bCs/>
                <w:color w:val="000000"/>
                <w:kern w:val="0"/>
                <w:szCs w:val="21"/>
                <w:lang w:val="en-US" w:eastAsia="zh-CN"/>
              </w:rPr>
              <w:t>4</w:t>
            </w:r>
            <w:r>
              <w:rPr>
                <w:rFonts w:hint="eastAsia" w:ascii="宋体" w:hAnsi="宋体"/>
                <w:bCs/>
                <w:color w:val="000000"/>
                <w:kern w:val="0"/>
                <w:szCs w:val="21"/>
              </w:rPr>
              <w:t>分）：投入的施工机械、设备、机具有组织计划，设备数量、选型配置、进场投入计划与进度计划呼应，基本满足施工需要。</w:t>
            </w:r>
          </w:p>
          <w:p w14:paraId="7FF12AAF">
            <w:pPr>
              <w:widowControl/>
              <w:spacing w:line="360" w:lineRule="auto"/>
              <w:rPr>
                <w:rFonts w:hint="eastAsia" w:ascii="宋体" w:hAnsi="宋体" w:cs="宋体"/>
                <w:bCs/>
                <w:color w:val="000000"/>
                <w:szCs w:val="21"/>
              </w:rPr>
            </w:pPr>
            <w:r>
              <w:rPr>
                <w:rFonts w:hint="eastAsia" w:ascii="宋体" w:hAnsi="宋体"/>
                <w:bCs/>
                <w:color w:val="000000"/>
                <w:kern w:val="0"/>
                <w:szCs w:val="21"/>
              </w:rPr>
              <w:t>差（</w:t>
            </w:r>
            <w:r>
              <w:rPr>
                <w:rFonts w:hint="eastAsia" w:ascii="宋体" w:hAnsi="宋体"/>
                <w:bCs/>
                <w:color w:val="000000"/>
                <w:kern w:val="0"/>
                <w:szCs w:val="21"/>
                <w:lang w:val="en-US" w:eastAsia="zh-CN"/>
              </w:rPr>
              <w:t>2</w:t>
            </w:r>
            <w:r>
              <w:rPr>
                <w:rFonts w:hint="eastAsia" w:ascii="宋体" w:hAnsi="宋体"/>
                <w:bCs/>
                <w:color w:val="000000"/>
                <w:kern w:val="0"/>
                <w:szCs w:val="21"/>
              </w:rPr>
              <w:t>分）：投入的施工机械、设备、机具组织计划差，投入计划与进度计划不呼应，不能满足施工需要。</w:t>
            </w:r>
          </w:p>
        </w:tc>
      </w:tr>
      <w:tr w14:paraId="5FF80C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52" w:type="dxa"/>
            <w:noWrap w:val="0"/>
            <w:vAlign w:val="center"/>
          </w:tcPr>
          <w:p w14:paraId="137C7ECC">
            <w:pPr>
              <w:adjustRightInd w:val="0"/>
              <w:spacing w:line="400" w:lineRule="exact"/>
              <w:ind w:left="-105" w:leftChars="-50" w:right="-105" w:rightChars="-50"/>
              <w:jc w:val="center"/>
              <w:textAlignment w:val="baseline"/>
              <w:rPr>
                <w:rFonts w:hint="eastAsia" w:ascii="宋体" w:hAnsi="宋体" w:eastAsia="宋体"/>
                <w:bCs/>
                <w:color w:val="000000"/>
                <w:kern w:val="0"/>
                <w:szCs w:val="21"/>
                <w:lang w:eastAsia="zh-CN"/>
              </w:rPr>
            </w:pPr>
            <w:r>
              <w:rPr>
                <w:rFonts w:hint="eastAsia" w:ascii="宋体" w:hAnsi="宋体"/>
                <w:bCs/>
                <w:color w:val="000000"/>
                <w:kern w:val="0"/>
                <w:szCs w:val="21"/>
              </w:rPr>
              <w:t>2.</w:t>
            </w:r>
            <w:r>
              <w:rPr>
                <w:rFonts w:hint="eastAsia" w:ascii="宋体" w:hAnsi="宋体"/>
                <w:bCs/>
                <w:color w:val="000000"/>
                <w:kern w:val="0"/>
                <w:szCs w:val="21"/>
                <w:lang w:val="en-US" w:eastAsia="zh-CN"/>
              </w:rPr>
              <w:t>4</w:t>
            </w:r>
          </w:p>
        </w:tc>
        <w:tc>
          <w:tcPr>
            <w:tcW w:w="1691" w:type="dxa"/>
            <w:noWrap w:val="0"/>
            <w:vAlign w:val="center"/>
          </w:tcPr>
          <w:p w14:paraId="7296FF1A">
            <w:pPr>
              <w:widowControl/>
              <w:spacing w:line="400" w:lineRule="exact"/>
              <w:jc w:val="center"/>
              <w:rPr>
                <w:rFonts w:hint="eastAsia" w:ascii="宋体" w:hAnsi="宋体" w:cs="宋体"/>
                <w:color w:val="000000"/>
                <w:kern w:val="0"/>
                <w:szCs w:val="21"/>
              </w:rPr>
            </w:pPr>
            <w:r>
              <w:rPr>
                <w:rFonts w:hint="eastAsia" w:ascii="宋体" w:hAnsi="宋体" w:cs="宋体"/>
                <w:bCs/>
                <w:color w:val="000000"/>
                <w:szCs w:val="21"/>
                <w:lang w:val="en-US" w:eastAsia="zh-CN"/>
              </w:rPr>
              <w:t>拟投入项目班子人员、</w:t>
            </w:r>
            <w:r>
              <w:rPr>
                <w:rFonts w:hint="eastAsia" w:ascii="宋体" w:hAnsi="宋体" w:cs="宋体"/>
                <w:bCs/>
                <w:color w:val="000000"/>
                <w:szCs w:val="21"/>
              </w:rPr>
              <w:t>劳动力安排计划（满分</w:t>
            </w:r>
            <w:r>
              <w:rPr>
                <w:rFonts w:hint="eastAsia" w:ascii="宋体" w:hAnsi="宋体" w:cs="宋体"/>
                <w:bCs/>
                <w:color w:val="000000"/>
                <w:szCs w:val="21"/>
                <w:lang w:val="en-US" w:eastAsia="zh-CN"/>
              </w:rPr>
              <w:t>8</w:t>
            </w:r>
            <w:r>
              <w:rPr>
                <w:rFonts w:hint="eastAsia" w:ascii="宋体" w:hAnsi="宋体" w:cs="宋体"/>
                <w:bCs/>
                <w:color w:val="000000"/>
                <w:szCs w:val="21"/>
              </w:rPr>
              <w:t>分）</w:t>
            </w:r>
          </w:p>
        </w:tc>
        <w:tc>
          <w:tcPr>
            <w:tcW w:w="6784" w:type="dxa"/>
            <w:noWrap w:val="0"/>
            <w:vAlign w:val="center"/>
          </w:tcPr>
          <w:p w14:paraId="50B5DDA2">
            <w:pPr>
              <w:widowControl/>
              <w:spacing w:line="360" w:lineRule="auto"/>
              <w:rPr>
                <w:rFonts w:hint="eastAsia" w:ascii="宋体" w:hAnsi="宋体"/>
                <w:bCs/>
                <w:color w:val="000000"/>
                <w:kern w:val="0"/>
                <w:szCs w:val="21"/>
              </w:rPr>
            </w:pPr>
            <w:r>
              <w:rPr>
                <w:rFonts w:hint="eastAsia" w:ascii="宋体" w:hAnsi="宋体"/>
                <w:bCs/>
                <w:color w:val="000000"/>
                <w:kern w:val="0"/>
                <w:szCs w:val="21"/>
              </w:rPr>
              <w:t>优（</w:t>
            </w:r>
            <w:r>
              <w:rPr>
                <w:rFonts w:hint="eastAsia" w:ascii="宋体" w:hAnsi="宋体"/>
                <w:bCs/>
                <w:color w:val="000000"/>
                <w:kern w:val="0"/>
                <w:szCs w:val="21"/>
                <w:lang w:val="en-US" w:eastAsia="zh-CN"/>
              </w:rPr>
              <w:t>8</w:t>
            </w:r>
            <w:r>
              <w:rPr>
                <w:rFonts w:hint="eastAsia" w:ascii="宋体" w:hAnsi="宋体"/>
                <w:bCs/>
                <w:color w:val="000000"/>
                <w:kern w:val="0"/>
                <w:szCs w:val="21"/>
              </w:rPr>
              <w:t>分）：</w:t>
            </w:r>
            <w:r>
              <w:rPr>
                <w:rFonts w:hint="eastAsia" w:ascii="宋体" w:hAnsi="宋体"/>
                <w:bCs/>
                <w:color w:val="000000"/>
                <w:kern w:val="0"/>
                <w:szCs w:val="21"/>
                <w:lang w:val="en-US" w:eastAsia="zh-CN"/>
              </w:rPr>
              <w:t>拟投入项目管理</w:t>
            </w:r>
            <w:r>
              <w:rPr>
                <w:rFonts w:hint="eastAsia" w:ascii="宋体" w:hAnsi="宋体"/>
                <w:bCs/>
                <w:color w:val="000000"/>
                <w:kern w:val="0"/>
                <w:szCs w:val="21"/>
              </w:rPr>
              <w:t>班子人员齐备、搭配合理，都有岗位证书</w:t>
            </w:r>
            <w:r>
              <w:rPr>
                <w:rFonts w:hint="eastAsia" w:ascii="宋体" w:hAnsi="宋体"/>
                <w:bCs/>
                <w:color w:val="000000"/>
                <w:kern w:val="0"/>
                <w:szCs w:val="21"/>
                <w:lang w:eastAsia="zh-CN"/>
              </w:rPr>
              <w:t>，</w:t>
            </w:r>
            <w:r>
              <w:rPr>
                <w:rFonts w:hint="eastAsia" w:ascii="宋体" w:hAnsi="宋体"/>
                <w:bCs/>
                <w:color w:val="000000"/>
                <w:kern w:val="0"/>
                <w:szCs w:val="21"/>
              </w:rPr>
              <w:t>各主要施工工序有详细周密的劳动力安排计划，各工种劳动力安排计划齐全，劳动力投入与进度计划呼应合理，满足施工需要。</w:t>
            </w:r>
          </w:p>
          <w:p w14:paraId="472C6706">
            <w:pPr>
              <w:widowControl/>
              <w:spacing w:line="360" w:lineRule="auto"/>
              <w:rPr>
                <w:rFonts w:hint="eastAsia" w:ascii="宋体" w:hAnsi="宋体"/>
                <w:bCs/>
                <w:color w:val="000000"/>
                <w:kern w:val="0"/>
                <w:szCs w:val="21"/>
              </w:rPr>
            </w:pPr>
            <w:r>
              <w:rPr>
                <w:rFonts w:hint="eastAsia" w:ascii="宋体" w:hAnsi="宋体"/>
                <w:bCs/>
                <w:color w:val="000000"/>
                <w:kern w:val="0"/>
                <w:szCs w:val="21"/>
              </w:rPr>
              <w:t xml:space="preserve"> 良（</w:t>
            </w:r>
            <w:r>
              <w:rPr>
                <w:rFonts w:hint="eastAsia" w:ascii="宋体" w:hAnsi="宋体"/>
                <w:bCs/>
                <w:color w:val="000000"/>
                <w:kern w:val="0"/>
                <w:szCs w:val="21"/>
                <w:lang w:val="en-US" w:eastAsia="zh-CN"/>
              </w:rPr>
              <w:t>6</w:t>
            </w:r>
            <w:r>
              <w:rPr>
                <w:rFonts w:hint="eastAsia" w:ascii="宋体" w:hAnsi="宋体"/>
                <w:bCs/>
                <w:color w:val="000000"/>
                <w:kern w:val="0"/>
                <w:szCs w:val="21"/>
              </w:rPr>
              <w:t xml:space="preserve">分）：拟投入项目管理班子人员齐备、搭配合理，都有岗位证书，各主要施工工序有详细的劳动力安排计划，有各工种劳动力安排计划，劳动力投入合理，满足施工需要。 </w:t>
            </w:r>
          </w:p>
          <w:p w14:paraId="6E4C3DDC">
            <w:pPr>
              <w:widowControl/>
              <w:spacing w:line="360" w:lineRule="auto"/>
              <w:rPr>
                <w:rFonts w:hint="eastAsia" w:ascii="宋体" w:hAnsi="宋体"/>
                <w:bCs/>
                <w:color w:val="000000"/>
                <w:kern w:val="0"/>
                <w:szCs w:val="21"/>
              </w:rPr>
            </w:pPr>
            <w:r>
              <w:rPr>
                <w:rFonts w:hint="eastAsia" w:ascii="宋体" w:hAnsi="宋体"/>
                <w:bCs/>
                <w:color w:val="000000"/>
                <w:kern w:val="0"/>
                <w:szCs w:val="21"/>
              </w:rPr>
              <w:t>中（</w:t>
            </w:r>
            <w:r>
              <w:rPr>
                <w:rFonts w:hint="eastAsia" w:ascii="宋体" w:hAnsi="宋体"/>
                <w:bCs/>
                <w:color w:val="000000"/>
                <w:kern w:val="0"/>
                <w:szCs w:val="21"/>
                <w:lang w:val="en-US" w:eastAsia="zh-CN"/>
              </w:rPr>
              <w:t>4</w:t>
            </w:r>
            <w:r>
              <w:rPr>
                <w:rFonts w:hint="eastAsia" w:ascii="宋体" w:hAnsi="宋体"/>
                <w:bCs/>
                <w:color w:val="000000"/>
                <w:kern w:val="0"/>
                <w:szCs w:val="21"/>
              </w:rPr>
              <w:t xml:space="preserve">分）：拟投入项目管理班子人员齐备、搭配基本合理，各主要施工工序应有劳动力安排计划，有各工种劳动力安排计划，劳动力投入基本合理，基本满足施工需要。 </w:t>
            </w:r>
          </w:p>
          <w:p w14:paraId="1FDB90D4">
            <w:pPr>
              <w:widowControl/>
              <w:spacing w:line="360" w:lineRule="auto"/>
              <w:rPr>
                <w:rFonts w:hint="eastAsia" w:ascii="宋体" w:hAnsi="宋体"/>
                <w:bCs/>
                <w:color w:val="000000"/>
                <w:kern w:val="0"/>
                <w:szCs w:val="21"/>
              </w:rPr>
            </w:pPr>
            <w:r>
              <w:rPr>
                <w:rFonts w:hint="eastAsia" w:ascii="宋体" w:hAnsi="宋体"/>
                <w:bCs/>
                <w:color w:val="000000"/>
                <w:kern w:val="0"/>
                <w:szCs w:val="21"/>
              </w:rPr>
              <w:t>差（</w:t>
            </w:r>
            <w:r>
              <w:rPr>
                <w:rFonts w:hint="eastAsia" w:ascii="宋体" w:hAnsi="宋体"/>
                <w:bCs/>
                <w:color w:val="000000"/>
                <w:kern w:val="0"/>
                <w:szCs w:val="21"/>
                <w:lang w:val="en-US" w:eastAsia="zh-CN"/>
              </w:rPr>
              <w:t>2</w:t>
            </w:r>
            <w:r>
              <w:rPr>
                <w:rFonts w:hint="eastAsia" w:ascii="宋体" w:hAnsi="宋体"/>
                <w:bCs/>
                <w:color w:val="000000"/>
                <w:kern w:val="0"/>
                <w:szCs w:val="21"/>
              </w:rPr>
              <w:t>分）：拟投入项目管理班子人员不齐备或搭配不合理</w:t>
            </w:r>
            <w:r>
              <w:rPr>
                <w:rFonts w:hint="eastAsia" w:ascii="宋体" w:hAnsi="宋体"/>
                <w:bCs/>
                <w:color w:val="000000"/>
                <w:kern w:val="0"/>
                <w:szCs w:val="21"/>
                <w:lang w:eastAsia="zh-CN"/>
              </w:rPr>
              <w:t>，</w:t>
            </w:r>
            <w:r>
              <w:rPr>
                <w:rFonts w:hint="eastAsia" w:ascii="宋体" w:hAnsi="宋体"/>
                <w:bCs/>
                <w:color w:val="000000"/>
                <w:kern w:val="0"/>
                <w:szCs w:val="21"/>
              </w:rPr>
              <w:t>各主要施工工序劳动力安排计划不全，无各工种劳动力安排计划或计划不全，劳动力投入不合理，不能满足施工需要。</w:t>
            </w:r>
          </w:p>
        </w:tc>
      </w:tr>
      <w:tr w14:paraId="668AC1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52" w:type="dxa"/>
            <w:noWrap w:val="0"/>
            <w:vAlign w:val="center"/>
          </w:tcPr>
          <w:p w14:paraId="56386407">
            <w:pPr>
              <w:adjustRightInd w:val="0"/>
              <w:spacing w:line="400" w:lineRule="exact"/>
              <w:ind w:left="-105" w:leftChars="-50" w:right="-105" w:rightChars="-50"/>
              <w:jc w:val="center"/>
              <w:textAlignment w:val="baseline"/>
              <w:rPr>
                <w:rFonts w:hint="eastAsia" w:ascii="宋体" w:hAnsi="宋体" w:eastAsia="宋体"/>
                <w:bCs/>
                <w:color w:val="000000"/>
                <w:kern w:val="0"/>
                <w:szCs w:val="21"/>
                <w:lang w:eastAsia="zh-CN"/>
              </w:rPr>
            </w:pPr>
            <w:r>
              <w:rPr>
                <w:rFonts w:hint="eastAsia" w:ascii="宋体" w:hAnsi="宋体"/>
                <w:bCs/>
                <w:color w:val="000000"/>
                <w:kern w:val="0"/>
                <w:szCs w:val="21"/>
              </w:rPr>
              <w:t>2.</w:t>
            </w:r>
            <w:r>
              <w:rPr>
                <w:rFonts w:hint="eastAsia" w:ascii="宋体" w:hAnsi="宋体"/>
                <w:bCs/>
                <w:color w:val="000000"/>
                <w:kern w:val="0"/>
                <w:szCs w:val="21"/>
                <w:lang w:val="en-US" w:eastAsia="zh-CN"/>
              </w:rPr>
              <w:t>5</w:t>
            </w:r>
          </w:p>
        </w:tc>
        <w:tc>
          <w:tcPr>
            <w:tcW w:w="1691" w:type="dxa"/>
            <w:noWrap w:val="0"/>
            <w:vAlign w:val="center"/>
          </w:tcPr>
          <w:p w14:paraId="4DB07960">
            <w:pPr>
              <w:widowControl/>
              <w:spacing w:line="400" w:lineRule="exact"/>
              <w:jc w:val="center"/>
              <w:rPr>
                <w:rFonts w:hint="eastAsia" w:ascii="宋体" w:hAnsi="宋体" w:cs="宋体"/>
                <w:color w:val="000000"/>
                <w:kern w:val="0"/>
                <w:szCs w:val="21"/>
              </w:rPr>
            </w:pPr>
            <w:r>
              <w:rPr>
                <w:rFonts w:hint="eastAsia" w:ascii="宋体" w:hAnsi="宋体" w:cs="宋体"/>
                <w:bCs/>
                <w:color w:val="000000"/>
                <w:szCs w:val="21"/>
              </w:rPr>
              <w:t>确保工程质量的技术组织措施（满分</w:t>
            </w:r>
            <w:r>
              <w:rPr>
                <w:rFonts w:hint="eastAsia" w:ascii="宋体" w:hAnsi="宋体" w:cs="宋体"/>
                <w:bCs/>
                <w:color w:val="000000"/>
                <w:szCs w:val="21"/>
                <w:lang w:val="en-US" w:eastAsia="zh-CN"/>
              </w:rPr>
              <w:t>6</w:t>
            </w:r>
            <w:r>
              <w:rPr>
                <w:rFonts w:hint="eastAsia" w:ascii="宋体" w:hAnsi="宋体" w:cs="宋体"/>
                <w:bCs/>
                <w:color w:val="000000"/>
                <w:szCs w:val="21"/>
              </w:rPr>
              <w:t>分）</w:t>
            </w:r>
          </w:p>
        </w:tc>
        <w:tc>
          <w:tcPr>
            <w:tcW w:w="6784" w:type="dxa"/>
            <w:noWrap w:val="0"/>
            <w:vAlign w:val="center"/>
          </w:tcPr>
          <w:p w14:paraId="16DABB6E">
            <w:pPr>
              <w:widowControl/>
              <w:spacing w:line="360" w:lineRule="auto"/>
              <w:rPr>
                <w:rFonts w:hint="eastAsia" w:ascii="宋体" w:hAnsi="宋体"/>
                <w:bCs/>
                <w:color w:val="000000"/>
                <w:kern w:val="0"/>
                <w:szCs w:val="21"/>
              </w:rPr>
            </w:pPr>
            <w:r>
              <w:rPr>
                <w:rFonts w:hint="eastAsia" w:ascii="宋体" w:hAnsi="宋体"/>
                <w:bCs/>
                <w:color w:val="000000"/>
                <w:kern w:val="0"/>
                <w:szCs w:val="21"/>
              </w:rPr>
              <w:t>优（</w:t>
            </w:r>
            <w:r>
              <w:rPr>
                <w:rFonts w:hint="eastAsia" w:ascii="宋体" w:hAnsi="宋体"/>
                <w:bCs/>
                <w:color w:val="000000"/>
                <w:kern w:val="0"/>
                <w:szCs w:val="21"/>
                <w:lang w:val="en-US" w:eastAsia="zh-CN"/>
              </w:rPr>
              <w:t>6</w:t>
            </w:r>
            <w:r>
              <w:rPr>
                <w:rFonts w:hint="eastAsia" w:ascii="宋体" w:hAnsi="宋体"/>
                <w:bCs/>
                <w:color w:val="000000"/>
                <w:kern w:val="0"/>
                <w:szCs w:val="21"/>
              </w:rPr>
              <w:t>分）：有专门的质量技术管理班子和制度，且人员配备合理，制度健全。主要工序有质量技术保证措施和手段，且先进、可行、具体，达到招标文件的质量要求及施工验收规范要求，达到承诺的质量标准</w:t>
            </w:r>
          </w:p>
          <w:p w14:paraId="31C97BCE">
            <w:pPr>
              <w:widowControl/>
              <w:spacing w:line="360" w:lineRule="auto"/>
              <w:rPr>
                <w:rFonts w:hint="eastAsia" w:ascii="宋体" w:hAnsi="宋体"/>
                <w:bCs/>
                <w:color w:val="000000"/>
                <w:kern w:val="0"/>
                <w:szCs w:val="21"/>
              </w:rPr>
            </w:pPr>
            <w:r>
              <w:rPr>
                <w:rFonts w:hint="eastAsia" w:ascii="宋体" w:hAnsi="宋体"/>
                <w:bCs/>
                <w:color w:val="000000"/>
                <w:kern w:val="0"/>
                <w:szCs w:val="21"/>
              </w:rPr>
              <w:t>良（4分）：有专门的质量技术管理班子和制度，且人员配备合理，制度健全。主要工序有质量技术保证措施和手段，自控体系完整，能有效保证技术质量，达到承诺的质量标准。</w:t>
            </w:r>
          </w:p>
          <w:p w14:paraId="170ABB33">
            <w:pPr>
              <w:widowControl/>
              <w:spacing w:line="360" w:lineRule="auto"/>
              <w:rPr>
                <w:rFonts w:hint="eastAsia" w:ascii="宋体" w:hAnsi="宋体"/>
                <w:bCs/>
                <w:color w:val="000000"/>
                <w:kern w:val="0"/>
                <w:szCs w:val="21"/>
              </w:rPr>
            </w:pPr>
            <w:r>
              <w:rPr>
                <w:rFonts w:hint="eastAsia" w:ascii="宋体" w:hAnsi="宋体"/>
                <w:bCs/>
                <w:color w:val="000000"/>
                <w:kern w:val="0"/>
                <w:szCs w:val="21"/>
              </w:rPr>
              <w:t xml:space="preserve">中（2分）：质量技术管理班子人员配备基本合理，制度基本健全。主要工序有质量技术保证措施和手段，能有效保证技术质量，满足招标文件的质量要求。 </w:t>
            </w:r>
          </w:p>
          <w:p w14:paraId="1977B2FB">
            <w:pPr>
              <w:widowControl/>
              <w:spacing w:line="360" w:lineRule="auto"/>
              <w:rPr>
                <w:rFonts w:hint="eastAsia" w:ascii="宋体" w:hAnsi="宋体"/>
                <w:bCs/>
                <w:color w:val="000000"/>
                <w:kern w:val="0"/>
                <w:szCs w:val="21"/>
              </w:rPr>
            </w:pPr>
            <w:r>
              <w:rPr>
                <w:rFonts w:hint="eastAsia" w:ascii="宋体" w:hAnsi="宋体"/>
                <w:bCs/>
                <w:color w:val="000000"/>
                <w:kern w:val="0"/>
                <w:szCs w:val="21"/>
              </w:rPr>
              <w:t>差（1分）：质量技术管理班子人员配备不合理，制度不健全。质量技术保证措施和手段不可行，没有质量违约责任承诺。</w:t>
            </w:r>
          </w:p>
        </w:tc>
      </w:tr>
      <w:tr w14:paraId="0AF69C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52" w:type="dxa"/>
            <w:noWrap w:val="0"/>
            <w:vAlign w:val="center"/>
          </w:tcPr>
          <w:p w14:paraId="3132B0BB">
            <w:pPr>
              <w:adjustRightInd w:val="0"/>
              <w:spacing w:line="400" w:lineRule="exact"/>
              <w:ind w:left="-105" w:leftChars="-50" w:right="-105" w:rightChars="-50"/>
              <w:jc w:val="center"/>
              <w:textAlignment w:val="baseline"/>
              <w:rPr>
                <w:rFonts w:hint="eastAsia" w:ascii="宋体" w:hAnsi="宋体" w:eastAsia="宋体"/>
                <w:bCs/>
                <w:color w:val="000000"/>
                <w:kern w:val="0"/>
                <w:szCs w:val="21"/>
                <w:lang w:eastAsia="zh-CN"/>
              </w:rPr>
            </w:pPr>
            <w:r>
              <w:rPr>
                <w:rFonts w:hint="eastAsia" w:ascii="宋体" w:hAnsi="宋体"/>
                <w:bCs/>
                <w:color w:val="000000"/>
                <w:kern w:val="0"/>
                <w:szCs w:val="21"/>
              </w:rPr>
              <w:t>2.</w:t>
            </w:r>
            <w:r>
              <w:rPr>
                <w:rFonts w:hint="eastAsia" w:ascii="宋体" w:hAnsi="宋体"/>
                <w:bCs/>
                <w:color w:val="000000"/>
                <w:kern w:val="0"/>
                <w:szCs w:val="21"/>
                <w:lang w:val="en-US" w:eastAsia="zh-CN"/>
              </w:rPr>
              <w:t>6</w:t>
            </w:r>
          </w:p>
        </w:tc>
        <w:tc>
          <w:tcPr>
            <w:tcW w:w="1691" w:type="dxa"/>
            <w:noWrap w:val="0"/>
            <w:vAlign w:val="center"/>
          </w:tcPr>
          <w:p w14:paraId="58E907B4">
            <w:pPr>
              <w:widowControl/>
              <w:spacing w:line="400" w:lineRule="exact"/>
              <w:jc w:val="center"/>
              <w:rPr>
                <w:rFonts w:hint="eastAsia" w:ascii="宋体" w:hAnsi="宋体" w:cs="宋体"/>
                <w:color w:val="000000"/>
                <w:kern w:val="0"/>
                <w:szCs w:val="21"/>
              </w:rPr>
            </w:pPr>
            <w:r>
              <w:rPr>
                <w:rFonts w:hint="eastAsia" w:ascii="宋体" w:hAnsi="宋体" w:cs="宋体"/>
                <w:color w:val="000000"/>
                <w:kern w:val="0"/>
                <w:szCs w:val="21"/>
              </w:rPr>
              <w:t>确保安全生产的技术组织措施（满分</w:t>
            </w:r>
            <w:r>
              <w:rPr>
                <w:rFonts w:hint="eastAsia" w:ascii="宋体" w:hAnsi="宋体" w:cs="宋体"/>
                <w:color w:val="000000"/>
                <w:kern w:val="0"/>
                <w:szCs w:val="21"/>
                <w:lang w:val="en-US" w:eastAsia="zh-CN"/>
              </w:rPr>
              <w:t>6</w:t>
            </w:r>
            <w:r>
              <w:rPr>
                <w:rFonts w:hint="eastAsia" w:ascii="宋体" w:hAnsi="宋体" w:cs="宋体"/>
                <w:color w:val="000000"/>
                <w:kern w:val="0"/>
                <w:szCs w:val="21"/>
              </w:rPr>
              <w:t>分）</w:t>
            </w:r>
          </w:p>
        </w:tc>
        <w:tc>
          <w:tcPr>
            <w:tcW w:w="6784" w:type="dxa"/>
            <w:noWrap w:val="0"/>
            <w:vAlign w:val="center"/>
          </w:tcPr>
          <w:p w14:paraId="59EE8BDE">
            <w:pPr>
              <w:widowControl/>
              <w:spacing w:line="360" w:lineRule="auto"/>
              <w:rPr>
                <w:rFonts w:hint="eastAsia" w:ascii="宋体" w:hAnsi="宋体"/>
                <w:bCs/>
                <w:color w:val="000000"/>
                <w:kern w:val="0"/>
                <w:szCs w:val="21"/>
              </w:rPr>
            </w:pPr>
            <w:r>
              <w:rPr>
                <w:rFonts w:hint="eastAsia" w:ascii="宋体" w:hAnsi="宋体"/>
                <w:bCs/>
                <w:color w:val="000000"/>
                <w:kern w:val="0"/>
                <w:szCs w:val="21"/>
              </w:rPr>
              <w:t>优（</w:t>
            </w:r>
            <w:r>
              <w:rPr>
                <w:rFonts w:hint="eastAsia" w:ascii="宋体" w:hAnsi="宋体"/>
                <w:bCs/>
                <w:color w:val="000000"/>
                <w:kern w:val="0"/>
                <w:szCs w:val="21"/>
                <w:lang w:val="en-US" w:eastAsia="zh-CN"/>
              </w:rPr>
              <w:t>6</w:t>
            </w:r>
            <w:r>
              <w:rPr>
                <w:rFonts w:hint="eastAsia" w:ascii="宋体" w:hAnsi="宋体"/>
                <w:bCs/>
                <w:color w:val="000000"/>
                <w:kern w:val="0"/>
                <w:szCs w:val="21"/>
              </w:rPr>
              <w:t xml:space="preserve">分）：安全人员配备合理；有健全的安全管理制度，各道工序安全技术措施针对性强，符合实际且高于国家有关安全技术标准要求。现场防火、应急救援、社会治安安全措施得力。 </w:t>
            </w:r>
          </w:p>
          <w:p w14:paraId="028CC106">
            <w:pPr>
              <w:widowControl/>
              <w:spacing w:line="360" w:lineRule="auto"/>
              <w:rPr>
                <w:rFonts w:hint="eastAsia" w:ascii="宋体" w:hAnsi="宋体"/>
                <w:bCs/>
                <w:color w:val="000000"/>
                <w:kern w:val="0"/>
                <w:szCs w:val="21"/>
              </w:rPr>
            </w:pPr>
            <w:r>
              <w:rPr>
                <w:rFonts w:hint="eastAsia" w:ascii="宋体" w:hAnsi="宋体"/>
                <w:bCs/>
                <w:color w:val="000000"/>
                <w:kern w:val="0"/>
                <w:szCs w:val="21"/>
              </w:rPr>
              <w:t xml:space="preserve">良（4分）：安全人员配备合理；有健全的安全管理制度，各道工序安全技术措施符合实际且满足有关安全技术标准要求。现场防火、应急救援、社会治安安全措施合理。 </w:t>
            </w:r>
          </w:p>
          <w:p w14:paraId="099395F3">
            <w:pPr>
              <w:widowControl/>
              <w:spacing w:line="360" w:lineRule="auto"/>
              <w:rPr>
                <w:rFonts w:hint="eastAsia" w:ascii="宋体" w:hAnsi="宋体"/>
                <w:bCs/>
                <w:color w:val="000000"/>
                <w:kern w:val="0"/>
                <w:szCs w:val="21"/>
              </w:rPr>
            </w:pPr>
            <w:r>
              <w:rPr>
                <w:rFonts w:hint="eastAsia" w:ascii="宋体" w:hAnsi="宋体"/>
                <w:bCs/>
                <w:color w:val="000000"/>
                <w:kern w:val="0"/>
                <w:szCs w:val="21"/>
              </w:rPr>
              <w:t xml:space="preserve">中（2分）：安全人员配备基本合理，安全管理制度基本健全，各道工序安全技术措施基本符合实际，基本满足有关安全技术标准要求。现场防火、应急救援、社会治安安全措施基本合理。 </w:t>
            </w:r>
          </w:p>
          <w:p w14:paraId="77AED2CD">
            <w:pPr>
              <w:widowControl/>
              <w:spacing w:line="360" w:lineRule="auto"/>
              <w:rPr>
                <w:rFonts w:hint="eastAsia" w:ascii="宋体" w:hAnsi="宋体"/>
                <w:bCs/>
                <w:color w:val="000000"/>
                <w:kern w:val="0"/>
                <w:szCs w:val="21"/>
              </w:rPr>
            </w:pPr>
            <w:r>
              <w:rPr>
                <w:rFonts w:hint="eastAsia" w:ascii="宋体" w:hAnsi="宋体"/>
                <w:bCs/>
                <w:color w:val="000000"/>
                <w:kern w:val="0"/>
                <w:szCs w:val="21"/>
              </w:rPr>
              <w:t>差（1分）：安全人员配备不合理，安全管理制度不健全，各道工序安全技术措施基本符合实际，不能满足有关安全技术标准要求。现场防火、应急救援、社会治安安全措施不合理。</w:t>
            </w:r>
          </w:p>
        </w:tc>
      </w:tr>
      <w:tr w14:paraId="070098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52" w:type="dxa"/>
            <w:noWrap w:val="0"/>
            <w:vAlign w:val="center"/>
          </w:tcPr>
          <w:p w14:paraId="4E8E2CE1">
            <w:pPr>
              <w:adjustRightInd w:val="0"/>
              <w:spacing w:line="400" w:lineRule="exact"/>
              <w:ind w:left="-105" w:leftChars="-50" w:right="-105" w:rightChars="-50"/>
              <w:jc w:val="center"/>
              <w:textAlignment w:val="baseline"/>
              <w:rPr>
                <w:rFonts w:hint="eastAsia" w:ascii="宋体" w:hAnsi="宋体" w:eastAsia="宋体"/>
                <w:bCs/>
                <w:color w:val="000000"/>
                <w:kern w:val="0"/>
                <w:szCs w:val="21"/>
                <w:lang w:eastAsia="zh-CN"/>
              </w:rPr>
            </w:pPr>
            <w:r>
              <w:rPr>
                <w:rFonts w:hint="eastAsia" w:ascii="宋体" w:hAnsi="宋体"/>
                <w:bCs/>
                <w:color w:val="000000"/>
                <w:kern w:val="0"/>
                <w:szCs w:val="21"/>
              </w:rPr>
              <w:t>2.</w:t>
            </w:r>
            <w:r>
              <w:rPr>
                <w:rFonts w:hint="eastAsia" w:ascii="宋体" w:hAnsi="宋体"/>
                <w:bCs/>
                <w:color w:val="000000"/>
                <w:kern w:val="0"/>
                <w:szCs w:val="21"/>
                <w:lang w:val="en-US" w:eastAsia="zh-CN"/>
              </w:rPr>
              <w:t>7</w:t>
            </w:r>
          </w:p>
        </w:tc>
        <w:tc>
          <w:tcPr>
            <w:tcW w:w="1691" w:type="dxa"/>
            <w:noWrap w:val="0"/>
            <w:vAlign w:val="center"/>
          </w:tcPr>
          <w:p w14:paraId="3DADFD9C">
            <w:pPr>
              <w:widowControl/>
              <w:spacing w:line="400" w:lineRule="exact"/>
              <w:jc w:val="center"/>
              <w:rPr>
                <w:rFonts w:hint="eastAsia" w:ascii="宋体" w:hAnsi="宋体" w:cs="宋体"/>
                <w:color w:val="000000"/>
                <w:kern w:val="0"/>
                <w:szCs w:val="21"/>
              </w:rPr>
            </w:pPr>
            <w:r>
              <w:rPr>
                <w:rFonts w:hint="eastAsia" w:ascii="宋体" w:hAnsi="宋体" w:cs="宋体"/>
                <w:color w:val="000000"/>
                <w:kern w:val="0"/>
                <w:szCs w:val="21"/>
              </w:rPr>
              <w:t>确保工期的技术组织措施（满分</w:t>
            </w:r>
            <w:r>
              <w:rPr>
                <w:rFonts w:hint="eastAsia" w:ascii="宋体" w:hAnsi="宋体" w:cs="宋体"/>
                <w:color w:val="000000"/>
                <w:kern w:val="0"/>
                <w:szCs w:val="21"/>
                <w:lang w:val="en-US" w:eastAsia="zh-CN"/>
              </w:rPr>
              <w:t>6</w:t>
            </w:r>
            <w:r>
              <w:rPr>
                <w:rFonts w:hint="eastAsia" w:ascii="宋体" w:hAnsi="宋体" w:cs="宋体"/>
                <w:color w:val="000000"/>
                <w:kern w:val="0"/>
                <w:szCs w:val="21"/>
              </w:rPr>
              <w:t>分）</w:t>
            </w:r>
          </w:p>
        </w:tc>
        <w:tc>
          <w:tcPr>
            <w:tcW w:w="6784" w:type="dxa"/>
            <w:noWrap w:val="0"/>
            <w:vAlign w:val="center"/>
          </w:tcPr>
          <w:p w14:paraId="4DB1B9CF">
            <w:pPr>
              <w:widowControl/>
              <w:spacing w:line="360" w:lineRule="auto"/>
              <w:rPr>
                <w:rFonts w:hint="eastAsia" w:ascii="宋体" w:hAnsi="宋体"/>
                <w:bCs/>
                <w:color w:val="000000"/>
                <w:kern w:val="0"/>
                <w:szCs w:val="21"/>
              </w:rPr>
            </w:pPr>
            <w:r>
              <w:rPr>
                <w:rFonts w:hint="eastAsia" w:ascii="宋体" w:hAnsi="宋体"/>
                <w:bCs/>
                <w:color w:val="000000"/>
                <w:kern w:val="0"/>
                <w:szCs w:val="21"/>
              </w:rPr>
              <w:t>优（</w:t>
            </w:r>
            <w:r>
              <w:rPr>
                <w:rFonts w:hint="eastAsia" w:ascii="宋体" w:hAnsi="宋体"/>
                <w:bCs/>
                <w:color w:val="000000"/>
                <w:kern w:val="0"/>
                <w:szCs w:val="21"/>
                <w:lang w:val="en-US" w:eastAsia="zh-CN"/>
              </w:rPr>
              <w:t>6</w:t>
            </w:r>
            <w:r>
              <w:rPr>
                <w:rFonts w:hint="eastAsia" w:ascii="宋体" w:hAnsi="宋体"/>
                <w:bCs/>
                <w:color w:val="000000"/>
                <w:kern w:val="0"/>
                <w:szCs w:val="21"/>
              </w:rPr>
              <w:t xml:space="preserve">分）：有保证工期的具体措施且措施得力。各项计划图表编制详尽周密，安排科学合理，符合本项目施工实际要求。 </w:t>
            </w:r>
          </w:p>
          <w:p w14:paraId="62F1C084">
            <w:pPr>
              <w:widowControl/>
              <w:spacing w:line="360" w:lineRule="auto"/>
              <w:rPr>
                <w:rFonts w:hint="eastAsia" w:ascii="宋体" w:hAnsi="宋体"/>
                <w:bCs/>
                <w:color w:val="000000"/>
                <w:kern w:val="0"/>
                <w:szCs w:val="21"/>
              </w:rPr>
            </w:pPr>
            <w:r>
              <w:rPr>
                <w:rFonts w:hint="eastAsia" w:ascii="宋体" w:hAnsi="宋体"/>
                <w:bCs/>
                <w:color w:val="000000"/>
                <w:kern w:val="0"/>
                <w:szCs w:val="21"/>
              </w:rPr>
              <w:t xml:space="preserve">良（4分）：有保证工期的具体措施且措施得当。各项计划图表编制完善，安排较合理，符合本项目施工实际要求。 </w:t>
            </w:r>
          </w:p>
          <w:p w14:paraId="537C951B">
            <w:pPr>
              <w:widowControl/>
              <w:spacing w:line="360" w:lineRule="auto"/>
              <w:rPr>
                <w:rFonts w:hint="eastAsia" w:ascii="宋体" w:hAnsi="宋体"/>
                <w:bCs/>
                <w:color w:val="000000"/>
                <w:kern w:val="0"/>
                <w:szCs w:val="21"/>
              </w:rPr>
            </w:pPr>
            <w:r>
              <w:rPr>
                <w:rFonts w:hint="eastAsia" w:ascii="宋体" w:hAnsi="宋体"/>
                <w:bCs/>
                <w:color w:val="000000"/>
                <w:kern w:val="0"/>
                <w:szCs w:val="21"/>
              </w:rPr>
              <w:t>中（2分）：有保证工期的具体措施且措施基本得当。各项计划图表编制基本完善，安排较合理，符合本项目施工实际要求。</w:t>
            </w:r>
          </w:p>
          <w:p w14:paraId="7E45A5CA">
            <w:pPr>
              <w:widowControl/>
              <w:spacing w:line="360" w:lineRule="auto"/>
              <w:rPr>
                <w:rFonts w:hint="eastAsia" w:ascii="宋体" w:hAnsi="宋体"/>
                <w:bCs/>
                <w:color w:val="000000"/>
                <w:kern w:val="0"/>
                <w:szCs w:val="21"/>
              </w:rPr>
            </w:pPr>
            <w:r>
              <w:rPr>
                <w:rFonts w:hint="eastAsia" w:ascii="宋体" w:hAnsi="宋体"/>
                <w:bCs/>
                <w:color w:val="000000"/>
                <w:kern w:val="0"/>
                <w:szCs w:val="21"/>
              </w:rPr>
              <w:t>差（1分）：有保证工期的具体措施。各项计划图表编制不完善，安排不合理，不能满足本项目施工实际要求。</w:t>
            </w:r>
          </w:p>
        </w:tc>
      </w:tr>
      <w:tr w14:paraId="552651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52" w:type="dxa"/>
            <w:noWrap w:val="0"/>
            <w:vAlign w:val="center"/>
          </w:tcPr>
          <w:p w14:paraId="7E8088C7">
            <w:pPr>
              <w:adjustRightInd w:val="0"/>
              <w:spacing w:line="400" w:lineRule="exact"/>
              <w:ind w:left="-105" w:leftChars="-50" w:right="-105" w:rightChars="-50"/>
              <w:jc w:val="center"/>
              <w:textAlignment w:val="baseline"/>
              <w:rPr>
                <w:rFonts w:hint="eastAsia" w:ascii="宋体" w:hAnsi="宋体" w:eastAsia="宋体"/>
                <w:bCs/>
                <w:color w:val="000000"/>
                <w:kern w:val="0"/>
                <w:szCs w:val="21"/>
                <w:lang w:eastAsia="zh-CN"/>
              </w:rPr>
            </w:pPr>
            <w:r>
              <w:rPr>
                <w:rFonts w:hint="eastAsia" w:ascii="宋体" w:hAnsi="宋体"/>
                <w:bCs/>
                <w:color w:val="000000"/>
                <w:kern w:val="0"/>
                <w:szCs w:val="21"/>
              </w:rPr>
              <w:t>2.</w:t>
            </w:r>
            <w:r>
              <w:rPr>
                <w:rFonts w:hint="eastAsia" w:ascii="宋体" w:hAnsi="宋体"/>
                <w:bCs/>
                <w:color w:val="000000"/>
                <w:kern w:val="0"/>
                <w:szCs w:val="21"/>
                <w:lang w:val="en-US" w:eastAsia="zh-CN"/>
              </w:rPr>
              <w:t>8</w:t>
            </w:r>
          </w:p>
        </w:tc>
        <w:tc>
          <w:tcPr>
            <w:tcW w:w="1691" w:type="dxa"/>
            <w:noWrap w:val="0"/>
            <w:vAlign w:val="center"/>
          </w:tcPr>
          <w:p w14:paraId="00552B32">
            <w:pPr>
              <w:widowControl/>
              <w:spacing w:line="400" w:lineRule="exact"/>
              <w:jc w:val="center"/>
              <w:rPr>
                <w:rFonts w:hint="eastAsia" w:ascii="宋体" w:hAnsi="宋体" w:cs="宋体"/>
                <w:color w:val="000000"/>
                <w:kern w:val="0"/>
                <w:szCs w:val="21"/>
              </w:rPr>
            </w:pPr>
            <w:r>
              <w:rPr>
                <w:rFonts w:hint="eastAsia" w:ascii="宋体" w:hAnsi="宋体" w:cs="宋体"/>
                <w:color w:val="000000"/>
                <w:kern w:val="0"/>
                <w:szCs w:val="21"/>
              </w:rPr>
              <w:t>确保文明施工的技术组织措施（满分</w:t>
            </w:r>
            <w:r>
              <w:rPr>
                <w:rFonts w:hint="eastAsia" w:ascii="宋体" w:hAnsi="宋体" w:cs="宋体"/>
                <w:color w:val="000000"/>
                <w:kern w:val="0"/>
                <w:szCs w:val="21"/>
                <w:lang w:val="en-US" w:eastAsia="zh-CN"/>
              </w:rPr>
              <w:t>6</w:t>
            </w:r>
            <w:r>
              <w:rPr>
                <w:rFonts w:hint="eastAsia" w:ascii="宋体" w:hAnsi="宋体" w:cs="宋体"/>
                <w:color w:val="000000"/>
                <w:kern w:val="0"/>
                <w:szCs w:val="21"/>
              </w:rPr>
              <w:t>分）</w:t>
            </w:r>
          </w:p>
        </w:tc>
        <w:tc>
          <w:tcPr>
            <w:tcW w:w="6784" w:type="dxa"/>
            <w:noWrap w:val="0"/>
            <w:vAlign w:val="center"/>
          </w:tcPr>
          <w:p w14:paraId="78B69244">
            <w:pPr>
              <w:widowControl/>
              <w:spacing w:line="360" w:lineRule="auto"/>
              <w:rPr>
                <w:rFonts w:hint="eastAsia" w:ascii="宋体" w:hAnsi="宋体"/>
                <w:bCs/>
                <w:color w:val="000000"/>
                <w:kern w:val="0"/>
                <w:szCs w:val="21"/>
              </w:rPr>
            </w:pPr>
            <w:r>
              <w:rPr>
                <w:rFonts w:hint="eastAsia" w:ascii="宋体" w:hAnsi="宋体"/>
                <w:bCs/>
                <w:color w:val="000000"/>
                <w:kern w:val="0"/>
                <w:szCs w:val="21"/>
              </w:rPr>
              <w:t>优（</w:t>
            </w:r>
            <w:r>
              <w:rPr>
                <w:rFonts w:hint="eastAsia" w:ascii="宋体" w:hAnsi="宋体"/>
                <w:bCs/>
                <w:color w:val="000000"/>
                <w:kern w:val="0"/>
                <w:szCs w:val="21"/>
                <w:lang w:val="en-US" w:eastAsia="zh-CN"/>
              </w:rPr>
              <w:t>6</w:t>
            </w:r>
            <w:r>
              <w:rPr>
                <w:rFonts w:hint="eastAsia" w:ascii="宋体" w:hAnsi="宋体"/>
                <w:bCs/>
                <w:color w:val="000000"/>
                <w:kern w:val="0"/>
                <w:szCs w:val="21"/>
              </w:rPr>
              <w:t>分）：现场文明施工、环境保护措施和内容达到且高于《建筑施工安全生产检查标准》、《广西壮族自治区建筑工程文明施工导则》要求；有具体实现现场文明施工目标的承诺，而且各项措施科学、具体、得力的。</w:t>
            </w:r>
          </w:p>
          <w:p w14:paraId="792C5774">
            <w:pPr>
              <w:widowControl/>
              <w:spacing w:line="360" w:lineRule="auto"/>
              <w:rPr>
                <w:rFonts w:hint="eastAsia" w:ascii="宋体" w:hAnsi="宋体"/>
                <w:bCs/>
                <w:color w:val="000000"/>
                <w:kern w:val="0"/>
                <w:szCs w:val="21"/>
              </w:rPr>
            </w:pPr>
            <w:r>
              <w:rPr>
                <w:rFonts w:hint="eastAsia" w:ascii="宋体" w:hAnsi="宋体"/>
                <w:bCs/>
                <w:color w:val="000000"/>
                <w:kern w:val="0"/>
                <w:szCs w:val="21"/>
              </w:rPr>
              <w:t xml:space="preserve"> 良（4分）：现场文明施工、环境保护措施和内容达到《建筑施工安全生产检查标准》、《广西壮族自治区建筑工程文明施工导则》；有具体实现现场文明施工目标的承诺，而且各项措施周全、具体、有效的。 </w:t>
            </w:r>
          </w:p>
          <w:p w14:paraId="338343E0">
            <w:pPr>
              <w:widowControl/>
              <w:spacing w:line="360" w:lineRule="auto"/>
              <w:rPr>
                <w:rFonts w:hint="eastAsia" w:ascii="宋体" w:hAnsi="宋体"/>
                <w:bCs/>
                <w:color w:val="000000"/>
                <w:kern w:val="0"/>
                <w:szCs w:val="21"/>
              </w:rPr>
            </w:pPr>
            <w:r>
              <w:rPr>
                <w:rFonts w:hint="eastAsia" w:ascii="宋体" w:hAnsi="宋体"/>
                <w:bCs/>
                <w:color w:val="000000"/>
                <w:kern w:val="0"/>
                <w:szCs w:val="21"/>
              </w:rPr>
              <w:t>中（2分）：现场文明施工、环境保护措施和内容基本达到《建筑施工安全生产检查标准》、《广西壮族自治区建筑工程文明施工导则》；有具体实现现场文明施工目标的承诺，而且各项措施基本全面、具体、有效的。</w:t>
            </w:r>
          </w:p>
          <w:p w14:paraId="71909621">
            <w:pPr>
              <w:widowControl/>
              <w:spacing w:line="360" w:lineRule="auto"/>
              <w:rPr>
                <w:rFonts w:hint="eastAsia" w:ascii="宋体" w:hAnsi="宋体"/>
                <w:bCs/>
                <w:color w:val="000000"/>
                <w:kern w:val="0"/>
                <w:szCs w:val="21"/>
              </w:rPr>
            </w:pPr>
            <w:r>
              <w:rPr>
                <w:rFonts w:hint="eastAsia" w:ascii="宋体" w:hAnsi="宋体"/>
                <w:bCs/>
                <w:color w:val="000000"/>
                <w:kern w:val="0"/>
                <w:szCs w:val="21"/>
              </w:rPr>
              <w:t xml:space="preserve"> 差（1分）: 现场文明施工、环境保护措施和内容与《建筑施工安全生产检查标准》、《广西壮族自治区建筑工程文明施工导则》的要求偏差大，无现场文明施工目标的承诺。</w:t>
            </w:r>
          </w:p>
        </w:tc>
      </w:tr>
      <w:tr w14:paraId="26CA58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52" w:type="dxa"/>
            <w:noWrap w:val="0"/>
            <w:vAlign w:val="center"/>
          </w:tcPr>
          <w:p w14:paraId="451D77F9">
            <w:pPr>
              <w:adjustRightInd w:val="0"/>
              <w:spacing w:line="400" w:lineRule="exact"/>
              <w:ind w:left="-105" w:leftChars="-50" w:right="-105" w:rightChars="-50"/>
              <w:jc w:val="center"/>
              <w:textAlignment w:val="baseline"/>
              <w:rPr>
                <w:rFonts w:hint="eastAsia" w:ascii="宋体" w:hAnsi="宋体" w:eastAsia="宋体"/>
                <w:bCs/>
                <w:color w:val="000000"/>
                <w:kern w:val="0"/>
                <w:szCs w:val="21"/>
                <w:lang w:eastAsia="zh-CN"/>
              </w:rPr>
            </w:pPr>
            <w:r>
              <w:rPr>
                <w:rFonts w:hint="eastAsia" w:ascii="宋体" w:hAnsi="宋体"/>
                <w:bCs/>
                <w:color w:val="000000"/>
                <w:kern w:val="0"/>
                <w:szCs w:val="21"/>
              </w:rPr>
              <w:t>2.</w:t>
            </w:r>
            <w:r>
              <w:rPr>
                <w:rFonts w:hint="eastAsia" w:ascii="宋体" w:hAnsi="宋体"/>
                <w:bCs/>
                <w:color w:val="000000"/>
                <w:kern w:val="0"/>
                <w:szCs w:val="21"/>
                <w:lang w:val="en-US" w:eastAsia="zh-CN"/>
              </w:rPr>
              <w:t>9</w:t>
            </w:r>
          </w:p>
        </w:tc>
        <w:tc>
          <w:tcPr>
            <w:tcW w:w="1691" w:type="dxa"/>
            <w:noWrap w:val="0"/>
            <w:vAlign w:val="center"/>
          </w:tcPr>
          <w:p w14:paraId="25758C02">
            <w:pPr>
              <w:widowControl/>
              <w:spacing w:line="400" w:lineRule="exact"/>
              <w:jc w:val="center"/>
              <w:rPr>
                <w:rFonts w:hint="eastAsia" w:ascii="宋体" w:hAnsi="宋体" w:cs="宋体"/>
                <w:color w:val="000000"/>
                <w:kern w:val="0"/>
                <w:szCs w:val="21"/>
              </w:rPr>
            </w:pPr>
            <w:r>
              <w:rPr>
                <w:rFonts w:hint="eastAsia" w:ascii="宋体" w:hAnsi="宋体" w:cs="宋体"/>
                <w:bCs/>
                <w:color w:val="000000"/>
                <w:szCs w:val="21"/>
              </w:rPr>
              <w:t>工程施工的重点和难点及保证措施（满分</w:t>
            </w:r>
            <w:r>
              <w:rPr>
                <w:rFonts w:hint="eastAsia" w:ascii="宋体" w:hAnsi="宋体" w:cs="宋体"/>
                <w:bCs/>
                <w:color w:val="000000"/>
                <w:szCs w:val="21"/>
                <w:lang w:val="en-US" w:eastAsia="zh-CN"/>
              </w:rPr>
              <w:t>6</w:t>
            </w:r>
            <w:r>
              <w:rPr>
                <w:rFonts w:hint="eastAsia" w:ascii="宋体" w:hAnsi="宋体" w:cs="宋体"/>
                <w:bCs/>
                <w:color w:val="000000"/>
                <w:szCs w:val="21"/>
              </w:rPr>
              <w:t>分）</w:t>
            </w:r>
          </w:p>
        </w:tc>
        <w:tc>
          <w:tcPr>
            <w:tcW w:w="6784" w:type="dxa"/>
            <w:noWrap w:val="0"/>
            <w:vAlign w:val="center"/>
          </w:tcPr>
          <w:p w14:paraId="4F37D36B">
            <w:pPr>
              <w:widowControl/>
              <w:spacing w:line="360" w:lineRule="auto"/>
              <w:rPr>
                <w:rFonts w:hint="eastAsia" w:ascii="宋体" w:hAnsi="宋体"/>
                <w:bCs/>
                <w:color w:val="000000"/>
                <w:kern w:val="0"/>
                <w:szCs w:val="21"/>
              </w:rPr>
            </w:pPr>
            <w:r>
              <w:rPr>
                <w:rFonts w:hint="eastAsia" w:ascii="宋体" w:hAnsi="宋体"/>
                <w:bCs/>
                <w:color w:val="000000"/>
                <w:kern w:val="0"/>
                <w:szCs w:val="21"/>
              </w:rPr>
              <w:t>优（</w:t>
            </w:r>
            <w:r>
              <w:rPr>
                <w:rFonts w:hint="eastAsia" w:ascii="宋体" w:hAnsi="宋体"/>
                <w:bCs/>
                <w:color w:val="000000"/>
                <w:kern w:val="0"/>
                <w:szCs w:val="21"/>
                <w:lang w:val="en-US" w:eastAsia="zh-CN"/>
              </w:rPr>
              <w:t>6</w:t>
            </w:r>
            <w:r>
              <w:rPr>
                <w:rFonts w:hint="eastAsia" w:ascii="宋体" w:hAnsi="宋体"/>
                <w:bCs/>
                <w:color w:val="000000"/>
                <w:kern w:val="0"/>
                <w:szCs w:val="21"/>
              </w:rPr>
              <w:t xml:space="preserve">分）：对项目关键技术、工艺有深入的表述。对重点、难点有先进合理的施工措施并有可行的安全措施，解决方案完整、经济、安全、切实可行，措施得力。 </w:t>
            </w:r>
          </w:p>
          <w:p w14:paraId="10FF2A1C">
            <w:pPr>
              <w:widowControl/>
              <w:spacing w:line="360" w:lineRule="auto"/>
              <w:rPr>
                <w:rFonts w:hint="eastAsia" w:ascii="宋体" w:hAnsi="宋体"/>
                <w:bCs/>
                <w:color w:val="000000"/>
                <w:kern w:val="0"/>
                <w:szCs w:val="21"/>
              </w:rPr>
            </w:pPr>
            <w:r>
              <w:rPr>
                <w:rFonts w:hint="eastAsia" w:ascii="宋体" w:hAnsi="宋体"/>
                <w:bCs/>
                <w:color w:val="000000"/>
                <w:kern w:val="0"/>
                <w:szCs w:val="21"/>
              </w:rPr>
              <w:t xml:space="preserve">良（4分）：对项目关键技术、工艺有深入的表述，对重点、难点有合理的建议，解决方案经济、安全、基本可行。 </w:t>
            </w:r>
          </w:p>
          <w:p w14:paraId="3A313681">
            <w:pPr>
              <w:widowControl/>
              <w:spacing w:line="360" w:lineRule="auto"/>
              <w:rPr>
                <w:rFonts w:hint="eastAsia" w:ascii="宋体" w:hAnsi="宋体"/>
                <w:bCs/>
                <w:color w:val="000000"/>
                <w:kern w:val="0"/>
                <w:szCs w:val="21"/>
              </w:rPr>
            </w:pPr>
            <w:r>
              <w:rPr>
                <w:rFonts w:hint="eastAsia" w:ascii="宋体" w:hAnsi="宋体"/>
                <w:bCs/>
                <w:color w:val="000000"/>
                <w:kern w:val="0"/>
                <w:szCs w:val="21"/>
              </w:rPr>
              <w:t>中（2分）：对项目关键技术有一定了解，对重点、难点有建议，解决方案基本可行。</w:t>
            </w:r>
          </w:p>
          <w:p w14:paraId="7B1759B8">
            <w:pPr>
              <w:widowControl/>
              <w:spacing w:line="360" w:lineRule="auto"/>
              <w:rPr>
                <w:rFonts w:hint="eastAsia" w:ascii="宋体" w:hAnsi="宋体" w:cs="宋体"/>
                <w:bCs/>
                <w:color w:val="000000"/>
                <w:szCs w:val="21"/>
              </w:rPr>
            </w:pPr>
            <w:r>
              <w:rPr>
                <w:rFonts w:hint="eastAsia" w:ascii="宋体" w:hAnsi="宋体"/>
                <w:bCs/>
                <w:color w:val="000000"/>
                <w:kern w:val="0"/>
                <w:szCs w:val="21"/>
              </w:rPr>
              <w:t>差（1分）：对项目关键技术有表述，对重点、难点有建议，解决方案不可行。</w:t>
            </w:r>
          </w:p>
        </w:tc>
      </w:tr>
      <w:tr w14:paraId="0EF9AF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52" w:type="dxa"/>
            <w:noWrap w:val="0"/>
            <w:vAlign w:val="center"/>
          </w:tcPr>
          <w:p w14:paraId="63A604F4">
            <w:pPr>
              <w:spacing w:line="400" w:lineRule="exact"/>
              <w:jc w:val="center"/>
              <w:rPr>
                <w:rFonts w:hint="default" w:ascii="宋体" w:hAnsi="宋体" w:eastAsia="宋体"/>
                <w:bCs/>
                <w:color w:val="000000"/>
                <w:kern w:val="0"/>
                <w:szCs w:val="21"/>
                <w:lang w:val="en-US" w:eastAsia="zh-CN"/>
              </w:rPr>
            </w:pPr>
            <w:r>
              <w:rPr>
                <w:rFonts w:hint="eastAsia" w:ascii="宋体" w:hAnsi="宋体" w:cs="宋体"/>
                <w:bCs/>
              </w:rPr>
              <w:t>2.</w:t>
            </w:r>
            <w:r>
              <w:rPr>
                <w:rFonts w:hint="eastAsia" w:ascii="宋体" w:hAnsi="宋体" w:cs="宋体"/>
                <w:bCs/>
                <w:lang w:val="en-US" w:eastAsia="zh-CN"/>
              </w:rPr>
              <w:t>10</w:t>
            </w:r>
          </w:p>
        </w:tc>
        <w:tc>
          <w:tcPr>
            <w:tcW w:w="1691" w:type="dxa"/>
            <w:noWrap w:val="0"/>
            <w:vAlign w:val="center"/>
          </w:tcPr>
          <w:p w14:paraId="364EC3F0">
            <w:pPr>
              <w:spacing w:line="400" w:lineRule="exact"/>
              <w:jc w:val="center"/>
              <w:rPr>
                <w:rFonts w:hint="eastAsia" w:ascii="宋体" w:hAnsi="宋体" w:cs="宋体"/>
                <w:bCs/>
                <w:color w:val="000000"/>
                <w:szCs w:val="21"/>
              </w:rPr>
            </w:pPr>
            <w:r>
              <w:rPr>
                <w:rFonts w:hint="eastAsia" w:ascii="宋体" w:hAnsi="宋体" w:cs="宋体"/>
                <w:bCs/>
              </w:rPr>
              <w:t>施工总平面布置图（满分</w:t>
            </w:r>
            <w:r>
              <w:rPr>
                <w:rFonts w:hint="eastAsia" w:ascii="宋体" w:hAnsi="宋体" w:cs="宋体"/>
                <w:bCs/>
                <w:lang w:val="en-US" w:eastAsia="zh-CN"/>
              </w:rPr>
              <w:t>6</w:t>
            </w:r>
            <w:r>
              <w:rPr>
                <w:rFonts w:hint="eastAsia" w:ascii="宋体" w:hAnsi="宋体" w:cs="宋体"/>
                <w:bCs/>
              </w:rPr>
              <w:t>分）</w:t>
            </w:r>
          </w:p>
        </w:tc>
        <w:tc>
          <w:tcPr>
            <w:tcW w:w="6784" w:type="dxa"/>
            <w:noWrap w:val="0"/>
            <w:vAlign w:val="center"/>
          </w:tcPr>
          <w:p w14:paraId="4CC02778">
            <w:pPr>
              <w:widowControl/>
              <w:spacing w:line="360" w:lineRule="auto"/>
              <w:rPr>
                <w:rFonts w:hint="eastAsia" w:ascii="宋体" w:hAnsi="宋体"/>
                <w:bCs/>
                <w:color w:val="000000"/>
                <w:kern w:val="0"/>
                <w:szCs w:val="21"/>
              </w:rPr>
            </w:pPr>
            <w:r>
              <w:rPr>
                <w:rFonts w:hint="eastAsia" w:ascii="宋体" w:hAnsi="宋体"/>
                <w:bCs/>
                <w:color w:val="000000"/>
                <w:kern w:val="0"/>
                <w:szCs w:val="21"/>
              </w:rPr>
              <w:t>优（</w:t>
            </w:r>
            <w:r>
              <w:rPr>
                <w:rFonts w:hint="eastAsia" w:ascii="宋体" w:hAnsi="宋体"/>
                <w:bCs/>
                <w:color w:val="000000"/>
                <w:kern w:val="0"/>
                <w:szCs w:val="21"/>
                <w:lang w:val="en-US" w:eastAsia="zh-CN"/>
              </w:rPr>
              <w:t>6</w:t>
            </w:r>
            <w:r>
              <w:rPr>
                <w:rFonts w:hint="eastAsia" w:ascii="宋体" w:hAnsi="宋体"/>
                <w:bCs/>
                <w:color w:val="000000"/>
                <w:kern w:val="0"/>
                <w:szCs w:val="21"/>
              </w:rPr>
              <w:t>分）：总体布置有针对性、合理，较好满足施工需要，符合安全、文明生产要求。</w:t>
            </w:r>
          </w:p>
          <w:p w14:paraId="77BAA2DB">
            <w:pPr>
              <w:widowControl/>
              <w:spacing w:line="360" w:lineRule="auto"/>
              <w:rPr>
                <w:rFonts w:hint="eastAsia" w:ascii="宋体" w:hAnsi="宋体"/>
                <w:bCs/>
                <w:color w:val="000000"/>
                <w:kern w:val="0"/>
                <w:szCs w:val="21"/>
              </w:rPr>
            </w:pPr>
            <w:r>
              <w:rPr>
                <w:rFonts w:hint="eastAsia" w:ascii="宋体" w:hAnsi="宋体"/>
                <w:bCs/>
                <w:color w:val="000000"/>
                <w:kern w:val="0"/>
                <w:szCs w:val="21"/>
              </w:rPr>
              <w:t xml:space="preserve">良（4分）：总体布置合理，能满足施工需要，基本符合安全、文明生产要求。 </w:t>
            </w:r>
          </w:p>
          <w:p w14:paraId="34F96170">
            <w:pPr>
              <w:widowControl/>
              <w:spacing w:line="360" w:lineRule="auto"/>
              <w:rPr>
                <w:rFonts w:hint="eastAsia" w:ascii="宋体" w:hAnsi="宋体"/>
                <w:bCs/>
                <w:color w:val="000000"/>
                <w:kern w:val="0"/>
                <w:szCs w:val="21"/>
              </w:rPr>
            </w:pPr>
            <w:r>
              <w:rPr>
                <w:rFonts w:hint="eastAsia" w:ascii="宋体" w:hAnsi="宋体"/>
                <w:bCs/>
                <w:color w:val="000000"/>
                <w:kern w:val="0"/>
                <w:szCs w:val="21"/>
              </w:rPr>
              <w:t>中（2分）：总体布置基本合理，基本满足施工需要。</w:t>
            </w:r>
          </w:p>
          <w:p w14:paraId="0F5AFCED">
            <w:pPr>
              <w:widowControl/>
              <w:spacing w:line="360" w:lineRule="auto"/>
              <w:rPr>
                <w:rFonts w:hint="eastAsia" w:ascii="宋体" w:hAnsi="宋体"/>
                <w:bCs/>
                <w:color w:val="000000"/>
                <w:kern w:val="0"/>
                <w:szCs w:val="21"/>
              </w:rPr>
            </w:pPr>
            <w:r>
              <w:rPr>
                <w:rFonts w:hint="eastAsia" w:ascii="宋体" w:hAnsi="宋体"/>
                <w:bCs/>
                <w:color w:val="000000"/>
                <w:kern w:val="0"/>
                <w:szCs w:val="21"/>
              </w:rPr>
              <w:t>差（1分）：总体布置不合理，不符合安全、文明生产要求 。</w:t>
            </w:r>
          </w:p>
        </w:tc>
      </w:tr>
      <w:tr w14:paraId="583766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327" w:type="dxa"/>
            <w:gridSpan w:val="3"/>
            <w:noWrap w:val="0"/>
            <w:vAlign w:val="center"/>
          </w:tcPr>
          <w:p w14:paraId="2F3C2F38">
            <w:pPr>
              <w:pStyle w:val="29"/>
              <w:ind w:firstLine="0" w:firstLineChars="0"/>
              <w:jc w:val="both"/>
              <w:rPr>
                <w:rFonts w:hint="eastAsia"/>
                <w:color w:val="auto"/>
                <w:highlight w:val="none"/>
              </w:rPr>
            </w:pPr>
            <w:r>
              <w:rPr>
                <w:rFonts w:hint="eastAsia" w:ascii="Times New Roman" w:hAnsi="宋体" w:eastAsia="宋体" w:cs="Times New Roman"/>
                <w:b/>
                <w:color w:val="000000"/>
                <w:spacing w:val="0"/>
                <w:kern w:val="2"/>
                <w:sz w:val="21"/>
                <w:szCs w:val="24"/>
                <w:highlight w:val="none"/>
                <w:lang w:eastAsia="zh-CN"/>
              </w:rPr>
              <w:t>3</w:t>
            </w:r>
            <w:r>
              <w:rPr>
                <w:rFonts w:hint="eastAsia" w:ascii="Times New Roman" w:hAnsi="宋体" w:eastAsia="宋体" w:cs="Times New Roman"/>
                <w:b/>
                <w:color w:val="000000"/>
                <w:spacing w:val="0"/>
                <w:kern w:val="2"/>
                <w:sz w:val="21"/>
                <w:szCs w:val="24"/>
                <w:highlight w:val="none"/>
              </w:rPr>
              <w:t>、</w:t>
            </w:r>
            <w:r>
              <w:rPr>
                <w:rFonts w:hint="eastAsia" w:ascii="Times New Roman" w:hAnsi="宋体" w:eastAsia="宋体" w:cs="Times New Roman"/>
                <w:b/>
                <w:color w:val="000000"/>
                <w:spacing w:val="0"/>
                <w:kern w:val="2"/>
                <w:sz w:val="21"/>
                <w:szCs w:val="24"/>
                <w:highlight w:val="none"/>
                <w:lang w:val="en-US" w:eastAsia="zh-CN"/>
              </w:rPr>
              <w:t>商务</w:t>
            </w:r>
            <w:r>
              <w:rPr>
                <w:rFonts w:hint="eastAsia" w:ascii="Times New Roman" w:hAnsi="宋体" w:eastAsia="宋体" w:cs="Times New Roman"/>
                <w:b/>
                <w:color w:val="000000"/>
                <w:spacing w:val="0"/>
                <w:kern w:val="2"/>
                <w:sz w:val="21"/>
                <w:szCs w:val="24"/>
                <w:highlight w:val="none"/>
              </w:rPr>
              <w:t>分（满分</w:t>
            </w:r>
            <w:r>
              <w:rPr>
                <w:rFonts w:hint="eastAsia" w:ascii="Times New Roman" w:hAnsi="宋体" w:eastAsia="宋体" w:cs="Times New Roman"/>
                <w:b/>
                <w:color w:val="000000"/>
                <w:spacing w:val="0"/>
                <w:kern w:val="2"/>
                <w:sz w:val="21"/>
                <w:szCs w:val="24"/>
                <w:highlight w:val="none"/>
                <w:lang w:eastAsia="zh-CN"/>
              </w:rPr>
              <w:t>4</w:t>
            </w:r>
            <w:r>
              <w:rPr>
                <w:rFonts w:hint="eastAsia" w:ascii="Times New Roman" w:hAnsi="宋体" w:eastAsia="宋体" w:cs="Times New Roman"/>
                <w:b/>
                <w:color w:val="000000"/>
                <w:spacing w:val="0"/>
                <w:kern w:val="2"/>
                <w:sz w:val="21"/>
                <w:szCs w:val="24"/>
                <w:highlight w:val="none"/>
              </w:rPr>
              <w:t>分）</w:t>
            </w:r>
          </w:p>
        </w:tc>
      </w:tr>
      <w:tr w14:paraId="593377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52" w:type="dxa"/>
            <w:vMerge w:val="restart"/>
            <w:noWrap w:val="0"/>
            <w:vAlign w:val="center"/>
          </w:tcPr>
          <w:p w14:paraId="7F7920AA">
            <w:pPr>
              <w:spacing w:line="400" w:lineRule="exact"/>
              <w:jc w:val="center"/>
              <w:rPr>
                <w:rFonts w:hint="default" w:ascii="宋体" w:hAnsi="宋体" w:eastAsia="宋体" w:cs="宋体"/>
                <w:bCs/>
                <w:color w:val="auto"/>
                <w:highlight w:val="none"/>
                <w:lang w:val="en-US" w:eastAsia="zh-CN"/>
              </w:rPr>
            </w:pPr>
            <w:r>
              <w:rPr>
                <w:rFonts w:hint="eastAsia" w:ascii="宋体" w:hAnsi="宋体" w:cs="宋体"/>
                <w:bCs/>
                <w:color w:val="auto"/>
                <w:highlight w:val="none"/>
                <w:lang w:val="en-US" w:eastAsia="zh-CN"/>
              </w:rPr>
              <w:t>3.1</w:t>
            </w:r>
          </w:p>
        </w:tc>
        <w:tc>
          <w:tcPr>
            <w:tcW w:w="1691" w:type="dxa"/>
            <w:vMerge w:val="restart"/>
            <w:noWrap w:val="0"/>
            <w:vAlign w:val="center"/>
          </w:tcPr>
          <w:p w14:paraId="07319B95">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jc w:val="both"/>
              <w:textAlignment w:val="baseline"/>
              <w:rPr>
                <w:rFonts w:hint="eastAsia" w:ascii="宋体" w:hAnsi="宋体" w:eastAsia="宋体" w:cs="宋体"/>
                <w:bCs/>
                <w:color w:val="auto"/>
                <w:sz w:val="21"/>
                <w:szCs w:val="21"/>
                <w:highlight w:val="none"/>
              </w:rPr>
            </w:pPr>
            <w:r>
              <w:rPr>
                <w:rFonts w:hint="eastAsia" w:ascii="宋体" w:hAnsi="宋体" w:eastAsia="宋体" w:cs="宋体"/>
                <w:b w:val="0"/>
                <w:i w:val="0"/>
                <w:caps w:val="0"/>
                <w:color w:val="auto"/>
                <w:spacing w:val="0"/>
                <w:w w:val="100"/>
                <w:sz w:val="21"/>
                <w:szCs w:val="21"/>
              </w:rPr>
              <w:t>资信业绩评分</w:t>
            </w:r>
            <w:r>
              <w:rPr>
                <w:rFonts w:hint="eastAsia" w:ascii="宋体" w:hAnsi="宋体" w:eastAsia="宋体" w:cs="宋体"/>
                <w:bCs/>
                <w:color w:val="auto"/>
                <w:sz w:val="21"/>
                <w:szCs w:val="21"/>
                <w:highlight w:val="none"/>
              </w:rPr>
              <w:t>（满分</w:t>
            </w:r>
            <w:r>
              <w:rPr>
                <w:rFonts w:hint="eastAsia" w:ascii="宋体" w:hAnsi="宋体" w:eastAsia="宋体" w:cs="宋体"/>
                <w:bCs/>
                <w:color w:val="auto"/>
                <w:sz w:val="21"/>
                <w:szCs w:val="21"/>
                <w:highlight w:val="none"/>
                <w:lang w:val="en-US" w:eastAsia="zh-CN"/>
              </w:rPr>
              <w:t>4分</w:t>
            </w:r>
            <w:r>
              <w:rPr>
                <w:rFonts w:hint="eastAsia" w:ascii="宋体" w:hAnsi="宋体" w:eastAsia="宋体" w:cs="宋体"/>
                <w:bCs/>
                <w:color w:val="auto"/>
                <w:sz w:val="21"/>
                <w:szCs w:val="21"/>
                <w:highlight w:val="none"/>
              </w:rPr>
              <w:t>）</w:t>
            </w:r>
          </w:p>
        </w:tc>
        <w:tc>
          <w:tcPr>
            <w:tcW w:w="6784" w:type="dxa"/>
            <w:noWrap w:val="0"/>
            <w:vAlign w:val="center"/>
          </w:tcPr>
          <w:p w14:paraId="2546CDE7">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jc w:val="left"/>
              <w:textAlignment w:val="baseline"/>
              <w:rPr>
                <w:rFonts w:hint="eastAsia" w:ascii="宋体" w:hAnsi="宋体" w:eastAsia="宋体" w:cs="宋体"/>
                <w:b w:val="0"/>
                <w:i w:val="0"/>
                <w:caps w:val="0"/>
                <w:color w:val="auto"/>
                <w:spacing w:val="0"/>
                <w:w w:val="100"/>
                <w:sz w:val="21"/>
                <w:szCs w:val="21"/>
                <w:highlight w:val="none"/>
              </w:rPr>
            </w:pPr>
            <w:r>
              <w:rPr>
                <w:rFonts w:hint="eastAsia" w:ascii="宋体" w:hAnsi="宋体" w:eastAsia="宋体" w:cs="宋体"/>
                <w:b w:val="0"/>
                <w:i w:val="0"/>
                <w:caps w:val="0"/>
                <w:color w:val="auto"/>
                <w:spacing w:val="0"/>
                <w:w w:val="100"/>
                <w:sz w:val="21"/>
                <w:szCs w:val="21"/>
                <w:highlight w:val="none"/>
                <w:lang w:eastAsia="zh-CN"/>
              </w:rPr>
              <w:t>（</w:t>
            </w:r>
            <w:r>
              <w:rPr>
                <w:rFonts w:hint="eastAsia" w:ascii="宋体" w:hAnsi="宋体" w:eastAsia="宋体" w:cs="宋体"/>
                <w:b w:val="0"/>
                <w:i w:val="0"/>
                <w:caps w:val="0"/>
                <w:color w:val="auto"/>
                <w:spacing w:val="0"/>
                <w:w w:val="100"/>
                <w:sz w:val="21"/>
                <w:szCs w:val="21"/>
                <w:highlight w:val="none"/>
                <w:lang w:val="en-US" w:eastAsia="zh-CN"/>
              </w:rPr>
              <w:t>1</w:t>
            </w:r>
            <w:r>
              <w:rPr>
                <w:rFonts w:hint="eastAsia" w:ascii="宋体" w:hAnsi="宋体" w:eastAsia="宋体" w:cs="宋体"/>
                <w:b w:val="0"/>
                <w:i w:val="0"/>
                <w:caps w:val="0"/>
                <w:color w:val="auto"/>
                <w:spacing w:val="0"/>
                <w:w w:val="100"/>
                <w:sz w:val="21"/>
                <w:szCs w:val="21"/>
                <w:highlight w:val="none"/>
                <w:lang w:eastAsia="zh-CN"/>
              </w:rPr>
              <w:t>）</w:t>
            </w:r>
            <w:r>
              <w:rPr>
                <w:rFonts w:hint="eastAsia" w:ascii="宋体" w:hAnsi="宋体" w:eastAsia="宋体" w:cs="宋体"/>
                <w:b w:val="0"/>
                <w:i w:val="0"/>
                <w:caps w:val="0"/>
                <w:color w:val="auto"/>
                <w:spacing w:val="0"/>
                <w:w w:val="100"/>
                <w:sz w:val="21"/>
                <w:szCs w:val="21"/>
                <w:highlight w:val="none"/>
              </w:rPr>
              <w:t>项目经理具有</w:t>
            </w:r>
            <w:r>
              <w:rPr>
                <w:rFonts w:hint="eastAsia" w:ascii="宋体" w:hAnsi="宋体" w:cs="宋体"/>
                <w:b w:val="0"/>
                <w:i w:val="0"/>
                <w:caps w:val="0"/>
                <w:color w:val="auto"/>
                <w:spacing w:val="0"/>
                <w:w w:val="100"/>
                <w:sz w:val="21"/>
                <w:szCs w:val="21"/>
                <w:highlight w:val="none"/>
                <w:lang w:val="en-US" w:eastAsia="zh-CN"/>
              </w:rPr>
              <w:t>公路工程或</w:t>
            </w:r>
            <w:r>
              <w:rPr>
                <w:rFonts w:hint="eastAsia" w:ascii="宋体" w:hAnsi="宋体" w:eastAsia="宋体" w:cs="宋体"/>
                <w:b w:val="0"/>
                <w:i w:val="0"/>
                <w:caps w:val="0"/>
                <w:color w:val="auto"/>
                <w:spacing w:val="0"/>
                <w:w w:val="100"/>
                <w:sz w:val="21"/>
                <w:szCs w:val="21"/>
                <w:highlight w:val="none"/>
                <w:lang w:val="en-US" w:eastAsia="zh-CN"/>
              </w:rPr>
              <w:t>市政</w:t>
            </w:r>
            <w:r>
              <w:rPr>
                <w:rFonts w:hint="eastAsia" w:ascii="宋体" w:hAnsi="宋体" w:eastAsia="宋体" w:cs="宋体"/>
                <w:b w:val="0"/>
                <w:i w:val="0"/>
                <w:caps w:val="0"/>
                <w:color w:val="auto"/>
                <w:spacing w:val="0"/>
                <w:w w:val="100"/>
                <w:sz w:val="21"/>
                <w:szCs w:val="21"/>
                <w:highlight w:val="none"/>
              </w:rPr>
              <w:t>工程专业中级及以上（含中级）职称，得</w:t>
            </w:r>
            <w:r>
              <w:rPr>
                <w:rFonts w:hint="eastAsia" w:ascii="宋体" w:hAnsi="宋体" w:eastAsia="宋体" w:cs="宋体"/>
                <w:b w:val="0"/>
                <w:i w:val="0"/>
                <w:caps w:val="0"/>
                <w:color w:val="auto"/>
                <w:spacing w:val="0"/>
                <w:w w:val="100"/>
                <w:sz w:val="21"/>
                <w:szCs w:val="21"/>
                <w:highlight w:val="none"/>
                <w:lang w:val="en-US" w:eastAsia="zh-CN"/>
              </w:rPr>
              <w:t>2</w:t>
            </w:r>
            <w:r>
              <w:rPr>
                <w:rFonts w:hint="eastAsia" w:ascii="宋体" w:hAnsi="宋体" w:eastAsia="宋体" w:cs="宋体"/>
                <w:b w:val="0"/>
                <w:i w:val="0"/>
                <w:caps w:val="0"/>
                <w:color w:val="auto"/>
                <w:spacing w:val="0"/>
                <w:w w:val="100"/>
                <w:sz w:val="21"/>
                <w:szCs w:val="21"/>
                <w:highlight w:val="none"/>
              </w:rPr>
              <w:t>分；具有</w:t>
            </w:r>
            <w:r>
              <w:rPr>
                <w:rFonts w:hint="eastAsia" w:ascii="宋体" w:hAnsi="宋体" w:cs="宋体"/>
                <w:b w:val="0"/>
                <w:i w:val="0"/>
                <w:caps w:val="0"/>
                <w:color w:val="auto"/>
                <w:spacing w:val="0"/>
                <w:w w:val="100"/>
                <w:sz w:val="21"/>
                <w:szCs w:val="21"/>
                <w:highlight w:val="none"/>
                <w:lang w:val="en-US" w:eastAsia="zh-CN"/>
              </w:rPr>
              <w:t>公路工程或</w:t>
            </w:r>
            <w:r>
              <w:rPr>
                <w:rFonts w:hint="eastAsia" w:ascii="宋体" w:hAnsi="宋体" w:eastAsia="宋体" w:cs="宋体"/>
                <w:b w:val="0"/>
                <w:i w:val="0"/>
                <w:caps w:val="0"/>
                <w:color w:val="auto"/>
                <w:spacing w:val="0"/>
                <w:w w:val="100"/>
                <w:sz w:val="21"/>
                <w:szCs w:val="21"/>
                <w:highlight w:val="none"/>
                <w:lang w:val="en-US" w:eastAsia="zh-CN"/>
              </w:rPr>
              <w:t>市政</w:t>
            </w:r>
            <w:r>
              <w:rPr>
                <w:rFonts w:hint="eastAsia" w:ascii="宋体" w:hAnsi="宋体" w:eastAsia="宋体" w:cs="宋体"/>
                <w:b w:val="0"/>
                <w:i w:val="0"/>
                <w:caps w:val="0"/>
                <w:color w:val="auto"/>
                <w:spacing w:val="0"/>
                <w:w w:val="100"/>
                <w:sz w:val="21"/>
                <w:szCs w:val="21"/>
                <w:highlight w:val="none"/>
              </w:rPr>
              <w:t>工程专业初级职称，得</w:t>
            </w:r>
            <w:r>
              <w:rPr>
                <w:rFonts w:hint="eastAsia" w:ascii="宋体" w:hAnsi="宋体" w:eastAsia="宋体" w:cs="宋体"/>
                <w:b w:val="0"/>
                <w:i w:val="0"/>
                <w:caps w:val="0"/>
                <w:color w:val="auto"/>
                <w:spacing w:val="0"/>
                <w:w w:val="100"/>
                <w:sz w:val="21"/>
                <w:szCs w:val="21"/>
                <w:highlight w:val="none"/>
                <w:lang w:val="en-US" w:eastAsia="zh-CN"/>
              </w:rPr>
              <w:t>1</w:t>
            </w:r>
            <w:r>
              <w:rPr>
                <w:rFonts w:hint="eastAsia" w:ascii="宋体" w:hAnsi="宋体" w:eastAsia="宋体" w:cs="宋体"/>
                <w:b w:val="0"/>
                <w:i w:val="0"/>
                <w:caps w:val="0"/>
                <w:color w:val="auto"/>
                <w:spacing w:val="0"/>
                <w:w w:val="100"/>
                <w:sz w:val="21"/>
                <w:szCs w:val="21"/>
                <w:highlight w:val="none"/>
              </w:rPr>
              <w:t>分；（满分</w:t>
            </w:r>
            <w:r>
              <w:rPr>
                <w:rFonts w:hint="eastAsia" w:ascii="宋体" w:hAnsi="宋体" w:eastAsia="宋体" w:cs="宋体"/>
                <w:b w:val="0"/>
                <w:i w:val="0"/>
                <w:caps w:val="0"/>
                <w:color w:val="auto"/>
                <w:spacing w:val="0"/>
                <w:w w:val="100"/>
                <w:sz w:val="21"/>
                <w:szCs w:val="21"/>
                <w:highlight w:val="none"/>
                <w:lang w:val="en-US" w:eastAsia="zh-CN"/>
              </w:rPr>
              <w:t>2</w:t>
            </w:r>
            <w:r>
              <w:rPr>
                <w:rFonts w:hint="eastAsia" w:ascii="宋体" w:hAnsi="宋体" w:eastAsia="宋体" w:cs="宋体"/>
                <w:b w:val="0"/>
                <w:i w:val="0"/>
                <w:caps w:val="0"/>
                <w:color w:val="auto"/>
                <w:spacing w:val="0"/>
                <w:w w:val="100"/>
                <w:sz w:val="21"/>
                <w:szCs w:val="21"/>
                <w:highlight w:val="none"/>
              </w:rPr>
              <w:t>分）</w:t>
            </w:r>
          </w:p>
          <w:p w14:paraId="7FC66603">
            <w:pPr>
              <w:pStyle w:val="29"/>
              <w:keepNext w:val="0"/>
              <w:keepLines w:val="0"/>
              <w:pageBreakBefore w:val="0"/>
              <w:widowControl w:val="0"/>
              <w:kinsoku/>
              <w:wordWrap/>
              <w:overflowPunct/>
              <w:topLinePunct w:val="0"/>
              <w:autoSpaceDE/>
              <w:autoSpaceDN/>
              <w:bidi w:val="0"/>
              <w:adjustRightInd/>
              <w:spacing w:line="360" w:lineRule="auto"/>
              <w:ind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b/>
                <w:bCs/>
                <w:i w:val="0"/>
                <w:caps w:val="0"/>
                <w:color w:val="auto"/>
                <w:spacing w:val="0"/>
                <w:w w:val="100"/>
                <w:sz w:val="21"/>
                <w:szCs w:val="21"/>
                <w:highlight w:val="none"/>
              </w:rPr>
              <w:t>注：未提供上述人员</w:t>
            </w:r>
            <w:r>
              <w:rPr>
                <w:rFonts w:hint="eastAsia" w:ascii="宋体" w:hAnsi="宋体" w:eastAsia="宋体" w:cs="宋体"/>
                <w:b/>
                <w:bCs/>
                <w:i w:val="0"/>
                <w:caps w:val="0"/>
                <w:spacing w:val="0"/>
                <w:w w:val="100"/>
                <w:sz w:val="21"/>
                <w:szCs w:val="21"/>
                <w:highlight w:val="none"/>
              </w:rPr>
              <w:t>202</w:t>
            </w:r>
            <w:r>
              <w:rPr>
                <w:rFonts w:hint="eastAsia" w:ascii="宋体" w:hAnsi="宋体" w:eastAsia="宋体" w:cs="宋体"/>
                <w:b/>
                <w:bCs/>
                <w:i w:val="0"/>
                <w:caps w:val="0"/>
                <w:spacing w:val="0"/>
                <w:w w:val="100"/>
                <w:sz w:val="21"/>
                <w:szCs w:val="21"/>
                <w:highlight w:val="none"/>
                <w:lang w:val="en-US" w:eastAsia="zh-CN"/>
              </w:rPr>
              <w:t>5</w:t>
            </w:r>
            <w:r>
              <w:rPr>
                <w:rFonts w:hint="eastAsia" w:ascii="宋体" w:hAnsi="宋体" w:eastAsia="宋体" w:cs="宋体"/>
                <w:b/>
                <w:bCs/>
                <w:i w:val="0"/>
                <w:caps w:val="0"/>
                <w:spacing w:val="0"/>
                <w:w w:val="100"/>
                <w:sz w:val="21"/>
                <w:szCs w:val="21"/>
                <w:highlight w:val="none"/>
              </w:rPr>
              <w:t>年</w:t>
            </w:r>
            <w:r>
              <w:rPr>
                <w:rFonts w:hint="eastAsia" w:ascii="宋体" w:hAnsi="宋体" w:eastAsia="宋体" w:cs="宋体"/>
                <w:b/>
                <w:bCs/>
                <w:i w:val="0"/>
                <w:caps w:val="0"/>
                <w:spacing w:val="0"/>
                <w:w w:val="100"/>
                <w:sz w:val="21"/>
                <w:szCs w:val="21"/>
                <w:highlight w:val="none"/>
                <w:lang w:val="en-US" w:eastAsia="zh-CN"/>
              </w:rPr>
              <w:t>3</w:t>
            </w:r>
            <w:r>
              <w:rPr>
                <w:rFonts w:hint="eastAsia" w:ascii="宋体" w:hAnsi="宋体" w:eastAsia="宋体" w:cs="宋体"/>
                <w:b/>
                <w:bCs/>
                <w:i w:val="0"/>
                <w:caps w:val="0"/>
                <w:spacing w:val="0"/>
                <w:w w:val="100"/>
                <w:sz w:val="21"/>
                <w:szCs w:val="21"/>
                <w:highlight w:val="none"/>
              </w:rPr>
              <w:t>月-</w:t>
            </w:r>
            <w:r>
              <w:rPr>
                <w:rFonts w:hint="eastAsia" w:ascii="宋体" w:hAnsi="宋体" w:eastAsia="宋体" w:cs="宋体"/>
                <w:b/>
                <w:bCs/>
                <w:i w:val="0"/>
                <w:caps w:val="0"/>
                <w:spacing w:val="0"/>
                <w:w w:val="100"/>
                <w:sz w:val="21"/>
                <w:szCs w:val="21"/>
                <w:highlight w:val="none"/>
                <w:lang w:val="en-US" w:eastAsia="zh-CN"/>
              </w:rPr>
              <w:t>5</w:t>
            </w:r>
            <w:r>
              <w:rPr>
                <w:rFonts w:hint="eastAsia" w:ascii="宋体" w:hAnsi="宋体" w:eastAsia="宋体" w:cs="宋体"/>
                <w:b/>
                <w:bCs/>
                <w:i w:val="0"/>
                <w:caps w:val="0"/>
                <w:spacing w:val="0"/>
                <w:w w:val="100"/>
                <w:sz w:val="21"/>
                <w:szCs w:val="21"/>
                <w:highlight w:val="none"/>
              </w:rPr>
              <w:t>月</w:t>
            </w:r>
            <w:r>
              <w:rPr>
                <w:rFonts w:hint="eastAsia" w:ascii="宋体" w:hAnsi="宋体" w:eastAsia="宋体" w:cs="宋体"/>
                <w:b/>
                <w:bCs/>
                <w:i w:val="0"/>
                <w:caps w:val="0"/>
                <w:color w:val="auto"/>
                <w:spacing w:val="0"/>
                <w:w w:val="100"/>
                <w:sz w:val="21"/>
                <w:szCs w:val="21"/>
                <w:highlight w:val="none"/>
              </w:rPr>
              <w:t>社保缴纳证明的不予计分。</w:t>
            </w:r>
          </w:p>
        </w:tc>
      </w:tr>
      <w:tr w14:paraId="144382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52" w:type="dxa"/>
            <w:vMerge w:val="continue"/>
            <w:noWrap w:val="0"/>
            <w:vAlign w:val="center"/>
          </w:tcPr>
          <w:p w14:paraId="70E8BFF6">
            <w:pPr>
              <w:spacing w:line="400" w:lineRule="exact"/>
              <w:jc w:val="center"/>
              <w:rPr>
                <w:rFonts w:hint="eastAsia" w:ascii="宋体" w:hAnsi="宋体" w:cs="宋体"/>
                <w:bCs/>
                <w:color w:val="auto"/>
                <w:highlight w:val="none"/>
                <w:lang w:val="en-US" w:eastAsia="zh-CN"/>
              </w:rPr>
            </w:pPr>
          </w:p>
        </w:tc>
        <w:tc>
          <w:tcPr>
            <w:tcW w:w="1691" w:type="dxa"/>
            <w:vMerge w:val="continue"/>
            <w:noWrap w:val="0"/>
            <w:vAlign w:val="center"/>
          </w:tcPr>
          <w:p w14:paraId="1D998AB1">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jc w:val="both"/>
              <w:textAlignment w:val="baseline"/>
              <w:rPr>
                <w:rFonts w:hint="eastAsia" w:ascii="宋体" w:hAnsi="宋体" w:eastAsia="宋体" w:cs="宋体"/>
                <w:b w:val="0"/>
                <w:i w:val="0"/>
                <w:caps w:val="0"/>
                <w:color w:val="auto"/>
                <w:spacing w:val="0"/>
                <w:w w:val="100"/>
                <w:sz w:val="21"/>
                <w:szCs w:val="21"/>
              </w:rPr>
            </w:pPr>
          </w:p>
        </w:tc>
        <w:tc>
          <w:tcPr>
            <w:tcW w:w="6784" w:type="dxa"/>
            <w:noWrap w:val="0"/>
            <w:vAlign w:val="center"/>
          </w:tcPr>
          <w:p w14:paraId="3EC38694">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jc w:val="left"/>
              <w:textAlignment w:val="baseline"/>
              <w:rPr>
                <w:rFonts w:hint="eastAsia" w:ascii="宋体" w:hAnsi="宋体" w:eastAsia="宋体" w:cs="宋体"/>
                <w:b w:val="0"/>
                <w:bCs/>
                <w:i w:val="0"/>
                <w:caps w:val="0"/>
                <w:color w:val="auto"/>
                <w:spacing w:val="0"/>
                <w:w w:val="100"/>
                <w:sz w:val="21"/>
                <w:szCs w:val="21"/>
                <w:highlight w:val="none"/>
              </w:rPr>
            </w:pPr>
            <w:r>
              <w:rPr>
                <w:rFonts w:hint="eastAsia" w:ascii="宋体" w:hAnsi="宋体" w:eastAsia="宋体" w:cs="宋体"/>
                <w:b w:val="0"/>
                <w:bCs/>
                <w:i w:val="0"/>
                <w:caps w:val="0"/>
                <w:color w:val="auto"/>
                <w:spacing w:val="0"/>
                <w:w w:val="100"/>
                <w:sz w:val="21"/>
                <w:szCs w:val="21"/>
                <w:highlight w:val="none"/>
                <w:lang w:eastAsia="zh-CN"/>
              </w:rPr>
              <w:t>（</w:t>
            </w:r>
            <w:r>
              <w:rPr>
                <w:rFonts w:hint="eastAsia" w:ascii="宋体" w:hAnsi="宋体" w:eastAsia="宋体" w:cs="宋体"/>
                <w:b w:val="0"/>
                <w:bCs/>
                <w:i w:val="0"/>
                <w:caps w:val="0"/>
                <w:color w:val="auto"/>
                <w:spacing w:val="0"/>
                <w:w w:val="100"/>
                <w:sz w:val="21"/>
                <w:szCs w:val="21"/>
                <w:highlight w:val="none"/>
                <w:lang w:val="en-US" w:eastAsia="zh-CN"/>
              </w:rPr>
              <w:t>2</w:t>
            </w:r>
            <w:r>
              <w:rPr>
                <w:rFonts w:hint="eastAsia" w:ascii="宋体" w:hAnsi="宋体" w:eastAsia="宋体" w:cs="宋体"/>
                <w:b w:val="0"/>
                <w:bCs/>
                <w:i w:val="0"/>
                <w:caps w:val="0"/>
                <w:color w:val="auto"/>
                <w:spacing w:val="0"/>
                <w:w w:val="100"/>
                <w:sz w:val="21"/>
                <w:szCs w:val="21"/>
                <w:highlight w:val="none"/>
                <w:lang w:eastAsia="zh-CN"/>
              </w:rPr>
              <w:t>）</w:t>
            </w:r>
            <w:r>
              <w:rPr>
                <w:rFonts w:hint="eastAsia" w:ascii="宋体" w:hAnsi="宋体" w:eastAsia="宋体" w:cs="宋体"/>
                <w:b w:val="0"/>
                <w:bCs/>
                <w:i w:val="0"/>
                <w:caps w:val="0"/>
                <w:color w:val="auto"/>
                <w:spacing w:val="0"/>
                <w:w w:val="100"/>
                <w:sz w:val="21"/>
                <w:szCs w:val="21"/>
                <w:highlight w:val="none"/>
              </w:rPr>
              <w:t>投入本工程的技术负责人具有</w:t>
            </w:r>
            <w:r>
              <w:rPr>
                <w:rFonts w:hint="eastAsia" w:ascii="宋体" w:hAnsi="宋体" w:cs="宋体"/>
                <w:b w:val="0"/>
                <w:i w:val="0"/>
                <w:caps w:val="0"/>
                <w:color w:val="auto"/>
                <w:spacing w:val="0"/>
                <w:w w:val="100"/>
                <w:sz w:val="21"/>
                <w:szCs w:val="21"/>
                <w:highlight w:val="none"/>
                <w:lang w:val="en-US" w:eastAsia="zh-CN"/>
              </w:rPr>
              <w:t>公路工程或</w:t>
            </w:r>
            <w:r>
              <w:rPr>
                <w:rFonts w:hint="eastAsia" w:ascii="宋体" w:hAnsi="宋体" w:eastAsia="宋体" w:cs="宋体"/>
                <w:b w:val="0"/>
                <w:i w:val="0"/>
                <w:caps w:val="0"/>
                <w:color w:val="auto"/>
                <w:spacing w:val="0"/>
                <w:w w:val="100"/>
                <w:sz w:val="21"/>
                <w:szCs w:val="21"/>
                <w:highlight w:val="none"/>
                <w:lang w:val="en-US" w:eastAsia="zh-CN"/>
              </w:rPr>
              <w:t>市政</w:t>
            </w:r>
            <w:r>
              <w:rPr>
                <w:rFonts w:hint="eastAsia" w:ascii="宋体" w:hAnsi="宋体" w:eastAsia="宋体" w:cs="宋体"/>
                <w:b w:val="0"/>
                <w:i w:val="0"/>
                <w:caps w:val="0"/>
                <w:color w:val="auto"/>
                <w:spacing w:val="0"/>
                <w:w w:val="100"/>
                <w:sz w:val="21"/>
                <w:szCs w:val="21"/>
                <w:highlight w:val="none"/>
              </w:rPr>
              <w:t>工程专业</w:t>
            </w:r>
            <w:r>
              <w:rPr>
                <w:rFonts w:hint="eastAsia" w:ascii="宋体" w:hAnsi="宋体" w:eastAsia="宋体" w:cs="宋体"/>
                <w:b w:val="0"/>
                <w:bCs/>
                <w:i w:val="0"/>
                <w:caps w:val="0"/>
                <w:color w:val="auto"/>
                <w:spacing w:val="0"/>
                <w:w w:val="100"/>
                <w:sz w:val="21"/>
                <w:szCs w:val="21"/>
                <w:highlight w:val="none"/>
                <w:lang w:eastAsia="zh-CN"/>
              </w:rPr>
              <w:t>中</w:t>
            </w:r>
            <w:r>
              <w:rPr>
                <w:rFonts w:hint="eastAsia" w:ascii="宋体" w:hAnsi="宋体" w:eastAsia="宋体" w:cs="宋体"/>
                <w:b w:val="0"/>
                <w:bCs/>
                <w:i w:val="0"/>
                <w:caps w:val="0"/>
                <w:color w:val="auto"/>
                <w:spacing w:val="0"/>
                <w:w w:val="100"/>
                <w:sz w:val="21"/>
                <w:szCs w:val="21"/>
                <w:highlight w:val="none"/>
              </w:rPr>
              <w:t>级工程师及以上职称的得</w:t>
            </w:r>
            <w:r>
              <w:rPr>
                <w:rFonts w:hint="eastAsia" w:ascii="宋体" w:hAnsi="宋体" w:eastAsia="宋体" w:cs="宋体"/>
                <w:b w:val="0"/>
                <w:bCs/>
                <w:i w:val="0"/>
                <w:caps w:val="0"/>
                <w:color w:val="auto"/>
                <w:spacing w:val="0"/>
                <w:w w:val="100"/>
                <w:sz w:val="21"/>
                <w:szCs w:val="21"/>
                <w:highlight w:val="none"/>
                <w:lang w:val="en-US" w:eastAsia="zh-CN"/>
              </w:rPr>
              <w:t>2</w:t>
            </w:r>
            <w:r>
              <w:rPr>
                <w:rFonts w:hint="eastAsia" w:ascii="宋体" w:hAnsi="宋体" w:eastAsia="宋体" w:cs="宋体"/>
                <w:b w:val="0"/>
                <w:bCs/>
                <w:i w:val="0"/>
                <w:caps w:val="0"/>
                <w:color w:val="auto"/>
                <w:spacing w:val="0"/>
                <w:w w:val="100"/>
                <w:sz w:val="21"/>
                <w:szCs w:val="21"/>
                <w:highlight w:val="none"/>
              </w:rPr>
              <w:t>分；具有</w:t>
            </w:r>
            <w:r>
              <w:rPr>
                <w:rFonts w:hint="eastAsia" w:ascii="宋体" w:hAnsi="宋体" w:cs="宋体"/>
                <w:b w:val="0"/>
                <w:i w:val="0"/>
                <w:caps w:val="0"/>
                <w:color w:val="auto"/>
                <w:spacing w:val="0"/>
                <w:w w:val="100"/>
                <w:sz w:val="21"/>
                <w:szCs w:val="21"/>
                <w:highlight w:val="none"/>
                <w:lang w:val="en-US" w:eastAsia="zh-CN"/>
              </w:rPr>
              <w:t>公路工程或</w:t>
            </w:r>
            <w:r>
              <w:rPr>
                <w:rFonts w:hint="eastAsia" w:ascii="宋体" w:hAnsi="宋体" w:eastAsia="宋体" w:cs="宋体"/>
                <w:b w:val="0"/>
                <w:i w:val="0"/>
                <w:caps w:val="0"/>
                <w:color w:val="auto"/>
                <w:spacing w:val="0"/>
                <w:w w:val="100"/>
                <w:sz w:val="21"/>
                <w:szCs w:val="21"/>
                <w:highlight w:val="none"/>
                <w:lang w:val="en-US" w:eastAsia="zh-CN"/>
              </w:rPr>
              <w:t>市政</w:t>
            </w:r>
            <w:r>
              <w:rPr>
                <w:rFonts w:hint="eastAsia" w:ascii="宋体" w:hAnsi="宋体" w:eastAsia="宋体" w:cs="宋体"/>
                <w:b w:val="0"/>
                <w:i w:val="0"/>
                <w:caps w:val="0"/>
                <w:color w:val="auto"/>
                <w:spacing w:val="0"/>
                <w:w w:val="100"/>
                <w:sz w:val="21"/>
                <w:szCs w:val="21"/>
                <w:highlight w:val="none"/>
              </w:rPr>
              <w:t>工程专业</w:t>
            </w:r>
            <w:r>
              <w:rPr>
                <w:rFonts w:hint="eastAsia" w:ascii="宋体" w:hAnsi="宋体" w:eastAsia="宋体" w:cs="宋体"/>
                <w:b w:val="0"/>
                <w:bCs/>
                <w:i w:val="0"/>
                <w:caps w:val="0"/>
                <w:color w:val="auto"/>
                <w:spacing w:val="0"/>
                <w:w w:val="100"/>
                <w:sz w:val="21"/>
                <w:szCs w:val="21"/>
                <w:highlight w:val="none"/>
                <w:lang w:eastAsia="zh-CN"/>
              </w:rPr>
              <w:t>初级</w:t>
            </w:r>
            <w:r>
              <w:rPr>
                <w:rFonts w:hint="eastAsia" w:ascii="宋体" w:hAnsi="宋体" w:eastAsia="宋体" w:cs="宋体"/>
                <w:b w:val="0"/>
                <w:bCs/>
                <w:i w:val="0"/>
                <w:caps w:val="0"/>
                <w:color w:val="auto"/>
                <w:spacing w:val="0"/>
                <w:w w:val="100"/>
                <w:sz w:val="21"/>
                <w:szCs w:val="21"/>
                <w:highlight w:val="none"/>
              </w:rPr>
              <w:t>工程师职称的得1分；</w:t>
            </w:r>
            <w:r>
              <w:rPr>
                <w:rFonts w:hint="eastAsia" w:ascii="宋体" w:hAnsi="宋体" w:eastAsia="宋体" w:cs="宋体"/>
                <w:b w:val="0"/>
                <w:i w:val="0"/>
                <w:caps w:val="0"/>
                <w:color w:val="auto"/>
                <w:spacing w:val="0"/>
                <w:w w:val="100"/>
                <w:sz w:val="21"/>
                <w:szCs w:val="21"/>
                <w:highlight w:val="none"/>
              </w:rPr>
              <w:t>（满分</w:t>
            </w:r>
            <w:r>
              <w:rPr>
                <w:rFonts w:hint="eastAsia" w:ascii="宋体" w:hAnsi="宋体" w:eastAsia="宋体" w:cs="宋体"/>
                <w:b w:val="0"/>
                <w:i w:val="0"/>
                <w:caps w:val="0"/>
                <w:color w:val="auto"/>
                <w:spacing w:val="0"/>
                <w:w w:val="100"/>
                <w:sz w:val="21"/>
                <w:szCs w:val="21"/>
                <w:highlight w:val="none"/>
                <w:lang w:val="en-US" w:eastAsia="zh-CN"/>
              </w:rPr>
              <w:t>2</w:t>
            </w:r>
            <w:r>
              <w:rPr>
                <w:rFonts w:hint="eastAsia" w:ascii="宋体" w:hAnsi="宋体" w:eastAsia="宋体" w:cs="宋体"/>
                <w:b w:val="0"/>
                <w:i w:val="0"/>
                <w:caps w:val="0"/>
                <w:color w:val="auto"/>
                <w:spacing w:val="0"/>
                <w:w w:val="100"/>
                <w:sz w:val="21"/>
                <w:szCs w:val="21"/>
                <w:highlight w:val="none"/>
              </w:rPr>
              <w:t>分）</w:t>
            </w:r>
          </w:p>
          <w:p w14:paraId="348F6DF7">
            <w:pPr>
              <w:pStyle w:val="29"/>
              <w:keepNext w:val="0"/>
              <w:keepLines w:val="0"/>
              <w:pageBreakBefore w:val="0"/>
              <w:widowControl w:val="0"/>
              <w:kinsoku/>
              <w:wordWrap/>
              <w:overflowPunct/>
              <w:topLinePunct w:val="0"/>
              <w:autoSpaceDE/>
              <w:autoSpaceDN/>
              <w:bidi w:val="0"/>
              <w:adjustRightInd/>
              <w:spacing w:line="360" w:lineRule="auto"/>
              <w:ind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b/>
                <w:i w:val="0"/>
                <w:caps w:val="0"/>
                <w:color w:val="auto"/>
                <w:spacing w:val="0"/>
                <w:w w:val="100"/>
                <w:sz w:val="21"/>
                <w:szCs w:val="21"/>
                <w:highlight w:val="none"/>
              </w:rPr>
              <w:t>注：未提供技术负责人</w:t>
            </w:r>
            <w:r>
              <w:rPr>
                <w:rFonts w:hint="eastAsia" w:ascii="宋体" w:hAnsi="宋体" w:eastAsia="宋体" w:cs="宋体"/>
                <w:b/>
                <w:bCs/>
                <w:i w:val="0"/>
                <w:caps w:val="0"/>
                <w:spacing w:val="0"/>
                <w:w w:val="100"/>
                <w:sz w:val="21"/>
                <w:szCs w:val="21"/>
                <w:highlight w:val="none"/>
              </w:rPr>
              <w:t>202</w:t>
            </w:r>
            <w:r>
              <w:rPr>
                <w:rFonts w:hint="eastAsia" w:ascii="宋体" w:hAnsi="宋体" w:eastAsia="宋体" w:cs="宋体"/>
                <w:b/>
                <w:bCs/>
                <w:i w:val="0"/>
                <w:caps w:val="0"/>
                <w:spacing w:val="0"/>
                <w:w w:val="100"/>
                <w:sz w:val="21"/>
                <w:szCs w:val="21"/>
                <w:highlight w:val="none"/>
                <w:lang w:val="en-US" w:eastAsia="zh-CN"/>
              </w:rPr>
              <w:t>5</w:t>
            </w:r>
            <w:r>
              <w:rPr>
                <w:rFonts w:hint="eastAsia" w:ascii="宋体" w:hAnsi="宋体" w:eastAsia="宋体" w:cs="宋体"/>
                <w:b/>
                <w:bCs/>
                <w:i w:val="0"/>
                <w:caps w:val="0"/>
                <w:spacing w:val="0"/>
                <w:w w:val="100"/>
                <w:sz w:val="21"/>
                <w:szCs w:val="21"/>
                <w:highlight w:val="none"/>
              </w:rPr>
              <w:t>年</w:t>
            </w:r>
            <w:r>
              <w:rPr>
                <w:rFonts w:hint="eastAsia" w:ascii="宋体" w:hAnsi="宋体" w:eastAsia="宋体" w:cs="宋体"/>
                <w:b/>
                <w:bCs/>
                <w:i w:val="0"/>
                <w:caps w:val="0"/>
                <w:spacing w:val="0"/>
                <w:w w:val="100"/>
                <w:sz w:val="21"/>
                <w:szCs w:val="21"/>
                <w:highlight w:val="none"/>
                <w:lang w:val="en-US" w:eastAsia="zh-CN"/>
              </w:rPr>
              <w:t>3</w:t>
            </w:r>
            <w:r>
              <w:rPr>
                <w:rFonts w:hint="eastAsia" w:ascii="宋体" w:hAnsi="宋体" w:eastAsia="宋体" w:cs="宋体"/>
                <w:b/>
                <w:bCs/>
                <w:i w:val="0"/>
                <w:caps w:val="0"/>
                <w:spacing w:val="0"/>
                <w:w w:val="100"/>
                <w:sz w:val="21"/>
                <w:szCs w:val="21"/>
                <w:highlight w:val="none"/>
              </w:rPr>
              <w:t>月-</w:t>
            </w:r>
            <w:r>
              <w:rPr>
                <w:rFonts w:hint="eastAsia" w:ascii="宋体" w:hAnsi="宋体" w:eastAsia="宋体" w:cs="宋体"/>
                <w:b/>
                <w:bCs/>
                <w:i w:val="0"/>
                <w:caps w:val="0"/>
                <w:spacing w:val="0"/>
                <w:w w:val="100"/>
                <w:sz w:val="21"/>
                <w:szCs w:val="21"/>
                <w:highlight w:val="none"/>
                <w:lang w:val="en-US" w:eastAsia="zh-CN"/>
              </w:rPr>
              <w:t>5</w:t>
            </w:r>
            <w:r>
              <w:rPr>
                <w:rFonts w:hint="eastAsia" w:ascii="宋体" w:hAnsi="宋体" w:eastAsia="宋体" w:cs="宋体"/>
                <w:b/>
                <w:bCs/>
                <w:i w:val="0"/>
                <w:caps w:val="0"/>
                <w:spacing w:val="0"/>
                <w:w w:val="100"/>
                <w:sz w:val="21"/>
                <w:szCs w:val="21"/>
                <w:highlight w:val="none"/>
              </w:rPr>
              <w:t>月</w:t>
            </w:r>
            <w:r>
              <w:rPr>
                <w:rFonts w:hint="eastAsia" w:ascii="宋体" w:hAnsi="宋体" w:eastAsia="宋体" w:cs="宋体"/>
                <w:b/>
                <w:i w:val="0"/>
                <w:caps w:val="0"/>
                <w:color w:val="auto"/>
                <w:spacing w:val="0"/>
                <w:w w:val="100"/>
                <w:sz w:val="21"/>
                <w:szCs w:val="21"/>
                <w:highlight w:val="none"/>
              </w:rPr>
              <w:t>社保缴纳证明的，不予计分。</w:t>
            </w:r>
          </w:p>
        </w:tc>
      </w:tr>
      <w:tr w14:paraId="01D9EB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327" w:type="dxa"/>
            <w:gridSpan w:val="3"/>
            <w:noWrap w:val="0"/>
            <w:vAlign w:val="top"/>
          </w:tcPr>
          <w:p w14:paraId="5F4425EE">
            <w:pPr>
              <w:pStyle w:val="15"/>
              <w:spacing w:line="400" w:lineRule="exact"/>
              <w:ind w:firstLine="420" w:firstLineChars="200"/>
              <w:rPr>
                <w:rFonts w:hint="default" w:hAnsi="宋体" w:eastAsia="宋体"/>
                <w:bCs/>
                <w:color w:val="000000"/>
                <w:sz w:val="21"/>
                <w:lang w:val="en-US" w:eastAsia="zh-CN"/>
              </w:rPr>
            </w:pPr>
            <w:r>
              <w:rPr>
                <w:rFonts w:hint="eastAsia" w:hAnsi="宋体"/>
                <w:bCs/>
                <w:color w:val="000000"/>
                <w:sz w:val="21"/>
              </w:rPr>
              <w:t>总得分＝1</w:t>
            </w:r>
            <w:r>
              <w:rPr>
                <w:rFonts w:hAnsi="宋体"/>
                <w:bCs/>
                <w:color w:val="000000"/>
                <w:sz w:val="21"/>
              </w:rPr>
              <w:t>+</w:t>
            </w:r>
            <w:r>
              <w:rPr>
                <w:rFonts w:hint="eastAsia" w:hAnsi="宋体"/>
                <w:bCs/>
                <w:color w:val="000000"/>
                <w:sz w:val="21"/>
              </w:rPr>
              <w:t>2</w:t>
            </w:r>
            <w:r>
              <w:rPr>
                <w:rFonts w:hint="eastAsia" w:hAnsi="宋体"/>
                <w:bCs/>
                <w:color w:val="000000"/>
                <w:sz w:val="21"/>
                <w:lang w:val="en-US" w:eastAsia="zh-CN"/>
              </w:rPr>
              <w:t>+3</w:t>
            </w:r>
          </w:p>
        </w:tc>
      </w:tr>
    </w:tbl>
    <w:p w14:paraId="36F77ACB">
      <w:pPr>
        <w:pStyle w:val="15"/>
        <w:spacing w:line="320" w:lineRule="exact"/>
        <w:rPr>
          <w:rFonts w:hint="eastAsia" w:hAnsi="宋体"/>
          <w:b/>
          <w:bCs/>
          <w:color w:val="000000"/>
          <w:sz w:val="21"/>
        </w:rPr>
      </w:pPr>
    </w:p>
    <w:p w14:paraId="1861D105">
      <w:pPr>
        <w:pStyle w:val="2"/>
        <w:numPr>
          <w:ilvl w:val="0"/>
          <w:numId w:val="45"/>
        </w:numPr>
        <w:tabs>
          <w:tab w:val="clear" w:pos="482"/>
        </w:tabs>
        <w:topLinePunct w:val="0"/>
        <w:ind w:left="0" w:leftChars="0" w:firstLine="0" w:firstLineChars="0"/>
        <w:rPr>
          <w:b/>
        </w:rPr>
      </w:pPr>
      <w:r>
        <w:t>成交候选人推荐原则</w:t>
      </w:r>
    </w:p>
    <w:p w14:paraId="220AA1C2">
      <w:pPr>
        <w:pStyle w:val="11"/>
        <w:rPr>
          <w:color w:val="000000"/>
        </w:rPr>
      </w:pPr>
      <w:r>
        <w:rPr>
          <w:color w:val="000000"/>
        </w:rPr>
        <w:t>磋商小组应当根据综合评分情况，按照评审得分由高到低顺序推荐3名以上成交候选供应商，并编写评审报告。符合财库﹝2014﹞214号《政府采购竞争性磋商采购方式管理暂行办法》第二十一条第三款情形的，可以推荐2家成交候选供应商。评审得分相同的，按照最后报价（不计算价格折扣）由低到高的顺序推荐。评审得分且最后报价（不计算价格折扣）相同的，按照技术指标优劣顺序推荐。</w:t>
      </w:r>
    </w:p>
    <w:p w14:paraId="3EAA731E">
      <w:pPr>
        <w:pStyle w:val="11"/>
        <w:rPr>
          <w:color w:val="000000"/>
        </w:rPr>
      </w:pPr>
      <w:r>
        <w:rPr>
          <w:color w:val="000000"/>
        </w:rPr>
        <w:t>采购单位应当确定磋商小组推荐排名第一的成交候选人为成交人。排名第一的成交候选人放弃成交、因不可抗力提出不能履行合同，采购单位可以确定排名第二的成交候选人为成交人。排名第二的成交候选人因前款规定的同样原因不能签订合同的，采购单位可以确定排名第三的成交候选人为成交人，其余以此类推。</w:t>
      </w:r>
      <w:r>
        <w:rPr>
          <w:color w:val="000000"/>
        </w:rPr>
        <w:br w:type="page"/>
      </w:r>
    </w:p>
    <w:p w14:paraId="67304562">
      <w:pPr>
        <w:pStyle w:val="42"/>
        <w:numPr>
          <w:ilvl w:val="0"/>
          <w:numId w:val="2"/>
        </w:numPr>
        <w:ind w:left="0" w:leftChars="0" w:firstLine="0" w:firstLineChars="0"/>
        <w:outlineLvl w:val="0"/>
        <w:rPr>
          <w:b w:val="0"/>
        </w:rPr>
      </w:pPr>
      <w:bookmarkStart w:id="50" w:name="_Toc30146"/>
      <w:r>
        <w:t>工程量清单</w:t>
      </w:r>
      <w:bookmarkEnd w:id="50"/>
    </w:p>
    <w:p w14:paraId="72BCFC4B">
      <w:pPr>
        <w:pStyle w:val="18"/>
      </w:pPr>
      <w:bookmarkStart w:id="51" w:name="_Toc26346"/>
      <w:r>
        <w:t>(由潜在供应商登陆政采云平台自行下载)</w:t>
      </w:r>
      <w:bookmarkEnd w:id="51"/>
    </w:p>
    <w:p w14:paraId="2EB80BDF">
      <w:pPr>
        <w:spacing w:line="360" w:lineRule="auto"/>
        <w:rPr>
          <w:rFonts w:hint="eastAsia" w:ascii="宋体" w:hAnsi="宋体"/>
          <w:color w:val="000000"/>
          <w:szCs w:val="21"/>
        </w:rPr>
      </w:pPr>
      <w:bookmarkStart w:id="52" w:name="_Toc530263370"/>
    </w:p>
    <w:bookmarkEnd w:id="52"/>
    <w:p w14:paraId="3D2E98CE">
      <w:pPr>
        <w:spacing w:line="360" w:lineRule="auto"/>
        <w:jc w:val="center"/>
        <w:rPr>
          <w:rFonts w:hint="eastAsia" w:ascii="宋体" w:hAnsi="宋体"/>
          <w:color w:val="000000"/>
          <w:szCs w:val="21"/>
        </w:rPr>
      </w:pPr>
    </w:p>
    <w:p w14:paraId="0EA726B4">
      <w:pPr>
        <w:spacing w:line="360" w:lineRule="auto"/>
        <w:jc w:val="center"/>
        <w:rPr>
          <w:rFonts w:hint="eastAsia" w:ascii="宋体" w:hAnsi="宋体"/>
          <w:color w:val="000000"/>
          <w:szCs w:val="21"/>
        </w:rPr>
      </w:pPr>
    </w:p>
    <w:p w14:paraId="76BC4193">
      <w:pPr>
        <w:keepNext/>
        <w:keepLines/>
        <w:widowControl w:val="0"/>
        <w:spacing w:before="260" w:after="260" w:line="360" w:lineRule="auto"/>
        <w:jc w:val="center"/>
        <w:outlineLvl w:val="9"/>
        <w:rPr>
          <w:rFonts w:hint="eastAsia" w:ascii="宋体" w:hAnsi="宋体" w:eastAsia="宋体" w:cs="Times New Roman"/>
          <w:b/>
          <w:bCs/>
          <w:color w:val="000000"/>
          <w:kern w:val="2"/>
          <w:sz w:val="32"/>
          <w:szCs w:val="32"/>
          <w:lang w:val="en-US" w:eastAsia="zh-CN" w:bidi="ar-SA"/>
        </w:rPr>
      </w:pPr>
    </w:p>
    <w:p w14:paraId="6159A735">
      <w:pPr>
        <w:keepNext/>
        <w:keepLines/>
        <w:widowControl w:val="0"/>
        <w:spacing w:before="260" w:after="260" w:line="360" w:lineRule="auto"/>
        <w:jc w:val="center"/>
        <w:outlineLvl w:val="9"/>
        <w:rPr>
          <w:rFonts w:hint="eastAsia" w:ascii="宋体" w:hAnsi="宋体" w:eastAsia="宋体" w:cs="Times New Roman"/>
          <w:b/>
          <w:bCs/>
          <w:color w:val="000000"/>
          <w:kern w:val="2"/>
          <w:sz w:val="32"/>
          <w:szCs w:val="32"/>
          <w:lang w:val="en-US" w:eastAsia="zh-CN" w:bidi="ar-SA"/>
        </w:rPr>
      </w:pPr>
    </w:p>
    <w:p w14:paraId="626165BE">
      <w:pPr>
        <w:keepNext/>
        <w:keepLines/>
        <w:widowControl w:val="0"/>
        <w:spacing w:before="260" w:after="260" w:line="360" w:lineRule="auto"/>
        <w:jc w:val="center"/>
        <w:outlineLvl w:val="9"/>
        <w:rPr>
          <w:rFonts w:hint="eastAsia" w:ascii="宋体" w:hAnsi="宋体" w:eastAsia="宋体" w:cs="Times New Roman"/>
          <w:b/>
          <w:bCs/>
          <w:color w:val="000000"/>
          <w:kern w:val="2"/>
          <w:sz w:val="32"/>
          <w:szCs w:val="32"/>
          <w:lang w:val="en-US" w:eastAsia="zh-CN" w:bidi="ar-SA"/>
        </w:rPr>
      </w:pPr>
    </w:p>
    <w:p w14:paraId="0D2738A1">
      <w:pPr>
        <w:rPr>
          <w:rFonts w:hint="eastAsia"/>
          <w:color w:val="000000"/>
        </w:rPr>
      </w:pPr>
    </w:p>
    <w:p w14:paraId="54EC1819">
      <w:pPr>
        <w:keepNext/>
        <w:keepLines/>
        <w:widowControl w:val="0"/>
        <w:spacing w:before="280" w:after="290" w:line="376" w:lineRule="auto"/>
        <w:jc w:val="both"/>
        <w:outlineLvl w:val="9"/>
        <w:rPr>
          <w:rFonts w:hint="eastAsia" w:ascii="Arial" w:hAnsi="Arial" w:eastAsia="黑体" w:cs="Times New Roman"/>
          <w:b/>
          <w:bCs/>
          <w:color w:val="000000"/>
          <w:kern w:val="2"/>
          <w:sz w:val="28"/>
          <w:szCs w:val="28"/>
          <w:lang w:val="en-US" w:eastAsia="zh-CN" w:bidi="ar-SA"/>
        </w:rPr>
      </w:pPr>
    </w:p>
    <w:p w14:paraId="0396A591">
      <w:pPr>
        <w:rPr>
          <w:rFonts w:hint="eastAsia"/>
          <w:color w:val="000000"/>
        </w:rPr>
      </w:pPr>
    </w:p>
    <w:p w14:paraId="5E7E9228">
      <w:pPr>
        <w:keepNext/>
        <w:keepLines/>
        <w:widowControl w:val="0"/>
        <w:spacing w:before="260" w:after="260" w:line="360" w:lineRule="auto"/>
        <w:jc w:val="center"/>
        <w:outlineLvl w:val="9"/>
        <w:rPr>
          <w:rFonts w:hint="eastAsia" w:ascii="宋体" w:hAnsi="宋体" w:eastAsia="宋体" w:cs="Times New Roman"/>
          <w:b/>
          <w:bCs/>
          <w:color w:val="000000"/>
          <w:kern w:val="2"/>
          <w:sz w:val="32"/>
          <w:szCs w:val="32"/>
          <w:lang w:val="en-US" w:eastAsia="zh-CN" w:bidi="ar-SA"/>
        </w:rPr>
      </w:pPr>
    </w:p>
    <w:p w14:paraId="6587EFB7">
      <w:pPr>
        <w:keepNext/>
        <w:keepLines/>
        <w:widowControl w:val="0"/>
        <w:spacing w:before="260" w:after="260" w:line="360" w:lineRule="auto"/>
        <w:jc w:val="center"/>
        <w:outlineLvl w:val="9"/>
        <w:rPr>
          <w:rFonts w:hint="eastAsia" w:ascii="宋体" w:hAnsi="宋体" w:eastAsia="宋体" w:cs="Times New Roman"/>
          <w:b/>
          <w:bCs/>
          <w:color w:val="000000"/>
          <w:kern w:val="2"/>
          <w:sz w:val="32"/>
          <w:szCs w:val="32"/>
          <w:lang w:val="en-US" w:eastAsia="zh-CN" w:bidi="ar-SA"/>
        </w:rPr>
      </w:pPr>
    </w:p>
    <w:p w14:paraId="49DCEF75">
      <w:pPr>
        <w:rPr>
          <w:rFonts w:hint="eastAsia"/>
          <w:color w:val="000000"/>
        </w:rPr>
      </w:pPr>
    </w:p>
    <w:p w14:paraId="2B9224B1">
      <w:pPr>
        <w:keepNext/>
        <w:keepLines/>
        <w:widowControl w:val="0"/>
        <w:spacing w:before="280" w:after="290" w:line="376" w:lineRule="auto"/>
        <w:jc w:val="both"/>
        <w:outlineLvl w:val="9"/>
        <w:rPr>
          <w:rFonts w:hint="eastAsia" w:ascii="Arial" w:hAnsi="Arial" w:eastAsia="黑体" w:cs="Times New Roman"/>
          <w:b/>
          <w:bCs/>
          <w:color w:val="000000"/>
          <w:kern w:val="2"/>
          <w:sz w:val="28"/>
          <w:szCs w:val="28"/>
          <w:lang w:val="en-US" w:eastAsia="zh-CN" w:bidi="ar-SA"/>
        </w:rPr>
      </w:pPr>
    </w:p>
    <w:p w14:paraId="4920533A">
      <w:pPr>
        <w:rPr>
          <w:rFonts w:hint="eastAsia"/>
          <w:color w:val="000000"/>
        </w:rPr>
      </w:pPr>
    </w:p>
    <w:p w14:paraId="6B7F2FAC">
      <w:pPr>
        <w:keepNext/>
        <w:keepLines/>
        <w:widowControl w:val="0"/>
        <w:spacing w:before="280" w:after="290" w:line="376" w:lineRule="auto"/>
        <w:jc w:val="both"/>
        <w:outlineLvl w:val="9"/>
        <w:rPr>
          <w:rFonts w:hint="eastAsia" w:ascii="Arial" w:hAnsi="Arial" w:eastAsia="黑体" w:cs="Times New Roman"/>
          <w:b/>
          <w:bCs/>
          <w:color w:val="000000"/>
          <w:kern w:val="2"/>
          <w:sz w:val="28"/>
          <w:szCs w:val="28"/>
          <w:lang w:val="en-US" w:eastAsia="zh-CN" w:bidi="ar-SA"/>
        </w:rPr>
      </w:pPr>
    </w:p>
    <w:p w14:paraId="36486BA3">
      <w:pPr>
        <w:rPr>
          <w:rFonts w:hint="eastAsia"/>
          <w:color w:val="000000"/>
        </w:rPr>
      </w:pPr>
    </w:p>
    <w:p w14:paraId="54E76214">
      <w:pPr>
        <w:keepNext/>
        <w:keepLines/>
        <w:widowControl w:val="0"/>
        <w:spacing w:before="260" w:after="260" w:line="360" w:lineRule="auto"/>
        <w:jc w:val="center"/>
        <w:outlineLvl w:val="9"/>
        <w:rPr>
          <w:rFonts w:hint="eastAsia" w:ascii="宋体" w:hAnsi="宋体" w:eastAsia="宋体" w:cs="Times New Roman"/>
          <w:b/>
          <w:bCs/>
          <w:color w:val="000000"/>
          <w:kern w:val="2"/>
          <w:sz w:val="32"/>
          <w:szCs w:val="32"/>
          <w:lang w:val="en-US" w:eastAsia="zh-CN" w:bidi="ar-SA"/>
        </w:rPr>
      </w:pPr>
      <w:bookmarkStart w:id="53" w:name="_Toc23497"/>
    </w:p>
    <w:p w14:paraId="37F3E142">
      <w:r>
        <w:br w:type="page"/>
      </w:r>
    </w:p>
    <w:p w14:paraId="2DF1D5D8">
      <w:pPr>
        <w:pStyle w:val="42"/>
        <w:numPr>
          <w:ilvl w:val="0"/>
          <w:numId w:val="2"/>
        </w:numPr>
        <w:ind w:left="0" w:leftChars="0" w:firstLine="0" w:firstLineChars="0"/>
        <w:outlineLvl w:val="0"/>
        <w:rPr>
          <w:b w:val="0"/>
        </w:rPr>
      </w:pPr>
      <w:r>
        <w:t>图纸</w:t>
      </w:r>
      <w:bookmarkEnd w:id="53"/>
    </w:p>
    <w:p w14:paraId="65FCA8EC">
      <w:pPr>
        <w:pStyle w:val="18"/>
      </w:pPr>
      <w:r>
        <w:t>(由潜在供应商登陆政采云平台自行下载)</w:t>
      </w:r>
    </w:p>
    <w:p w14:paraId="5545EE45">
      <w:pPr>
        <w:spacing w:line="360" w:lineRule="auto"/>
        <w:jc w:val="center"/>
        <w:rPr>
          <w:rFonts w:hint="eastAsia" w:ascii="宋体" w:hAnsi="宋体"/>
          <w:b/>
          <w:color w:val="000000"/>
          <w:sz w:val="32"/>
          <w:szCs w:val="32"/>
        </w:rPr>
      </w:pPr>
    </w:p>
    <w:p w14:paraId="29129976">
      <w:pPr>
        <w:spacing w:line="360" w:lineRule="auto"/>
        <w:jc w:val="center"/>
        <w:rPr>
          <w:rFonts w:hint="eastAsia" w:ascii="宋体" w:hAnsi="宋体"/>
          <w:b/>
          <w:color w:val="000000"/>
          <w:sz w:val="32"/>
          <w:szCs w:val="32"/>
        </w:rPr>
      </w:pPr>
    </w:p>
    <w:p w14:paraId="3279B310">
      <w:pPr>
        <w:spacing w:line="360" w:lineRule="auto"/>
        <w:jc w:val="center"/>
        <w:rPr>
          <w:rFonts w:hint="eastAsia" w:ascii="宋体" w:hAnsi="宋体"/>
          <w:b/>
          <w:color w:val="000000"/>
          <w:sz w:val="32"/>
          <w:szCs w:val="32"/>
        </w:rPr>
      </w:pPr>
    </w:p>
    <w:p w14:paraId="38907C38">
      <w:pPr>
        <w:spacing w:line="360" w:lineRule="auto"/>
        <w:jc w:val="center"/>
        <w:rPr>
          <w:rFonts w:hint="eastAsia" w:ascii="宋体" w:hAnsi="宋体"/>
          <w:b/>
          <w:color w:val="000000"/>
          <w:sz w:val="32"/>
          <w:szCs w:val="32"/>
        </w:rPr>
      </w:pPr>
    </w:p>
    <w:p w14:paraId="78297828">
      <w:pPr>
        <w:spacing w:line="360" w:lineRule="auto"/>
        <w:jc w:val="center"/>
        <w:rPr>
          <w:rFonts w:hint="eastAsia" w:ascii="宋体" w:hAnsi="宋体"/>
          <w:b/>
          <w:color w:val="000000"/>
          <w:sz w:val="32"/>
          <w:szCs w:val="32"/>
        </w:rPr>
      </w:pPr>
    </w:p>
    <w:p w14:paraId="7D63D116">
      <w:pPr>
        <w:spacing w:line="360" w:lineRule="auto"/>
        <w:jc w:val="center"/>
        <w:rPr>
          <w:rFonts w:hint="eastAsia" w:ascii="宋体" w:hAnsi="宋体"/>
          <w:b/>
          <w:color w:val="000000"/>
          <w:sz w:val="32"/>
          <w:szCs w:val="32"/>
        </w:rPr>
      </w:pPr>
    </w:p>
    <w:p w14:paraId="3E064D36">
      <w:pPr>
        <w:spacing w:line="360" w:lineRule="auto"/>
        <w:jc w:val="center"/>
        <w:rPr>
          <w:rFonts w:hint="eastAsia" w:ascii="宋体" w:hAnsi="宋体"/>
          <w:b/>
          <w:color w:val="000000"/>
          <w:sz w:val="32"/>
          <w:szCs w:val="32"/>
        </w:rPr>
      </w:pPr>
    </w:p>
    <w:p w14:paraId="688876CF">
      <w:pPr>
        <w:spacing w:line="360" w:lineRule="auto"/>
        <w:jc w:val="center"/>
        <w:rPr>
          <w:rFonts w:hint="eastAsia" w:ascii="宋体" w:hAnsi="宋体"/>
          <w:b/>
          <w:color w:val="000000"/>
          <w:sz w:val="32"/>
          <w:szCs w:val="32"/>
        </w:rPr>
      </w:pPr>
    </w:p>
    <w:p w14:paraId="2AE25913">
      <w:pPr>
        <w:spacing w:line="360" w:lineRule="auto"/>
        <w:jc w:val="center"/>
        <w:rPr>
          <w:rFonts w:hint="eastAsia" w:ascii="宋体" w:hAnsi="宋体"/>
          <w:b/>
          <w:color w:val="000000"/>
          <w:sz w:val="32"/>
          <w:szCs w:val="32"/>
        </w:rPr>
      </w:pPr>
    </w:p>
    <w:p w14:paraId="61FBD7E4">
      <w:pPr>
        <w:spacing w:line="360" w:lineRule="auto"/>
        <w:rPr>
          <w:rFonts w:hint="eastAsia" w:ascii="宋体" w:hAnsi="宋体"/>
          <w:color w:val="000000"/>
          <w:szCs w:val="21"/>
        </w:rPr>
      </w:pPr>
    </w:p>
    <w:p w14:paraId="2133740C">
      <w:bookmarkStart w:id="54" w:name="_Toc9750"/>
      <w:r>
        <w:br w:type="page"/>
      </w:r>
    </w:p>
    <w:p w14:paraId="7E1E6A96">
      <w:pPr>
        <w:pStyle w:val="42"/>
        <w:numPr>
          <w:ilvl w:val="0"/>
          <w:numId w:val="2"/>
        </w:numPr>
        <w:ind w:left="0" w:leftChars="0" w:firstLine="0" w:firstLineChars="0"/>
        <w:outlineLvl w:val="0"/>
        <w:rPr>
          <w:b w:val="0"/>
        </w:rPr>
      </w:pPr>
      <w:r>
        <w:t>技术标准和要求</w:t>
      </w:r>
      <w:bookmarkEnd w:id="54"/>
    </w:p>
    <w:p w14:paraId="1C4C83EC">
      <w:pPr>
        <w:pStyle w:val="11"/>
        <w:rPr>
          <w:color w:val="000000"/>
        </w:rPr>
      </w:pPr>
      <w:r>
        <w:rPr>
          <w:b/>
          <w:color w:val="000000"/>
        </w:rPr>
        <w:t>本章由采购人根据国家行业及地方现行标准、规范和规程等，以及项目具体情况摘录。</w:t>
      </w:r>
    </w:p>
    <w:p w14:paraId="33C48D6E">
      <w:pPr>
        <w:spacing w:line="360" w:lineRule="auto"/>
        <w:jc w:val="center"/>
        <w:rPr>
          <w:rFonts w:hint="eastAsia" w:ascii="宋体" w:hAnsi="宋体"/>
          <w:b/>
          <w:color w:val="000000"/>
          <w:sz w:val="32"/>
          <w:szCs w:val="32"/>
        </w:rPr>
      </w:pPr>
    </w:p>
    <w:p w14:paraId="55A70B2B">
      <w:pPr>
        <w:spacing w:line="360" w:lineRule="auto"/>
        <w:jc w:val="center"/>
        <w:rPr>
          <w:rFonts w:hint="eastAsia" w:ascii="宋体" w:hAnsi="宋体"/>
          <w:b/>
          <w:color w:val="000000"/>
          <w:sz w:val="32"/>
          <w:szCs w:val="32"/>
        </w:rPr>
      </w:pPr>
      <w:r>
        <w:rPr>
          <w:rFonts w:hint="eastAsia" w:ascii="宋体" w:hAnsi="宋体"/>
          <w:b/>
          <w:color w:val="000000"/>
          <w:sz w:val="32"/>
          <w:szCs w:val="32"/>
        </w:rPr>
        <w:t>现行国家有关工程施工验收规范和标准要求</w:t>
      </w:r>
    </w:p>
    <w:p w14:paraId="2EEFC6A5">
      <w:pPr>
        <w:spacing w:line="360" w:lineRule="auto"/>
        <w:jc w:val="center"/>
        <w:rPr>
          <w:rFonts w:hint="eastAsia" w:ascii="宋体" w:hAnsi="宋体"/>
          <w:b/>
          <w:color w:val="000000"/>
          <w:sz w:val="32"/>
          <w:szCs w:val="32"/>
        </w:rPr>
      </w:pPr>
    </w:p>
    <w:p w14:paraId="36A83032">
      <w:pPr>
        <w:spacing w:line="360" w:lineRule="auto"/>
        <w:jc w:val="center"/>
        <w:rPr>
          <w:rFonts w:hint="eastAsia" w:ascii="宋体" w:hAnsi="宋体"/>
          <w:b/>
          <w:color w:val="000000"/>
          <w:sz w:val="32"/>
          <w:szCs w:val="32"/>
        </w:rPr>
      </w:pPr>
    </w:p>
    <w:p w14:paraId="106DFA8D">
      <w:pPr>
        <w:spacing w:line="360" w:lineRule="auto"/>
        <w:jc w:val="center"/>
        <w:rPr>
          <w:rFonts w:hint="eastAsia" w:ascii="宋体" w:hAnsi="宋体"/>
          <w:b/>
          <w:color w:val="000000"/>
          <w:sz w:val="32"/>
          <w:szCs w:val="32"/>
        </w:rPr>
      </w:pPr>
    </w:p>
    <w:p w14:paraId="2952E620">
      <w:pPr>
        <w:spacing w:line="360" w:lineRule="auto"/>
        <w:jc w:val="center"/>
        <w:rPr>
          <w:rFonts w:hint="eastAsia" w:ascii="宋体" w:hAnsi="宋体"/>
          <w:b/>
          <w:color w:val="000000"/>
          <w:sz w:val="32"/>
          <w:szCs w:val="32"/>
        </w:rPr>
      </w:pPr>
    </w:p>
    <w:p w14:paraId="1B0B365F">
      <w:pPr>
        <w:spacing w:line="360" w:lineRule="auto"/>
        <w:jc w:val="center"/>
        <w:rPr>
          <w:rFonts w:hint="eastAsia" w:ascii="宋体" w:hAnsi="宋体"/>
          <w:b/>
          <w:color w:val="000000"/>
          <w:sz w:val="32"/>
          <w:szCs w:val="32"/>
        </w:rPr>
      </w:pPr>
    </w:p>
    <w:p w14:paraId="4FB89013">
      <w:pPr>
        <w:spacing w:line="360" w:lineRule="auto"/>
        <w:jc w:val="center"/>
        <w:rPr>
          <w:rFonts w:hint="eastAsia" w:ascii="宋体" w:hAnsi="宋体"/>
          <w:b/>
          <w:color w:val="000000"/>
          <w:sz w:val="32"/>
          <w:szCs w:val="32"/>
        </w:rPr>
      </w:pPr>
    </w:p>
    <w:p w14:paraId="696EC58E">
      <w:pPr>
        <w:spacing w:line="360" w:lineRule="auto"/>
        <w:jc w:val="center"/>
        <w:rPr>
          <w:rFonts w:hint="eastAsia" w:ascii="宋体" w:hAnsi="宋体"/>
          <w:b/>
          <w:color w:val="000000"/>
          <w:sz w:val="32"/>
          <w:szCs w:val="32"/>
        </w:rPr>
      </w:pPr>
    </w:p>
    <w:p w14:paraId="0C3DA742">
      <w:pPr>
        <w:spacing w:line="360" w:lineRule="auto"/>
        <w:jc w:val="center"/>
        <w:rPr>
          <w:rFonts w:hint="eastAsia" w:ascii="宋体" w:hAnsi="宋体"/>
          <w:b/>
          <w:color w:val="000000"/>
          <w:sz w:val="32"/>
          <w:szCs w:val="32"/>
        </w:rPr>
      </w:pPr>
    </w:p>
    <w:p w14:paraId="53BEE707">
      <w:pPr>
        <w:spacing w:line="360" w:lineRule="auto"/>
        <w:jc w:val="center"/>
        <w:rPr>
          <w:rFonts w:hint="eastAsia" w:ascii="宋体" w:hAnsi="宋体"/>
          <w:b/>
          <w:color w:val="000000"/>
          <w:sz w:val="32"/>
          <w:szCs w:val="32"/>
        </w:rPr>
      </w:pPr>
    </w:p>
    <w:p w14:paraId="1FE63188">
      <w:pPr>
        <w:spacing w:before="120" w:beforeLines="50" w:after="120" w:afterLines="50" w:line="360" w:lineRule="auto"/>
        <w:ind w:firstLine="422" w:firstLineChars="200"/>
        <w:rPr>
          <w:rFonts w:hint="eastAsia" w:ascii="宋体" w:hAnsi="宋体"/>
          <w:b/>
          <w:color w:val="000000"/>
          <w:szCs w:val="21"/>
        </w:rPr>
      </w:pPr>
    </w:p>
    <w:p w14:paraId="57CDEBE8">
      <w:pPr>
        <w:spacing w:before="120" w:beforeLines="50" w:after="120" w:afterLines="50" w:line="360" w:lineRule="auto"/>
        <w:ind w:firstLine="422" w:firstLineChars="200"/>
        <w:rPr>
          <w:rFonts w:hint="eastAsia" w:ascii="宋体" w:hAnsi="宋体"/>
          <w:b/>
          <w:color w:val="000000"/>
          <w:szCs w:val="21"/>
        </w:rPr>
      </w:pPr>
      <w:r>
        <w:rPr>
          <w:rFonts w:ascii="宋体" w:hAnsi="宋体"/>
          <w:b/>
          <w:color w:val="000000"/>
          <w:szCs w:val="21"/>
        </w:rPr>
        <w:br w:type="page"/>
      </w:r>
    </w:p>
    <w:p w14:paraId="7FDED429">
      <w:pPr>
        <w:spacing w:line="360" w:lineRule="auto"/>
        <w:jc w:val="center"/>
        <w:rPr>
          <w:rFonts w:hint="eastAsia" w:ascii="宋体" w:hAnsi="宋体"/>
          <w:color w:val="000000"/>
          <w:szCs w:val="21"/>
        </w:rPr>
      </w:pPr>
    </w:p>
    <w:p w14:paraId="2E046B01">
      <w:pPr>
        <w:spacing w:line="360" w:lineRule="auto"/>
        <w:jc w:val="center"/>
        <w:rPr>
          <w:rFonts w:hint="eastAsia" w:ascii="宋体" w:hAnsi="宋体"/>
          <w:color w:val="000000"/>
          <w:szCs w:val="21"/>
        </w:rPr>
      </w:pPr>
    </w:p>
    <w:p w14:paraId="0F3E61BE">
      <w:pPr>
        <w:spacing w:line="360" w:lineRule="auto"/>
        <w:jc w:val="center"/>
        <w:rPr>
          <w:rFonts w:hint="eastAsia" w:ascii="宋体" w:hAnsi="宋体"/>
          <w:color w:val="000000"/>
          <w:szCs w:val="21"/>
        </w:rPr>
      </w:pPr>
    </w:p>
    <w:p w14:paraId="0BCDD8E9">
      <w:pPr>
        <w:spacing w:line="360" w:lineRule="auto"/>
        <w:jc w:val="center"/>
        <w:rPr>
          <w:rFonts w:hint="eastAsia" w:ascii="宋体" w:hAnsi="宋体"/>
          <w:color w:val="000000"/>
          <w:szCs w:val="21"/>
        </w:rPr>
      </w:pPr>
    </w:p>
    <w:p w14:paraId="1D04A11F">
      <w:pPr>
        <w:spacing w:line="360" w:lineRule="auto"/>
        <w:jc w:val="center"/>
        <w:rPr>
          <w:rFonts w:hint="eastAsia" w:ascii="宋体" w:hAnsi="宋体"/>
          <w:color w:val="000000"/>
          <w:szCs w:val="21"/>
        </w:rPr>
      </w:pPr>
    </w:p>
    <w:p w14:paraId="523488CE">
      <w:pPr>
        <w:spacing w:line="360" w:lineRule="auto"/>
        <w:jc w:val="center"/>
        <w:rPr>
          <w:rFonts w:hint="eastAsia" w:ascii="宋体" w:hAnsi="宋体"/>
          <w:color w:val="000000"/>
          <w:szCs w:val="21"/>
        </w:rPr>
      </w:pPr>
    </w:p>
    <w:p w14:paraId="20B544A9">
      <w:pPr>
        <w:spacing w:line="360" w:lineRule="auto"/>
        <w:jc w:val="center"/>
        <w:rPr>
          <w:rFonts w:hint="eastAsia" w:ascii="宋体" w:hAnsi="宋体"/>
          <w:color w:val="000000"/>
          <w:szCs w:val="21"/>
        </w:rPr>
      </w:pPr>
    </w:p>
    <w:p w14:paraId="07A4D104">
      <w:pPr>
        <w:spacing w:line="360" w:lineRule="auto"/>
        <w:jc w:val="center"/>
        <w:rPr>
          <w:rFonts w:hint="eastAsia" w:ascii="宋体" w:hAnsi="宋体"/>
          <w:color w:val="000000"/>
          <w:szCs w:val="21"/>
        </w:rPr>
      </w:pPr>
    </w:p>
    <w:p w14:paraId="1777B4EB">
      <w:pPr>
        <w:spacing w:line="360" w:lineRule="auto"/>
        <w:jc w:val="center"/>
        <w:rPr>
          <w:rFonts w:hint="eastAsia" w:ascii="宋体" w:hAnsi="宋体"/>
          <w:color w:val="000000"/>
          <w:szCs w:val="21"/>
        </w:rPr>
      </w:pPr>
    </w:p>
    <w:p w14:paraId="6E6380DC">
      <w:pPr>
        <w:spacing w:line="360" w:lineRule="auto"/>
        <w:jc w:val="center"/>
        <w:rPr>
          <w:rFonts w:hint="eastAsia" w:ascii="宋体" w:hAnsi="宋体"/>
          <w:color w:val="000000"/>
          <w:szCs w:val="21"/>
        </w:rPr>
      </w:pPr>
    </w:p>
    <w:p w14:paraId="22299ACD">
      <w:pPr>
        <w:spacing w:line="360" w:lineRule="auto"/>
        <w:jc w:val="center"/>
        <w:rPr>
          <w:rFonts w:hint="eastAsia" w:ascii="宋体" w:hAnsi="宋体"/>
          <w:color w:val="000000"/>
          <w:szCs w:val="21"/>
        </w:rPr>
      </w:pPr>
    </w:p>
    <w:p w14:paraId="76BAAAAD">
      <w:pPr>
        <w:spacing w:line="360" w:lineRule="auto"/>
        <w:jc w:val="center"/>
        <w:rPr>
          <w:rFonts w:hint="eastAsia" w:ascii="宋体" w:hAnsi="宋体"/>
          <w:color w:val="000000"/>
          <w:szCs w:val="21"/>
        </w:rPr>
      </w:pPr>
    </w:p>
    <w:p w14:paraId="538CE30B">
      <w:pPr>
        <w:pStyle w:val="42"/>
        <w:numPr>
          <w:ilvl w:val="0"/>
          <w:numId w:val="2"/>
        </w:numPr>
        <w:ind w:left="0" w:leftChars="0" w:firstLine="0" w:firstLineChars="0"/>
        <w:outlineLvl w:val="0"/>
        <w:rPr>
          <w:b w:val="0"/>
        </w:rPr>
      </w:pPr>
      <w:bookmarkStart w:id="55" w:name="_Toc1701"/>
      <w:r>
        <w:t>响应文件格式</w:t>
      </w:r>
      <w:bookmarkEnd w:id="55"/>
    </w:p>
    <w:p w14:paraId="19B1D16B">
      <w:pPr>
        <w:spacing w:line="360" w:lineRule="auto"/>
        <w:jc w:val="center"/>
        <w:rPr>
          <w:rFonts w:hint="eastAsia" w:ascii="宋体" w:hAnsi="宋体"/>
          <w:b/>
          <w:color w:val="000000"/>
          <w:sz w:val="32"/>
          <w:szCs w:val="32"/>
        </w:rPr>
      </w:pPr>
    </w:p>
    <w:p w14:paraId="062934B4">
      <w:pPr>
        <w:spacing w:line="360" w:lineRule="auto"/>
        <w:jc w:val="center"/>
        <w:rPr>
          <w:rFonts w:hint="eastAsia" w:ascii="宋体" w:hAnsi="宋体"/>
          <w:b/>
          <w:color w:val="000000"/>
          <w:sz w:val="32"/>
          <w:szCs w:val="32"/>
        </w:rPr>
      </w:pPr>
    </w:p>
    <w:p w14:paraId="788B47B3">
      <w:pPr>
        <w:spacing w:line="360" w:lineRule="auto"/>
        <w:jc w:val="center"/>
        <w:rPr>
          <w:rFonts w:hint="eastAsia" w:ascii="宋体" w:hAnsi="宋体"/>
          <w:b/>
          <w:color w:val="000000"/>
          <w:sz w:val="32"/>
          <w:szCs w:val="32"/>
        </w:rPr>
      </w:pPr>
    </w:p>
    <w:p w14:paraId="6FE628FA">
      <w:pPr>
        <w:spacing w:line="360" w:lineRule="auto"/>
        <w:jc w:val="center"/>
        <w:rPr>
          <w:rFonts w:hint="eastAsia" w:ascii="宋体" w:hAnsi="宋体"/>
          <w:b/>
          <w:color w:val="000000"/>
          <w:sz w:val="32"/>
          <w:szCs w:val="32"/>
        </w:rPr>
      </w:pPr>
    </w:p>
    <w:p w14:paraId="589A5E43">
      <w:pPr>
        <w:spacing w:line="360" w:lineRule="auto"/>
        <w:jc w:val="center"/>
        <w:rPr>
          <w:rFonts w:hint="eastAsia" w:ascii="宋体" w:hAnsi="宋体"/>
          <w:b/>
          <w:color w:val="000000"/>
          <w:sz w:val="32"/>
          <w:szCs w:val="32"/>
        </w:rPr>
      </w:pPr>
    </w:p>
    <w:p w14:paraId="44FD0107">
      <w:pPr>
        <w:spacing w:line="360" w:lineRule="auto"/>
        <w:jc w:val="center"/>
        <w:rPr>
          <w:rFonts w:hint="eastAsia" w:ascii="宋体" w:hAnsi="宋体"/>
          <w:b/>
          <w:color w:val="000000"/>
          <w:sz w:val="32"/>
          <w:szCs w:val="32"/>
        </w:rPr>
      </w:pPr>
    </w:p>
    <w:p w14:paraId="5843D4EB">
      <w:pPr>
        <w:spacing w:line="360" w:lineRule="auto"/>
        <w:jc w:val="center"/>
        <w:rPr>
          <w:rFonts w:hint="eastAsia" w:ascii="宋体" w:hAnsi="宋体"/>
          <w:b/>
          <w:color w:val="000000"/>
          <w:sz w:val="32"/>
          <w:szCs w:val="32"/>
        </w:rPr>
      </w:pPr>
    </w:p>
    <w:p w14:paraId="0E92994A">
      <w:pPr>
        <w:spacing w:line="360" w:lineRule="auto"/>
        <w:jc w:val="center"/>
        <w:rPr>
          <w:rFonts w:hint="eastAsia" w:ascii="宋体" w:hAnsi="宋体"/>
          <w:b/>
          <w:color w:val="000000"/>
          <w:sz w:val="32"/>
          <w:szCs w:val="32"/>
        </w:rPr>
      </w:pPr>
    </w:p>
    <w:p w14:paraId="68A15C1F">
      <w:pPr>
        <w:spacing w:line="360" w:lineRule="auto"/>
        <w:jc w:val="center"/>
        <w:rPr>
          <w:rFonts w:hint="eastAsia" w:ascii="宋体" w:hAnsi="宋体"/>
          <w:b/>
          <w:color w:val="000000"/>
          <w:sz w:val="32"/>
          <w:szCs w:val="32"/>
        </w:rPr>
      </w:pPr>
    </w:p>
    <w:p w14:paraId="30D0FF52">
      <w:pPr>
        <w:spacing w:line="360" w:lineRule="auto"/>
        <w:jc w:val="center"/>
        <w:rPr>
          <w:rFonts w:hint="eastAsia" w:ascii="宋体" w:hAnsi="宋体"/>
          <w:b/>
          <w:color w:val="000000"/>
          <w:sz w:val="32"/>
          <w:szCs w:val="32"/>
        </w:rPr>
      </w:pPr>
    </w:p>
    <w:p w14:paraId="36784A01">
      <w:pPr>
        <w:spacing w:line="360" w:lineRule="auto"/>
        <w:jc w:val="center"/>
        <w:rPr>
          <w:rFonts w:hint="eastAsia" w:ascii="宋体" w:hAnsi="宋体"/>
          <w:b/>
          <w:color w:val="000000"/>
          <w:sz w:val="32"/>
          <w:szCs w:val="32"/>
        </w:rPr>
      </w:pPr>
    </w:p>
    <w:p w14:paraId="729134CA">
      <w:pPr>
        <w:spacing w:line="360" w:lineRule="auto"/>
        <w:rPr>
          <w:rFonts w:hint="eastAsia" w:ascii="宋体" w:hAnsi="宋体"/>
          <w:b/>
          <w:color w:val="000000"/>
          <w:sz w:val="32"/>
          <w:szCs w:val="32"/>
        </w:rPr>
      </w:pPr>
      <w:r>
        <w:rPr>
          <w:rFonts w:ascii="宋体" w:hAnsi="宋体"/>
          <w:b/>
          <w:color w:val="000000"/>
          <w:sz w:val="32"/>
          <w:szCs w:val="32"/>
        </w:rPr>
        <w:br w:type="page"/>
      </w:r>
      <w:r>
        <w:rPr>
          <w:rFonts w:hint="eastAsia" w:ascii="宋体" w:hAnsi="宋体"/>
          <w:b/>
          <w:color w:val="000000"/>
          <w:sz w:val="24"/>
        </w:rPr>
        <w:t>所有响应文件封面格式</w:t>
      </w:r>
    </w:p>
    <w:p w14:paraId="7A09D79F">
      <w:pPr>
        <w:spacing w:line="360" w:lineRule="auto"/>
        <w:jc w:val="center"/>
        <w:rPr>
          <w:rFonts w:hint="eastAsia" w:ascii="宋体" w:hAnsi="宋体"/>
          <w:b/>
          <w:color w:val="000000"/>
          <w:sz w:val="32"/>
          <w:szCs w:val="32"/>
        </w:rPr>
      </w:pPr>
    </w:p>
    <w:p w14:paraId="6A8EC05F">
      <w:pPr>
        <w:spacing w:line="360" w:lineRule="auto"/>
        <w:jc w:val="center"/>
        <w:rPr>
          <w:rFonts w:hint="eastAsia" w:ascii="宋体" w:hAnsi="宋体"/>
          <w:b/>
          <w:color w:val="000000"/>
          <w:sz w:val="32"/>
          <w:szCs w:val="32"/>
        </w:rPr>
      </w:pPr>
    </w:p>
    <w:p w14:paraId="40438E03">
      <w:pPr>
        <w:spacing w:line="360" w:lineRule="auto"/>
        <w:jc w:val="center"/>
        <w:rPr>
          <w:rFonts w:hint="eastAsia" w:ascii="宋体" w:hAnsi="宋体"/>
          <w:b/>
          <w:color w:val="000000"/>
          <w:sz w:val="32"/>
          <w:szCs w:val="32"/>
        </w:rPr>
      </w:pPr>
      <w:r>
        <w:rPr>
          <w:rFonts w:hint="eastAsia" w:ascii="宋体" w:hAnsi="宋体"/>
          <w:b/>
          <w:color w:val="000000"/>
          <w:sz w:val="44"/>
          <w:szCs w:val="44"/>
        </w:rPr>
        <w:t>响 应 文 件</w:t>
      </w:r>
    </w:p>
    <w:p w14:paraId="09E6BCC6">
      <w:pPr>
        <w:spacing w:line="360" w:lineRule="auto"/>
        <w:jc w:val="center"/>
        <w:rPr>
          <w:rFonts w:hint="eastAsia" w:ascii="宋体" w:hAnsi="宋体"/>
          <w:color w:val="000000"/>
          <w:szCs w:val="21"/>
        </w:rPr>
      </w:pPr>
    </w:p>
    <w:p w14:paraId="3C040AD5">
      <w:pPr>
        <w:spacing w:line="360" w:lineRule="auto"/>
        <w:jc w:val="center"/>
        <w:rPr>
          <w:rFonts w:hint="eastAsia" w:ascii="宋体" w:hAnsi="宋体"/>
          <w:color w:val="000000"/>
          <w:szCs w:val="21"/>
        </w:rPr>
      </w:pPr>
    </w:p>
    <w:p w14:paraId="565D5CF2">
      <w:pPr>
        <w:spacing w:line="360" w:lineRule="auto"/>
        <w:jc w:val="center"/>
        <w:rPr>
          <w:rFonts w:hint="eastAsia" w:ascii="宋体" w:hAnsi="宋体"/>
          <w:color w:val="000000"/>
          <w:szCs w:val="21"/>
        </w:rPr>
      </w:pPr>
    </w:p>
    <w:p w14:paraId="5A50EE38">
      <w:pPr>
        <w:spacing w:line="360" w:lineRule="auto"/>
        <w:jc w:val="center"/>
        <w:rPr>
          <w:rFonts w:hint="eastAsia" w:ascii="宋体" w:hAnsi="宋体"/>
          <w:color w:val="000000"/>
          <w:szCs w:val="21"/>
        </w:rPr>
      </w:pPr>
    </w:p>
    <w:p w14:paraId="5AC362E2">
      <w:pPr>
        <w:spacing w:line="360" w:lineRule="auto"/>
        <w:jc w:val="center"/>
        <w:rPr>
          <w:rFonts w:hint="eastAsia" w:ascii="宋体" w:hAnsi="宋体"/>
          <w:color w:val="000000"/>
          <w:szCs w:val="21"/>
        </w:rPr>
      </w:pPr>
    </w:p>
    <w:p w14:paraId="3C0667B4">
      <w:pPr>
        <w:spacing w:line="360" w:lineRule="auto"/>
        <w:jc w:val="center"/>
        <w:rPr>
          <w:rFonts w:hint="eastAsia" w:ascii="宋体" w:hAnsi="宋体"/>
          <w:color w:val="000000"/>
          <w:szCs w:val="21"/>
        </w:rPr>
      </w:pPr>
    </w:p>
    <w:p w14:paraId="34B6075D">
      <w:pPr>
        <w:spacing w:line="360" w:lineRule="auto"/>
        <w:jc w:val="left"/>
        <w:rPr>
          <w:rFonts w:hint="eastAsia" w:ascii="宋体" w:hAnsi="宋体"/>
          <w:color w:val="000000"/>
          <w:szCs w:val="21"/>
          <w:u w:val="single"/>
        </w:rPr>
      </w:pPr>
      <w:r>
        <w:rPr>
          <w:rFonts w:hint="eastAsia" w:ascii="宋体" w:hAnsi="宋体"/>
          <w:color w:val="000000"/>
          <w:szCs w:val="21"/>
        </w:rPr>
        <w:t>竞争性磋商项目编号：</w:t>
      </w:r>
      <w:r>
        <w:rPr>
          <w:rFonts w:hint="eastAsia" w:ascii="宋体" w:hAnsi="宋体"/>
          <w:color w:val="000000"/>
          <w:szCs w:val="21"/>
          <w:u w:val="single"/>
        </w:rPr>
        <w:t xml:space="preserve">                       </w:t>
      </w:r>
    </w:p>
    <w:p w14:paraId="64F30B76">
      <w:pPr>
        <w:tabs>
          <w:tab w:val="left" w:pos="3240"/>
        </w:tabs>
        <w:spacing w:line="360" w:lineRule="auto"/>
        <w:jc w:val="left"/>
        <w:rPr>
          <w:rFonts w:hint="eastAsia" w:ascii="宋体" w:hAnsi="宋体"/>
          <w:color w:val="000000"/>
          <w:szCs w:val="21"/>
          <w:u w:val="single"/>
        </w:rPr>
      </w:pPr>
      <w:r>
        <w:rPr>
          <w:rFonts w:hint="eastAsia" w:ascii="宋体" w:hAnsi="宋体"/>
          <w:color w:val="000000"/>
          <w:szCs w:val="21"/>
        </w:rPr>
        <w:t>竞争性磋商项目名称：</w:t>
      </w:r>
      <w:r>
        <w:rPr>
          <w:rFonts w:hint="eastAsia" w:ascii="宋体" w:hAnsi="宋体"/>
          <w:color w:val="000000"/>
          <w:szCs w:val="21"/>
          <w:u w:val="single"/>
        </w:rPr>
        <w:t xml:space="preserve">                       </w:t>
      </w:r>
    </w:p>
    <w:p w14:paraId="1808637D">
      <w:pPr>
        <w:tabs>
          <w:tab w:val="left" w:pos="3240"/>
        </w:tabs>
        <w:spacing w:line="360" w:lineRule="auto"/>
        <w:jc w:val="left"/>
        <w:rPr>
          <w:rFonts w:hint="eastAsia"/>
          <w:color w:val="000000"/>
        </w:rPr>
      </w:pPr>
      <w:r>
        <w:rPr>
          <w:rFonts w:hint="eastAsia"/>
          <w:color w:val="000000"/>
        </w:rPr>
        <w:t>响应文件名称：资格审查文件、商务文件、技术文件</w:t>
      </w:r>
    </w:p>
    <w:p w14:paraId="4EEC9072">
      <w:pPr>
        <w:tabs>
          <w:tab w:val="left" w:pos="3240"/>
        </w:tabs>
        <w:spacing w:line="360" w:lineRule="auto"/>
        <w:jc w:val="left"/>
        <w:rPr>
          <w:rFonts w:hint="eastAsia" w:ascii="宋体" w:hAnsi="宋体"/>
          <w:color w:val="000000"/>
          <w:szCs w:val="21"/>
          <w:u w:val="single"/>
        </w:rPr>
      </w:pPr>
      <w:r>
        <w:rPr>
          <w:rFonts w:hint="eastAsia"/>
          <w:color w:val="000000"/>
          <w:lang w:eastAsia="zh-CN"/>
        </w:rPr>
        <w:t>分</w:t>
      </w:r>
      <w:r>
        <w:rPr>
          <w:rFonts w:hint="eastAsia"/>
          <w:color w:val="000000"/>
          <w:lang w:val="en-US" w:eastAsia="zh-CN"/>
        </w:rPr>
        <w:t xml:space="preserve">    </w:t>
      </w:r>
      <w:r>
        <w:rPr>
          <w:rFonts w:hint="eastAsia"/>
          <w:color w:val="000000"/>
          <w:lang w:eastAsia="zh-CN"/>
        </w:rPr>
        <w:t>标</w:t>
      </w:r>
      <w:r>
        <w:rPr>
          <w:rFonts w:hint="eastAsia"/>
          <w:color w:val="000000"/>
          <w:lang w:val="en-US" w:eastAsia="zh-CN"/>
        </w:rPr>
        <w:t>:</w:t>
      </w:r>
      <w:r>
        <w:rPr>
          <w:rFonts w:hint="eastAsia" w:ascii="宋体" w:hAnsi="宋体"/>
          <w:color w:val="000000"/>
          <w:szCs w:val="21"/>
          <w:u w:val="single"/>
        </w:rPr>
        <w:t xml:space="preserve">                    </w:t>
      </w:r>
    </w:p>
    <w:p w14:paraId="42C50EF4">
      <w:pPr>
        <w:tabs>
          <w:tab w:val="left" w:pos="3240"/>
        </w:tabs>
        <w:spacing w:line="360" w:lineRule="auto"/>
        <w:jc w:val="left"/>
        <w:rPr>
          <w:rFonts w:hint="eastAsia" w:ascii="宋体" w:hAnsi="宋体"/>
          <w:color w:val="000000"/>
          <w:szCs w:val="21"/>
          <w:u w:val="single"/>
        </w:rPr>
      </w:pPr>
      <w:r>
        <w:rPr>
          <w:rFonts w:hint="eastAsia"/>
          <w:color w:val="000000"/>
        </w:rPr>
        <w:t>供应商名称：</w:t>
      </w:r>
      <w:r>
        <w:rPr>
          <w:rFonts w:hint="eastAsia" w:ascii="宋体" w:hAnsi="宋体"/>
          <w:color w:val="000000"/>
          <w:szCs w:val="21"/>
          <w:u w:val="single"/>
        </w:rPr>
        <w:t xml:space="preserve">                       </w:t>
      </w:r>
    </w:p>
    <w:p w14:paraId="60F1CA03">
      <w:pPr>
        <w:tabs>
          <w:tab w:val="left" w:pos="3240"/>
        </w:tabs>
        <w:spacing w:line="360" w:lineRule="auto"/>
        <w:jc w:val="left"/>
        <w:rPr>
          <w:rFonts w:hint="eastAsia" w:ascii="宋体" w:hAnsi="宋体"/>
          <w:color w:val="000000"/>
          <w:szCs w:val="21"/>
          <w:u w:val="single"/>
        </w:rPr>
      </w:pPr>
      <w:r>
        <w:rPr>
          <w:rFonts w:hint="eastAsia"/>
          <w:color w:val="000000"/>
        </w:rPr>
        <w:t>供应商地址：</w:t>
      </w:r>
      <w:r>
        <w:rPr>
          <w:rFonts w:hint="eastAsia" w:ascii="宋体" w:hAnsi="宋体"/>
          <w:color w:val="000000"/>
          <w:szCs w:val="21"/>
          <w:u w:val="single"/>
        </w:rPr>
        <w:t xml:space="preserve">                       </w:t>
      </w:r>
    </w:p>
    <w:p w14:paraId="7E6FD2B5">
      <w:pPr>
        <w:tabs>
          <w:tab w:val="left" w:pos="3240"/>
        </w:tabs>
        <w:spacing w:line="360" w:lineRule="auto"/>
        <w:jc w:val="left"/>
        <w:rPr>
          <w:rFonts w:hint="eastAsia" w:ascii="宋体" w:hAnsi="宋体"/>
          <w:color w:val="000000"/>
          <w:szCs w:val="21"/>
          <w:u w:val="single"/>
        </w:rPr>
      </w:pPr>
      <w:r>
        <w:rPr>
          <w:rFonts w:hint="eastAsia"/>
          <w:color w:val="000000"/>
        </w:rPr>
        <w:t>供应商邮编：</w:t>
      </w:r>
      <w:r>
        <w:rPr>
          <w:rFonts w:hint="eastAsia" w:ascii="宋体" w:hAnsi="宋体"/>
          <w:color w:val="000000"/>
          <w:szCs w:val="21"/>
          <w:u w:val="single"/>
        </w:rPr>
        <w:t xml:space="preserve">                       </w:t>
      </w:r>
    </w:p>
    <w:p w14:paraId="448BA5B2">
      <w:pPr>
        <w:tabs>
          <w:tab w:val="left" w:pos="2625"/>
        </w:tabs>
        <w:spacing w:line="360" w:lineRule="auto"/>
        <w:jc w:val="center"/>
        <w:rPr>
          <w:rFonts w:hint="eastAsia" w:ascii="宋体" w:hAnsi="宋体"/>
          <w:color w:val="000000"/>
          <w:szCs w:val="21"/>
        </w:rPr>
      </w:pPr>
    </w:p>
    <w:p w14:paraId="1AFEAC7A">
      <w:pPr>
        <w:tabs>
          <w:tab w:val="left" w:pos="2625"/>
        </w:tabs>
        <w:spacing w:line="360" w:lineRule="auto"/>
        <w:jc w:val="center"/>
        <w:rPr>
          <w:rFonts w:hint="eastAsia" w:ascii="宋体" w:hAnsi="宋体"/>
          <w:color w:val="000000"/>
          <w:szCs w:val="21"/>
        </w:rPr>
      </w:pPr>
    </w:p>
    <w:p w14:paraId="6A52408D">
      <w:pPr>
        <w:spacing w:line="360" w:lineRule="auto"/>
        <w:rPr>
          <w:rFonts w:hint="eastAsia" w:ascii="宋体" w:hAnsi="宋体"/>
          <w:color w:val="000000"/>
          <w:szCs w:val="21"/>
        </w:rPr>
      </w:pPr>
      <w:r>
        <w:rPr>
          <w:rFonts w:hint="eastAsia" w:ascii="宋体" w:hAnsi="宋体"/>
          <w:color w:val="000000"/>
          <w:szCs w:val="21"/>
        </w:rPr>
        <w:t xml:space="preserve">                                        （供应商公章）</w:t>
      </w:r>
    </w:p>
    <w:p w14:paraId="390E6EE9">
      <w:pPr>
        <w:spacing w:line="360" w:lineRule="auto"/>
        <w:rPr>
          <w:rFonts w:hint="eastAsia" w:ascii="宋体" w:hAnsi="宋体"/>
          <w:color w:val="000000"/>
          <w:szCs w:val="21"/>
        </w:rPr>
      </w:pPr>
    </w:p>
    <w:p w14:paraId="3182577C">
      <w:pPr>
        <w:spacing w:line="360" w:lineRule="auto"/>
        <w:rPr>
          <w:rFonts w:hint="eastAsia" w:ascii="宋体" w:hAnsi="宋体"/>
          <w:color w:val="000000"/>
          <w:szCs w:val="21"/>
        </w:rPr>
      </w:pPr>
    </w:p>
    <w:p w14:paraId="435ADBEE">
      <w:pPr>
        <w:spacing w:line="360" w:lineRule="auto"/>
        <w:rPr>
          <w:rFonts w:hint="eastAsia" w:ascii="宋体" w:hAnsi="宋体"/>
          <w:color w:val="000000"/>
          <w:szCs w:val="21"/>
        </w:rPr>
      </w:pPr>
    </w:p>
    <w:p w14:paraId="2E377AAC">
      <w:pPr>
        <w:spacing w:line="360" w:lineRule="auto"/>
        <w:rPr>
          <w:rFonts w:hint="eastAsia" w:ascii="宋体" w:hAnsi="宋体"/>
          <w:color w:val="000000"/>
          <w:szCs w:val="21"/>
        </w:rPr>
      </w:pPr>
    </w:p>
    <w:p w14:paraId="7A9BECF5">
      <w:pPr>
        <w:spacing w:line="360" w:lineRule="auto"/>
        <w:rPr>
          <w:rFonts w:hint="eastAsia" w:ascii="宋体" w:hAnsi="宋体"/>
          <w:color w:val="000000"/>
          <w:szCs w:val="21"/>
        </w:rPr>
      </w:pPr>
    </w:p>
    <w:p w14:paraId="5D233DBE">
      <w:pPr>
        <w:spacing w:line="360" w:lineRule="auto"/>
        <w:rPr>
          <w:rFonts w:hint="eastAsia" w:ascii="宋体" w:hAnsi="宋体"/>
          <w:color w:val="000000"/>
          <w:szCs w:val="21"/>
        </w:rPr>
      </w:pPr>
    </w:p>
    <w:p w14:paraId="4296A011">
      <w:pPr>
        <w:spacing w:line="360" w:lineRule="auto"/>
        <w:rPr>
          <w:rFonts w:hint="eastAsia" w:ascii="宋体" w:hAnsi="宋体"/>
          <w:color w:val="000000"/>
          <w:szCs w:val="21"/>
        </w:rPr>
      </w:pPr>
    </w:p>
    <w:p w14:paraId="77938C54">
      <w:pPr>
        <w:spacing w:line="360" w:lineRule="auto"/>
        <w:rPr>
          <w:rFonts w:hint="eastAsia" w:ascii="宋体" w:hAnsi="宋体"/>
          <w:color w:val="000000"/>
          <w:szCs w:val="21"/>
        </w:rPr>
      </w:pPr>
    </w:p>
    <w:p w14:paraId="51BBC1A1">
      <w:pPr>
        <w:spacing w:line="360" w:lineRule="auto"/>
        <w:rPr>
          <w:rFonts w:hint="eastAsia" w:ascii="宋体" w:hAnsi="宋体"/>
          <w:color w:val="000000"/>
          <w:szCs w:val="21"/>
        </w:rPr>
      </w:pPr>
    </w:p>
    <w:p w14:paraId="12B56C6E">
      <w:pPr>
        <w:spacing w:line="360" w:lineRule="auto"/>
        <w:jc w:val="center"/>
        <w:rPr>
          <w:rFonts w:hint="eastAsia" w:ascii="宋体" w:hAnsi="宋体"/>
          <w:b/>
          <w:bCs/>
          <w:color w:val="000000"/>
          <w:sz w:val="28"/>
          <w:szCs w:val="28"/>
        </w:rPr>
      </w:pPr>
      <w:r>
        <w:rPr>
          <w:rFonts w:ascii="宋体" w:hAnsi="宋体"/>
          <w:color w:val="000000"/>
          <w:szCs w:val="21"/>
        </w:rPr>
        <w:br w:type="page"/>
      </w:r>
      <w:r>
        <w:rPr>
          <w:rFonts w:hint="eastAsia" w:ascii="宋体" w:hAnsi="宋体"/>
          <w:b/>
          <w:bCs/>
          <w:color w:val="000000"/>
          <w:sz w:val="28"/>
          <w:szCs w:val="28"/>
        </w:rPr>
        <w:t>目录</w:t>
      </w:r>
    </w:p>
    <w:p w14:paraId="63538118">
      <w:pPr>
        <w:pStyle w:val="43"/>
        <w:keepNext w:val="0"/>
        <w:keepLines w:val="0"/>
        <w:pageBreakBefore w:val="0"/>
        <w:widowControl w:val="0"/>
        <w:kinsoku/>
        <w:wordWrap/>
        <w:overflowPunct/>
        <w:topLinePunct w:val="0"/>
        <w:autoSpaceDE/>
        <w:autoSpaceDN/>
        <w:bidi w:val="0"/>
        <w:adjustRightInd/>
        <w:snapToGrid/>
        <w:spacing w:line="264" w:lineRule="auto"/>
        <w:ind w:firstLine="482" w:firstLineChars="200"/>
        <w:jc w:val="left"/>
        <w:textAlignment w:val="auto"/>
        <w:outlineLvl w:val="9"/>
      </w:pPr>
      <w:r>
        <w:t>资格审查文件</w:t>
      </w:r>
    </w:p>
    <w:p w14:paraId="0358783B">
      <w:pPr>
        <w:pStyle w:val="11"/>
        <w:keepNext w:val="0"/>
        <w:keepLines w:val="0"/>
        <w:pageBreakBefore w:val="0"/>
        <w:widowControl w:val="0"/>
        <w:numPr>
          <w:ilvl w:val="0"/>
          <w:numId w:val="48"/>
        </w:numPr>
        <w:kinsoku/>
        <w:wordWrap/>
        <w:overflowPunct/>
        <w:topLinePunct w:val="0"/>
        <w:autoSpaceDE/>
        <w:autoSpaceDN/>
        <w:bidi w:val="0"/>
        <w:adjustRightInd/>
        <w:snapToGrid/>
        <w:spacing w:line="264" w:lineRule="auto"/>
        <w:ind w:left="0" w:leftChars="0" w:firstLine="482" w:firstLineChars="0"/>
        <w:textAlignment w:val="auto"/>
        <w:rPr>
          <w:b w:val="0"/>
          <w:color w:val="000000"/>
        </w:rPr>
      </w:pPr>
      <w:r>
        <w:rPr>
          <w:color w:val="000000"/>
        </w:rPr>
        <w:t>法定代表人身份证明书及法定代表人有效身份证正反面复印件；</w:t>
      </w:r>
      <w:r>
        <w:rPr>
          <w:b/>
          <w:color w:val="000000"/>
        </w:rPr>
        <w:t xml:space="preserve"> </w:t>
      </w:r>
    </w:p>
    <w:p w14:paraId="5439B421">
      <w:pPr>
        <w:pStyle w:val="11"/>
        <w:keepNext w:val="0"/>
        <w:keepLines w:val="0"/>
        <w:pageBreakBefore w:val="0"/>
        <w:widowControl w:val="0"/>
        <w:numPr>
          <w:ilvl w:val="0"/>
          <w:numId w:val="48"/>
        </w:numPr>
        <w:kinsoku/>
        <w:wordWrap/>
        <w:overflowPunct/>
        <w:topLinePunct w:val="0"/>
        <w:autoSpaceDE/>
        <w:autoSpaceDN/>
        <w:bidi w:val="0"/>
        <w:adjustRightInd/>
        <w:snapToGrid/>
        <w:spacing w:line="264" w:lineRule="auto"/>
        <w:ind w:left="0" w:leftChars="0" w:firstLine="482" w:firstLineChars="0"/>
        <w:textAlignment w:val="auto"/>
        <w:rPr>
          <w:b w:val="0"/>
          <w:color w:val="000000"/>
        </w:rPr>
      </w:pPr>
      <w:r>
        <w:rPr>
          <w:color w:val="000000"/>
        </w:rPr>
        <w:t>法定代表人授权委托书及被授权人有效身份证正反面复印件；</w:t>
      </w:r>
      <w:r>
        <w:rPr>
          <w:b/>
          <w:color w:val="000000"/>
        </w:rPr>
        <w:t xml:space="preserve"> </w:t>
      </w:r>
    </w:p>
    <w:p w14:paraId="2E0C5476">
      <w:pPr>
        <w:pStyle w:val="11"/>
        <w:keepNext w:val="0"/>
        <w:keepLines w:val="0"/>
        <w:pageBreakBefore w:val="0"/>
        <w:widowControl w:val="0"/>
        <w:numPr>
          <w:ilvl w:val="0"/>
          <w:numId w:val="48"/>
        </w:numPr>
        <w:kinsoku/>
        <w:wordWrap/>
        <w:overflowPunct/>
        <w:topLinePunct w:val="0"/>
        <w:autoSpaceDE/>
        <w:autoSpaceDN/>
        <w:bidi w:val="0"/>
        <w:adjustRightInd/>
        <w:snapToGrid/>
        <w:spacing w:line="264" w:lineRule="auto"/>
        <w:ind w:left="0" w:leftChars="0" w:firstLine="482" w:firstLineChars="0"/>
        <w:textAlignment w:val="auto"/>
        <w:rPr>
          <w:b w:val="0"/>
          <w:color w:val="000000"/>
        </w:rPr>
      </w:pPr>
      <w:r>
        <w:rPr>
          <w:color w:val="000000"/>
        </w:rPr>
        <w:t>供应商基本情况表（附有效的营业执照副本、企业资质证书副本、安全生产许可证副本复印件）；</w:t>
      </w:r>
      <w:r>
        <w:rPr>
          <w:b/>
          <w:color w:val="000000"/>
        </w:rPr>
        <w:t xml:space="preserve"> </w:t>
      </w:r>
    </w:p>
    <w:p w14:paraId="048AE128">
      <w:pPr>
        <w:pStyle w:val="11"/>
        <w:keepNext w:val="0"/>
        <w:keepLines w:val="0"/>
        <w:pageBreakBefore w:val="0"/>
        <w:widowControl w:val="0"/>
        <w:numPr>
          <w:ilvl w:val="0"/>
          <w:numId w:val="48"/>
        </w:numPr>
        <w:kinsoku/>
        <w:wordWrap/>
        <w:overflowPunct/>
        <w:topLinePunct w:val="0"/>
        <w:autoSpaceDE/>
        <w:autoSpaceDN/>
        <w:bidi w:val="0"/>
        <w:adjustRightInd/>
        <w:snapToGrid/>
        <w:spacing w:line="264" w:lineRule="auto"/>
        <w:ind w:left="0" w:leftChars="0" w:firstLine="482" w:firstLineChars="0"/>
        <w:textAlignment w:val="auto"/>
        <w:rPr>
          <w:b w:val="0"/>
          <w:color w:val="000000"/>
        </w:rPr>
      </w:pPr>
      <w:r>
        <w:rPr>
          <w:color w:val="000000"/>
        </w:rPr>
        <w:t xml:space="preserve">建设工程项目管理承诺书； </w:t>
      </w:r>
    </w:p>
    <w:p w14:paraId="4E846E2D">
      <w:pPr>
        <w:pStyle w:val="11"/>
        <w:keepNext w:val="0"/>
        <w:keepLines w:val="0"/>
        <w:pageBreakBefore w:val="0"/>
        <w:widowControl w:val="0"/>
        <w:numPr>
          <w:ilvl w:val="0"/>
          <w:numId w:val="48"/>
        </w:numPr>
        <w:kinsoku/>
        <w:wordWrap/>
        <w:overflowPunct/>
        <w:topLinePunct w:val="0"/>
        <w:autoSpaceDE/>
        <w:autoSpaceDN/>
        <w:bidi w:val="0"/>
        <w:adjustRightInd/>
        <w:snapToGrid/>
        <w:spacing w:line="264" w:lineRule="auto"/>
        <w:ind w:left="0" w:leftChars="0" w:firstLine="482" w:firstLineChars="0"/>
        <w:textAlignment w:val="auto"/>
        <w:rPr>
          <w:b w:val="0"/>
          <w:color w:val="000000"/>
        </w:rPr>
      </w:pPr>
      <w:r>
        <w:rPr>
          <w:color w:val="000000"/>
        </w:rPr>
        <w:t>项目经理须具备</w:t>
      </w:r>
      <w:r>
        <w:t>公路工程或</w:t>
      </w:r>
      <w:r>
        <w:rPr>
          <w:color w:val="000000"/>
        </w:rPr>
        <w:t>市政公用工程专业二级（含二级）以上注册建造师执业资格，具备有效的安全生产考核合格证书（B类）的证明材料复印件；</w:t>
      </w:r>
    </w:p>
    <w:p w14:paraId="7B78A949">
      <w:pPr>
        <w:pStyle w:val="11"/>
        <w:keepNext w:val="0"/>
        <w:keepLines w:val="0"/>
        <w:pageBreakBefore w:val="0"/>
        <w:widowControl w:val="0"/>
        <w:numPr>
          <w:ilvl w:val="0"/>
          <w:numId w:val="48"/>
        </w:numPr>
        <w:kinsoku/>
        <w:wordWrap/>
        <w:overflowPunct/>
        <w:topLinePunct w:val="0"/>
        <w:autoSpaceDE/>
        <w:autoSpaceDN/>
        <w:bidi w:val="0"/>
        <w:adjustRightInd/>
        <w:snapToGrid/>
        <w:spacing w:line="264" w:lineRule="auto"/>
        <w:ind w:left="0" w:leftChars="0" w:firstLine="482" w:firstLineChars="0"/>
        <w:textAlignment w:val="auto"/>
        <w:rPr>
          <w:b w:val="0"/>
          <w:color w:val="000000"/>
        </w:rPr>
      </w:pPr>
      <w:r>
        <w:rPr>
          <w:color w:val="000000"/>
        </w:rPr>
        <w:t>磋商供应商提供</w:t>
      </w:r>
      <w:r>
        <w:t>近半年内</w:t>
      </w:r>
      <w:r>
        <w:rPr>
          <w:color w:val="000000"/>
        </w:rPr>
        <w:t>连续三个月的依法缴纳的社保费凭证复印件或者《依法缴纳或依法交社保证明》复印件</w:t>
      </w:r>
      <w:r>
        <w:rPr>
          <w:highlight w:val="none"/>
        </w:rPr>
        <w:t>（如社保凭证或证明未包含养老保险及医疗保险部分，供应商须同时提供养老保险及医疗保险凭证或缴纳证明）</w:t>
      </w:r>
      <w:r>
        <w:rPr>
          <w:color w:val="000000"/>
        </w:rPr>
        <w:t>，如为新成立的磋商单位请按实际依法缴纳月份提供（必须提供，并加盖公章）；</w:t>
      </w:r>
    </w:p>
    <w:p w14:paraId="5E9C34E6">
      <w:pPr>
        <w:pStyle w:val="11"/>
        <w:keepNext w:val="0"/>
        <w:keepLines w:val="0"/>
        <w:pageBreakBefore w:val="0"/>
        <w:widowControl w:val="0"/>
        <w:numPr>
          <w:ilvl w:val="0"/>
          <w:numId w:val="48"/>
        </w:numPr>
        <w:kinsoku/>
        <w:wordWrap/>
        <w:overflowPunct/>
        <w:topLinePunct w:val="0"/>
        <w:autoSpaceDE/>
        <w:autoSpaceDN/>
        <w:bidi w:val="0"/>
        <w:adjustRightInd/>
        <w:snapToGrid/>
        <w:spacing w:line="264" w:lineRule="auto"/>
        <w:ind w:left="0" w:leftChars="0" w:firstLine="482" w:firstLineChars="0"/>
        <w:textAlignment w:val="auto"/>
        <w:rPr>
          <w:b w:val="0"/>
          <w:color w:val="000000"/>
        </w:rPr>
      </w:pPr>
      <w:r>
        <w:rPr>
          <w:color w:val="000000"/>
        </w:rPr>
        <w:t>磋商供应商提供</w:t>
      </w:r>
      <w:r>
        <w:t>近半年内</w:t>
      </w:r>
      <w:r>
        <w:rPr>
          <w:color w:val="000000"/>
        </w:rPr>
        <w:t>连续三个月依法纳税的完税凭证复印件或者《依法纳税或依法免税证明》复印件，如为新成立的磋商单位请按实际依法缴纳月份提供（必须提供，并加盖公章）；</w:t>
      </w:r>
    </w:p>
    <w:p w14:paraId="3BF09371">
      <w:pPr>
        <w:pStyle w:val="11"/>
        <w:keepNext w:val="0"/>
        <w:keepLines w:val="0"/>
        <w:pageBreakBefore w:val="0"/>
        <w:widowControl w:val="0"/>
        <w:numPr>
          <w:ilvl w:val="0"/>
          <w:numId w:val="48"/>
        </w:numPr>
        <w:kinsoku/>
        <w:wordWrap/>
        <w:overflowPunct/>
        <w:topLinePunct w:val="0"/>
        <w:autoSpaceDE/>
        <w:autoSpaceDN/>
        <w:bidi w:val="0"/>
        <w:adjustRightInd/>
        <w:snapToGrid/>
        <w:spacing w:line="264" w:lineRule="auto"/>
        <w:ind w:left="0" w:leftChars="0" w:firstLine="482" w:firstLineChars="0"/>
        <w:textAlignment w:val="auto"/>
        <w:rPr>
          <w:b w:val="0"/>
          <w:color w:val="000000"/>
        </w:rPr>
      </w:pPr>
      <w:r>
        <w:t>磋商供应商2022或2023度经审计财务报告复印件（若为新成立的企业，可根据实际情况提供月度财务报表，格式自拟）；</w:t>
      </w:r>
    </w:p>
    <w:p w14:paraId="557C1C5D">
      <w:pPr>
        <w:pStyle w:val="11"/>
        <w:keepNext w:val="0"/>
        <w:keepLines w:val="0"/>
        <w:pageBreakBefore w:val="0"/>
        <w:widowControl w:val="0"/>
        <w:numPr>
          <w:ilvl w:val="0"/>
          <w:numId w:val="48"/>
        </w:numPr>
        <w:kinsoku/>
        <w:wordWrap/>
        <w:overflowPunct/>
        <w:topLinePunct w:val="0"/>
        <w:autoSpaceDE/>
        <w:autoSpaceDN/>
        <w:bidi w:val="0"/>
        <w:adjustRightInd/>
        <w:snapToGrid/>
        <w:spacing w:line="264" w:lineRule="auto"/>
        <w:ind w:left="0" w:leftChars="0" w:firstLine="482" w:firstLineChars="0"/>
        <w:textAlignment w:val="auto"/>
        <w:rPr>
          <w:b w:val="0"/>
          <w:color w:val="000000"/>
        </w:rPr>
      </w:pPr>
      <w:r>
        <w:rPr>
          <w:color w:val="000000"/>
        </w:rPr>
        <w:t xml:space="preserve">参加政府采购活动前3年内在经营活动中没有重大违法记录的书面声明； </w:t>
      </w:r>
    </w:p>
    <w:p w14:paraId="45E53316">
      <w:pPr>
        <w:pStyle w:val="11"/>
        <w:keepNext w:val="0"/>
        <w:keepLines w:val="0"/>
        <w:pageBreakBefore w:val="0"/>
        <w:widowControl w:val="0"/>
        <w:numPr>
          <w:ilvl w:val="0"/>
          <w:numId w:val="48"/>
        </w:numPr>
        <w:kinsoku/>
        <w:wordWrap/>
        <w:overflowPunct/>
        <w:topLinePunct w:val="0"/>
        <w:autoSpaceDE/>
        <w:autoSpaceDN/>
        <w:bidi w:val="0"/>
        <w:adjustRightInd/>
        <w:snapToGrid/>
        <w:spacing w:line="264" w:lineRule="auto"/>
        <w:ind w:left="0" w:leftChars="0" w:firstLine="482" w:firstLineChars="0"/>
        <w:textAlignment w:val="auto"/>
        <w:rPr>
          <w:b w:val="0"/>
          <w:color w:val="000000"/>
        </w:rPr>
      </w:pPr>
      <w:r>
        <w:rPr>
          <w:color w:val="000000"/>
        </w:rPr>
        <w:t>供应商参加本项目无围标串标行为的承诺函（格式后附）</w:t>
      </w:r>
    </w:p>
    <w:p w14:paraId="3DCA187A">
      <w:pPr>
        <w:pStyle w:val="11"/>
        <w:keepNext w:val="0"/>
        <w:keepLines w:val="0"/>
        <w:pageBreakBefore w:val="0"/>
        <w:widowControl w:val="0"/>
        <w:numPr>
          <w:ilvl w:val="0"/>
          <w:numId w:val="48"/>
        </w:numPr>
        <w:kinsoku/>
        <w:wordWrap/>
        <w:overflowPunct/>
        <w:topLinePunct w:val="0"/>
        <w:autoSpaceDE/>
        <w:autoSpaceDN/>
        <w:bidi w:val="0"/>
        <w:adjustRightInd/>
        <w:snapToGrid/>
        <w:spacing w:line="264" w:lineRule="auto"/>
        <w:ind w:left="0" w:leftChars="0" w:firstLine="482" w:firstLineChars="0"/>
        <w:textAlignment w:val="auto"/>
        <w:rPr>
          <w:b w:val="0"/>
          <w:color w:val="000000"/>
        </w:rPr>
      </w:pPr>
      <w:r>
        <w:rPr>
          <w:color w:val="000000"/>
        </w:rPr>
        <w:t>供应商认为资格审查需要的其他材料</w:t>
      </w:r>
    </w:p>
    <w:p w14:paraId="31E8721C">
      <w:pPr>
        <w:pStyle w:val="43"/>
        <w:keepNext w:val="0"/>
        <w:keepLines w:val="0"/>
        <w:pageBreakBefore w:val="0"/>
        <w:widowControl w:val="0"/>
        <w:kinsoku/>
        <w:wordWrap/>
        <w:overflowPunct/>
        <w:topLinePunct w:val="0"/>
        <w:autoSpaceDE/>
        <w:autoSpaceDN/>
        <w:bidi w:val="0"/>
        <w:adjustRightInd/>
        <w:snapToGrid/>
        <w:spacing w:line="264" w:lineRule="auto"/>
        <w:ind w:firstLine="482" w:firstLineChars="200"/>
        <w:jc w:val="left"/>
        <w:textAlignment w:val="auto"/>
        <w:outlineLvl w:val="9"/>
      </w:pPr>
      <w:r>
        <w:t>商务文件</w:t>
      </w:r>
    </w:p>
    <w:p w14:paraId="0303D2DC">
      <w:pPr>
        <w:pStyle w:val="11"/>
        <w:keepNext w:val="0"/>
        <w:keepLines w:val="0"/>
        <w:pageBreakBefore w:val="0"/>
        <w:widowControl w:val="0"/>
        <w:numPr>
          <w:ilvl w:val="0"/>
          <w:numId w:val="49"/>
        </w:numPr>
        <w:kinsoku/>
        <w:wordWrap/>
        <w:overflowPunct/>
        <w:topLinePunct w:val="0"/>
        <w:autoSpaceDE/>
        <w:autoSpaceDN/>
        <w:bidi w:val="0"/>
        <w:adjustRightInd/>
        <w:snapToGrid/>
        <w:spacing w:line="264" w:lineRule="auto"/>
        <w:ind w:left="0" w:leftChars="0" w:firstLine="480" w:firstLineChars="0"/>
        <w:textAlignment w:val="auto"/>
        <w:rPr>
          <w:b w:val="0"/>
          <w:color w:val="000000"/>
        </w:rPr>
      </w:pPr>
      <w:r>
        <w:rPr>
          <w:color w:val="000000"/>
        </w:rPr>
        <w:t>磋商函</w:t>
      </w:r>
      <w:r>
        <w:rPr>
          <w:b/>
          <w:color w:val="000000"/>
        </w:rPr>
        <w:t xml:space="preserve"> </w:t>
      </w:r>
    </w:p>
    <w:p w14:paraId="5C51BFB7">
      <w:pPr>
        <w:pStyle w:val="11"/>
        <w:keepNext w:val="0"/>
        <w:keepLines w:val="0"/>
        <w:pageBreakBefore w:val="0"/>
        <w:widowControl w:val="0"/>
        <w:numPr>
          <w:ilvl w:val="0"/>
          <w:numId w:val="49"/>
        </w:numPr>
        <w:kinsoku/>
        <w:wordWrap/>
        <w:overflowPunct/>
        <w:topLinePunct w:val="0"/>
        <w:autoSpaceDE/>
        <w:autoSpaceDN/>
        <w:bidi w:val="0"/>
        <w:adjustRightInd/>
        <w:snapToGrid/>
        <w:spacing w:line="264" w:lineRule="auto"/>
        <w:ind w:left="0" w:leftChars="0" w:firstLine="480" w:firstLineChars="0"/>
        <w:textAlignment w:val="auto"/>
        <w:rPr>
          <w:b w:val="0"/>
          <w:color w:val="000000"/>
        </w:rPr>
      </w:pPr>
      <w:r>
        <w:rPr>
          <w:color w:val="000000"/>
        </w:rPr>
        <w:t>磋商函附录</w:t>
      </w:r>
    </w:p>
    <w:p w14:paraId="388FBE99">
      <w:pPr>
        <w:pStyle w:val="11"/>
        <w:keepNext w:val="0"/>
        <w:keepLines w:val="0"/>
        <w:pageBreakBefore w:val="0"/>
        <w:widowControl w:val="0"/>
        <w:numPr>
          <w:ilvl w:val="0"/>
          <w:numId w:val="49"/>
        </w:numPr>
        <w:kinsoku/>
        <w:wordWrap/>
        <w:overflowPunct/>
        <w:topLinePunct w:val="0"/>
        <w:autoSpaceDE/>
        <w:autoSpaceDN/>
        <w:bidi w:val="0"/>
        <w:adjustRightInd/>
        <w:snapToGrid/>
        <w:spacing w:line="264" w:lineRule="auto"/>
        <w:ind w:left="0" w:leftChars="0" w:firstLine="480" w:firstLineChars="0"/>
        <w:textAlignment w:val="auto"/>
        <w:rPr>
          <w:b w:val="0"/>
          <w:color w:val="000000"/>
        </w:rPr>
      </w:pPr>
      <w:r>
        <w:rPr>
          <w:color w:val="000000"/>
        </w:rPr>
        <w:t>磋商报价表</w:t>
      </w:r>
    </w:p>
    <w:p w14:paraId="43F13051">
      <w:pPr>
        <w:pStyle w:val="11"/>
        <w:keepNext w:val="0"/>
        <w:keepLines w:val="0"/>
        <w:pageBreakBefore w:val="0"/>
        <w:widowControl w:val="0"/>
        <w:numPr>
          <w:ilvl w:val="0"/>
          <w:numId w:val="49"/>
        </w:numPr>
        <w:kinsoku/>
        <w:wordWrap/>
        <w:overflowPunct/>
        <w:topLinePunct w:val="0"/>
        <w:autoSpaceDE/>
        <w:autoSpaceDN/>
        <w:bidi w:val="0"/>
        <w:adjustRightInd/>
        <w:snapToGrid/>
        <w:spacing w:line="264" w:lineRule="auto"/>
        <w:ind w:left="0" w:leftChars="0" w:firstLine="480" w:firstLineChars="0"/>
        <w:textAlignment w:val="auto"/>
        <w:rPr>
          <w:b w:val="0"/>
          <w:color w:val="000000"/>
        </w:rPr>
      </w:pPr>
      <w:r>
        <w:rPr>
          <w:color w:val="000000"/>
        </w:rPr>
        <w:t>已标价工程量清单</w:t>
      </w:r>
    </w:p>
    <w:p w14:paraId="59067634">
      <w:pPr>
        <w:pStyle w:val="11"/>
        <w:keepNext w:val="0"/>
        <w:keepLines w:val="0"/>
        <w:pageBreakBefore w:val="0"/>
        <w:widowControl w:val="0"/>
        <w:numPr>
          <w:ilvl w:val="0"/>
          <w:numId w:val="49"/>
        </w:numPr>
        <w:kinsoku/>
        <w:wordWrap/>
        <w:overflowPunct/>
        <w:topLinePunct w:val="0"/>
        <w:autoSpaceDE/>
        <w:autoSpaceDN/>
        <w:bidi w:val="0"/>
        <w:adjustRightInd/>
        <w:snapToGrid/>
        <w:spacing w:line="264" w:lineRule="auto"/>
        <w:ind w:left="0" w:leftChars="0" w:firstLine="480" w:firstLineChars="0"/>
        <w:textAlignment w:val="auto"/>
        <w:rPr>
          <w:b w:val="0"/>
        </w:rPr>
      </w:pPr>
      <w:r>
        <w:t>供应商认为必要提供的其它资料</w:t>
      </w:r>
    </w:p>
    <w:p w14:paraId="276DA067">
      <w:pPr>
        <w:pStyle w:val="11"/>
        <w:keepNext w:val="0"/>
        <w:keepLines w:val="0"/>
        <w:pageBreakBefore w:val="0"/>
        <w:widowControl w:val="0"/>
        <w:kinsoku/>
        <w:wordWrap/>
        <w:overflowPunct/>
        <w:topLinePunct w:val="0"/>
        <w:autoSpaceDE/>
        <w:autoSpaceDN/>
        <w:bidi w:val="0"/>
        <w:adjustRightInd/>
        <w:snapToGrid/>
        <w:spacing w:line="264" w:lineRule="auto"/>
        <w:textAlignment w:val="auto"/>
        <w:rPr>
          <w:b/>
          <w:color w:val="000000"/>
        </w:rPr>
      </w:pPr>
      <w:r>
        <w:rPr>
          <w:b/>
          <w:color w:val="000000"/>
        </w:rPr>
        <w:t>技术文件</w:t>
      </w:r>
    </w:p>
    <w:p w14:paraId="1DAE7C53">
      <w:pPr>
        <w:pStyle w:val="11"/>
        <w:keepNext w:val="0"/>
        <w:keepLines w:val="0"/>
        <w:pageBreakBefore w:val="0"/>
        <w:widowControl w:val="0"/>
        <w:numPr>
          <w:ilvl w:val="0"/>
          <w:numId w:val="50"/>
        </w:numPr>
        <w:kinsoku/>
        <w:wordWrap/>
        <w:overflowPunct/>
        <w:topLinePunct w:val="0"/>
        <w:autoSpaceDE/>
        <w:autoSpaceDN/>
        <w:bidi w:val="0"/>
        <w:adjustRightInd/>
        <w:snapToGrid/>
        <w:spacing w:line="264" w:lineRule="auto"/>
        <w:ind w:left="0" w:leftChars="0" w:firstLine="480" w:firstLineChars="0"/>
        <w:textAlignment w:val="auto"/>
        <w:rPr>
          <w:b w:val="0"/>
          <w:color w:val="000000"/>
        </w:rPr>
      </w:pPr>
      <w:r>
        <w:rPr>
          <w:color w:val="000000"/>
        </w:rPr>
        <w:t>施工组织设计</w:t>
      </w:r>
    </w:p>
    <w:p w14:paraId="2EC5F343">
      <w:pPr>
        <w:pStyle w:val="11"/>
        <w:keepNext w:val="0"/>
        <w:keepLines w:val="0"/>
        <w:pageBreakBefore w:val="0"/>
        <w:widowControl w:val="0"/>
        <w:numPr>
          <w:ilvl w:val="0"/>
          <w:numId w:val="50"/>
        </w:numPr>
        <w:kinsoku/>
        <w:wordWrap/>
        <w:overflowPunct/>
        <w:topLinePunct w:val="0"/>
        <w:autoSpaceDE/>
        <w:autoSpaceDN/>
        <w:bidi w:val="0"/>
        <w:adjustRightInd/>
        <w:snapToGrid/>
        <w:spacing w:line="264" w:lineRule="auto"/>
        <w:ind w:left="0" w:leftChars="0" w:firstLine="480" w:firstLineChars="0"/>
        <w:textAlignment w:val="auto"/>
        <w:rPr>
          <w:b w:val="0"/>
          <w:color w:val="000000"/>
        </w:rPr>
      </w:pPr>
      <w:r>
        <w:rPr>
          <w:color w:val="000000"/>
        </w:rPr>
        <w:t>项目管理机构配备情况表</w:t>
      </w:r>
    </w:p>
    <w:p w14:paraId="0CD2DFD2">
      <w:pPr>
        <w:pStyle w:val="11"/>
        <w:keepNext w:val="0"/>
        <w:keepLines w:val="0"/>
        <w:pageBreakBefore w:val="0"/>
        <w:widowControl w:val="0"/>
        <w:numPr>
          <w:ilvl w:val="0"/>
          <w:numId w:val="50"/>
        </w:numPr>
        <w:kinsoku/>
        <w:wordWrap/>
        <w:overflowPunct/>
        <w:topLinePunct w:val="0"/>
        <w:autoSpaceDE/>
        <w:autoSpaceDN/>
        <w:bidi w:val="0"/>
        <w:adjustRightInd/>
        <w:snapToGrid/>
        <w:spacing w:line="264" w:lineRule="auto"/>
        <w:ind w:left="0" w:leftChars="0" w:firstLine="480" w:firstLineChars="0"/>
        <w:textAlignment w:val="auto"/>
        <w:rPr>
          <w:b w:val="0"/>
          <w:color w:val="000000"/>
        </w:rPr>
      </w:pPr>
      <w:r>
        <w:rPr>
          <w:color w:val="000000"/>
        </w:rPr>
        <w:t>按本竞争性磋商文件规定提交的其它资料。</w:t>
      </w:r>
    </w:p>
    <w:p w14:paraId="3EA7CC8B">
      <w:pPr>
        <w:keepNext w:val="0"/>
        <w:keepLines w:val="0"/>
        <w:pageBreakBefore w:val="0"/>
        <w:widowControl w:val="0"/>
        <w:kinsoku/>
        <w:wordWrap/>
        <w:overflowPunct/>
        <w:topLinePunct w:val="0"/>
        <w:autoSpaceDE/>
        <w:autoSpaceDN/>
        <w:bidi w:val="0"/>
        <w:adjustRightInd/>
        <w:snapToGrid/>
        <w:spacing w:line="264" w:lineRule="auto"/>
        <w:textAlignment w:val="auto"/>
        <w:rPr>
          <w:rFonts w:hint="eastAsia"/>
          <w:color w:val="000000"/>
        </w:rPr>
        <w:sectPr>
          <w:headerReference r:id="rId4" w:type="first"/>
          <w:footerReference r:id="rId6" w:type="first"/>
          <w:footerReference r:id="rId5" w:type="default"/>
          <w:pgSz w:w="11907" w:h="16840"/>
          <w:pgMar w:top="1134" w:right="1134" w:bottom="1134" w:left="1134" w:header="851" w:footer="851" w:gutter="0"/>
          <w:cols w:space="720" w:num="1"/>
          <w:titlePg/>
          <w:docGrid w:linePitch="312" w:charSpace="0"/>
        </w:sectPr>
      </w:pPr>
    </w:p>
    <w:p w14:paraId="7029E735">
      <w:pPr>
        <w:spacing w:line="360" w:lineRule="auto"/>
        <w:jc w:val="center"/>
        <w:rPr>
          <w:rFonts w:hint="eastAsia" w:ascii="宋体" w:hAnsi="宋体"/>
          <w:b/>
          <w:color w:val="000000"/>
          <w:sz w:val="32"/>
          <w:szCs w:val="32"/>
        </w:rPr>
      </w:pPr>
      <w:r>
        <w:rPr>
          <w:rFonts w:hint="eastAsia" w:ascii="宋体" w:hAnsi="宋体"/>
          <w:b/>
          <w:color w:val="000000"/>
          <w:sz w:val="44"/>
          <w:szCs w:val="44"/>
        </w:rPr>
        <w:t>资格审查文件</w:t>
      </w:r>
    </w:p>
    <w:p w14:paraId="0E03AAC6">
      <w:pPr>
        <w:spacing w:line="360" w:lineRule="auto"/>
        <w:jc w:val="center"/>
        <w:rPr>
          <w:rFonts w:hint="eastAsia" w:ascii="宋体" w:hAnsi="宋体"/>
          <w:color w:val="000000"/>
          <w:szCs w:val="21"/>
        </w:rPr>
      </w:pPr>
    </w:p>
    <w:p w14:paraId="35AC4F60">
      <w:pPr>
        <w:spacing w:line="360" w:lineRule="auto"/>
        <w:ind w:firstLine="5880" w:firstLineChars="2800"/>
        <w:rPr>
          <w:rFonts w:hint="eastAsia" w:ascii="宋体" w:hAnsi="宋体"/>
          <w:color w:val="000000"/>
          <w:szCs w:val="21"/>
        </w:rPr>
      </w:pPr>
    </w:p>
    <w:p w14:paraId="63FAD453">
      <w:pPr>
        <w:spacing w:line="360" w:lineRule="auto"/>
        <w:rPr>
          <w:rFonts w:hint="eastAsia" w:ascii="宋体" w:hAnsi="宋体"/>
          <w:color w:val="000000"/>
          <w:szCs w:val="21"/>
        </w:rPr>
      </w:pPr>
      <w:r>
        <w:rPr>
          <w:rFonts w:ascii="宋体" w:hAnsi="宋体"/>
          <w:color w:val="000000"/>
          <w:szCs w:val="21"/>
        </w:rPr>
        <w:br w:type="page"/>
      </w:r>
    </w:p>
    <w:p w14:paraId="62C288B0">
      <w:pPr>
        <w:pStyle w:val="41"/>
      </w:pPr>
      <w:r>
        <w:t>资格审查文件目录</w:t>
      </w:r>
    </w:p>
    <w:p w14:paraId="721FCA82">
      <w:pPr>
        <w:spacing w:line="360" w:lineRule="auto"/>
        <w:jc w:val="center"/>
        <w:rPr>
          <w:rFonts w:hint="eastAsia" w:ascii="宋体" w:hAnsi="宋体"/>
          <w:b/>
          <w:color w:val="000000"/>
          <w:sz w:val="24"/>
        </w:rPr>
      </w:pPr>
      <w:r>
        <w:rPr>
          <w:rFonts w:hint="eastAsia" w:ascii="宋体" w:hAnsi="宋体"/>
          <w:b/>
          <w:color w:val="000000"/>
          <w:sz w:val="24"/>
        </w:rPr>
        <w:t>（应附有页码）</w:t>
      </w:r>
    </w:p>
    <w:p w14:paraId="5D369F9D">
      <w:pPr>
        <w:spacing w:line="360" w:lineRule="auto"/>
        <w:jc w:val="center"/>
        <w:rPr>
          <w:rFonts w:hint="eastAsia" w:ascii="宋体" w:hAnsi="宋体"/>
          <w:b/>
          <w:color w:val="000000"/>
          <w:sz w:val="24"/>
        </w:rPr>
      </w:pPr>
    </w:p>
    <w:p w14:paraId="631C4B48">
      <w:pPr>
        <w:spacing w:line="360" w:lineRule="auto"/>
        <w:rPr>
          <w:rFonts w:hint="eastAsia" w:ascii="宋体" w:hAnsi="宋体"/>
          <w:color w:val="000000"/>
          <w:szCs w:val="21"/>
        </w:rPr>
      </w:pPr>
    </w:p>
    <w:p w14:paraId="382B16A4">
      <w:pPr>
        <w:pStyle w:val="11"/>
        <w:keepNext w:val="0"/>
        <w:keepLines w:val="0"/>
        <w:pageBreakBefore w:val="0"/>
        <w:widowControl w:val="0"/>
        <w:numPr>
          <w:ilvl w:val="0"/>
          <w:numId w:val="51"/>
        </w:numPr>
        <w:kinsoku/>
        <w:wordWrap/>
        <w:overflowPunct/>
        <w:topLinePunct w:val="0"/>
        <w:autoSpaceDE/>
        <w:autoSpaceDN/>
        <w:bidi w:val="0"/>
        <w:adjustRightInd/>
        <w:snapToGrid/>
        <w:spacing w:line="264" w:lineRule="auto"/>
        <w:ind w:left="0" w:leftChars="0" w:firstLine="480" w:firstLineChars="0"/>
        <w:textAlignment w:val="auto"/>
        <w:rPr>
          <w:rFonts w:hint="eastAsia" w:ascii="宋体" w:hAnsi="宋体"/>
          <w:b w:val="0"/>
          <w:bCs w:val="0"/>
          <w:color w:val="000000"/>
          <w:szCs w:val="21"/>
        </w:rPr>
      </w:pPr>
      <w:r>
        <w:rPr>
          <w:rFonts w:hint="eastAsia" w:ascii="宋体" w:hAnsi="宋体"/>
          <w:b w:val="0"/>
          <w:bCs w:val="0"/>
          <w:color w:val="000000"/>
          <w:szCs w:val="21"/>
        </w:rPr>
        <w:t xml:space="preserve">法定代表人身份证明书及法定代表人有效身份证正反面复印件； </w:t>
      </w:r>
    </w:p>
    <w:p w14:paraId="6BA82F48">
      <w:pPr>
        <w:pStyle w:val="11"/>
        <w:keepNext w:val="0"/>
        <w:keepLines w:val="0"/>
        <w:pageBreakBefore w:val="0"/>
        <w:widowControl w:val="0"/>
        <w:numPr>
          <w:ilvl w:val="0"/>
          <w:numId w:val="51"/>
        </w:numPr>
        <w:kinsoku/>
        <w:wordWrap/>
        <w:overflowPunct/>
        <w:topLinePunct w:val="0"/>
        <w:autoSpaceDE/>
        <w:autoSpaceDN/>
        <w:bidi w:val="0"/>
        <w:adjustRightInd/>
        <w:snapToGrid/>
        <w:spacing w:line="264" w:lineRule="auto"/>
        <w:ind w:left="0" w:leftChars="0" w:firstLine="480" w:firstLineChars="0"/>
        <w:textAlignment w:val="auto"/>
        <w:rPr>
          <w:rFonts w:hint="eastAsia" w:ascii="宋体" w:hAnsi="宋体"/>
          <w:b w:val="0"/>
          <w:bCs w:val="0"/>
          <w:color w:val="000000"/>
          <w:szCs w:val="21"/>
        </w:rPr>
      </w:pPr>
      <w:r>
        <w:rPr>
          <w:rFonts w:hint="eastAsia" w:ascii="宋体" w:hAnsi="宋体"/>
          <w:b w:val="0"/>
          <w:bCs w:val="0"/>
          <w:color w:val="000000"/>
          <w:szCs w:val="21"/>
        </w:rPr>
        <w:t xml:space="preserve">法定代表人授权委托书及被授权人有效身份证正反面复印件； </w:t>
      </w:r>
    </w:p>
    <w:p w14:paraId="18DCBCCE">
      <w:pPr>
        <w:pStyle w:val="11"/>
        <w:keepNext w:val="0"/>
        <w:keepLines w:val="0"/>
        <w:pageBreakBefore w:val="0"/>
        <w:widowControl w:val="0"/>
        <w:numPr>
          <w:ilvl w:val="0"/>
          <w:numId w:val="51"/>
        </w:numPr>
        <w:kinsoku/>
        <w:wordWrap/>
        <w:overflowPunct/>
        <w:topLinePunct w:val="0"/>
        <w:autoSpaceDE/>
        <w:autoSpaceDN/>
        <w:bidi w:val="0"/>
        <w:adjustRightInd/>
        <w:snapToGrid/>
        <w:spacing w:line="264" w:lineRule="auto"/>
        <w:ind w:left="0" w:leftChars="0" w:firstLine="480" w:firstLineChars="0"/>
        <w:textAlignment w:val="auto"/>
        <w:rPr>
          <w:rFonts w:hint="eastAsia" w:ascii="宋体" w:hAnsi="宋体"/>
          <w:b/>
          <w:color w:val="000000"/>
          <w:szCs w:val="21"/>
        </w:rPr>
      </w:pPr>
      <w:r>
        <w:rPr>
          <w:rFonts w:hint="eastAsia" w:ascii="宋体" w:hAnsi="宋体"/>
          <w:b w:val="0"/>
          <w:bCs w:val="0"/>
          <w:color w:val="000000"/>
        </w:rPr>
        <w:t>供应商基本情况表（附有效的营业执照副本、企业资质证书副本、安全生产许可证副本复印件</w:t>
      </w:r>
      <w:r>
        <w:rPr>
          <w:rFonts w:hint="eastAsia" w:ascii="宋体" w:hAnsi="宋体"/>
          <w:color w:val="000000"/>
        </w:rPr>
        <w:t>）</w:t>
      </w:r>
      <w:r>
        <w:rPr>
          <w:rFonts w:hint="eastAsia" w:ascii="宋体" w:hAnsi="宋体"/>
          <w:bCs/>
          <w:color w:val="000000"/>
          <w:szCs w:val="21"/>
        </w:rPr>
        <w:t>；</w:t>
      </w:r>
      <w:r>
        <w:rPr>
          <w:rFonts w:hint="eastAsia" w:ascii="宋体" w:hAnsi="宋体"/>
          <w:b/>
          <w:color w:val="000000"/>
          <w:szCs w:val="21"/>
        </w:rPr>
        <w:t xml:space="preserve"> </w:t>
      </w:r>
    </w:p>
    <w:p w14:paraId="5799CEAA">
      <w:pPr>
        <w:pStyle w:val="11"/>
        <w:keepNext w:val="0"/>
        <w:keepLines w:val="0"/>
        <w:pageBreakBefore w:val="0"/>
        <w:widowControl w:val="0"/>
        <w:numPr>
          <w:ilvl w:val="0"/>
          <w:numId w:val="51"/>
        </w:numPr>
        <w:kinsoku/>
        <w:wordWrap/>
        <w:overflowPunct/>
        <w:topLinePunct w:val="0"/>
        <w:autoSpaceDE/>
        <w:autoSpaceDN/>
        <w:bidi w:val="0"/>
        <w:adjustRightInd/>
        <w:snapToGrid/>
        <w:spacing w:line="264" w:lineRule="auto"/>
        <w:ind w:left="0" w:leftChars="0" w:firstLine="480" w:firstLineChars="0"/>
        <w:textAlignment w:val="auto"/>
        <w:rPr>
          <w:rFonts w:hint="eastAsia" w:ascii="宋体" w:hAnsi="宋体"/>
          <w:color w:val="000000"/>
        </w:rPr>
      </w:pPr>
      <w:r>
        <w:rPr>
          <w:rFonts w:hint="eastAsia" w:ascii="宋体" w:hAnsi="宋体"/>
          <w:color w:val="000000"/>
        </w:rPr>
        <w:t>建设工程项目管理承诺书</w:t>
      </w:r>
      <w:r>
        <w:rPr>
          <w:rFonts w:hint="eastAsia" w:ascii="宋体" w:hAnsi="宋体"/>
          <w:bCs/>
          <w:color w:val="000000"/>
          <w:szCs w:val="21"/>
        </w:rPr>
        <w:t>；</w:t>
      </w:r>
      <w:r>
        <w:rPr>
          <w:rFonts w:hint="eastAsia" w:ascii="宋体" w:hAnsi="宋体"/>
          <w:color w:val="000000"/>
        </w:rPr>
        <w:t xml:space="preserve"> </w:t>
      </w:r>
    </w:p>
    <w:p w14:paraId="31A6E9BC">
      <w:pPr>
        <w:pStyle w:val="11"/>
        <w:keepNext w:val="0"/>
        <w:keepLines w:val="0"/>
        <w:pageBreakBefore w:val="0"/>
        <w:widowControl w:val="0"/>
        <w:numPr>
          <w:ilvl w:val="0"/>
          <w:numId w:val="51"/>
        </w:numPr>
        <w:kinsoku/>
        <w:wordWrap/>
        <w:overflowPunct/>
        <w:topLinePunct w:val="0"/>
        <w:autoSpaceDE/>
        <w:autoSpaceDN/>
        <w:bidi w:val="0"/>
        <w:adjustRightInd/>
        <w:snapToGrid/>
        <w:spacing w:line="264" w:lineRule="auto"/>
        <w:ind w:left="0" w:leftChars="0" w:firstLine="480" w:firstLineChars="0"/>
        <w:textAlignment w:val="auto"/>
        <w:rPr>
          <w:b/>
          <w:color w:val="000000"/>
        </w:rPr>
      </w:pPr>
      <w:r>
        <w:rPr>
          <w:color w:val="000000"/>
        </w:rPr>
        <w:t>项目经理须具备</w:t>
      </w:r>
      <w:r>
        <w:t>公路工程或</w:t>
      </w:r>
      <w:r>
        <w:rPr>
          <w:color w:val="000000"/>
        </w:rPr>
        <w:t>市政公用工程专业二级（含二级）以上注册建造师执业资格，具备有效的安全生产考核合格证书（B类）的证明材料复印件；</w:t>
      </w:r>
      <w:r>
        <w:rPr>
          <w:b/>
          <w:color w:val="000000"/>
        </w:rPr>
        <w:t xml:space="preserve"> </w:t>
      </w:r>
    </w:p>
    <w:p w14:paraId="5C97D208">
      <w:pPr>
        <w:pStyle w:val="11"/>
        <w:keepNext w:val="0"/>
        <w:keepLines w:val="0"/>
        <w:pageBreakBefore w:val="0"/>
        <w:widowControl w:val="0"/>
        <w:numPr>
          <w:ilvl w:val="0"/>
          <w:numId w:val="51"/>
        </w:numPr>
        <w:kinsoku/>
        <w:wordWrap/>
        <w:overflowPunct/>
        <w:topLinePunct w:val="0"/>
        <w:autoSpaceDE/>
        <w:autoSpaceDN/>
        <w:bidi w:val="0"/>
        <w:adjustRightInd/>
        <w:snapToGrid/>
        <w:spacing w:line="264" w:lineRule="auto"/>
        <w:ind w:left="0" w:leftChars="0" w:firstLine="480" w:firstLineChars="0"/>
        <w:textAlignment w:val="auto"/>
        <w:rPr>
          <w:color w:val="000000"/>
        </w:rPr>
      </w:pPr>
      <w:r>
        <w:rPr>
          <w:color w:val="000000"/>
        </w:rPr>
        <w:t>磋商供应商提供</w:t>
      </w:r>
      <w:r>
        <w:t>近半年内</w:t>
      </w:r>
      <w:r>
        <w:rPr>
          <w:color w:val="000000"/>
        </w:rPr>
        <w:t>连续三个月的依法缴纳的社保费凭证复印件或者《依法缴纳或依法交社保证明》复印件</w:t>
      </w:r>
      <w:r>
        <w:rPr>
          <w:highlight w:val="none"/>
        </w:rPr>
        <w:t>（如社保凭证或证明未包含养老保险及医疗保险部分，供应商须同时提供养老保险及医疗保险凭证或缴纳证明）</w:t>
      </w:r>
      <w:r>
        <w:rPr>
          <w:color w:val="000000"/>
        </w:rPr>
        <w:t>，如为新成立的磋商单位请按实际依法缴纳月份提供（必须提供，并加盖公章）；</w:t>
      </w:r>
    </w:p>
    <w:p w14:paraId="3D2D9855">
      <w:pPr>
        <w:pStyle w:val="11"/>
        <w:keepNext w:val="0"/>
        <w:keepLines w:val="0"/>
        <w:pageBreakBefore w:val="0"/>
        <w:widowControl w:val="0"/>
        <w:numPr>
          <w:ilvl w:val="0"/>
          <w:numId w:val="51"/>
        </w:numPr>
        <w:kinsoku/>
        <w:wordWrap/>
        <w:overflowPunct/>
        <w:topLinePunct w:val="0"/>
        <w:autoSpaceDE/>
        <w:autoSpaceDN/>
        <w:bidi w:val="0"/>
        <w:adjustRightInd/>
        <w:snapToGrid/>
        <w:spacing w:line="264" w:lineRule="auto"/>
        <w:ind w:left="0" w:leftChars="0" w:firstLine="480" w:firstLineChars="0"/>
        <w:textAlignment w:val="auto"/>
        <w:rPr>
          <w:color w:val="000000"/>
        </w:rPr>
      </w:pPr>
      <w:r>
        <w:rPr>
          <w:color w:val="000000"/>
        </w:rPr>
        <w:t>磋商供应商提供</w:t>
      </w:r>
      <w:r>
        <w:t>近半年内</w:t>
      </w:r>
      <w:r>
        <w:rPr>
          <w:color w:val="000000"/>
        </w:rPr>
        <w:t>连续三个月依法纳税的完税凭证复印件或者《依法纳税或依法免税证明》复印件，如为新成立的磋商单位请按实际依法缴纳月份提供（必须提供，并加盖公章）；</w:t>
      </w:r>
    </w:p>
    <w:p w14:paraId="1E0817C7">
      <w:pPr>
        <w:pStyle w:val="11"/>
        <w:keepNext w:val="0"/>
        <w:keepLines w:val="0"/>
        <w:pageBreakBefore w:val="0"/>
        <w:widowControl w:val="0"/>
        <w:numPr>
          <w:ilvl w:val="0"/>
          <w:numId w:val="51"/>
        </w:numPr>
        <w:kinsoku/>
        <w:wordWrap/>
        <w:overflowPunct/>
        <w:topLinePunct w:val="0"/>
        <w:autoSpaceDE/>
        <w:autoSpaceDN/>
        <w:bidi w:val="0"/>
        <w:adjustRightInd/>
        <w:snapToGrid/>
        <w:spacing w:line="264" w:lineRule="auto"/>
        <w:ind w:left="0" w:leftChars="0" w:firstLine="480" w:firstLineChars="0"/>
        <w:textAlignment w:val="auto"/>
      </w:pPr>
      <w:r>
        <w:t>磋商供应商2022或2023年度经审计财务报告复印件（若为新成立的企业，可根据实际情况提供月度财务报表，格式自拟）；</w:t>
      </w:r>
    </w:p>
    <w:p w14:paraId="34334A8D">
      <w:pPr>
        <w:pStyle w:val="11"/>
        <w:keepNext w:val="0"/>
        <w:keepLines w:val="0"/>
        <w:pageBreakBefore w:val="0"/>
        <w:widowControl w:val="0"/>
        <w:numPr>
          <w:ilvl w:val="0"/>
          <w:numId w:val="51"/>
        </w:numPr>
        <w:kinsoku/>
        <w:wordWrap/>
        <w:overflowPunct/>
        <w:topLinePunct w:val="0"/>
        <w:autoSpaceDE/>
        <w:autoSpaceDN/>
        <w:bidi w:val="0"/>
        <w:adjustRightInd/>
        <w:snapToGrid/>
        <w:spacing w:line="264" w:lineRule="auto"/>
        <w:ind w:left="0" w:leftChars="0" w:firstLine="480" w:firstLineChars="0"/>
        <w:textAlignment w:val="auto"/>
        <w:rPr>
          <w:color w:val="000000"/>
        </w:rPr>
      </w:pPr>
      <w:r>
        <w:rPr>
          <w:color w:val="000000"/>
        </w:rPr>
        <w:t xml:space="preserve">参加政府采购活动前3年内在经营活动中没有重大违法记录的书面声明； </w:t>
      </w:r>
    </w:p>
    <w:p w14:paraId="133E13E7">
      <w:pPr>
        <w:pStyle w:val="11"/>
        <w:keepNext w:val="0"/>
        <w:keepLines w:val="0"/>
        <w:pageBreakBefore w:val="0"/>
        <w:widowControl w:val="0"/>
        <w:numPr>
          <w:ilvl w:val="0"/>
          <w:numId w:val="51"/>
        </w:numPr>
        <w:kinsoku/>
        <w:wordWrap/>
        <w:overflowPunct/>
        <w:topLinePunct w:val="0"/>
        <w:autoSpaceDE/>
        <w:autoSpaceDN/>
        <w:bidi w:val="0"/>
        <w:adjustRightInd/>
        <w:snapToGrid/>
        <w:spacing w:line="264" w:lineRule="auto"/>
        <w:ind w:left="0" w:leftChars="0" w:firstLine="480" w:firstLineChars="0"/>
        <w:textAlignment w:val="auto"/>
        <w:rPr>
          <w:color w:val="000000"/>
        </w:rPr>
      </w:pPr>
      <w:r>
        <w:rPr>
          <w:color w:val="000000"/>
        </w:rPr>
        <w:t>供应商参加本项目无围标串标行为的承诺函（格式后附）</w:t>
      </w:r>
    </w:p>
    <w:p w14:paraId="5328F1B2">
      <w:pPr>
        <w:pStyle w:val="11"/>
        <w:keepNext w:val="0"/>
        <w:keepLines w:val="0"/>
        <w:pageBreakBefore w:val="0"/>
        <w:widowControl w:val="0"/>
        <w:numPr>
          <w:ilvl w:val="0"/>
          <w:numId w:val="51"/>
        </w:numPr>
        <w:kinsoku/>
        <w:wordWrap/>
        <w:overflowPunct/>
        <w:topLinePunct w:val="0"/>
        <w:autoSpaceDE/>
        <w:autoSpaceDN/>
        <w:bidi w:val="0"/>
        <w:adjustRightInd/>
        <w:snapToGrid/>
        <w:spacing w:line="264" w:lineRule="auto"/>
        <w:ind w:left="0" w:leftChars="0" w:firstLine="480" w:firstLineChars="0"/>
        <w:textAlignment w:val="auto"/>
        <w:rPr>
          <w:color w:val="000000"/>
        </w:rPr>
      </w:pPr>
      <w:r>
        <w:rPr>
          <w:color w:val="000000"/>
        </w:rPr>
        <w:t>供应商认为资格审查需要的其他材料</w:t>
      </w:r>
    </w:p>
    <w:p w14:paraId="21F33BEE">
      <w:pPr>
        <w:pStyle w:val="12"/>
        <w:rPr>
          <w:color w:val="000000"/>
        </w:rPr>
      </w:pPr>
    </w:p>
    <w:p w14:paraId="6F9F7384">
      <w:pPr>
        <w:pStyle w:val="13"/>
        <w:rPr>
          <w:color w:val="000000"/>
        </w:rPr>
      </w:pPr>
    </w:p>
    <w:p w14:paraId="175E3485">
      <w:pPr>
        <w:rPr>
          <w:color w:val="000000"/>
        </w:rPr>
      </w:pPr>
    </w:p>
    <w:p w14:paraId="6B87E703">
      <w:pPr>
        <w:rPr>
          <w:color w:val="000000"/>
        </w:rPr>
      </w:pPr>
    </w:p>
    <w:p w14:paraId="64F335A7">
      <w:pPr>
        <w:rPr>
          <w:color w:val="000000"/>
        </w:rPr>
      </w:pPr>
    </w:p>
    <w:p w14:paraId="2C837569">
      <w:pPr>
        <w:rPr>
          <w:color w:val="000000"/>
        </w:rPr>
      </w:pPr>
    </w:p>
    <w:p w14:paraId="09C60F52">
      <w:pPr>
        <w:rPr>
          <w:color w:val="000000"/>
        </w:rPr>
      </w:pPr>
    </w:p>
    <w:p w14:paraId="1FAC9DEB">
      <w:pPr>
        <w:rPr>
          <w:color w:val="000000"/>
        </w:rPr>
      </w:pPr>
    </w:p>
    <w:p w14:paraId="40F1C68E">
      <w:pPr>
        <w:rPr>
          <w:color w:val="000000"/>
        </w:rPr>
      </w:pPr>
    </w:p>
    <w:p w14:paraId="44787338">
      <w:pPr>
        <w:rPr>
          <w:color w:val="000000"/>
        </w:rPr>
      </w:pPr>
    </w:p>
    <w:p w14:paraId="264161EB">
      <w:pPr>
        <w:rPr>
          <w:color w:val="000000"/>
        </w:rPr>
      </w:pPr>
    </w:p>
    <w:p w14:paraId="3D31427A">
      <w:pPr>
        <w:rPr>
          <w:color w:val="000000"/>
        </w:rPr>
      </w:pPr>
    </w:p>
    <w:p w14:paraId="77FB4B9B">
      <w:pPr>
        <w:rPr>
          <w:color w:val="000000"/>
        </w:rPr>
      </w:pPr>
    </w:p>
    <w:p w14:paraId="03E9E77D">
      <w:pPr>
        <w:rPr>
          <w:color w:val="000000"/>
        </w:rPr>
      </w:pPr>
    </w:p>
    <w:p w14:paraId="567192AE">
      <w:pPr>
        <w:rPr>
          <w:color w:val="000000"/>
        </w:rPr>
      </w:pPr>
    </w:p>
    <w:p w14:paraId="0C631B98">
      <w:pPr>
        <w:rPr>
          <w:color w:val="000000"/>
        </w:rPr>
      </w:pPr>
    </w:p>
    <w:p w14:paraId="3637007B">
      <w:pPr>
        <w:pStyle w:val="2"/>
        <w:numPr>
          <w:ilvl w:val="0"/>
          <w:numId w:val="52"/>
        </w:numPr>
        <w:tabs>
          <w:tab w:val="clear" w:pos="482"/>
        </w:tabs>
        <w:bidi w:val="0"/>
        <w:ind w:left="0" w:leftChars="0" w:firstLine="480" w:firstLineChars="0"/>
      </w:pPr>
      <w:r>
        <w:t>法定代表人身份证明书及法定代表人有效身份证正反面复印件；（格式）</w:t>
      </w:r>
    </w:p>
    <w:p w14:paraId="3BB0CCF9">
      <w:pPr>
        <w:spacing w:line="360" w:lineRule="auto"/>
        <w:ind w:firstLine="703" w:firstLineChars="250"/>
        <w:jc w:val="center"/>
        <w:rPr>
          <w:rFonts w:hint="eastAsia" w:ascii="宋体" w:hAnsi="宋体"/>
          <w:b/>
          <w:color w:val="000000"/>
          <w:sz w:val="28"/>
          <w:szCs w:val="28"/>
        </w:rPr>
      </w:pPr>
    </w:p>
    <w:p w14:paraId="21EE4B95">
      <w:pPr>
        <w:pStyle w:val="43"/>
        <w:outlineLvl w:val="9"/>
      </w:pPr>
      <w:r>
        <w:t>法定代表人身份证明</w:t>
      </w:r>
    </w:p>
    <w:p w14:paraId="4D8C48BA">
      <w:pPr>
        <w:pStyle w:val="11"/>
        <w:rPr>
          <w:color w:val="000000"/>
        </w:rPr>
      </w:pPr>
      <w:r>
        <w:rPr>
          <w:color w:val="000000"/>
        </w:rPr>
        <w:t>供 应 商：</w:t>
      </w:r>
      <w:r>
        <w:rPr>
          <w:color w:val="000000"/>
          <w:u w:val="single"/>
        </w:rPr>
        <w:t xml:space="preserve">                                                        </w:t>
      </w:r>
    </w:p>
    <w:p w14:paraId="651DD35F">
      <w:pPr>
        <w:pStyle w:val="11"/>
        <w:rPr>
          <w:color w:val="000000"/>
        </w:rPr>
      </w:pPr>
      <w:r>
        <w:rPr>
          <w:color w:val="000000"/>
        </w:rPr>
        <w:t>单位性质：</w:t>
      </w:r>
      <w:r>
        <w:rPr>
          <w:color w:val="000000"/>
          <w:u w:val="single"/>
        </w:rPr>
        <w:t xml:space="preserve">                                                        </w:t>
      </w:r>
    </w:p>
    <w:p w14:paraId="458A2A08">
      <w:pPr>
        <w:pStyle w:val="11"/>
        <w:rPr>
          <w:color w:val="000000"/>
        </w:rPr>
      </w:pPr>
      <w:r>
        <w:rPr>
          <w:color w:val="000000"/>
        </w:rPr>
        <w:t>地    址：</w:t>
      </w:r>
      <w:r>
        <w:rPr>
          <w:color w:val="000000"/>
          <w:u w:val="single"/>
        </w:rPr>
        <w:t xml:space="preserve">                                                        </w:t>
      </w:r>
    </w:p>
    <w:p w14:paraId="196B6E85">
      <w:pPr>
        <w:pStyle w:val="11"/>
        <w:rPr>
          <w:color w:val="000000"/>
        </w:rPr>
      </w:pPr>
      <w:r>
        <w:rPr>
          <w:color w:val="000000"/>
        </w:rPr>
        <w:t>成立时间：</w:t>
      </w:r>
      <w:r>
        <w:rPr>
          <w:color w:val="000000"/>
          <w:u w:val="single"/>
        </w:rPr>
        <w:t xml:space="preserve">                 </w:t>
      </w:r>
      <w:r>
        <w:rPr>
          <w:color w:val="000000"/>
        </w:rPr>
        <w:t>年</w:t>
      </w:r>
      <w:r>
        <w:rPr>
          <w:color w:val="000000"/>
          <w:u w:val="single"/>
        </w:rPr>
        <w:t xml:space="preserve">              </w:t>
      </w:r>
      <w:r>
        <w:rPr>
          <w:color w:val="000000"/>
        </w:rPr>
        <w:t>月</w:t>
      </w:r>
      <w:r>
        <w:rPr>
          <w:color w:val="000000"/>
          <w:u w:val="single"/>
        </w:rPr>
        <w:t xml:space="preserve">              </w:t>
      </w:r>
      <w:r>
        <w:rPr>
          <w:color w:val="000000"/>
        </w:rPr>
        <w:t>日</w:t>
      </w:r>
    </w:p>
    <w:p w14:paraId="48B7256B">
      <w:pPr>
        <w:pStyle w:val="11"/>
        <w:rPr>
          <w:color w:val="000000"/>
        </w:rPr>
      </w:pPr>
      <w:r>
        <w:rPr>
          <w:color w:val="000000"/>
        </w:rPr>
        <w:t>经营期限：</w:t>
      </w:r>
      <w:r>
        <w:rPr>
          <w:color w:val="000000"/>
          <w:u w:val="single"/>
        </w:rPr>
        <w:t xml:space="preserve">                                                        </w:t>
      </w:r>
    </w:p>
    <w:p w14:paraId="564C413F">
      <w:pPr>
        <w:pStyle w:val="11"/>
        <w:rPr>
          <w:color w:val="000000"/>
        </w:rPr>
      </w:pPr>
      <w:r>
        <w:rPr>
          <w:color w:val="000000"/>
        </w:rPr>
        <w:t>姓    名：</w:t>
      </w:r>
      <w:r>
        <w:rPr>
          <w:color w:val="000000"/>
          <w:u w:val="single"/>
        </w:rPr>
        <w:t xml:space="preserve">                          </w:t>
      </w:r>
      <w:r>
        <w:rPr>
          <w:color w:val="000000"/>
        </w:rPr>
        <w:t>性     别：</w:t>
      </w:r>
      <w:r>
        <w:rPr>
          <w:color w:val="000000"/>
          <w:u w:val="single"/>
        </w:rPr>
        <w:t xml:space="preserve">                   </w:t>
      </w:r>
    </w:p>
    <w:p w14:paraId="4E5136CB">
      <w:pPr>
        <w:pStyle w:val="11"/>
        <w:rPr>
          <w:color w:val="000000"/>
        </w:rPr>
      </w:pPr>
      <w:r>
        <w:rPr>
          <w:color w:val="000000"/>
        </w:rPr>
        <w:t>年    龄：</w:t>
      </w:r>
      <w:r>
        <w:rPr>
          <w:color w:val="000000"/>
          <w:u w:val="single"/>
        </w:rPr>
        <w:t xml:space="preserve">                          </w:t>
      </w:r>
      <w:r>
        <w:rPr>
          <w:color w:val="000000"/>
        </w:rPr>
        <w:t>职     务：</w:t>
      </w:r>
      <w:r>
        <w:rPr>
          <w:color w:val="000000"/>
          <w:u w:val="single"/>
        </w:rPr>
        <w:t xml:space="preserve">                   </w:t>
      </w:r>
    </w:p>
    <w:p w14:paraId="4A019CDA">
      <w:pPr>
        <w:pStyle w:val="11"/>
        <w:rPr>
          <w:color w:val="000000"/>
        </w:rPr>
      </w:pPr>
      <w:r>
        <w:rPr>
          <w:color w:val="000000"/>
        </w:rPr>
        <w:t>系</w:t>
      </w:r>
      <w:r>
        <w:rPr>
          <w:color w:val="000000"/>
          <w:u w:val="single"/>
        </w:rPr>
        <w:t xml:space="preserve">                                                 </w:t>
      </w:r>
      <w:r>
        <w:rPr>
          <w:color w:val="000000"/>
        </w:rPr>
        <w:t>（供应商名称）的法定代表人。</w:t>
      </w:r>
    </w:p>
    <w:p w14:paraId="08A240EE">
      <w:pPr>
        <w:pStyle w:val="11"/>
        <w:rPr>
          <w:color w:val="000000"/>
        </w:rPr>
      </w:pPr>
      <w:r>
        <w:rPr>
          <w:color w:val="000000"/>
        </w:rPr>
        <w:t>特此证明。</w:t>
      </w:r>
    </w:p>
    <w:p w14:paraId="243062E7">
      <w:pPr>
        <w:spacing w:line="360" w:lineRule="auto"/>
        <w:rPr>
          <w:rFonts w:hint="eastAsia" w:ascii="宋体" w:hAnsi="宋体"/>
          <w:color w:val="000000"/>
          <w:szCs w:val="21"/>
        </w:rPr>
      </w:pPr>
    </w:p>
    <w:p w14:paraId="46774FA6">
      <w:pPr>
        <w:pStyle w:val="11"/>
        <w:rPr>
          <w:color w:val="000000"/>
        </w:rPr>
      </w:pPr>
      <w:r>
        <w:rPr>
          <w:color w:val="000000"/>
        </w:rPr>
        <w:t>附件：法定代表人有效身份证正反面复印件</w:t>
      </w:r>
    </w:p>
    <w:p w14:paraId="32AF4180">
      <w:pPr>
        <w:spacing w:line="360" w:lineRule="auto"/>
        <w:rPr>
          <w:rFonts w:ascii="宋体" w:hAnsi="宋体"/>
          <w:color w:val="000000"/>
          <w:szCs w:val="21"/>
        </w:rPr>
      </w:pPr>
    </w:p>
    <w:p w14:paraId="1E5D0C6D">
      <w:pPr>
        <w:spacing w:line="360" w:lineRule="auto"/>
        <w:jc w:val="right"/>
        <w:rPr>
          <w:rFonts w:ascii="Times New Roman" w:hAnsi="Times New Roman" w:eastAsia="宋体" w:cs="Times New Roman"/>
          <w:color w:val="000000"/>
          <w:sz w:val="24"/>
          <w:szCs w:val="21"/>
        </w:rPr>
      </w:pPr>
      <w:r>
        <w:rPr>
          <w:rFonts w:hint="eastAsia" w:ascii="Times New Roman" w:hAnsi="Times New Roman" w:eastAsia="宋体" w:cs="Times New Roman"/>
          <w:color w:val="000000"/>
          <w:sz w:val="24"/>
          <w:szCs w:val="21"/>
        </w:rPr>
        <w:t>供应商</w:t>
      </w:r>
      <w:r>
        <w:rPr>
          <w:rFonts w:ascii="Times New Roman" w:hAnsi="Times New Roman" w:eastAsia="宋体" w:cs="Times New Roman"/>
          <w:color w:val="000000"/>
          <w:sz w:val="24"/>
          <w:szCs w:val="21"/>
        </w:rPr>
        <w:t>：</w:t>
      </w:r>
      <w:r>
        <w:rPr>
          <w:rFonts w:ascii="Times New Roman" w:hAnsi="Times New Roman" w:eastAsia="宋体" w:cs="Times New Roman"/>
          <w:color w:val="000000"/>
          <w:sz w:val="24"/>
          <w:szCs w:val="21"/>
          <w:u w:val="single"/>
        </w:rPr>
        <w:t xml:space="preserve">                          </w:t>
      </w:r>
      <w:r>
        <w:rPr>
          <w:rFonts w:ascii="Times New Roman" w:hAnsi="Times New Roman" w:eastAsia="宋体" w:cs="Times New Roman"/>
          <w:color w:val="000000"/>
          <w:sz w:val="24"/>
          <w:szCs w:val="21"/>
        </w:rPr>
        <w:t>（盖单位章）</w:t>
      </w:r>
    </w:p>
    <w:p w14:paraId="7730A7D1">
      <w:pPr>
        <w:spacing w:line="360" w:lineRule="auto"/>
        <w:ind w:left="420" w:leftChars="200" w:firstLine="4200" w:firstLineChars="1750"/>
        <w:rPr>
          <w:rFonts w:hint="eastAsia" w:ascii="Times New Roman" w:hAnsi="Times New Roman" w:eastAsia="宋体" w:cs="Times New Roman"/>
          <w:color w:val="000000"/>
          <w:sz w:val="24"/>
          <w:szCs w:val="21"/>
        </w:rPr>
      </w:pPr>
      <w:r>
        <w:rPr>
          <w:rFonts w:ascii="Times New Roman" w:hAnsi="Times New Roman" w:eastAsia="宋体" w:cs="Times New Roman"/>
          <w:color w:val="000000"/>
          <w:sz w:val="24"/>
          <w:szCs w:val="21"/>
          <w:u w:val="single"/>
        </w:rPr>
        <w:t xml:space="preserve">      </w:t>
      </w:r>
      <w:r>
        <w:rPr>
          <w:rFonts w:hint="eastAsia" w:ascii="Times New Roman" w:hAnsi="Times New Roman" w:eastAsia="宋体" w:cs="Times New Roman"/>
          <w:color w:val="000000"/>
          <w:sz w:val="24"/>
          <w:szCs w:val="21"/>
          <w:u w:val="single"/>
        </w:rPr>
        <w:t xml:space="preserve">       </w:t>
      </w:r>
      <w:r>
        <w:rPr>
          <w:rFonts w:ascii="Times New Roman" w:hAnsi="Times New Roman" w:eastAsia="宋体" w:cs="Times New Roman"/>
          <w:color w:val="000000"/>
          <w:sz w:val="24"/>
          <w:szCs w:val="21"/>
          <w:u w:val="single"/>
        </w:rPr>
        <w:t xml:space="preserve">   </w:t>
      </w:r>
      <w:r>
        <w:rPr>
          <w:rFonts w:ascii="Times New Roman" w:hAnsi="Times New Roman" w:eastAsia="宋体" w:cs="Times New Roman"/>
          <w:color w:val="000000"/>
          <w:sz w:val="24"/>
          <w:szCs w:val="21"/>
        </w:rPr>
        <w:t>年</w:t>
      </w:r>
      <w:r>
        <w:rPr>
          <w:rFonts w:ascii="Times New Roman" w:hAnsi="Times New Roman" w:eastAsia="宋体" w:cs="Times New Roman"/>
          <w:color w:val="000000"/>
          <w:sz w:val="24"/>
          <w:szCs w:val="21"/>
          <w:u w:val="single"/>
        </w:rPr>
        <w:t xml:space="preserve">        </w:t>
      </w:r>
      <w:r>
        <w:rPr>
          <w:rFonts w:ascii="Times New Roman" w:hAnsi="Times New Roman" w:eastAsia="宋体" w:cs="Times New Roman"/>
          <w:color w:val="000000"/>
          <w:sz w:val="24"/>
          <w:szCs w:val="21"/>
        </w:rPr>
        <w:t>月</w:t>
      </w:r>
      <w:r>
        <w:rPr>
          <w:rFonts w:ascii="Times New Roman" w:hAnsi="Times New Roman" w:eastAsia="宋体" w:cs="Times New Roman"/>
          <w:color w:val="000000"/>
          <w:sz w:val="24"/>
          <w:szCs w:val="21"/>
          <w:u w:val="single"/>
        </w:rPr>
        <w:t xml:space="preserve">        </w:t>
      </w:r>
      <w:r>
        <w:rPr>
          <w:rFonts w:ascii="Times New Roman" w:hAnsi="Times New Roman" w:eastAsia="宋体" w:cs="Times New Roman"/>
          <w:color w:val="000000"/>
          <w:sz w:val="24"/>
          <w:szCs w:val="21"/>
        </w:rPr>
        <w:t>日</w:t>
      </w:r>
    </w:p>
    <w:p w14:paraId="70F69A75">
      <w:pPr>
        <w:spacing w:line="360" w:lineRule="auto"/>
        <w:ind w:left="420" w:leftChars="200" w:firstLine="3675" w:firstLineChars="1750"/>
        <w:rPr>
          <w:rFonts w:hint="eastAsia" w:ascii="宋体" w:hAnsi="宋体"/>
          <w:color w:val="000000"/>
          <w:szCs w:val="21"/>
        </w:rPr>
      </w:pPr>
    </w:p>
    <w:p w14:paraId="482E49C3">
      <w:pPr>
        <w:spacing w:line="360" w:lineRule="auto"/>
        <w:ind w:left="420" w:leftChars="200" w:firstLine="3675" w:firstLineChars="1750"/>
        <w:rPr>
          <w:rFonts w:hint="eastAsia" w:ascii="宋体" w:hAnsi="宋体"/>
          <w:color w:val="000000"/>
          <w:szCs w:val="21"/>
        </w:rPr>
      </w:pPr>
    </w:p>
    <w:p w14:paraId="7F62862E">
      <w:pPr>
        <w:spacing w:line="360" w:lineRule="auto"/>
        <w:ind w:left="420" w:leftChars="200" w:firstLine="3675" w:firstLineChars="1750"/>
        <w:rPr>
          <w:rFonts w:hint="eastAsia" w:ascii="宋体" w:hAnsi="宋体"/>
          <w:b/>
          <w:color w:val="000000"/>
          <w:szCs w:val="21"/>
        </w:rPr>
      </w:pPr>
      <w:r>
        <w:rPr>
          <w:rFonts w:ascii="宋体" w:hAnsi="宋体"/>
          <w:color w:val="000000"/>
          <w:szCs w:val="21"/>
        </w:rPr>
        <w:br w:type="page"/>
      </w:r>
    </w:p>
    <w:p w14:paraId="1AA22095">
      <w:pPr>
        <w:pStyle w:val="2"/>
        <w:numPr>
          <w:ilvl w:val="0"/>
          <w:numId w:val="52"/>
        </w:numPr>
        <w:tabs>
          <w:tab w:val="clear" w:pos="482"/>
        </w:tabs>
        <w:bidi w:val="0"/>
        <w:ind w:left="0" w:leftChars="0" w:firstLine="480" w:firstLineChars="0"/>
      </w:pPr>
      <w:r>
        <w:t>法定代表人授权委托书及被授权人有效身份证正反面复印件（格式）</w:t>
      </w:r>
    </w:p>
    <w:p w14:paraId="049F8B7F">
      <w:pPr>
        <w:adjustRightInd w:val="0"/>
        <w:snapToGrid w:val="0"/>
        <w:spacing w:line="360" w:lineRule="auto"/>
        <w:jc w:val="center"/>
        <w:rPr>
          <w:rFonts w:hint="eastAsia" w:ascii="宋体" w:hAnsi="宋体"/>
          <w:b/>
          <w:color w:val="000000"/>
          <w:sz w:val="32"/>
          <w:szCs w:val="32"/>
        </w:rPr>
      </w:pPr>
    </w:p>
    <w:p w14:paraId="5DB2AE5E">
      <w:pPr>
        <w:pStyle w:val="43"/>
        <w:outlineLvl w:val="9"/>
      </w:pPr>
      <w:r>
        <w:t>法 定 代 表 人 授 权 书</w:t>
      </w:r>
    </w:p>
    <w:p w14:paraId="4E947C0A">
      <w:pPr>
        <w:adjustRightInd w:val="0"/>
        <w:snapToGrid w:val="0"/>
        <w:spacing w:line="360" w:lineRule="auto"/>
        <w:rPr>
          <w:rFonts w:hint="eastAsia" w:ascii="宋体" w:hAnsi="宋体"/>
          <w:color w:val="000000"/>
          <w:szCs w:val="21"/>
        </w:rPr>
      </w:pPr>
    </w:p>
    <w:p w14:paraId="7112C1DA">
      <w:pPr>
        <w:pStyle w:val="11"/>
        <w:ind w:firstLine="0" w:firstLineChars="0"/>
        <w:rPr>
          <w:b/>
          <w:color w:val="000000"/>
        </w:rPr>
      </w:pPr>
      <w:r>
        <w:rPr>
          <w:color w:val="000000"/>
        </w:rPr>
        <w:t>致：</w:t>
      </w:r>
      <w:r>
        <w:rPr>
          <w:rFonts w:hint="eastAsia"/>
          <w:color w:val="000000"/>
          <w:u w:val="single"/>
          <w:lang w:eastAsia="zh-CN"/>
        </w:rPr>
        <w:t>广西国立工程咨询有限公司</w:t>
      </w:r>
      <w:r>
        <w:rPr>
          <w:color w:val="000000"/>
          <w:u w:val="single"/>
        </w:rPr>
        <w:t>　</w:t>
      </w:r>
      <w:r>
        <w:rPr>
          <w:b/>
          <w:color w:val="000000"/>
        </w:rPr>
        <w:t xml:space="preserve"> </w:t>
      </w:r>
      <w:r>
        <w:rPr>
          <w:color w:val="000000"/>
        </w:rPr>
        <w:t>：</w:t>
      </w:r>
    </w:p>
    <w:p w14:paraId="5811E9A0">
      <w:pPr>
        <w:pStyle w:val="11"/>
        <w:rPr>
          <w:color w:val="000000"/>
        </w:rPr>
      </w:pPr>
      <w:r>
        <w:rPr>
          <w:color w:val="000000"/>
        </w:rPr>
        <w:t xml:space="preserve">我______（姓名）系______（供应商名称）的法定代表人，现授权委托本单位在职职工 </w:t>
      </w:r>
      <w:r>
        <w:rPr>
          <w:color w:val="000000"/>
          <w:u w:val="single"/>
        </w:rPr>
        <w:t xml:space="preserve">            </w:t>
      </w:r>
      <w:r>
        <w:rPr>
          <w:color w:val="000000"/>
        </w:rPr>
        <w:t>（姓名）以我方的名义参加</w:t>
      </w:r>
      <w:r>
        <w:rPr>
          <w:color w:val="000000"/>
          <w:u w:val="single"/>
        </w:rPr>
        <w:t xml:space="preserve">         </w:t>
      </w:r>
      <w:r>
        <w:rPr>
          <w:color w:val="000000"/>
        </w:rPr>
        <w:t>项目的磋商活动，并代表我方全权办理针对上述项目的递交文件、磋商、澄清、签约等具体事务和签署相关文件。</w:t>
      </w:r>
    </w:p>
    <w:p w14:paraId="3571F61C">
      <w:pPr>
        <w:pStyle w:val="11"/>
        <w:rPr>
          <w:color w:val="000000"/>
        </w:rPr>
      </w:pPr>
      <w:r>
        <w:rPr>
          <w:color w:val="000000"/>
        </w:rPr>
        <w:t>我方对被授权人的签名事项负全部责任。</w:t>
      </w:r>
    </w:p>
    <w:p w14:paraId="09955FBE">
      <w:pPr>
        <w:pStyle w:val="11"/>
        <w:rPr>
          <w:color w:val="000000"/>
        </w:rPr>
      </w:pPr>
      <w:r>
        <w:rPr>
          <w:color w:val="000000"/>
          <w:u w:val="single"/>
        </w:rPr>
        <w:t>在撤销授权的书面通知以前，本授权书一直有效。</w:t>
      </w:r>
      <w:r>
        <w:rPr>
          <w:color w:val="000000"/>
        </w:rPr>
        <w:t>被授权人在授权书有效期内签署的所有文件不因授权的撤销而失效。</w:t>
      </w:r>
    </w:p>
    <w:p w14:paraId="36B5FACE">
      <w:pPr>
        <w:pStyle w:val="11"/>
        <w:rPr>
          <w:color w:val="000000"/>
        </w:rPr>
      </w:pPr>
      <w:r>
        <w:rPr>
          <w:color w:val="000000"/>
        </w:rPr>
        <w:t>被授权人无转委托权，特此委托。</w:t>
      </w:r>
    </w:p>
    <w:p w14:paraId="3438144F">
      <w:pPr>
        <w:pStyle w:val="11"/>
        <w:rPr>
          <w:color w:val="000000"/>
        </w:rPr>
      </w:pPr>
      <w:r>
        <w:rPr>
          <w:color w:val="000000"/>
        </w:rPr>
        <w:t>附：法定代表人身份证明及被授权人有效身份证正反面复印件</w:t>
      </w:r>
    </w:p>
    <w:p w14:paraId="3CAF5586">
      <w:pPr>
        <w:snapToGrid w:val="0"/>
        <w:spacing w:before="120" w:beforeLines="50" w:after="50" w:line="360" w:lineRule="auto"/>
        <w:rPr>
          <w:rFonts w:hint="eastAsia" w:ascii="宋体" w:hAnsi="宋体"/>
          <w:color w:val="000000"/>
          <w:sz w:val="24"/>
          <w:szCs w:val="20"/>
        </w:rPr>
      </w:pPr>
    </w:p>
    <w:p w14:paraId="1D9EDE19">
      <w:pPr>
        <w:snapToGrid w:val="0"/>
        <w:spacing w:before="120" w:beforeLines="50" w:after="50" w:line="360" w:lineRule="auto"/>
        <w:rPr>
          <w:rFonts w:hint="eastAsia" w:ascii="Times New Roman" w:hAnsi="Times New Roman" w:eastAsia="宋体" w:cs="Times New Roman"/>
          <w:color w:val="000000"/>
          <w:sz w:val="24"/>
          <w:u w:val="single"/>
        </w:rPr>
      </w:pPr>
      <w:r>
        <w:rPr>
          <w:rFonts w:hint="eastAsia" w:ascii="Times New Roman" w:hAnsi="Times New Roman" w:eastAsia="宋体" w:cs="Times New Roman"/>
          <w:color w:val="000000"/>
          <w:sz w:val="24"/>
        </w:rPr>
        <w:t>被授权人签名：</w:t>
      </w:r>
      <w:r>
        <w:rPr>
          <w:rFonts w:hint="eastAsia" w:ascii="Times New Roman" w:hAnsi="Times New Roman" w:eastAsia="宋体" w:cs="Times New Roman"/>
          <w:color w:val="000000"/>
          <w:sz w:val="24"/>
          <w:u w:val="single"/>
        </w:rPr>
        <w:t xml:space="preserve">               </w:t>
      </w:r>
      <w:r>
        <w:rPr>
          <w:rFonts w:hint="eastAsia" w:ascii="Times New Roman" w:hAnsi="Times New Roman" w:eastAsia="宋体" w:cs="Times New Roman"/>
          <w:color w:val="000000"/>
          <w:sz w:val="24"/>
        </w:rPr>
        <w:t xml:space="preserve">            法定代表人签名：</w:t>
      </w:r>
      <w:r>
        <w:rPr>
          <w:rFonts w:hint="eastAsia" w:ascii="Times New Roman" w:hAnsi="Times New Roman" w:eastAsia="宋体" w:cs="Times New Roman"/>
          <w:color w:val="000000"/>
          <w:sz w:val="24"/>
          <w:u w:val="single"/>
        </w:rPr>
        <w:t xml:space="preserve">              </w:t>
      </w:r>
    </w:p>
    <w:p w14:paraId="19DA35D9">
      <w:pPr>
        <w:snapToGrid w:val="0"/>
        <w:spacing w:before="120" w:beforeLines="50" w:after="50" w:line="360" w:lineRule="auto"/>
        <w:rPr>
          <w:rFonts w:hint="eastAsia" w:ascii="Times New Roman" w:hAnsi="Times New Roman" w:eastAsia="宋体" w:cs="Times New Roman"/>
          <w:color w:val="000000"/>
          <w:sz w:val="24"/>
          <w:szCs w:val="20"/>
        </w:rPr>
      </w:pPr>
      <w:r>
        <w:rPr>
          <w:rFonts w:hint="eastAsia" w:ascii="Times New Roman" w:hAnsi="Times New Roman" w:eastAsia="宋体" w:cs="Times New Roman"/>
          <w:color w:val="000000"/>
          <w:sz w:val="24"/>
        </w:rPr>
        <w:t>所在部门职务：</w:t>
      </w:r>
      <w:r>
        <w:rPr>
          <w:rFonts w:hint="eastAsia" w:ascii="Times New Roman" w:hAnsi="Times New Roman" w:eastAsia="宋体" w:cs="Times New Roman"/>
          <w:color w:val="000000"/>
          <w:sz w:val="24"/>
          <w:u w:val="single"/>
        </w:rPr>
        <w:t xml:space="preserve">               </w:t>
      </w:r>
      <w:r>
        <w:rPr>
          <w:rFonts w:hint="eastAsia" w:ascii="Times New Roman" w:hAnsi="Times New Roman" w:eastAsia="宋体" w:cs="Times New Roman"/>
          <w:color w:val="000000"/>
          <w:sz w:val="24"/>
        </w:rPr>
        <w:t xml:space="preserve">                      职务：</w:t>
      </w:r>
      <w:r>
        <w:rPr>
          <w:rFonts w:hint="eastAsia" w:ascii="Times New Roman" w:hAnsi="Times New Roman" w:eastAsia="宋体" w:cs="Times New Roman"/>
          <w:color w:val="000000"/>
          <w:sz w:val="24"/>
          <w:u w:val="single"/>
        </w:rPr>
        <w:t xml:space="preserve">                  </w:t>
      </w:r>
    </w:p>
    <w:p w14:paraId="3F3C9CAD">
      <w:pPr>
        <w:snapToGrid w:val="0"/>
        <w:spacing w:before="120" w:beforeLines="50" w:after="50" w:line="360" w:lineRule="auto"/>
        <w:rPr>
          <w:rFonts w:hint="eastAsia" w:ascii="Times New Roman" w:hAnsi="Times New Roman" w:eastAsia="宋体" w:cs="Times New Roman"/>
          <w:color w:val="000000"/>
          <w:sz w:val="24"/>
          <w:szCs w:val="20"/>
        </w:rPr>
      </w:pPr>
      <w:r>
        <w:rPr>
          <w:rFonts w:hint="eastAsia" w:ascii="Times New Roman" w:hAnsi="Times New Roman" w:eastAsia="宋体" w:cs="Times New Roman"/>
          <w:color w:val="000000"/>
          <w:sz w:val="24"/>
        </w:rPr>
        <w:t>被授权人身份证号码：</w:t>
      </w:r>
      <w:r>
        <w:rPr>
          <w:rFonts w:hint="eastAsia" w:ascii="Times New Roman" w:hAnsi="Times New Roman" w:eastAsia="宋体" w:cs="Times New Roman"/>
          <w:color w:val="000000"/>
          <w:sz w:val="24"/>
          <w:u w:val="single"/>
        </w:rPr>
        <w:t xml:space="preserve">                             </w:t>
      </w:r>
      <w:r>
        <w:rPr>
          <w:rFonts w:hint="eastAsia" w:ascii="Times New Roman" w:hAnsi="Times New Roman" w:eastAsia="宋体" w:cs="Times New Roman"/>
          <w:color w:val="000000"/>
          <w:sz w:val="24"/>
        </w:rPr>
        <w:t xml:space="preserve"> </w:t>
      </w:r>
    </w:p>
    <w:p w14:paraId="00F40E69">
      <w:pPr>
        <w:snapToGrid w:val="0"/>
        <w:spacing w:before="120" w:beforeLines="50" w:after="50" w:line="360" w:lineRule="auto"/>
        <w:jc w:val="center"/>
        <w:rPr>
          <w:rFonts w:hint="eastAsia" w:ascii="Times New Roman" w:hAnsi="Times New Roman" w:eastAsia="宋体" w:cs="Times New Roman"/>
          <w:color w:val="000000"/>
          <w:sz w:val="24"/>
          <w:szCs w:val="20"/>
        </w:rPr>
      </w:pPr>
      <w:r>
        <w:rPr>
          <w:rFonts w:hint="eastAsia" w:ascii="Times New Roman" w:hAnsi="Times New Roman" w:eastAsia="宋体" w:cs="Times New Roman"/>
          <w:color w:val="000000"/>
          <w:sz w:val="24"/>
        </w:rPr>
        <w:t xml:space="preserve">                                                供应商公章：</w:t>
      </w:r>
    </w:p>
    <w:p w14:paraId="733DCDC7">
      <w:pPr>
        <w:spacing w:line="360" w:lineRule="auto"/>
        <w:ind w:left="420"/>
        <w:rPr>
          <w:rFonts w:hint="eastAsia" w:ascii="Times New Roman" w:hAnsi="Times New Roman" w:eastAsia="宋体" w:cs="Times New Roman"/>
          <w:b/>
          <w:color w:val="000000"/>
          <w:sz w:val="24"/>
          <w:szCs w:val="21"/>
        </w:rPr>
      </w:pPr>
      <w:r>
        <w:rPr>
          <w:rFonts w:hint="eastAsia" w:ascii="Times New Roman" w:hAnsi="Times New Roman" w:eastAsia="宋体" w:cs="Times New Roman"/>
          <w:color w:val="000000"/>
          <w:sz w:val="24"/>
        </w:rPr>
        <w:t xml:space="preserve">                                              年    月    日</w:t>
      </w:r>
    </w:p>
    <w:p w14:paraId="25B91B05">
      <w:pPr>
        <w:spacing w:line="360" w:lineRule="auto"/>
        <w:rPr>
          <w:rFonts w:hint="eastAsia" w:ascii="宋体" w:hAnsi="宋体"/>
          <w:b/>
          <w:color w:val="000000"/>
          <w:szCs w:val="21"/>
        </w:rPr>
      </w:pPr>
      <w:r>
        <w:rPr>
          <w:rFonts w:ascii="宋体" w:hAnsi="宋体"/>
          <w:b/>
          <w:color w:val="000000"/>
          <w:szCs w:val="21"/>
        </w:rPr>
        <w:br w:type="page"/>
      </w:r>
    </w:p>
    <w:p w14:paraId="4C6BEE35">
      <w:pPr>
        <w:pStyle w:val="2"/>
        <w:numPr>
          <w:ilvl w:val="0"/>
          <w:numId w:val="52"/>
        </w:numPr>
        <w:tabs>
          <w:tab w:val="clear" w:pos="482"/>
        </w:tabs>
        <w:bidi w:val="0"/>
        <w:ind w:left="0" w:leftChars="0" w:firstLine="480" w:firstLineChars="0"/>
      </w:pPr>
      <w:r>
        <w:t>供应商基本情况表</w:t>
      </w:r>
    </w:p>
    <w:p w14:paraId="441DF862">
      <w:pPr>
        <w:pStyle w:val="43"/>
        <w:outlineLvl w:val="9"/>
      </w:pPr>
      <w:r>
        <w:t>供应商基本情况表</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6"/>
        <w:gridCol w:w="897"/>
        <w:gridCol w:w="1021"/>
        <w:gridCol w:w="1160"/>
        <w:gridCol w:w="311"/>
        <w:gridCol w:w="1246"/>
        <w:gridCol w:w="63"/>
        <w:gridCol w:w="720"/>
        <w:gridCol w:w="1923"/>
      </w:tblGrid>
      <w:tr w14:paraId="20D5B2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noWrap w:val="0"/>
            <w:vAlign w:val="center"/>
          </w:tcPr>
          <w:p w14:paraId="41A58FEC">
            <w:pPr>
              <w:spacing w:line="360" w:lineRule="auto"/>
              <w:jc w:val="center"/>
              <w:rPr>
                <w:rFonts w:ascii="宋体" w:hAnsi="宋体"/>
                <w:color w:val="000000"/>
                <w:szCs w:val="21"/>
              </w:rPr>
            </w:pPr>
            <w:r>
              <w:rPr>
                <w:rFonts w:hint="eastAsia" w:ascii="宋体" w:hAnsi="宋体"/>
                <w:color w:val="000000"/>
                <w:szCs w:val="21"/>
              </w:rPr>
              <w:t>供应商</w:t>
            </w:r>
            <w:r>
              <w:rPr>
                <w:rFonts w:ascii="宋体" w:hAnsi="宋体"/>
                <w:color w:val="000000"/>
                <w:szCs w:val="21"/>
              </w:rPr>
              <w:t>名称</w:t>
            </w:r>
          </w:p>
        </w:tc>
        <w:tc>
          <w:tcPr>
            <w:tcW w:w="7341" w:type="dxa"/>
            <w:gridSpan w:val="8"/>
            <w:noWrap w:val="0"/>
            <w:vAlign w:val="center"/>
          </w:tcPr>
          <w:p w14:paraId="55E79093">
            <w:pPr>
              <w:spacing w:line="360" w:lineRule="auto"/>
              <w:jc w:val="center"/>
              <w:rPr>
                <w:rFonts w:ascii="宋体" w:hAnsi="宋体"/>
                <w:color w:val="000000"/>
                <w:szCs w:val="21"/>
              </w:rPr>
            </w:pPr>
          </w:p>
        </w:tc>
      </w:tr>
      <w:tr w14:paraId="67048D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noWrap w:val="0"/>
            <w:vAlign w:val="center"/>
          </w:tcPr>
          <w:p w14:paraId="297C8573">
            <w:pPr>
              <w:spacing w:line="360" w:lineRule="auto"/>
              <w:jc w:val="center"/>
              <w:rPr>
                <w:rFonts w:ascii="宋体" w:hAnsi="宋体"/>
                <w:color w:val="000000"/>
                <w:szCs w:val="21"/>
              </w:rPr>
            </w:pPr>
            <w:r>
              <w:rPr>
                <w:rFonts w:ascii="宋体" w:hAnsi="宋体"/>
                <w:color w:val="000000"/>
                <w:szCs w:val="21"/>
              </w:rPr>
              <w:t>注册地址</w:t>
            </w:r>
          </w:p>
        </w:tc>
        <w:tc>
          <w:tcPr>
            <w:tcW w:w="3389" w:type="dxa"/>
            <w:gridSpan w:val="4"/>
            <w:noWrap w:val="0"/>
            <w:vAlign w:val="center"/>
          </w:tcPr>
          <w:p w14:paraId="7F439B0E">
            <w:pPr>
              <w:spacing w:line="360" w:lineRule="auto"/>
              <w:jc w:val="center"/>
              <w:rPr>
                <w:rFonts w:ascii="宋体" w:hAnsi="宋体"/>
                <w:color w:val="000000"/>
                <w:szCs w:val="21"/>
              </w:rPr>
            </w:pPr>
          </w:p>
        </w:tc>
        <w:tc>
          <w:tcPr>
            <w:tcW w:w="1246" w:type="dxa"/>
            <w:noWrap w:val="0"/>
            <w:vAlign w:val="center"/>
          </w:tcPr>
          <w:p w14:paraId="0C6C93DA">
            <w:pPr>
              <w:spacing w:line="360" w:lineRule="auto"/>
              <w:jc w:val="center"/>
              <w:rPr>
                <w:rFonts w:ascii="宋体" w:hAnsi="宋体"/>
                <w:color w:val="000000"/>
                <w:szCs w:val="21"/>
              </w:rPr>
            </w:pPr>
            <w:r>
              <w:rPr>
                <w:rFonts w:ascii="宋体" w:hAnsi="宋体"/>
                <w:color w:val="000000"/>
                <w:szCs w:val="21"/>
              </w:rPr>
              <w:t>邮政编码</w:t>
            </w:r>
          </w:p>
        </w:tc>
        <w:tc>
          <w:tcPr>
            <w:tcW w:w="2706" w:type="dxa"/>
            <w:gridSpan w:val="3"/>
            <w:noWrap w:val="0"/>
            <w:vAlign w:val="center"/>
          </w:tcPr>
          <w:p w14:paraId="3295BBF4">
            <w:pPr>
              <w:spacing w:line="360" w:lineRule="auto"/>
              <w:jc w:val="center"/>
              <w:rPr>
                <w:rFonts w:ascii="宋体" w:hAnsi="宋体"/>
                <w:color w:val="000000"/>
                <w:szCs w:val="21"/>
              </w:rPr>
            </w:pPr>
          </w:p>
        </w:tc>
      </w:tr>
      <w:tr w14:paraId="2B81F0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vMerge w:val="restart"/>
            <w:noWrap w:val="0"/>
            <w:vAlign w:val="center"/>
          </w:tcPr>
          <w:p w14:paraId="6F2A4440">
            <w:pPr>
              <w:spacing w:line="360" w:lineRule="auto"/>
              <w:jc w:val="center"/>
              <w:rPr>
                <w:rFonts w:ascii="宋体" w:hAnsi="宋体"/>
                <w:color w:val="000000"/>
                <w:szCs w:val="21"/>
              </w:rPr>
            </w:pPr>
            <w:r>
              <w:rPr>
                <w:rFonts w:ascii="宋体" w:hAnsi="宋体"/>
                <w:color w:val="000000"/>
                <w:szCs w:val="21"/>
              </w:rPr>
              <w:t>联系方式</w:t>
            </w:r>
          </w:p>
        </w:tc>
        <w:tc>
          <w:tcPr>
            <w:tcW w:w="897" w:type="dxa"/>
            <w:noWrap w:val="0"/>
            <w:vAlign w:val="center"/>
          </w:tcPr>
          <w:p w14:paraId="2EA63106">
            <w:pPr>
              <w:spacing w:line="360" w:lineRule="auto"/>
              <w:jc w:val="center"/>
              <w:rPr>
                <w:rFonts w:ascii="宋体" w:hAnsi="宋体"/>
                <w:color w:val="000000"/>
                <w:szCs w:val="21"/>
              </w:rPr>
            </w:pPr>
            <w:r>
              <w:rPr>
                <w:rFonts w:ascii="宋体" w:hAnsi="宋体"/>
                <w:color w:val="000000"/>
                <w:szCs w:val="21"/>
              </w:rPr>
              <w:t>联系人</w:t>
            </w:r>
          </w:p>
        </w:tc>
        <w:tc>
          <w:tcPr>
            <w:tcW w:w="2492" w:type="dxa"/>
            <w:gridSpan w:val="3"/>
            <w:noWrap w:val="0"/>
            <w:vAlign w:val="center"/>
          </w:tcPr>
          <w:p w14:paraId="6DCB1532">
            <w:pPr>
              <w:spacing w:line="360" w:lineRule="auto"/>
              <w:jc w:val="center"/>
              <w:rPr>
                <w:rFonts w:ascii="宋体" w:hAnsi="宋体"/>
                <w:color w:val="000000"/>
                <w:szCs w:val="21"/>
              </w:rPr>
            </w:pPr>
          </w:p>
        </w:tc>
        <w:tc>
          <w:tcPr>
            <w:tcW w:w="1246" w:type="dxa"/>
            <w:noWrap w:val="0"/>
            <w:vAlign w:val="center"/>
          </w:tcPr>
          <w:p w14:paraId="30F29A37">
            <w:pPr>
              <w:spacing w:line="360" w:lineRule="auto"/>
              <w:jc w:val="center"/>
              <w:rPr>
                <w:rFonts w:ascii="宋体" w:hAnsi="宋体"/>
                <w:color w:val="000000"/>
                <w:szCs w:val="21"/>
              </w:rPr>
            </w:pPr>
            <w:r>
              <w:rPr>
                <w:rFonts w:ascii="宋体" w:hAnsi="宋体"/>
                <w:color w:val="000000"/>
                <w:szCs w:val="21"/>
              </w:rPr>
              <w:t>电  话</w:t>
            </w:r>
          </w:p>
        </w:tc>
        <w:tc>
          <w:tcPr>
            <w:tcW w:w="2706" w:type="dxa"/>
            <w:gridSpan w:val="3"/>
            <w:noWrap w:val="0"/>
            <w:vAlign w:val="center"/>
          </w:tcPr>
          <w:p w14:paraId="695C8733">
            <w:pPr>
              <w:spacing w:line="360" w:lineRule="auto"/>
              <w:jc w:val="center"/>
              <w:rPr>
                <w:rFonts w:ascii="宋体" w:hAnsi="宋体"/>
                <w:color w:val="000000"/>
                <w:szCs w:val="21"/>
              </w:rPr>
            </w:pPr>
          </w:p>
        </w:tc>
      </w:tr>
      <w:tr w14:paraId="7563B3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vMerge w:val="continue"/>
            <w:noWrap w:val="0"/>
            <w:vAlign w:val="center"/>
          </w:tcPr>
          <w:p w14:paraId="74A84301">
            <w:pPr>
              <w:spacing w:line="360" w:lineRule="auto"/>
              <w:jc w:val="center"/>
              <w:rPr>
                <w:rFonts w:ascii="宋体" w:hAnsi="宋体"/>
                <w:color w:val="000000"/>
                <w:szCs w:val="21"/>
              </w:rPr>
            </w:pPr>
          </w:p>
        </w:tc>
        <w:tc>
          <w:tcPr>
            <w:tcW w:w="897" w:type="dxa"/>
            <w:noWrap w:val="0"/>
            <w:vAlign w:val="center"/>
          </w:tcPr>
          <w:p w14:paraId="2C813A5A">
            <w:pPr>
              <w:spacing w:line="360" w:lineRule="auto"/>
              <w:jc w:val="center"/>
              <w:rPr>
                <w:rFonts w:ascii="宋体" w:hAnsi="宋体"/>
                <w:color w:val="000000"/>
                <w:szCs w:val="21"/>
              </w:rPr>
            </w:pPr>
            <w:r>
              <w:rPr>
                <w:rFonts w:ascii="宋体" w:hAnsi="宋体"/>
                <w:color w:val="000000"/>
                <w:szCs w:val="21"/>
              </w:rPr>
              <w:t>传  真</w:t>
            </w:r>
          </w:p>
        </w:tc>
        <w:tc>
          <w:tcPr>
            <w:tcW w:w="2492" w:type="dxa"/>
            <w:gridSpan w:val="3"/>
            <w:noWrap w:val="0"/>
            <w:vAlign w:val="center"/>
          </w:tcPr>
          <w:p w14:paraId="75DF499C">
            <w:pPr>
              <w:spacing w:line="360" w:lineRule="auto"/>
              <w:jc w:val="center"/>
              <w:rPr>
                <w:rFonts w:ascii="宋体" w:hAnsi="宋体"/>
                <w:color w:val="000000"/>
                <w:szCs w:val="21"/>
              </w:rPr>
            </w:pPr>
          </w:p>
        </w:tc>
        <w:tc>
          <w:tcPr>
            <w:tcW w:w="1246" w:type="dxa"/>
            <w:noWrap w:val="0"/>
            <w:vAlign w:val="center"/>
          </w:tcPr>
          <w:p w14:paraId="7039FC22">
            <w:pPr>
              <w:spacing w:line="360" w:lineRule="auto"/>
              <w:jc w:val="center"/>
              <w:rPr>
                <w:rFonts w:ascii="宋体" w:hAnsi="宋体"/>
                <w:color w:val="000000"/>
                <w:szCs w:val="21"/>
              </w:rPr>
            </w:pPr>
            <w:r>
              <w:rPr>
                <w:rFonts w:ascii="宋体" w:hAnsi="宋体"/>
                <w:color w:val="000000"/>
                <w:szCs w:val="21"/>
              </w:rPr>
              <w:t>网  址</w:t>
            </w:r>
          </w:p>
        </w:tc>
        <w:tc>
          <w:tcPr>
            <w:tcW w:w="2706" w:type="dxa"/>
            <w:gridSpan w:val="3"/>
            <w:noWrap w:val="0"/>
            <w:vAlign w:val="center"/>
          </w:tcPr>
          <w:p w14:paraId="3856B05B">
            <w:pPr>
              <w:spacing w:line="360" w:lineRule="auto"/>
              <w:jc w:val="center"/>
              <w:rPr>
                <w:rFonts w:ascii="宋体" w:hAnsi="宋体"/>
                <w:color w:val="000000"/>
                <w:szCs w:val="21"/>
              </w:rPr>
            </w:pPr>
          </w:p>
        </w:tc>
      </w:tr>
      <w:tr w14:paraId="354DAE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noWrap w:val="0"/>
            <w:vAlign w:val="center"/>
          </w:tcPr>
          <w:p w14:paraId="5EAC9DA9">
            <w:pPr>
              <w:spacing w:line="360" w:lineRule="auto"/>
              <w:jc w:val="center"/>
              <w:rPr>
                <w:rFonts w:ascii="宋体" w:hAnsi="宋体"/>
                <w:color w:val="000000"/>
                <w:szCs w:val="21"/>
              </w:rPr>
            </w:pPr>
            <w:r>
              <w:rPr>
                <w:rFonts w:hint="eastAsia" w:ascii="宋体" w:hAnsi="宋体"/>
                <w:color w:val="000000"/>
              </w:rPr>
              <w:t>统一社会信用代码</w:t>
            </w:r>
          </w:p>
        </w:tc>
        <w:tc>
          <w:tcPr>
            <w:tcW w:w="7341" w:type="dxa"/>
            <w:gridSpan w:val="8"/>
            <w:noWrap w:val="0"/>
            <w:vAlign w:val="center"/>
          </w:tcPr>
          <w:p w14:paraId="1AF04ADD">
            <w:pPr>
              <w:spacing w:line="360" w:lineRule="auto"/>
              <w:jc w:val="center"/>
              <w:rPr>
                <w:rFonts w:ascii="宋体" w:hAnsi="宋体"/>
                <w:color w:val="000000"/>
                <w:szCs w:val="21"/>
              </w:rPr>
            </w:pPr>
          </w:p>
        </w:tc>
      </w:tr>
      <w:tr w14:paraId="3515C7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noWrap w:val="0"/>
            <w:vAlign w:val="center"/>
          </w:tcPr>
          <w:p w14:paraId="2035A579">
            <w:pPr>
              <w:spacing w:line="360" w:lineRule="auto"/>
              <w:jc w:val="center"/>
              <w:rPr>
                <w:rFonts w:hint="eastAsia" w:ascii="宋体" w:hAnsi="宋体"/>
                <w:color w:val="000000"/>
                <w:szCs w:val="21"/>
              </w:rPr>
            </w:pPr>
            <w:r>
              <w:rPr>
                <w:rFonts w:hint="eastAsia" w:ascii="宋体" w:hAnsi="宋体"/>
                <w:color w:val="000000"/>
                <w:szCs w:val="21"/>
              </w:rPr>
              <w:t>法定代表人</w:t>
            </w:r>
          </w:p>
        </w:tc>
        <w:tc>
          <w:tcPr>
            <w:tcW w:w="897" w:type="dxa"/>
            <w:noWrap w:val="0"/>
            <w:vAlign w:val="center"/>
          </w:tcPr>
          <w:p w14:paraId="35639445">
            <w:pPr>
              <w:spacing w:line="360" w:lineRule="auto"/>
              <w:jc w:val="center"/>
              <w:rPr>
                <w:rFonts w:ascii="宋体" w:hAnsi="宋体"/>
                <w:color w:val="000000"/>
                <w:szCs w:val="21"/>
              </w:rPr>
            </w:pPr>
            <w:r>
              <w:rPr>
                <w:rFonts w:ascii="宋体" w:hAnsi="宋体"/>
                <w:color w:val="000000"/>
                <w:szCs w:val="21"/>
              </w:rPr>
              <w:t>姓名</w:t>
            </w:r>
          </w:p>
        </w:tc>
        <w:tc>
          <w:tcPr>
            <w:tcW w:w="1021" w:type="dxa"/>
            <w:noWrap w:val="0"/>
            <w:vAlign w:val="center"/>
          </w:tcPr>
          <w:p w14:paraId="40A8E408">
            <w:pPr>
              <w:spacing w:line="360" w:lineRule="auto"/>
              <w:jc w:val="center"/>
              <w:rPr>
                <w:rFonts w:ascii="宋体" w:hAnsi="宋体"/>
                <w:color w:val="000000"/>
                <w:szCs w:val="21"/>
              </w:rPr>
            </w:pPr>
          </w:p>
        </w:tc>
        <w:tc>
          <w:tcPr>
            <w:tcW w:w="1160" w:type="dxa"/>
            <w:noWrap w:val="0"/>
            <w:vAlign w:val="center"/>
          </w:tcPr>
          <w:p w14:paraId="60DA35B9">
            <w:pPr>
              <w:spacing w:line="360" w:lineRule="auto"/>
              <w:jc w:val="center"/>
              <w:rPr>
                <w:rFonts w:ascii="宋体" w:hAnsi="宋体"/>
                <w:color w:val="000000"/>
                <w:szCs w:val="21"/>
              </w:rPr>
            </w:pPr>
            <w:r>
              <w:rPr>
                <w:rFonts w:ascii="宋体" w:hAnsi="宋体"/>
                <w:color w:val="000000"/>
                <w:szCs w:val="21"/>
              </w:rPr>
              <w:t>技术职称</w:t>
            </w:r>
          </w:p>
        </w:tc>
        <w:tc>
          <w:tcPr>
            <w:tcW w:w="1620" w:type="dxa"/>
            <w:gridSpan w:val="3"/>
            <w:noWrap w:val="0"/>
            <w:vAlign w:val="center"/>
          </w:tcPr>
          <w:p w14:paraId="38950F18">
            <w:pPr>
              <w:spacing w:line="360" w:lineRule="auto"/>
              <w:jc w:val="center"/>
              <w:rPr>
                <w:rFonts w:ascii="宋体" w:hAnsi="宋体"/>
                <w:color w:val="000000"/>
                <w:szCs w:val="21"/>
              </w:rPr>
            </w:pPr>
          </w:p>
        </w:tc>
        <w:tc>
          <w:tcPr>
            <w:tcW w:w="720" w:type="dxa"/>
            <w:noWrap w:val="0"/>
            <w:vAlign w:val="center"/>
          </w:tcPr>
          <w:p w14:paraId="3534AB1F">
            <w:pPr>
              <w:spacing w:line="360" w:lineRule="auto"/>
              <w:jc w:val="center"/>
              <w:rPr>
                <w:rFonts w:ascii="宋体" w:hAnsi="宋体"/>
                <w:color w:val="000000"/>
                <w:szCs w:val="21"/>
              </w:rPr>
            </w:pPr>
            <w:r>
              <w:rPr>
                <w:rFonts w:ascii="宋体" w:hAnsi="宋体"/>
                <w:color w:val="000000"/>
                <w:szCs w:val="21"/>
              </w:rPr>
              <w:t>电话</w:t>
            </w:r>
          </w:p>
        </w:tc>
        <w:tc>
          <w:tcPr>
            <w:tcW w:w="1923" w:type="dxa"/>
            <w:noWrap w:val="0"/>
            <w:vAlign w:val="center"/>
          </w:tcPr>
          <w:p w14:paraId="63A27D06">
            <w:pPr>
              <w:spacing w:line="360" w:lineRule="auto"/>
              <w:jc w:val="center"/>
              <w:rPr>
                <w:rFonts w:ascii="宋体" w:hAnsi="宋体"/>
                <w:color w:val="000000"/>
                <w:szCs w:val="21"/>
              </w:rPr>
            </w:pPr>
          </w:p>
        </w:tc>
      </w:tr>
      <w:tr w14:paraId="5D5B11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noWrap w:val="0"/>
            <w:vAlign w:val="center"/>
          </w:tcPr>
          <w:p w14:paraId="755523FA">
            <w:pPr>
              <w:spacing w:line="360" w:lineRule="auto"/>
              <w:jc w:val="center"/>
              <w:rPr>
                <w:rFonts w:ascii="宋体" w:hAnsi="宋体"/>
                <w:color w:val="000000"/>
                <w:szCs w:val="21"/>
              </w:rPr>
            </w:pPr>
            <w:r>
              <w:rPr>
                <w:rFonts w:ascii="宋体" w:hAnsi="宋体"/>
                <w:color w:val="000000"/>
                <w:szCs w:val="21"/>
              </w:rPr>
              <w:t>技术负责人</w:t>
            </w:r>
          </w:p>
        </w:tc>
        <w:tc>
          <w:tcPr>
            <w:tcW w:w="897" w:type="dxa"/>
            <w:noWrap w:val="0"/>
            <w:vAlign w:val="center"/>
          </w:tcPr>
          <w:p w14:paraId="73026BC3">
            <w:pPr>
              <w:spacing w:line="360" w:lineRule="auto"/>
              <w:jc w:val="center"/>
              <w:rPr>
                <w:rFonts w:ascii="宋体" w:hAnsi="宋体"/>
                <w:color w:val="000000"/>
                <w:szCs w:val="21"/>
              </w:rPr>
            </w:pPr>
            <w:r>
              <w:rPr>
                <w:rFonts w:ascii="宋体" w:hAnsi="宋体"/>
                <w:color w:val="000000"/>
                <w:szCs w:val="21"/>
              </w:rPr>
              <w:t>姓名</w:t>
            </w:r>
          </w:p>
        </w:tc>
        <w:tc>
          <w:tcPr>
            <w:tcW w:w="1021" w:type="dxa"/>
            <w:noWrap w:val="0"/>
            <w:vAlign w:val="center"/>
          </w:tcPr>
          <w:p w14:paraId="257B53AA">
            <w:pPr>
              <w:spacing w:line="360" w:lineRule="auto"/>
              <w:jc w:val="center"/>
              <w:rPr>
                <w:rFonts w:ascii="宋体" w:hAnsi="宋体"/>
                <w:color w:val="000000"/>
                <w:szCs w:val="21"/>
              </w:rPr>
            </w:pPr>
          </w:p>
        </w:tc>
        <w:tc>
          <w:tcPr>
            <w:tcW w:w="1160" w:type="dxa"/>
            <w:noWrap w:val="0"/>
            <w:vAlign w:val="center"/>
          </w:tcPr>
          <w:p w14:paraId="5D5BF137">
            <w:pPr>
              <w:spacing w:line="360" w:lineRule="auto"/>
              <w:jc w:val="center"/>
              <w:rPr>
                <w:rFonts w:ascii="宋体" w:hAnsi="宋体"/>
                <w:color w:val="000000"/>
                <w:szCs w:val="21"/>
              </w:rPr>
            </w:pPr>
            <w:r>
              <w:rPr>
                <w:rFonts w:ascii="宋体" w:hAnsi="宋体"/>
                <w:color w:val="000000"/>
                <w:szCs w:val="21"/>
              </w:rPr>
              <w:t>技术职称</w:t>
            </w:r>
          </w:p>
        </w:tc>
        <w:tc>
          <w:tcPr>
            <w:tcW w:w="1620" w:type="dxa"/>
            <w:gridSpan w:val="3"/>
            <w:noWrap w:val="0"/>
            <w:vAlign w:val="center"/>
          </w:tcPr>
          <w:p w14:paraId="19BDCFB6">
            <w:pPr>
              <w:spacing w:line="360" w:lineRule="auto"/>
              <w:jc w:val="center"/>
              <w:rPr>
                <w:rFonts w:ascii="宋体" w:hAnsi="宋体"/>
                <w:color w:val="000000"/>
                <w:szCs w:val="21"/>
              </w:rPr>
            </w:pPr>
          </w:p>
        </w:tc>
        <w:tc>
          <w:tcPr>
            <w:tcW w:w="720" w:type="dxa"/>
            <w:noWrap w:val="0"/>
            <w:vAlign w:val="center"/>
          </w:tcPr>
          <w:p w14:paraId="2D968C89">
            <w:pPr>
              <w:spacing w:line="360" w:lineRule="auto"/>
              <w:jc w:val="center"/>
              <w:rPr>
                <w:rFonts w:ascii="宋体" w:hAnsi="宋体"/>
                <w:color w:val="000000"/>
                <w:szCs w:val="21"/>
              </w:rPr>
            </w:pPr>
            <w:r>
              <w:rPr>
                <w:rFonts w:ascii="宋体" w:hAnsi="宋体"/>
                <w:color w:val="000000"/>
                <w:szCs w:val="21"/>
              </w:rPr>
              <w:t>电话</w:t>
            </w:r>
          </w:p>
        </w:tc>
        <w:tc>
          <w:tcPr>
            <w:tcW w:w="1923" w:type="dxa"/>
            <w:noWrap w:val="0"/>
            <w:vAlign w:val="center"/>
          </w:tcPr>
          <w:p w14:paraId="669F30EE">
            <w:pPr>
              <w:spacing w:line="360" w:lineRule="auto"/>
              <w:jc w:val="center"/>
              <w:rPr>
                <w:rFonts w:ascii="宋体" w:hAnsi="宋体"/>
                <w:color w:val="000000"/>
                <w:szCs w:val="21"/>
              </w:rPr>
            </w:pPr>
          </w:p>
        </w:tc>
      </w:tr>
      <w:tr w14:paraId="497F41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noWrap w:val="0"/>
            <w:vAlign w:val="center"/>
          </w:tcPr>
          <w:p w14:paraId="07C9DB26">
            <w:pPr>
              <w:spacing w:line="360" w:lineRule="auto"/>
              <w:jc w:val="center"/>
              <w:rPr>
                <w:rFonts w:ascii="宋体" w:hAnsi="宋体"/>
                <w:color w:val="000000"/>
                <w:szCs w:val="21"/>
              </w:rPr>
            </w:pPr>
            <w:r>
              <w:rPr>
                <w:rFonts w:ascii="宋体" w:hAnsi="宋体"/>
                <w:color w:val="000000"/>
                <w:szCs w:val="21"/>
              </w:rPr>
              <w:t>成立时间</w:t>
            </w:r>
          </w:p>
        </w:tc>
        <w:tc>
          <w:tcPr>
            <w:tcW w:w="1918" w:type="dxa"/>
            <w:gridSpan w:val="2"/>
            <w:noWrap w:val="0"/>
            <w:vAlign w:val="center"/>
          </w:tcPr>
          <w:p w14:paraId="77F61CB2">
            <w:pPr>
              <w:spacing w:line="360" w:lineRule="auto"/>
              <w:jc w:val="center"/>
              <w:rPr>
                <w:rFonts w:ascii="宋体" w:hAnsi="宋体"/>
                <w:color w:val="000000"/>
                <w:szCs w:val="21"/>
              </w:rPr>
            </w:pPr>
          </w:p>
        </w:tc>
        <w:tc>
          <w:tcPr>
            <w:tcW w:w="5423" w:type="dxa"/>
            <w:gridSpan w:val="6"/>
            <w:noWrap w:val="0"/>
            <w:vAlign w:val="center"/>
          </w:tcPr>
          <w:p w14:paraId="4D4EC38E">
            <w:pPr>
              <w:spacing w:line="360" w:lineRule="auto"/>
              <w:jc w:val="center"/>
              <w:rPr>
                <w:rFonts w:ascii="宋体" w:hAnsi="宋体"/>
                <w:color w:val="000000"/>
                <w:szCs w:val="21"/>
              </w:rPr>
            </w:pPr>
            <w:r>
              <w:rPr>
                <w:rFonts w:ascii="宋体" w:hAnsi="宋体"/>
                <w:color w:val="000000"/>
                <w:szCs w:val="21"/>
              </w:rPr>
              <w:t>员工总人数：</w:t>
            </w:r>
          </w:p>
        </w:tc>
      </w:tr>
      <w:tr w14:paraId="347D31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noWrap w:val="0"/>
            <w:vAlign w:val="center"/>
          </w:tcPr>
          <w:p w14:paraId="061083CB">
            <w:pPr>
              <w:spacing w:line="360" w:lineRule="auto"/>
              <w:jc w:val="center"/>
              <w:rPr>
                <w:rFonts w:ascii="宋体" w:hAnsi="宋体"/>
                <w:color w:val="000000"/>
                <w:szCs w:val="21"/>
              </w:rPr>
            </w:pPr>
            <w:r>
              <w:rPr>
                <w:rFonts w:ascii="宋体" w:hAnsi="宋体"/>
                <w:color w:val="000000"/>
                <w:szCs w:val="21"/>
              </w:rPr>
              <w:t>资质等级</w:t>
            </w:r>
          </w:p>
        </w:tc>
        <w:tc>
          <w:tcPr>
            <w:tcW w:w="1918" w:type="dxa"/>
            <w:gridSpan w:val="2"/>
            <w:noWrap w:val="0"/>
            <w:vAlign w:val="center"/>
          </w:tcPr>
          <w:p w14:paraId="548BD27D">
            <w:pPr>
              <w:spacing w:line="360" w:lineRule="auto"/>
              <w:jc w:val="center"/>
              <w:rPr>
                <w:rFonts w:ascii="宋体" w:hAnsi="宋体"/>
                <w:color w:val="000000"/>
                <w:szCs w:val="21"/>
              </w:rPr>
            </w:pPr>
          </w:p>
        </w:tc>
        <w:tc>
          <w:tcPr>
            <w:tcW w:w="1160" w:type="dxa"/>
            <w:vMerge w:val="restart"/>
            <w:noWrap w:val="0"/>
            <w:vAlign w:val="center"/>
          </w:tcPr>
          <w:p w14:paraId="295359D4">
            <w:pPr>
              <w:spacing w:line="360" w:lineRule="auto"/>
              <w:jc w:val="center"/>
              <w:rPr>
                <w:rFonts w:ascii="宋体" w:hAnsi="宋体"/>
                <w:color w:val="000000"/>
                <w:szCs w:val="21"/>
              </w:rPr>
            </w:pPr>
            <w:r>
              <w:rPr>
                <w:rFonts w:ascii="宋体" w:hAnsi="宋体"/>
                <w:color w:val="000000"/>
                <w:szCs w:val="21"/>
              </w:rPr>
              <w:t>其中</w:t>
            </w:r>
          </w:p>
        </w:tc>
        <w:tc>
          <w:tcPr>
            <w:tcW w:w="1620" w:type="dxa"/>
            <w:gridSpan w:val="3"/>
            <w:noWrap w:val="0"/>
            <w:vAlign w:val="center"/>
          </w:tcPr>
          <w:p w14:paraId="45B5CEBB">
            <w:pPr>
              <w:spacing w:line="360" w:lineRule="auto"/>
              <w:jc w:val="center"/>
              <w:rPr>
                <w:rFonts w:ascii="宋体" w:hAnsi="宋体"/>
                <w:color w:val="000000"/>
                <w:szCs w:val="21"/>
              </w:rPr>
            </w:pPr>
            <w:r>
              <w:rPr>
                <w:rFonts w:ascii="宋体" w:hAnsi="宋体"/>
                <w:color w:val="000000"/>
                <w:szCs w:val="21"/>
              </w:rPr>
              <w:t>项目经理</w:t>
            </w:r>
          </w:p>
        </w:tc>
        <w:tc>
          <w:tcPr>
            <w:tcW w:w="2643" w:type="dxa"/>
            <w:gridSpan w:val="2"/>
            <w:noWrap w:val="0"/>
            <w:vAlign w:val="center"/>
          </w:tcPr>
          <w:p w14:paraId="5F60C7A7">
            <w:pPr>
              <w:spacing w:line="360" w:lineRule="auto"/>
              <w:jc w:val="center"/>
              <w:rPr>
                <w:rFonts w:ascii="宋体" w:hAnsi="宋体"/>
                <w:color w:val="000000"/>
                <w:szCs w:val="21"/>
              </w:rPr>
            </w:pPr>
          </w:p>
        </w:tc>
      </w:tr>
      <w:tr w14:paraId="0608C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noWrap w:val="0"/>
            <w:vAlign w:val="center"/>
          </w:tcPr>
          <w:p w14:paraId="7327C8D5">
            <w:pPr>
              <w:spacing w:line="360" w:lineRule="auto"/>
              <w:jc w:val="center"/>
              <w:rPr>
                <w:rFonts w:ascii="宋体" w:hAnsi="宋体"/>
                <w:color w:val="000000"/>
                <w:szCs w:val="21"/>
              </w:rPr>
            </w:pPr>
            <w:r>
              <w:rPr>
                <w:rFonts w:hint="eastAsia" w:ascii="宋体" w:hAnsi="宋体"/>
                <w:color w:val="000000"/>
                <w:szCs w:val="21"/>
              </w:rPr>
              <w:t>安全生产许可证</w:t>
            </w:r>
            <w:r>
              <w:rPr>
                <w:rFonts w:ascii="宋体" w:hAnsi="宋体"/>
                <w:color w:val="000000"/>
                <w:szCs w:val="21"/>
              </w:rPr>
              <w:t>号</w:t>
            </w:r>
          </w:p>
        </w:tc>
        <w:tc>
          <w:tcPr>
            <w:tcW w:w="1918" w:type="dxa"/>
            <w:gridSpan w:val="2"/>
            <w:noWrap w:val="0"/>
            <w:vAlign w:val="center"/>
          </w:tcPr>
          <w:p w14:paraId="739B38E3">
            <w:pPr>
              <w:spacing w:line="360" w:lineRule="auto"/>
              <w:jc w:val="center"/>
              <w:rPr>
                <w:rFonts w:ascii="宋体" w:hAnsi="宋体"/>
                <w:color w:val="000000"/>
                <w:szCs w:val="21"/>
              </w:rPr>
            </w:pPr>
          </w:p>
        </w:tc>
        <w:tc>
          <w:tcPr>
            <w:tcW w:w="1160" w:type="dxa"/>
            <w:vMerge w:val="continue"/>
            <w:noWrap w:val="0"/>
            <w:vAlign w:val="center"/>
          </w:tcPr>
          <w:p w14:paraId="5698A948">
            <w:pPr>
              <w:spacing w:line="360" w:lineRule="auto"/>
              <w:jc w:val="center"/>
              <w:rPr>
                <w:rFonts w:ascii="宋体" w:hAnsi="宋体"/>
                <w:color w:val="000000"/>
                <w:szCs w:val="21"/>
              </w:rPr>
            </w:pPr>
          </w:p>
        </w:tc>
        <w:tc>
          <w:tcPr>
            <w:tcW w:w="1620" w:type="dxa"/>
            <w:gridSpan w:val="3"/>
            <w:noWrap w:val="0"/>
            <w:vAlign w:val="center"/>
          </w:tcPr>
          <w:p w14:paraId="3C9AC1AC">
            <w:pPr>
              <w:spacing w:line="360" w:lineRule="auto"/>
              <w:jc w:val="center"/>
              <w:rPr>
                <w:rFonts w:ascii="宋体" w:hAnsi="宋体"/>
                <w:color w:val="000000"/>
                <w:szCs w:val="21"/>
              </w:rPr>
            </w:pPr>
            <w:r>
              <w:rPr>
                <w:rFonts w:ascii="宋体" w:hAnsi="宋体"/>
                <w:color w:val="000000"/>
                <w:szCs w:val="21"/>
              </w:rPr>
              <w:t>高级职称人员</w:t>
            </w:r>
          </w:p>
        </w:tc>
        <w:tc>
          <w:tcPr>
            <w:tcW w:w="2643" w:type="dxa"/>
            <w:gridSpan w:val="2"/>
            <w:noWrap w:val="0"/>
            <w:vAlign w:val="center"/>
          </w:tcPr>
          <w:p w14:paraId="1AEE92D2">
            <w:pPr>
              <w:spacing w:line="360" w:lineRule="auto"/>
              <w:jc w:val="center"/>
              <w:rPr>
                <w:rFonts w:ascii="宋体" w:hAnsi="宋体"/>
                <w:color w:val="000000"/>
                <w:szCs w:val="21"/>
              </w:rPr>
            </w:pPr>
          </w:p>
        </w:tc>
      </w:tr>
      <w:tr w14:paraId="60C575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noWrap w:val="0"/>
            <w:vAlign w:val="center"/>
          </w:tcPr>
          <w:p w14:paraId="23C11AA7">
            <w:pPr>
              <w:spacing w:line="360" w:lineRule="auto"/>
              <w:jc w:val="center"/>
              <w:rPr>
                <w:rFonts w:ascii="宋体" w:hAnsi="宋体"/>
                <w:color w:val="000000"/>
                <w:szCs w:val="21"/>
              </w:rPr>
            </w:pPr>
            <w:r>
              <w:rPr>
                <w:rFonts w:ascii="宋体" w:hAnsi="宋体"/>
                <w:color w:val="000000"/>
                <w:szCs w:val="21"/>
              </w:rPr>
              <w:t>注册资金</w:t>
            </w:r>
          </w:p>
        </w:tc>
        <w:tc>
          <w:tcPr>
            <w:tcW w:w="1918" w:type="dxa"/>
            <w:gridSpan w:val="2"/>
            <w:noWrap w:val="0"/>
            <w:vAlign w:val="center"/>
          </w:tcPr>
          <w:p w14:paraId="14EF0D88">
            <w:pPr>
              <w:spacing w:line="360" w:lineRule="auto"/>
              <w:jc w:val="center"/>
              <w:rPr>
                <w:rFonts w:ascii="宋体" w:hAnsi="宋体"/>
                <w:color w:val="000000"/>
                <w:szCs w:val="21"/>
              </w:rPr>
            </w:pPr>
          </w:p>
        </w:tc>
        <w:tc>
          <w:tcPr>
            <w:tcW w:w="1160" w:type="dxa"/>
            <w:vMerge w:val="continue"/>
            <w:noWrap w:val="0"/>
            <w:vAlign w:val="center"/>
          </w:tcPr>
          <w:p w14:paraId="4636369E">
            <w:pPr>
              <w:spacing w:line="360" w:lineRule="auto"/>
              <w:jc w:val="center"/>
              <w:rPr>
                <w:rFonts w:ascii="宋体" w:hAnsi="宋体"/>
                <w:color w:val="000000"/>
                <w:szCs w:val="21"/>
              </w:rPr>
            </w:pPr>
          </w:p>
        </w:tc>
        <w:tc>
          <w:tcPr>
            <w:tcW w:w="1620" w:type="dxa"/>
            <w:gridSpan w:val="3"/>
            <w:noWrap w:val="0"/>
            <w:vAlign w:val="center"/>
          </w:tcPr>
          <w:p w14:paraId="1F396404">
            <w:pPr>
              <w:spacing w:line="360" w:lineRule="auto"/>
              <w:jc w:val="center"/>
              <w:rPr>
                <w:rFonts w:ascii="宋体" w:hAnsi="宋体"/>
                <w:color w:val="000000"/>
                <w:szCs w:val="21"/>
              </w:rPr>
            </w:pPr>
            <w:r>
              <w:rPr>
                <w:rFonts w:ascii="宋体" w:hAnsi="宋体"/>
                <w:color w:val="000000"/>
                <w:szCs w:val="21"/>
              </w:rPr>
              <w:t>中级职称人员</w:t>
            </w:r>
          </w:p>
        </w:tc>
        <w:tc>
          <w:tcPr>
            <w:tcW w:w="2643" w:type="dxa"/>
            <w:gridSpan w:val="2"/>
            <w:noWrap w:val="0"/>
            <w:vAlign w:val="center"/>
          </w:tcPr>
          <w:p w14:paraId="6C47F440">
            <w:pPr>
              <w:spacing w:line="360" w:lineRule="auto"/>
              <w:jc w:val="center"/>
              <w:rPr>
                <w:rFonts w:ascii="宋体" w:hAnsi="宋体"/>
                <w:color w:val="000000"/>
                <w:szCs w:val="21"/>
              </w:rPr>
            </w:pPr>
          </w:p>
        </w:tc>
      </w:tr>
      <w:tr w14:paraId="7E1BFF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noWrap w:val="0"/>
            <w:vAlign w:val="center"/>
          </w:tcPr>
          <w:p w14:paraId="36F1C721">
            <w:pPr>
              <w:spacing w:line="360" w:lineRule="auto"/>
              <w:jc w:val="center"/>
              <w:rPr>
                <w:rFonts w:ascii="宋体" w:hAnsi="宋体"/>
                <w:color w:val="000000"/>
                <w:szCs w:val="21"/>
              </w:rPr>
            </w:pPr>
            <w:r>
              <w:rPr>
                <w:rFonts w:ascii="宋体" w:hAnsi="宋体"/>
                <w:color w:val="000000"/>
                <w:szCs w:val="21"/>
              </w:rPr>
              <w:t>开户银行</w:t>
            </w:r>
          </w:p>
        </w:tc>
        <w:tc>
          <w:tcPr>
            <w:tcW w:w="1918" w:type="dxa"/>
            <w:gridSpan w:val="2"/>
            <w:noWrap w:val="0"/>
            <w:vAlign w:val="center"/>
          </w:tcPr>
          <w:p w14:paraId="290C8F65">
            <w:pPr>
              <w:spacing w:line="360" w:lineRule="auto"/>
              <w:jc w:val="center"/>
              <w:rPr>
                <w:rFonts w:ascii="宋体" w:hAnsi="宋体"/>
                <w:color w:val="000000"/>
                <w:szCs w:val="21"/>
              </w:rPr>
            </w:pPr>
          </w:p>
        </w:tc>
        <w:tc>
          <w:tcPr>
            <w:tcW w:w="1160" w:type="dxa"/>
            <w:vMerge w:val="continue"/>
            <w:noWrap w:val="0"/>
            <w:vAlign w:val="center"/>
          </w:tcPr>
          <w:p w14:paraId="31CD85D6">
            <w:pPr>
              <w:spacing w:line="360" w:lineRule="auto"/>
              <w:jc w:val="center"/>
              <w:rPr>
                <w:rFonts w:ascii="宋体" w:hAnsi="宋体"/>
                <w:color w:val="000000"/>
                <w:szCs w:val="21"/>
              </w:rPr>
            </w:pPr>
          </w:p>
        </w:tc>
        <w:tc>
          <w:tcPr>
            <w:tcW w:w="1620" w:type="dxa"/>
            <w:gridSpan w:val="3"/>
            <w:noWrap w:val="0"/>
            <w:vAlign w:val="center"/>
          </w:tcPr>
          <w:p w14:paraId="07745B3D">
            <w:pPr>
              <w:spacing w:line="360" w:lineRule="auto"/>
              <w:jc w:val="center"/>
              <w:rPr>
                <w:rFonts w:ascii="宋体" w:hAnsi="宋体"/>
                <w:color w:val="000000"/>
                <w:szCs w:val="21"/>
              </w:rPr>
            </w:pPr>
            <w:r>
              <w:rPr>
                <w:rFonts w:ascii="宋体" w:hAnsi="宋体"/>
                <w:color w:val="000000"/>
                <w:szCs w:val="21"/>
              </w:rPr>
              <w:t>初级职称人员</w:t>
            </w:r>
          </w:p>
        </w:tc>
        <w:tc>
          <w:tcPr>
            <w:tcW w:w="2643" w:type="dxa"/>
            <w:gridSpan w:val="2"/>
            <w:noWrap w:val="0"/>
            <w:vAlign w:val="center"/>
          </w:tcPr>
          <w:p w14:paraId="30B530C4">
            <w:pPr>
              <w:spacing w:line="360" w:lineRule="auto"/>
              <w:jc w:val="center"/>
              <w:rPr>
                <w:rFonts w:ascii="宋体" w:hAnsi="宋体"/>
                <w:color w:val="000000"/>
                <w:szCs w:val="21"/>
              </w:rPr>
            </w:pPr>
          </w:p>
        </w:tc>
      </w:tr>
      <w:tr w14:paraId="5A082A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noWrap w:val="0"/>
            <w:vAlign w:val="center"/>
          </w:tcPr>
          <w:p w14:paraId="5C2068E8">
            <w:pPr>
              <w:spacing w:line="360" w:lineRule="auto"/>
              <w:jc w:val="center"/>
              <w:rPr>
                <w:rFonts w:ascii="宋体" w:hAnsi="宋体"/>
                <w:color w:val="000000"/>
                <w:szCs w:val="21"/>
              </w:rPr>
            </w:pPr>
            <w:r>
              <w:rPr>
                <w:rFonts w:ascii="宋体" w:hAnsi="宋体"/>
                <w:color w:val="000000"/>
                <w:szCs w:val="21"/>
              </w:rPr>
              <w:t>账号</w:t>
            </w:r>
          </w:p>
        </w:tc>
        <w:tc>
          <w:tcPr>
            <w:tcW w:w="1918" w:type="dxa"/>
            <w:gridSpan w:val="2"/>
            <w:noWrap w:val="0"/>
            <w:vAlign w:val="center"/>
          </w:tcPr>
          <w:p w14:paraId="0B1B108E">
            <w:pPr>
              <w:spacing w:line="360" w:lineRule="auto"/>
              <w:jc w:val="center"/>
              <w:rPr>
                <w:rFonts w:ascii="宋体" w:hAnsi="宋体"/>
                <w:color w:val="000000"/>
                <w:szCs w:val="21"/>
              </w:rPr>
            </w:pPr>
          </w:p>
        </w:tc>
        <w:tc>
          <w:tcPr>
            <w:tcW w:w="1160" w:type="dxa"/>
            <w:vMerge w:val="continue"/>
            <w:noWrap w:val="0"/>
            <w:vAlign w:val="center"/>
          </w:tcPr>
          <w:p w14:paraId="6130CAA9">
            <w:pPr>
              <w:spacing w:line="360" w:lineRule="auto"/>
              <w:jc w:val="center"/>
              <w:rPr>
                <w:rFonts w:ascii="宋体" w:hAnsi="宋体"/>
                <w:color w:val="000000"/>
                <w:szCs w:val="21"/>
              </w:rPr>
            </w:pPr>
          </w:p>
        </w:tc>
        <w:tc>
          <w:tcPr>
            <w:tcW w:w="1620" w:type="dxa"/>
            <w:gridSpan w:val="3"/>
            <w:noWrap w:val="0"/>
            <w:vAlign w:val="center"/>
          </w:tcPr>
          <w:p w14:paraId="3B23629D">
            <w:pPr>
              <w:spacing w:line="360" w:lineRule="auto"/>
              <w:jc w:val="center"/>
              <w:rPr>
                <w:rFonts w:ascii="宋体" w:hAnsi="宋体"/>
                <w:color w:val="000000"/>
                <w:szCs w:val="21"/>
              </w:rPr>
            </w:pPr>
            <w:r>
              <w:rPr>
                <w:rFonts w:ascii="宋体" w:hAnsi="宋体"/>
                <w:color w:val="000000"/>
                <w:szCs w:val="21"/>
              </w:rPr>
              <w:t>技  工</w:t>
            </w:r>
          </w:p>
        </w:tc>
        <w:tc>
          <w:tcPr>
            <w:tcW w:w="2643" w:type="dxa"/>
            <w:gridSpan w:val="2"/>
            <w:noWrap w:val="0"/>
            <w:vAlign w:val="center"/>
          </w:tcPr>
          <w:p w14:paraId="7A05B9AF">
            <w:pPr>
              <w:spacing w:line="360" w:lineRule="auto"/>
              <w:jc w:val="center"/>
              <w:rPr>
                <w:rFonts w:ascii="宋体" w:hAnsi="宋体"/>
                <w:color w:val="000000"/>
                <w:szCs w:val="21"/>
              </w:rPr>
            </w:pPr>
          </w:p>
        </w:tc>
      </w:tr>
      <w:tr w14:paraId="5752FE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5" w:hRule="atLeast"/>
          <w:jc w:val="center"/>
        </w:trPr>
        <w:tc>
          <w:tcPr>
            <w:tcW w:w="1626" w:type="dxa"/>
            <w:noWrap w:val="0"/>
            <w:vAlign w:val="center"/>
          </w:tcPr>
          <w:p w14:paraId="3D864EE4">
            <w:pPr>
              <w:spacing w:line="360" w:lineRule="auto"/>
              <w:jc w:val="center"/>
              <w:rPr>
                <w:rFonts w:ascii="宋体" w:hAnsi="宋体"/>
                <w:color w:val="000000"/>
                <w:szCs w:val="21"/>
              </w:rPr>
            </w:pPr>
            <w:r>
              <w:rPr>
                <w:rFonts w:ascii="宋体" w:hAnsi="宋体"/>
                <w:color w:val="000000"/>
                <w:szCs w:val="21"/>
              </w:rPr>
              <w:t>经营范围</w:t>
            </w:r>
          </w:p>
        </w:tc>
        <w:tc>
          <w:tcPr>
            <w:tcW w:w="7341" w:type="dxa"/>
            <w:gridSpan w:val="8"/>
            <w:noWrap w:val="0"/>
            <w:vAlign w:val="center"/>
          </w:tcPr>
          <w:p w14:paraId="6CE7A54A">
            <w:pPr>
              <w:spacing w:line="360" w:lineRule="auto"/>
              <w:jc w:val="center"/>
              <w:rPr>
                <w:rFonts w:ascii="宋体" w:hAnsi="宋体"/>
                <w:color w:val="000000"/>
                <w:szCs w:val="21"/>
              </w:rPr>
            </w:pPr>
          </w:p>
        </w:tc>
      </w:tr>
      <w:tr w14:paraId="2AE7D5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noWrap w:val="0"/>
            <w:vAlign w:val="center"/>
          </w:tcPr>
          <w:p w14:paraId="2ADE06F0">
            <w:pPr>
              <w:spacing w:line="360" w:lineRule="auto"/>
              <w:jc w:val="center"/>
              <w:rPr>
                <w:rFonts w:ascii="宋体" w:hAnsi="宋体"/>
                <w:color w:val="000000"/>
                <w:szCs w:val="21"/>
              </w:rPr>
            </w:pPr>
            <w:r>
              <w:rPr>
                <w:rFonts w:ascii="宋体" w:hAnsi="宋体"/>
                <w:color w:val="000000"/>
                <w:szCs w:val="21"/>
              </w:rPr>
              <w:t>备注</w:t>
            </w:r>
          </w:p>
        </w:tc>
        <w:tc>
          <w:tcPr>
            <w:tcW w:w="7341" w:type="dxa"/>
            <w:gridSpan w:val="8"/>
            <w:noWrap w:val="0"/>
            <w:vAlign w:val="center"/>
          </w:tcPr>
          <w:p w14:paraId="74478BF3">
            <w:pPr>
              <w:spacing w:line="360" w:lineRule="auto"/>
              <w:jc w:val="center"/>
              <w:rPr>
                <w:rFonts w:ascii="宋体" w:hAnsi="宋体"/>
                <w:color w:val="000000"/>
                <w:szCs w:val="21"/>
              </w:rPr>
            </w:pPr>
          </w:p>
        </w:tc>
      </w:tr>
    </w:tbl>
    <w:p w14:paraId="50989095">
      <w:pPr>
        <w:pStyle w:val="11"/>
        <w:rPr>
          <w:color w:val="000000"/>
        </w:rPr>
      </w:pPr>
      <w:r>
        <w:rPr>
          <w:color w:val="000000"/>
        </w:rPr>
        <w:t>【备注：附有效的营业执照副本、企业资质证书副本、安全生产许可证副本复印件。以上复印件均须加盖供应商单位公章】</w:t>
      </w:r>
    </w:p>
    <w:p w14:paraId="35830871">
      <w:pPr>
        <w:spacing w:line="360" w:lineRule="auto"/>
        <w:ind w:left="420"/>
        <w:rPr>
          <w:rFonts w:hint="eastAsia" w:ascii="宋体" w:hAnsi="宋体" w:eastAsia="楷体_GB2312"/>
          <w:color w:val="000000"/>
        </w:rPr>
      </w:pPr>
    </w:p>
    <w:p w14:paraId="13C4E975">
      <w:pPr>
        <w:keepNext/>
        <w:keepLines/>
        <w:widowControl w:val="0"/>
        <w:spacing w:before="280" w:after="290" w:line="376" w:lineRule="auto"/>
        <w:jc w:val="both"/>
        <w:outlineLvl w:val="9"/>
        <w:rPr>
          <w:rFonts w:hint="eastAsia" w:ascii="宋体" w:hAnsi="宋体" w:eastAsia="楷体_GB2312" w:cs="Times New Roman"/>
          <w:b w:val="0"/>
          <w:bCs w:val="0"/>
          <w:color w:val="000000"/>
          <w:kern w:val="2"/>
          <w:sz w:val="21"/>
          <w:szCs w:val="24"/>
          <w:lang w:val="en-US" w:eastAsia="zh-CN" w:bidi="ar-SA"/>
        </w:rPr>
      </w:pPr>
    </w:p>
    <w:p w14:paraId="635622BD">
      <w:pPr>
        <w:rPr>
          <w:rFonts w:hint="eastAsia" w:ascii="宋体" w:hAnsi="宋体" w:eastAsia="楷体_GB2312"/>
          <w:b/>
          <w:bCs/>
          <w:color w:val="000000"/>
        </w:rPr>
      </w:pPr>
    </w:p>
    <w:p w14:paraId="05708A60">
      <w:pPr>
        <w:rPr>
          <w:rFonts w:hint="eastAsia" w:ascii="宋体" w:hAnsi="宋体" w:eastAsia="楷体_GB2312"/>
          <w:b/>
          <w:bCs/>
          <w:color w:val="000000"/>
        </w:rPr>
      </w:pPr>
    </w:p>
    <w:p w14:paraId="563D3653">
      <w:pPr>
        <w:rPr>
          <w:rFonts w:hint="eastAsia" w:ascii="宋体" w:hAnsi="宋体" w:eastAsia="楷体_GB2312"/>
          <w:b/>
          <w:bCs/>
          <w:color w:val="000000"/>
        </w:rPr>
      </w:pPr>
    </w:p>
    <w:p w14:paraId="57A09879">
      <w:pPr>
        <w:pStyle w:val="2"/>
        <w:numPr>
          <w:ilvl w:val="0"/>
          <w:numId w:val="52"/>
        </w:numPr>
        <w:tabs>
          <w:tab w:val="clear" w:pos="482"/>
        </w:tabs>
        <w:bidi w:val="0"/>
        <w:ind w:left="0" w:leftChars="0" w:firstLine="480" w:firstLineChars="0"/>
      </w:pPr>
      <w:r>
        <w:t>建设工程项目管理承诺书</w:t>
      </w:r>
    </w:p>
    <w:p w14:paraId="05B4E0F0">
      <w:pPr>
        <w:pStyle w:val="43"/>
        <w:outlineLvl w:val="1"/>
      </w:pPr>
      <w:r>
        <w:t>建设工程项目管理承诺书</w:t>
      </w:r>
    </w:p>
    <w:p w14:paraId="698059D8">
      <w:pPr>
        <w:pStyle w:val="11"/>
        <w:ind w:firstLine="0" w:firstLineChars="0"/>
        <w:rPr>
          <w:color w:val="000000"/>
        </w:rPr>
      </w:pPr>
      <w:r>
        <w:rPr>
          <w:color w:val="000000"/>
        </w:rPr>
        <w:t>致</w:t>
      </w:r>
      <w:r>
        <w:rPr>
          <w:color w:val="000000"/>
          <w:u w:val="single"/>
        </w:rPr>
        <w:t xml:space="preserve">                        </w:t>
      </w:r>
      <w:r>
        <w:rPr>
          <w:color w:val="000000"/>
        </w:rPr>
        <w:t>（采购单位名称）：</w:t>
      </w:r>
    </w:p>
    <w:p w14:paraId="230F7531">
      <w:pPr>
        <w:pStyle w:val="11"/>
        <w:rPr>
          <w:color w:val="000000"/>
        </w:rPr>
      </w:pPr>
      <w:r>
        <w:rPr>
          <w:color w:val="000000"/>
        </w:rPr>
        <w:t>作为参与</w:t>
      </w:r>
      <w:r>
        <w:rPr>
          <w:color w:val="000000"/>
          <w:u w:val="single"/>
        </w:rPr>
        <w:t>                  </w:t>
      </w:r>
      <w:r>
        <w:rPr>
          <w:color w:val="000000"/>
        </w:rPr>
        <w:t>（工程名称）项目的磋商单位，根据国家、自治区相关文件规定，我方在此向采购单位承诺：</w:t>
      </w:r>
    </w:p>
    <w:p w14:paraId="51B48427">
      <w:pPr>
        <w:pStyle w:val="11"/>
        <w:numPr>
          <w:ilvl w:val="0"/>
          <w:numId w:val="53"/>
        </w:numPr>
        <w:topLinePunct w:val="0"/>
        <w:ind w:left="0" w:leftChars="0" w:firstLine="480" w:firstLineChars="0"/>
        <w:rPr>
          <w:b w:val="0"/>
          <w:color w:val="000000"/>
        </w:rPr>
      </w:pPr>
      <w:r>
        <w:rPr>
          <w:color w:val="000000"/>
        </w:rPr>
        <w:t>一旦成交，我方保证按照政府相关部门的规定，在发出成交通知书之日起7个工作日内足额将农民工工资保障金转入农民工工资保障金专用账户。一旦我方所承包的该项目中出现拖欠农民工工资情况，由劳动保障、住房城乡建设行政主管部门按照《关于进一步完善建筑行业农民工工资保证金制度的通知》（桂劳社发〔2009〕50号）从我方农民工工资保障金中先予划支。</w:t>
      </w:r>
    </w:p>
    <w:p w14:paraId="7D347CD1">
      <w:pPr>
        <w:pStyle w:val="11"/>
        <w:numPr>
          <w:ilvl w:val="0"/>
          <w:numId w:val="53"/>
        </w:numPr>
        <w:topLinePunct w:val="0"/>
        <w:ind w:left="0" w:leftChars="0" w:firstLine="480" w:firstLineChars="0"/>
        <w:rPr>
          <w:b w:val="0"/>
          <w:color w:val="000000"/>
        </w:rPr>
      </w:pPr>
      <w:r>
        <w:rPr>
          <w:color w:val="000000"/>
        </w:rPr>
        <w:t>一旦成交，我方保证在施工过程中，严格执行《广西壮族自治区建设工程安全文明施工费使用管理细则》（</w:t>
      </w:r>
      <w:bookmarkStart w:id="56" w:name="OLE_LINK19"/>
      <w:r>
        <w:rPr>
          <w:color w:val="000000"/>
        </w:rPr>
        <w:t>桂建质【2015】16号</w:t>
      </w:r>
      <w:bookmarkEnd w:id="56"/>
      <w:r>
        <w:rPr>
          <w:color w:val="000000"/>
        </w:rPr>
        <w:t>）的有关规定，确保建设工程各项安全防护、文明施工措施落实到位。如我方在该项目的承包中出现未按桂建质【2015】16号文附件一规定执行的情形，我方愿意按照相关规定接受建设单位及有关主管部门的处罚。</w:t>
      </w:r>
    </w:p>
    <w:p w14:paraId="31D9C871">
      <w:pPr>
        <w:spacing w:line="360" w:lineRule="auto"/>
        <w:ind w:left="-2" w:leftChars="-1" w:firstLine="449" w:firstLineChars="214"/>
        <w:jc w:val="left"/>
        <w:rPr>
          <w:rFonts w:ascii="宋体" w:hAnsi="宋体"/>
          <w:color w:val="000000"/>
        </w:rPr>
      </w:pPr>
    </w:p>
    <w:p w14:paraId="0380883D">
      <w:pPr>
        <w:spacing w:line="360" w:lineRule="auto"/>
        <w:jc w:val="left"/>
        <w:rPr>
          <w:rFonts w:ascii="宋体" w:hAnsi="宋体"/>
          <w:color w:val="000000"/>
        </w:rPr>
      </w:pPr>
    </w:p>
    <w:p w14:paraId="05371E8F">
      <w:pPr>
        <w:spacing w:line="360" w:lineRule="auto"/>
        <w:jc w:val="left"/>
        <w:rPr>
          <w:rFonts w:ascii="宋体" w:hAnsi="宋体"/>
          <w:color w:val="000000"/>
        </w:rPr>
      </w:pPr>
    </w:p>
    <w:p w14:paraId="0C1FF902">
      <w:pPr>
        <w:spacing w:line="360" w:lineRule="auto"/>
        <w:ind w:firstLine="3564" w:firstLineChars="1485"/>
        <w:jc w:val="left"/>
        <w:rPr>
          <w:rFonts w:ascii="Times New Roman" w:hAnsi="Times New Roman" w:eastAsia="宋体" w:cs="Times New Roman"/>
          <w:color w:val="000000"/>
          <w:sz w:val="24"/>
          <w:u w:val="single"/>
        </w:rPr>
      </w:pPr>
      <w:r>
        <w:rPr>
          <w:rFonts w:ascii="Times New Roman" w:hAnsi="Times New Roman" w:eastAsia="宋体" w:cs="Times New Roman"/>
          <w:color w:val="000000"/>
          <w:sz w:val="24"/>
        </w:rPr>
        <w:t>供应商：</w:t>
      </w:r>
      <w:r>
        <w:rPr>
          <w:rFonts w:ascii="Times New Roman" w:hAnsi="Times New Roman" w:eastAsia="宋体" w:cs="Times New Roman"/>
          <w:color w:val="000000"/>
          <w:sz w:val="24"/>
          <w:u w:val="single"/>
        </w:rPr>
        <w:t xml:space="preserve">      </w:t>
      </w:r>
      <w:r>
        <w:rPr>
          <w:rFonts w:hint="eastAsia" w:ascii="Times New Roman" w:hAnsi="Times New Roman" w:eastAsia="宋体" w:cs="Times New Roman"/>
          <w:color w:val="000000"/>
          <w:sz w:val="24"/>
          <w:u w:val="single"/>
        </w:rPr>
        <w:t xml:space="preserve">         </w:t>
      </w:r>
      <w:r>
        <w:rPr>
          <w:rFonts w:ascii="Times New Roman" w:hAnsi="Times New Roman" w:eastAsia="宋体" w:cs="Times New Roman"/>
          <w:color w:val="000000"/>
          <w:sz w:val="24"/>
          <w:u w:val="single"/>
        </w:rPr>
        <w:t xml:space="preserve">      （盖</w:t>
      </w:r>
      <w:r>
        <w:rPr>
          <w:rFonts w:hint="eastAsia" w:ascii="Times New Roman" w:hAnsi="Times New Roman" w:eastAsia="宋体" w:cs="Times New Roman"/>
          <w:color w:val="000000"/>
          <w:sz w:val="24"/>
          <w:u w:val="single"/>
        </w:rPr>
        <w:t>单位</w:t>
      </w:r>
      <w:r>
        <w:rPr>
          <w:rFonts w:ascii="Times New Roman" w:hAnsi="Times New Roman" w:eastAsia="宋体" w:cs="Times New Roman"/>
          <w:color w:val="000000"/>
          <w:sz w:val="24"/>
          <w:u w:val="single"/>
        </w:rPr>
        <w:t>章）</w:t>
      </w:r>
    </w:p>
    <w:p w14:paraId="44F457FE">
      <w:pPr>
        <w:spacing w:line="360" w:lineRule="auto"/>
        <w:ind w:firstLine="1260" w:firstLineChars="600"/>
        <w:jc w:val="left"/>
        <w:rPr>
          <w:rFonts w:ascii="宋体" w:hAnsi="宋体"/>
          <w:color w:val="000000"/>
        </w:rPr>
      </w:pPr>
    </w:p>
    <w:p w14:paraId="5C211D3D">
      <w:pPr>
        <w:spacing w:line="360" w:lineRule="auto"/>
        <w:ind w:firstLine="2280" w:firstLineChars="950"/>
        <w:jc w:val="left"/>
        <w:rPr>
          <w:rFonts w:ascii="Times New Roman" w:hAnsi="Times New Roman" w:eastAsia="宋体" w:cs="Times New Roman"/>
          <w:color w:val="000000"/>
          <w:sz w:val="24"/>
          <w:u w:val="single"/>
        </w:rPr>
      </w:pPr>
      <w:r>
        <w:rPr>
          <w:rFonts w:hint="eastAsia" w:ascii="Times New Roman" w:hAnsi="Times New Roman" w:eastAsia="宋体" w:cs="Times New Roman"/>
          <w:color w:val="000000"/>
          <w:sz w:val="24"/>
        </w:rPr>
        <w:t>法定代表人</w:t>
      </w:r>
      <w:r>
        <w:rPr>
          <w:rFonts w:ascii="Times New Roman" w:hAnsi="Times New Roman" w:eastAsia="宋体" w:cs="Times New Roman"/>
          <w:color w:val="000000"/>
          <w:sz w:val="24"/>
        </w:rPr>
        <w:t>或授权代理人：</w:t>
      </w:r>
      <w:r>
        <w:rPr>
          <w:rFonts w:ascii="Times New Roman" w:hAnsi="Times New Roman" w:eastAsia="宋体" w:cs="Times New Roman"/>
          <w:color w:val="000000"/>
          <w:sz w:val="24"/>
          <w:u w:val="single"/>
        </w:rPr>
        <w:t xml:space="preserve">          </w:t>
      </w:r>
      <w:r>
        <w:rPr>
          <w:rFonts w:hint="eastAsia" w:ascii="Times New Roman" w:hAnsi="Times New Roman" w:eastAsia="宋体" w:cs="Times New Roman"/>
          <w:color w:val="000000"/>
          <w:sz w:val="24"/>
          <w:u w:val="single"/>
        </w:rPr>
        <w:t xml:space="preserve">    </w:t>
      </w:r>
      <w:r>
        <w:rPr>
          <w:rFonts w:ascii="Times New Roman" w:hAnsi="Times New Roman" w:eastAsia="宋体" w:cs="Times New Roman"/>
          <w:color w:val="000000"/>
          <w:sz w:val="24"/>
          <w:u w:val="single"/>
        </w:rPr>
        <w:t>（签字或盖章）</w:t>
      </w:r>
    </w:p>
    <w:p w14:paraId="6EFFDA85">
      <w:pPr>
        <w:spacing w:line="360" w:lineRule="auto"/>
        <w:ind w:firstLine="1260" w:firstLineChars="600"/>
        <w:jc w:val="left"/>
        <w:rPr>
          <w:rFonts w:ascii="宋体" w:hAnsi="宋体"/>
          <w:color w:val="000000"/>
        </w:rPr>
      </w:pPr>
    </w:p>
    <w:p w14:paraId="6804DC56">
      <w:pPr>
        <w:spacing w:line="360" w:lineRule="auto"/>
        <w:ind w:left="420" w:firstLine="3084" w:firstLineChars="1285"/>
        <w:rPr>
          <w:rFonts w:hint="eastAsia" w:ascii="Times New Roman" w:hAnsi="Times New Roman" w:eastAsia="宋体" w:cs="Times New Roman"/>
          <w:color w:val="000000"/>
          <w:sz w:val="24"/>
          <w:szCs w:val="21"/>
        </w:rPr>
      </w:pPr>
      <w:r>
        <w:rPr>
          <w:rFonts w:ascii="Times New Roman" w:hAnsi="Times New Roman" w:eastAsia="宋体" w:cs="Times New Roman"/>
          <w:color w:val="000000"/>
          <w:sz w:val="24"/>
        </w:rPr>
        <w:t>日期：</w:t>
      </w:r>
      <w:r>
        <w:rPr>
          <w:rFonts w:ascii="Times New Roman" w:hAnsi="Times New Roman" w:eastAsia="宋体" w:cs="Times New Roman"/>
          <w:color w:val="000000"/>
          <w:sz w:val="24"/>
          <w:szCs w:val="21"/>
          <w:u w:val="single"/>
        </w:rPr>
        <w:t xml:space="preserve">         </w:t>
      </w:r>
      <w:r>
        <w:rPr>
          <w:rFonts w:ascii="Times New Roman" w:hAnsi="Times New Roman" w:eastAsia="宋体" w:cs="Times New Roman"/>
          <w:color w:val="000000"/>
          <w:sz w:val="24"/>
          <w:szCs w:val="21"/>
        </w:rPr>
        <w:t>年</w:t>
      </w:r>
      <w:r>
        <w:rPr>
          <w:rFonts w:ascii="Times New Roman" w:hAnsi="Times New Roman" w:eastAsia="宋体" w:cs="Times New Roman"/>
          <w:color w:val="000000"/>
          <w:sz w:val="24"/>
          <w:szCs w:val="21"/>
          <w:u w:val="single"/>
        </w:rPr>
        <w:t xml:space="preserve">        </w:t>
      </w:r>
      <w:r>
        <w:rPr>
          <w:rFonts w:ascii="Times New Roman" w:hAnsi="Times New Roman" w:eastAsia="宋体" w:cs="Times New Roman"/>
          <w:color w:val="000000"/>
          <w:sz w:val="24"/>
          <w:szCs w:val="21"/>
        </w:rPr>
        <w:t>月</w:t>
      </w:r>
      <w:r>
        <w:rPr>
          <w:rFonts w:ascii="Times New Roman" w:hAnsi="Times New Roman" w:eastAsia="宋体" w:cs="Times New Roman"/>
          <w:color w:val="000000"/>
          <w:sz w:val="24"/>
          <w:szCs w:val="21"/>
          <w:u w:val="single"/>
        </w:rPr>
        <w:t xml:space="preserve">        </w:t>
      </w:r>
      <w:r>
        <w:rPr>
          <w:rFonts w:ascii="Times New Roman" w:hAnsi="Times New Roman" w:eastAsia="宋体" w:cs="Times New Roman"/>
          <w:color w:val="000000"/>
          <w:sz w:val="24"/>
          <w:szCs w:val="21"/>
        </w:rPr>
        <w:t>日</w:t>
      </w:r>
    </w:p>
    <w:p w14:paraId="4982392D">
      <w:pPr>
        <w:spacing w:line="360" w:lineRule="auto"/>
        <w:ind w:left="420"/>
        <w:rPr>
          <w:rFonts w:hint="eastAsia" w:ascii="宋体" w:hAnsi="宋体"/>
          <w:color w:val="000000"/>
          <w:szCs w:val="21"/>
        </w:rPr>
      </w:pPr>
    </w:p>
    <w:p w14:paraId="24B04E31">
      <w:pPr>
        <w:spacing w:line="360" w:lineRule="auto"/>
        <w:ind w:left="420"/>
        <w:rPr>
          <w:rFonts w:hint="eastAsia" w:ascii="宋体" w:hAnsi="宋体"/>
          <w:color w:val="000000"/>
          <w:szCs w:val="21"/>
        </w:rPr>
      </w:pPr>
    </w:p>
    <w:p w14:paraId="60596019">
      <w:pPr>
        <w:spacing w:line="360" w:lineRule="auto"/>
        <w:ind w:left="420"/>
        <w:rPr>
          <w:rFonts w:hint="eastAsia" w:ascii="宋体" w:hAnsi="宋体"/>
          <w:b/>
          <w:color w:val="000000"/>
          <w:sz w:val="24"/>
        </w:rPr>
      </w:pPr>
    </w:p>
    <w:p w14:paraId="3A751FB0">
      <w:pPr>
        <w:spacing w:line="360" w:lineRule="auto"/>
        <w:ind w:left="420"/>
        <w:rPr>
          <w:rFonts w:hint="eastAsia" w:ascii="宋体" w:hAnsi="宋体"/>
          <w:b/>
          <w:color w:val="000000"/>
          <w:sz w:val="24"/>
        </w:rPr>
      </w:pPr>
    </w:p>
    <w:p w14:paraId="7235EA2A">
      <w:pPr>
        <w:spacing w:line="360" w:lineRule="auto"/>
        <w:ind w:left="420"/>
        <w:rPr>
          <w:rFonts w:hint="eastAsia" w:ascii="宋体" w:hAnsi="宋体"/>
          <w:b/>
          <w:color w:val="000000"/>
          <w:sz w:val="24"/>
        </w:rPr>
      </w:pPr>
    </w:p>
    <w:p w14:paraId="396F5282">
      <w:pPr>
        <w:spacing w:line="360" w:lineRule="auto"/>
        <w:ind w:left="420"/>
        <w:rPr>
          <w:rFonts w:hint="eastAsia" w:ascii="宋体" w:hAnsi="宋体"/>
          <w:b/>
          <w:color w:val="000000"/>
          <w:sz w:val="24"/>
        </w:rPr>
      </w:pPr>
    </w:p>
    <w:p w14:paraId="2E6FA367">
      <w:pPr>
        <w:spacing w:line="360" w:lineRule="auto"/>
        <w:ind w:left="420"/>
        <w:rPr>
          <w:rFonts w:hint="eastAsia" w:ascii="宋体" w:hAnsi="宋体"/>
          <w:b/>
          <w:color w:val="000000"/>
          <w:sz w:val="24"/>
        </w:rPr>
      </w:pPr>
    </w:p>
    <w:p w14:paraId="50DE5183">
      <w:pPr>
        <w:spacing w:line="360" w:lineRule="auto"/>
        <w:ind w:left="420"/>
        <w:rPr>
          <w:rFonts w:hint="eastAsia" w:ascii="宋体" w:hAnsi="宋体"/>
          <w:b/>
          <w:color w:val="000000"/>
          <w:sz w:val="24"/>
        </w:rPr>
      </w:pPr>
    </w:p>
    <w:p w14:paraId="29C282E1">
      <w:pPr>
        <w:spacing w:line="360" w:lineRule="auto"/>
        <w:ind w:left="420"/>
        <w:rPr>
          <w:rFonts w:hint="eastAsia" w:ascii="宋体" w:hAnsi="宋体"/>
          <w:b/>
          <w:color w:val="000000"/>
          <w:sz w:val="24"/>
        </w:rPr>
      </w:pPr>
    </w:p>
    <w:p w14:paraId="55981ECC">
      <w:pPr>
        <w:spacing w:line="360" w:lineRule="auto"/>
        <w:ind w:firstLine="602" w:firstLineChars="250"/>
        <w:jc w:val="center"/>
        <w:rPr>
          <w:rFonts w:ascii="宋体" w:hAnsi="宋体"/>
          <w:b/>
          <w:color w:val="000000"/>
          <w:sz w:val="28"/>
          <w:szCs w:val="28"/>
        </w:rPr>
      </w:pPr>
      <w:r>
        <w:rPr>
          <w:rFonts w:ascii="宋体" w:hAnsi="宋体"/>
          <w:b/>
          <w:color w:val="000000"/>
          <w:sz w:val="24"/>
        </w:rPr>
        <w:br w:type="page"/>
      </w:r>
      <w:r>
        <w:rPr>
          <w:rFonts w:hint="eastAsia" w:ascii="宋体" w:hAnsi="宋体"/>
          <w:b/>
          <w:color w:val="000000"/>
          <w:sz w:val="28"/>
          <w:szCs w:val="28"/>
        </w:rPr>
        <w:t>广西壮族自治区建筑工程安全文明施工措施项目清单内容</w:t>
      </w:r>
    </w:p>
    <w:p w14:paraId="21904CA6">
      <w:pPr>
        <w:pStyle w:val="30"/>
        <w:spacing w:line="360" w:lineRule="auto"/>
        <w:jc w:val="center"/>
        <w:rPr>
          <w:rFonts w:ascii="宋体" w:hAnsi="宋体"/>
          <w:color w:val="000000"/>
        </w:rPr>
      </w:pPr>
      <w:r>
        <w:rPr>
          <w:rFonts w:ascii="宋体" w:hAnsi="宋体"/>
          <w:color w:val="000000"/>
          <w:sz w:val="24"/>
        </w:rPr>
        <w:t>（</w:t>
      </w:r>
      <w:r>
        <w:rPr>
          <w:rFonts w:hint="eastAsia" w:ascii="宋体" w:hAnsi="宋体"/>
          <w:color w:val="000000"/>
          <w:sz w:val="24"/>
        </w:rPr>
        <w:t>桂建质【</w:t>
      </w:r>
      <w:r>
        <w:rPr>
          <w:rFonts w:ascii="宋体" w:hAnsi="宋体"/>
          <w:color w:val="000000"/>
          <w:sz w:val="24"/>
        </w:rPr>
        <w:t>2015</w:t>
      </w:r>
      <w:r>
        <w:rPr>
          <w:rFonts w:hint="eastAsia" w:ascii="宋体" w:hAnsi="宋体"/>
          <w:color w:val="000000"/>
          <w:sz w:val="24"/>
        </w:rPr>
        <w:t>】</w:t>
      </w:r>
      <w:r>
        <w:rPr>
          <w:rFonts w:ascii="宋体" w:hAnsi="宋体"/>
          <w:color w:val="000000"/>
          <w:sz w:val="24"/>
        </w:rPr>
        <w:t>16</w:t>
      </w:r>
      <w:r>
        <w:rPr>
          <w:rFonts w:hint="eastAsia" w:ascii="宋体" w:hAnsi="宋体"/>
          <w:color w:val="000000"/>
          <w:sz w:val="24"/>
        </w:rPr>
        <w:t>号</w:t>
      </w:r>
      <w:r>
        <w:rPr>
          <w:rFonts w:ascii="宋体" w:hAnsi="宋体"/>
          <w:color w:val="000000"/>
          <w:sz w:val="24"/>
        </w:rPr>
        <w:t>文附件一）</w:t>
      </w:r>
    </w:p>
    <w:p w14:paraId="38EB7FC1">
      <w:pPr>
        <w:pStyle w:val="43"/>
        <w:outlineLvl w:val="9"/>
      </w:pPr>
      <w:r>
        <w:t>广西壮族自治区</w:t>
      </w:r>
    </w:p>
    <w:p w14:paraId="11EFEA81">
      <w:pPr>
        <w:pStyle w:val="43"/>
        <w:outlineLvl w:val="9"/>
      </w:pPr>
      <w:r>
        <w:t>建设工程安全文明施工措施项目清单内容</w:t>
      </w:r>
    </w:p>
    <w:tbl>
      <w:tblPr>
        <w:tblStyle w:val="22"/>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38"/>
        <w:gridCol w:w="525"/>
        <w:gridCol w:w="1545"/>
        <w:gridCol w:w="6645"/>
      </w:tblGrid>
      <w:tr w14:paraId="09DBE66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01" w:hRule="exact"/>
        </w:trPr>
        <w:tc>
          <w:tcPr>
            <w:tcW w:w="738" w:type="dxa"/>
            <w:noWrap w:val="0"/>
            <w:vAlign w:val="center"/>
          </w:tcPr>
          <w:p w14:paraId="24D615DA">
            <w:pPr>
              <w:pStyle w:val="31"/>
              <w:spacing w:line="360" w:lineRule="auto"/>
              <w:jc w:val="center"/>
              <w:rPr>
                <w:rFonts w:ascii="宋体" w:hAnsi="宋体"/>
                <w:b/>
                <w:bCs/>
                <w:color w:val="000000"/>
                <w:szCs w:val="21"/>
              </w:rPr>
            </w:pPr>
            <w:r>
              <w:rPr>
                <w:rFonts w:hint="eastAsia" w:ascii="宋体" w:hAnsi="宋体"/>
                <w:b/>
                <w:bCs/>
                <w:color w:val="000000"/>
                <w:szCs w:val="21"/>
              </w:rPr>
              <w:t>类别</w:t>
            </w:r>
          </w:p>
        </w:tc>
        <w:tc>
          <w:tcPr>
            <w:tcW w:w="2070" w:type="dxa"/>
            <w:gridSpan w:val="2"/>
            <w:noWrap w:val="0"/>
            <w:vAlign w:val="center"/>
          </w:tcPr>
          <w:p w14:paraId="04DB493B">
            <w:pPr>
              <w:pStyle w:val="31"/>
              <w:spacing w:line="360" w:lineRule="auto"/>
              <w:jc w:val="center"/>
              <w:rPr>
                <w:rFonts w:ascii="宋体" w:hAnsi="宋体"/>
                <w:b/>
                <w:bCs/>
                <w:color w:val="000000"/>
                <w:szCs w:val="21"/>
              </w:rPr>
            </w:pPr>
            <w:r>
              <w:rPr>
                <w:rFonts w:hint="eastAsia" w:ascii="宋体" w:hAnsi="宋体"/>
                <w:b/>
                <w:bCs/>
                <w:color w:val="000000"/>
                <w:szCs w:val="21"/>
              </w:rPr>
              <w:t>项目名称</w:t>
            </w:r>
          </w:p>
        </w:tc>
        <w:tc>
          <w:tcPr>
            <w:tcW w:w="6645" w:type="dxa"/>
            <w:noWrap w:val="0"/>
            <w:vAlign w:val="center"/>
          </w:tcPr>
          <w:p w14:paraId="0A6BABC3">
            <w:pPr>
              <w:pStyle w:val="31"/>
              <w:spacing w:line="360" w:lineRule="auto"/>
              <w:jc w:val="center"/>
              <w:rPr>
                <w:rFonts w:ascii="宋体" w:hAnsi="宋体"/>
                <w:b/>
                <w:bCs/>
                <w:color w:val="000000"/>
                <w:szCs w:val="21"/>
              </w:rPr>
            </w:pPr>
            <w:r>
              <w:rPr>
                <w:rFonts w:hint="eastAsia" w:ascii="宋体" w:hAnsi="宋体"/>
                <w:b/>
                <w:bCs/>
                <w:color w:val="000000"/>
                <w:szCs w:val="21"/>
              </w:rPr>
              <w:t>主要内容和要求</w:t>
            </w:r>
          </w:p>
        </w:tc>
      </w:tr>
      <w:tr w14:paraId="3DB829C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restart"/>
            <w:noWrap w:val="0"/>
            <w:vAlign w:val="center"/>
          </w:tcPr>
          <w:p w14:paraId="6A347BF2">
            <w:pPr>
              <w:pStyle w:val="31"/>
              <w:spacing w:line="360" w:lineRule="auto"/>
              <w:jc w:val="center"/>
              <w:rPr>
                <w:rFonts w:ascii="宋体" w:hAnsi="宋体"/>
                <w:color w:val="000000"/>
                <w:szCs w:val="21"/>
              </w:rPr>
            </w:pPr>
            <w:r>
              <w:rPr>
                <w:rFonts w:hint="eastAsia" w:ascii="宋体" w:hAnsi="宋体"/>
                <w:color w:val="000000"/>
                <w:szCs w:val="21"/>
              </w:rPr>
              <w:t>文明</w:t>
            </w:r>
          </w:p>
          <w:p w14:paraId="7B51E17F">
            <w:pPr>
              <w:pStyle w:val="31"/>
              <w:spacing w:line="360" w:lineRule="auto"/>
              <w:jc w:val="center"/>
              <w:rPr>
                <w:rFonts w:ascii="宋体" w:hAnsi="宋体"/>
                <w:color w:val="000000"/>
                <w:szCs w:val="21"/>
              </w:rPr>
            </w:pPr>
            <w:r>
              <w:rPr>
                <w:rFonts w:hint="eastAsia" w:ascii="宋体" w:hAnsi="宋体"/>
                <w:color w:val="000000"/>
                <w:szCs w:val="21"/>
              </w:rPr>
              <w:t>施工</w:t>
            </w:r>
          </w:p>
          <w:p w14:paraId="510990CA">
            <w:pPr>
              <w:pStyle w:val="31"/>
              <w:spacing w:line="360" w:lineRule="auto"/>
              <w:jc w:val="center"/>
              <w:rPr>
                <w:rFonts w:ascii="宋体" w:hAnsi="宋体"/>
                <w:color w:val="000000"/>
                <w:szCs w:val="21"/>
              </w:rPr>
            </w:pPr>
            <w:r>
              <w:rPr>
                <w:rFonts w:hint="eastAsia" w:ascii="宋体" w:hAnsi="宋体"/>
                <w:color w:val="000000"/>
                <w:szCs w:val="21"/>
              </w:rPr>
              <w:t>与</w:t>
            </w:r>
          </w:p>
          <w:p w14:paraId="25B86DC7">
            <w:pPr>
              <w:pStyle w:val="31"/>
              <w:spacing w:line="360" w:lineRule="auto"/>
              <w:jc w:val="center"/>
              <w:rPr>
                <w:rFonts w:ascii="宋体" w:hAnsi="宋体"/>
                <w:color w:val="000000"/>
                <w:szCs w:val="21"/>
              </w:rPr>
            </w:pPr>
            <w:r>
              <w:rPr>
                <w:rFonts w:hint="eastAsia" w:ascii="宋体" w:hAnsi="宋体"/>
                <w:color w:val="000000"/>
                <w:szCs w:val="21"/>
              </w:rPr>
              <w:t>环境</w:t>
            </w:r>
          </w:p>
          <w:p w14:paraId="3E4B590F">
            <w:pPr>
              <w:pStyle w:val="31"/>
              <w:spacing w:line="360" w:lineRule="auto"/>
              <w:jc w:val="center"/>
              <w:rPr>
                <w:rFonts w:ascii="宋体" w:hAnsi="宋体"/>
                <w:color w:val="000000"/>
                <w:szCs w:val="21"/>
              </w:rPr>
            </w:pPr>
            <w:r>
              <w:rPr>
                <w:rFonts w:hint="eastAsia" w:ascii="宋体" w:hAnsi="宋体"/>
                <w:color w:val="000000"/>
                <w:szCs w:val="21"/>
              </w:rPr>
              <w:t>保护</w:t>
            </w:r>
          </w:p>
        </w:tc>
        <w:tc>
          <w:tcPr>
            <w:tcW w:w="2070" w:type="dxa"/>
            <w:gridSpan w:val="2"/>
            <w:noWrap w:val="0"/>
            <w:vAlign w:val="center"/>
          </w:tcPr>
          <w:p w14:paraId="01AF696D">
            <w:pPr>
              <w:pStyle w:val="31"/>
              <w:spacing w:line="360" w:lineRule="auto"/>
              <w:jc w:val="center"/>
              <w:rPr>
                <w:rFonts w:ascii="宋体" w:hAnsi="宋体"/>
                <w:color w:val="000000"/>
                <w:szCs w:val="21"/>
              </w:rPr>
            </w:pPr>
            <w:r>
              <w:rPr>
                <w:rFonts w:hint="eastAsia" w:ascii="宋体" w:hAnsi="宋体"/>
                <w:color w:val="000000"/>
                <w:szCs w:val="21"/>
              </w:rPr>
              <w:t>安全警示</w:t>
            </w:r>
          </w:p>
          <w:p w14:paraId="399F878D">
            <w:pPr>
              <w:pStyle w:val="31"/>
              <w:spacing w:line="360" w:lineRule="auto"/>
              <w:jc w:val="center"/>
              <w:rPr>
                <w:rFonts w:ascii="宋体" w:hAnsi="宋体"/>
                <w:color w:val="000000"/>
                <w:szCs w:val="21"/>
              </w:rPr>
            </w:pPr>
            <w:r>
              <w:rPr>
                <w:rFonts w:hint="eastAsia" w:ascii="宋体" w:hAnsi="宋体"/>
                <w:color w:val="000000"/>
                <w:szCs w:val="21"/>
              </w:rPr>
              <w:t>标志牌</w:t>
            </w:r>
          </w:p>
        </w:tc>
        <w:tc>
          <w:tcPr>
            <w:tcW w:w="6645" w:type="dxa"/>
            <w:noWrap w:val="0"/>
            <w:vAlign w:val="center"/>
          </w:tcPr>
          <w:p w14:paraId="46810E87">
            <w:pPr>
              <w:pStyle w:val="31"/>
              <w:spacing w:line="360" w:lineRule="auto"/>
              <w:rPr>
                <w:rFonts w:ascii="宋体" w:hAnsi="宋体"/>
                <w:color w:val="000000"/>
                <w:szCs w:val="21"/>
              </w:rPr>
            </w:pPr>
            <w:r>
              <w:rPr>
                <w:rFonts w:hint="eastAsia" w:ascii="宋体" w:hAnsi="宋体"/>
                <w:color w:val="000000"/>
                <w:szCs w:val="21"/>
              </w:rPr>
              <w:t>在易发伤亡事故（或危险）处设置明显的、符合国家标准要求的安全警示标志牌。</w:t>
            </w:r>
          </w:p>
        </w:tc>
      </w:tr>
      <w:tr w14:paraId="2D022E4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noWrap w:val="0"/>
            <w:vAlign w:val="center"/>
          </w:tcPr>
          <w:p w14:paraId="03EBA639">
            <w:pPr>
              <w:pStyle w:val="31"/>
              <w:spacing w:line="360" w:lineRule="auto"/>
              <w:jc w:val="center"/>
              <w:rPr>
                <w:rFonts w:ascii="宋体" w:hAnsi="宋体"/>
                <w:color w:val="000000"/>
                <w:szCs w:val="21"/>
              </w:rPr>
            </w:pPr>
          </w:p>
        </w:tc>
        <w:tc>
          <w:tcPr>
            <w:tcW w:w="2070" w:type="dxa"/>
            <w:gridSpan w:val="2"/>
            <w:noWrap w:val="0"/>
            <w:vAlign w:val="center"/>
          </w:tcPr>
          <w:p w14:paraId="0BCE5373">
            <w:pPr>
              <w:pStyle w:val="31"/>
              <w:spacing w:line="360" w:lineRule="auto"/>
              <w:jc w:val="center"/>
              <w:rPr>
                <w:rFonts w:ascii="宋体" w:hAnsi="宋体"/>
                <w:color w:val="000000"/>
                <w:szCs w:val="21"/>
              </w:rPr>
            </w:pPr>
            <w:r>
              <w:rPr>
                <w:rFonts w:hint="eastAsia" w:ascii="宋体" w:hAnsi="宋体"/>
                <w:color w:val="000000"/>
                <w:szCs w:val="21"/>
              </w:rPr>
              <w:t>现场围挡</w:t>
            </w:r>
          </w:p>
        </w:tc>
        <w:tc>
          <w:tcPr>
            <w:tcW w:w="6645" w:type="dxa"/>
            <w:noWrap w:val="0"/>
            <w:vAlign w:val="center"/>
          </w:tcPr>
          <w:p w14:paraId="3B0CDF93">
            <w:pPr>
              <w:pStyle w:val="31"/>
              <w:spacing w:line="360" w:lineRule="auto"/>
              <w:rPr>
                <w:rFonts w:ascii="宋体" w:hAnsi="宋体"/>
                <w:color w:val="000000"/>
                <w:szCs w:val="21"/>
              </w:rPr>
            </w:pPr>
            <w:r>
              <w:rPr>
                <w:rFonts w:hint="eastAsia" w:ascii="宋体" w:hAnsi="宋体"/>
                <w:color w:val="000000"/>
                <w:szCs w:val="21"/>
              </w:rPr>
              <w:t>1. 现场采用封闭围挡，高度不小于1.8m。</w:t>
            </w:r>
          </w:p>
          <w:p w14:paraId="44012720">
            <w:pPr>
              <w:pStyle w:val="31"/>
              <w:spacing w:line="360" w:lineRule="auto"/>
              <w:rPr>
                <w:rFonts w:ascii="宋体" w:hAnsi="宋体"/>
                <w:color w:val="000000"/>
                <w:szCs w:val="21"/>
              </w:rPr>
            </w:pPr>
            <w:r>
              <w:rPr>
                <w:rFonts w:hint="eastAsia" w:ascii="宋体" w:hAnsi="宋体"/>
                <w:color w:val="000000"/>
                <w:szCs w:val="21"/>
              </w:rPr>
              <w:t>2. 围挡材料可用彩色、定型钢板，砌块等墙体。</w:t>
            </w:r>
          </w:p>
        </w:tc>
      </w:tr>
      <w:tr w14:paraId="09EC1B7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noWrap w:val="0"/>
            <w:vAlign w:val="center"/>
          </w:tcPr>
          <w:p w14:paraId="4039F149">
            <w:pPr>
              <w:pStyle w:val="31"/>
              <w:spacing w:line="360" w:lineRule="auto"/>
              <w:jc w:val="center"/>
              <w:rPr>
                <w:rFonts w:ascii="宋体" w:hAnsi="宋体"/>
                <w:color w:val="000000"/>
                <w:szCs w:val="21"/>
              </w:rPr>
            </w:pPr>
          </w:p>
        </w:tc>
        <w:tc>
          <w:tcPr>
            <w:tcW w:w="2070" w:type="dxa"/>
            <w:gridSpan w:val="2"/>
            <w:noWrap w:val="0"/>
            <w:vAlign w:val="center"/>
          </w:tcPr>
          <w:p w14:paraId="791501F2">
            <w:pPr>
              <w:pStyle w:val="31"/>
              <w:spacing w:line="360" w:lineRule="auto"/>
              <w:jc w:val="center"/>
              <w:rPr>
                <w:rFonts w:ascii="宋体" w:hAnsi="宋体"/>
                <w:color w:val="000000"/>
                <w:szCs w:val="21"/>
              </w:rPr>
            </w:pPr>
            <w:r>
              <w:rPr>
                <w:rFonts w:hint="eastAsia" w:ascii="宋体" w:hAnsi="宋体"/>
                <w:color w:val="000000"/>
                <w:szCs w:val="21"/>
              </w:rPr>
              <w:t>七牌二图</w:t>
            </w:r>
          </w:p>
        </w:tc>
        <w:tc>
          <w:tcPr>
            <w:tcW w:w="6645" w:type="dxa"/>
            <w:noWrap w:val="0"/>
            <w:vAlign w:val="center"/>
          </w:tcPr>
          <w:p w14:paraId="29A8CA0D">
            <w:pPr>
              <w:pStyle w:val="31"/>
              <w:spacing w:line="360" w:lineRule="auto"/>
              <w:rPr>
                <w:rFonts w:ascii="宋体" w:hAnsi="宋体"/>
                <w:color w:val="000000"/>
                <w:szCs w:val="21"/>
              </w:rPr>
            </w:pPr>
            <w:r>
              <w:rPr>
                <w:rFonts w:hint="eastAsia" w:ascii="宋体" w:hAnsi="宋体"/>
                <w:color w:val="000000"/>
                <w:szCs w:val="21"/>
              </w:rPr>
              <w:t>在进门处悬挂工程概况、现场出入制度、管理人员名单及监督电话、安全生产规定、文明施工、消防保卫、节能公示等七牌以及施工现场总平面图、工程效果图。</w:t>
            </w:r>
          </w:p>
        </w:tc>
      </w:tr>
      <w:tr w14:paraId="16ADE96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738" w:type="dxa"/>
            <w:vMerge w:val="continue"/>
            <w:noWrap w:val="0"/>
            <w:vAlign w:val="center"/>
          </w:tcPr>
          <w:p w14:paraId="71BE4F69">
            <w:pPr>
              <w:pStyle w:val="31"/>
              <w:spacing w:line="360" w:lineRule="auto"/>
              <w:jc w:val="center"/>
              <w:rPr>
                <w:rFonts w:ascii="宋体" w:hAnsi="宋体"/>
                <w:color w:val="000000"/>
                <w:szCs w:val="21"/>
              </w:rPr>
            </w:pPr>
          </w:p>
        </w:tc>
        <w:tc>
          <w:tcPr>
            <w:tcW w:w="2070" w:type="dxa"/>
            <w:gridSpan w:val="2"/>
            <w:noWrap w:val="0"/>
            <w:vAlign w:val="center"/>
          </w:tcPr>
          <w:p w14:paraId="4DBE92DA">
            <w:pPr>
              <w:pStyle w:val="31"/>
              <w:spacing w:line="360" w:lineRule="auto"/>
              <w:jc w:val="center"/>
              <w:rPr>
                <w:rFonts w:ascii="宋体" w:hAnsi="宋体"/>
                <w:color w:val="000000"/>
                <w:szCs w:val="21"/>
              </w:rPr>
            </w:pPr>
            <w:r>
              <w:rPr>
                <w:rFonts w:hint="eastAsia" w:ascii="宋体" w:hAnsi="宋体"/>
                <w:color w:val="000000"/>
                <w:szCs w:val="21"/>
              </w:rPr>
              <w:t>企业标志</w:t>
            </w:r>
          </w:p>
        </w:tc>
        <w:tc>
          <w:tcPr>
            <w:tcW w:w="6645" w:type="dxa"/>
            <w:noWrap w:val="0"/>
            <w:vAlign w:val="center"/>
          </w:tcPr>
          <w:p w14:paraId="4BE59024">
            <w:pPr>
              <w:pStyle w:val="31"/>
              <w:spacing w:line="360" w:lineRule="auto"/>
              <w:rPr>
                <w:rFonts w:ascii="宋体" w:hAnsi="宋体"/>
                <w:color w:val="000000"/>
                <w:szCs w:val="21"/>
              </w:rPr>
            </w:pPr>
            <w:r>
              <w:rPr>
                <w:rFonts w:hint="eastAsia" w:ascii="宋体" w:hAnsi="宋体"/>
                <w:color w:val="000000"/>
                <w:szCs w:val="21"/>
              </w:rPr>
              <w:t>现场出入的大门应设有本企业标志或企业标识。</w:t>
            </w:r>
          </w:p>
        </w:tc>
      </w:tr>
      <w:tr w14:paraId="4E1D8BE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noWrap w:val="0"/>
            <w:vAlign w:val="center"/>
          </w:tcPr>
          <w:p w14:paraId="1EEFF4F9">
            <w:pPr>
              <w:pStyle w:val="31"/>
              <w:spacing w:line="360" w:lineRule="auto"/>
              <w:jc w:val="center"/>
              <w:rPr>
                <w:rFonts w:ascii="宋体" w:hAnsi="宋体"/>
                <w:color w:val="000000"/>
                <w:szCs w:val="21"/>
              </w:rPr>
            </w:pPr>
          </w:p>
        </w:tc>
        <w:tc>
          <w:tcPr>
            <w:tcW w:w="2070" w:type="dxa"/>
            <w:gridSpan w:val="2"/>
            <w:noWrap w:val="0"/>
            <w:vAlign w:val="center"/>
          </w:tcPr>
          <w:p w14:paraId="2097DD96">
            <w:pPr>
              <w:pStyle w:val="31"/>
              <w:spacing w:line="360" w:lineRule="auto"/>
              <w:jc w:val="center"/>
              <w:rPr>
                <w:rFonts w:ascii="宋体" w:hAnsi="宋体"/>
                <w:color w:val="000000"/>
                <w:szCs w:val="21"/>
              </w:rPr>
            </w:pPr>
            <w:r>
              <w:rPr>
                <w:rFonts w:hint="eastAsia" w:ascii="宋体" w:hAnsi="宋体"/>
                <w:color w:val="000000"/>
                <w:szCs w:val="21"/>
              </w:rPr>
              <w:t>场容场貌</w:t>
            </w:r>
          </w:p>
        </w:tc>
        <w:tc>
          <w:tcPr>
            <w:tcW w:w="6645" w:type="dxa"/>
            <w:noWrap w:val="0"/>
            <w:vAlign w:val="center"/>
          </w:tcPr>
          <w:p w14:paraId="3A756F48">
            <w:pPr>
              <w:pStyle w:val="31"/>
              <w:spacing w:line="360" w:lineRule="auto"/>
              <w:rPr>
                <w:rFonts w:ascii="宋体" w:hAnsi="宋体"/>
                <w:color w:val="000000"/>
                <w:szCs w:val="21"/>
              </w:rPr>
            </w:pPr>
            <w:r>
              <w:rPr>
                <w:rFonts w:hint="eastAsia" w:ascii="宋体" w:hAnsi="宋体"/>
                <w:color w:val="000000"/>
                <w:szCs w:val="21"/>
              </w:rPr>
              <w:t>1. 道路畅通。</w:t>
            </w:r>
          </w:p>
          <w:p w14:paraId="74E50166">
            <w:pPr>
              <w:pStyle w:val="31"/>
              <w:spacing w:line="360" w:lineRule="auto"/>
              <w:rPr>
                <w:rFonts w:ascii="宋体" w:hAnsi="宋体"/>
                <w:color w:val="000000"/>
                <w:szCs w:val="21"/>
              </w:rPr>
            </w:pPr>
            <w:r>
              <w:rPr>
                <w:rFonts w:hint="eastAsia" w:ascii="宋体" w:hAnsi="宋体"/>
                <w:color w:val="000000"/>
                <w:szCs w:val="21"/>
              </w:rPr>
              <w:t>2. 排水设施齐全畅通。</w:t>
            </w:r>
          </w:p>
          <w:p w14:paraId="687B700E">
            <w:pPr>
              <w:pStyle w:val="31"/>
              <w:spacing w:line="360" w:lineRule="auto"/>
              <w:rPr>
                <w:rFonts w:ascii="宋体" w:hAnsi="宋体"/>
                <w:color w:val="000000"/>
                <w:szCs w:val="21"/>
              </w:rPr>
            </w:pPr>
            <w:r>
              <w:rPr>
                <w:rFonts w:hint="eastAsia" w:ascii="宋体" w:hAnsi="宋体"/>
                <w:color w:val="000000"/>
                <w:szCs w:val="21"/>
              </w:rPr>
              <w:t>3. 工地地面硬化处理（办公区、生活区、现场道路、材料堆放、混凝土搅拌、砂浆搅拌、钢筋加工等场地和外脚手架基础等）。</w:t>
            </w:r>
          </w:p>
        </w:tc>
      </w:tr>
      <w:tr w14:paraId="407A450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noWrap w:val="0"/>
            <w:vAlign w:val="center"/>
          </w:tcPr>
          <w:p w14:paraId="0D60C00E">
            <w:pPr>
              <w:pStyle w:val="31"/>
              <w:spacing w:line="360" w:lineRule="auto"/>
              <w:jc w:val="center"/>
              <w:rPr>
                <w:rFonts w:ascii="宋体" w:hAnsi="宋体"/>
                <w:color w:val="000000"/>
                <w:szCs w:val="21"/>
              </w:rPr>
            </w:pPr>
          </w:p>
        </w:tc>
        <w:tc>
          <w:tcPr>
            <w:tcW w:w="2070" w:type="dxa"/>
            <w:gridSpan w:val="2"/>
            <w:noWrap w:val="0"/>
            <w:vAlign w:val="center"/>
          </w:tcPr>
          <w:p w14:paraId="763F08D3">
            <w:pPr>
              <w:pStyle w:val="31"/>
              <w:spacing w:line="360" w:lineRule="auto"/>
              <w:jc w:val="center"/>
              <w:rPr>
                <w:rFonts w:ascii="宋体" w:hAnsi="宋体"/>
                <w:color w:val="000000"/>
                <w:szCs w:val="21"/>
              </w:rPr>
            </w:pPr>
            <w:r>
              <w:rPr>
                <w:rFonts w:hint="eastAsia" w:ascii="宋体" w:hAnsi="宋体"/>
                <w:color w:val="000000"/>
                <w:szCs w:val="21"/>
              </w:rPr>
              <w:t>材料堆放</w:t>
            </w:r>
          </w:p>
        </w:tc>
        <w:tc>
          <w:tcPr>
            <w:tcW w:w="6645" w:type="dxa"/>
            <w:noWrap w:val="0"/>
            <w:vAlign w:val="center"/>
          </w:tcPr>
          <w:p w14:paraId="603EC673">
            <w:pPr>
              <w:pStyle w:val="31"/>
              <w:numPr>
                <w:ilvl w:val="0"/>
                <w:numId w:val="0"/>
              </w:numPr>
              <w:spacing w:line="360" w:lineRule="auto"/>
              <w:ind w:left="1200" w:leftChars="0" w:hanging="360" w:firstLineChars="0"/>
              <w:rPr>
                <w:rFonts w:ascii="宋体" w:hAnsi="宋体"/>
                <w:color w:val="000000"/>
                <w:szCs w:val="21"/>
              </w:rPr>
            </w:pPr>
            <w:r>
              <w:rPr>
                <w:rFonts w:ascii="宋体" w:hAnsi="宋体" w:eastAsia="宋体" w:cs="Times New Roman"/>
                <w:color w:val="000000"/>
                <w:kern w:val="2"/>
                <w:sz w:val="21"/>
                <w:szCs w:val="21"/>
                <w:lang w:val="en-US" w:eastAsia="zh-CN" w:bidi="ar-SA"/>
              </w:rPr>
              <w:t>1.</w:t>
            </w:r>
            <w:r>
              <w:rPr>
                <w:rFonts w:hint="eastAsia" w:ascii="宋体" w:hAnsi="宋体"/>
                <w:color w:val="000000"/>
                <w:szCs w:val="21"/>
              </w:rPr>
              <w:t>材料、构件、料具等堆放时，应有名称、品种、规格等标牌。</w:t>
            </w:r>
          </w:p>
          <w:p w14:paraId="720555E4">
            <w:pPr>
              <w:pStyle w:val="31"/>
              <w:spacing w:line="360" w:lineRule="auto"/>
              <w:rPr>
                <w:rFonts w:ascii="宋体" w:hAnsi="宋体"/>
                <w:color w:val="000000"/>
                <w:szCs w:val="21"/>
              </w:rPr>
            </w:pPr>
            <w:r>
              <w:rPr>
                <w:rFonts w:hint="eastAsia" w:ascii="宋体" w:hAnsi="宋体"/>
                <w:color w:val="000000"/>
                <w:szCs w:val="21"/>
              </w:rPr>
              <w:t>2. 水泥和其它易飞扬细颗粒建筑材料应封闭存放或采取覆盖等措施。</w:t>
            </w:r>
          </w:p>
          <w:p w14:paraId="1834ACB6">
            <w:pPr>
              <w:pStyle w:val="31"/>
              <w:spacing w:line="360" w:lineRule="auto"/>
              <w:rPr>
                <w:rFonts w:ascii="宋体" w:hAnsi="宋体"/>
                <w:color w:val="000000"/>
                <w:szCs w:val="21"/>
              </w:rPr>
            </w:pPr>
            <w:r>
              <w:rPr>
                <w:rFonts w:hint="eastAsia" w:ascii="宋体" w:hAnsi="宋体"/>
                <w:color w:val="000000"/>
                <w:szCs w:val="21"/>
              </w:rPr>
              <w:t>3. 易燃、易爆和有毒有害物品分类存放。</w:t>
            </w:r>
          </w:p>
        </w:tc>
      </w:tr>
      <w:tr w14:paraId="2482662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0" w:hRule="exact"/>
        </w:trPr>
        <w:tc>
          <w:tcPr>
            <w:tcW w:w="738" w:type="dxa"/>
            <w:vMerge w:val="continue"/>
            <w:noWrap w:val="0"/>
            <w:vAlign w:val="center"/>
          </w:tcPr>
          <w:p w14:paraId="126322C2">
            <w:pPr>
              <w:pStyle w:val="31"/>
              <w:spacing w:line="360" w:lineRule="auto"/>
              <w:jc w:val="center"/>
              <w:rPr>
                <w:rFonts w:ascii="宋体" w:hAnsi="宋体"/>
                <w:color w:val="000000"/>
                <w:szCs w:val="21"/>
              </w:rPr>
            </w:pPr>
          </w:p>
        </w:tc>
        <w:tc>
          <w:tcPr>
            <w:tcW w:w="2070" w:type="dxa"/>
            <w:gridSpan w:val="2"/>
            <w:noWrap w:val="0"/>
            <w:vAlign w:val="center"/>
          </w:tcPr>
          <w:p w14:paraId="72EBF8AF">
            <w:pPr>
              <w:pStyle w:val="31"/>
              <w:spacing w:line="360" w:lineRule="auto"/>
              <w:jc w:val="center"/>
              <w:rPr>
                <w:rFonts w:ascii="宋体" w:hAnsi="宋体"/>
                <w:color w:val="000000"/>
                <w:szCs w:val="21"/>
              </w:rPr>
            </w:pPr>
            <w:r>
              <w:rPr>
                <w:rFonts w:hint="eastAsia" w:ascii="宋体" w:hAnsi="宋体"/>
                <w:color w:val="000000"/>
                <w:szCs w:val="21"/>
              </w:rPr>
              <w:t>现场防火</w:t>
            </w:r>
          </w:p>
        </w:tc>
        <w:tc>
          <w:tcPr>
            <w:tcW w:w="6645" w:type="dxa"/>
            <w:noWrap w:val="0"/>
            <w:vAlign w:val="center"/>
          </w:tcPr>
          <w:p w14:paraId="669D50D9">
            <w:pPr>
              <w:pStyle w:val="31"/>
              <w:spacing w:line="360" w:lineRule="auto"/>
              <w:rPr>
                <w:rFonts w:ascii="宋体" w:hAnsi="宋体"/>
                <w:color w:val="000000"/>
                <w:szCs w:val="21"/>
              </w:rPr>
            </w:pPr>
            <w:r>
              <w:rPr>
                <w:rFonts w:hint="eastAsia" w:ascii="宋体" w:hAnsi="宋体"/>
                <w:color w:val="000000"/>
                <w:szCs w:val="21"/>
              </w:rPr>
              <w:t>消防器材配置合理，符合消防要求。</w:t>
            </w:r>
          </w:p>
        </w:tc>
      </w:tr>
      <w:tr w14:paraId="456E1D8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noWrap w:val="0"/>
            <w:vAlign w:val="center"/>
          </w:tcPr>
          <w:p w14:paraId="4773FC74">
            <w:pPr>
              <w:pStyle w:val="31"/>
              <w:spacing w:line="360" w:lineRule="auto"/>
              <w:jc w:val="center"/>
              <w:rPr>
                <w:rFonts w:ascii="宋体" w:hAnsi="宋体"/>
                <w:color w:val="000000"/>
                <w:szCs w:val="21"/>
              </w:rPr>
            </w:pPr>
          </w:p>
        </w:tc>
        <w:tc>
          <w:tcPr>
            <w:tcW w:w="2070" w:type="dxa"/>
            <w:gridSpan w:val="2"/>
            <w:noWrap w:val="0"/>
            <w:vAlign w:val="center"/>
          </w:tcPr>
          <w:p w14:paraId="010E215D">
            <w:pPr>
              <w:pStyle w:val="31"/>
              <w:spacing w:line="360" w:lineRule="auto"/>
              <w:jc w:val="center"/>
              <w:rPr>
                <w:rFonts w:ascii="宋体" w:hAnsi="宋体"/>
                <w:color w:val="000000"/>
                <w:szCs w:val="21"/>
              </w:rPr>
            </w:pPr>
            <w:r>
              <w:rPr>
                <w:rFonts w:hint="eastAsia" w:ascii="宋体" w:hAnsi="宋体"/>
                <w:color w:val="000000"/>
                <w:szCs w:val="21"/>
              </w:rPr>
              <w:t>垃圾清运</w:t>
            </w:r>
          </w:p>
        </w:tc>
        <w:tc>
          <w:tcPr>
            <w:tcW w:w="6645" w:type="dxa"/>
            <w:noWrap w:val="0"/>
            <w:vAlign w:val="center"/>
          </w:tcPr>
          <w:p w14:paraId="36433CBC">
            <w:pPr>
              <w:pStyle w:val="31"/>
              <w:spacing w:line="360" w:lineRule="auto"/>
              <w:rPr>
                <w:rFonts w:ascii="宋体" w:hAnsi="宋体"/>
                <w:color w:val="000000"/>
                <w:szCs w:val="21"/>
              </w:rPr>
            </w:pPr>
            <w:r>
              <w:rPr>
                <w:rFonts w:hint="eastAsia" w:ascii="宋体" w:hAnsi="宋体"/>
                <w:color w:val="000000"/>
                <w:szCs w:val="21"/>
              </w:rPr>
              <w:t>1. 施工现场应设置密闭式垃圾站，施工垃圾、生活垃圾应分类存放。</w:t>
            </w:r>
          </w:p>
          <w:p w14:paraId="5E6A1044">
            <w:pPr>
              <w:pStyle w:val="31"/>
              <w:spacing w:line="360" w:lineRule="auto"/>
              <w:rPr>
                <w:rFonts w:ascii="宋体" w:hAnsi="宋体"/>
                <w:color w:val="000000"/>
                <w:szCs w:val="21"/>
              </w:rPr>
            </w:pPr>
            <w:r>
              <w:rPr>
                <w:rFonts w:hint="eastAsia" w:ascii="宋体" w:hAnsi="宋体"/>
                <w:color w:val="000000"/>
                <w:szCs w:val="21"/>
              </w:rPr>
              <w:t>2. 施工垃圾必须采用相应容器或管道运输。</w:t>
            </w:r>
          </w:p>
        </w:tc>
      </w:tr>
      <w:tr w14:paraId="4F0F88A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noWrap w:val="0"/>
            <w:vAlign w:val="center"/>
          </w:tcPr>
          <w:p w14:paraId="3E929399">
            <w:pPr>
              <w:pStyle w:val="31"/>
              <w:spacing w:line="360" w:lineRule="auto"/>
              <w:jc w:val="center"/>
              <w:rPr>
                <w:rFonts w:ascii="宋体" w:hAnsi="宋体"/>
                <w:color w:val="000000"/>
                <w:szCs w:val="21"/>
              </w:rPr>
            </w:pPr>
          </w:p>
        </w:tc>
        <w:tc>
          <w:tcPr>
            <w:tcW w:w="2070" w:type="dxa"/>
            <w:gridSpan w:val="2"/>
            <w:noWrap w:val="0"/>
            <w:vAlign w:val="center"/>
          </w:tcPr>
          <w:p w14:paraId="6EB10B68">
            <w:pPr>
              <w:pStyle w:val="31"/>
              <w:spacing w:line="360" w:lineRule="auto"/>
              <w:rPr>
                <w:rFonts w:ascii="宋体" w:hAnsi="宋体"/>
                <w:color w:val="000000"/>
                <w:szCs w:val="21"/>
              </w:rPr>
            </w:pPr>
            <w:r>
              <w:rPr>
                <w:rFonts w:hint="eastAsia" w:ascii="宋体" w:hAnsi="宋体"/>
                <w:color w:val="000000"/>
                <w:szCs w:val="21"/>
              </w:rPr>
              <w:t>宣传栏、环保及不扰民措施</w:t>
            </w:r>
          </w:p>
        </w:tc>
        <w:tc>
          <w:tcPr>
            <w:tcW w:w="6645" w:type="dxa"/>
            <w:noWrap w:val="0"/>
            <w:vAlign w:val="center"/>
          </w:tcPr>
          <w:p w14:paraId="22C9F047">
            <w:pPr>
              <w:pStyle w:val="31"/>
              <w:spacing w:line="360" w:lineRule="auto"/>
              <w:rPr>
                <w:rFonts w:ascii="宋体" w:hAnsi="宋体"/>
                <w:color w:val="000000"/>
                <w:szCs w:val="21"/>
              </w:rPr>
            </w:pPr>
            <w:r>
              <w:rPr>
                <w:rFonts w:hint="eastAsia" w:ascii="宋体" w:hAnsi="宋体"/>
                <w:color w:val="000000"/>
                <w:szCs w:val="21"/>
              </w:rPr>
              <w:t>宣传栏、安全宣传标语等，洗车（防止污染市区道路）、粉尘、噪声控制和排污（污水、废气）措施等。</w:t>
            </w:r>
          </w:p>
        </w:tc>
      </w:tr>
      <w:tr w14:paraId="4B1796D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restart"/>
            <w:noWrap w:val="0"/>
            <w:vAlign w:val="center"/>
          </w:tcPr>
          <w:p w14:paraId="14724CB6">
            <w:pPr>
              <w:pStyle w:val="31"/>
              <w:spacing w:line="360" w:lineRule="auto"/>
              <w:jc w:val="center"/>
              <w:rPr>
                <w:rFonts w:ascii="宋体" w:hAnsi="宋体"/>
                <w:color w:val="000000"/>
                <w:szCs w:val="21"/>
              </w:rPr>
            </w:pPr>
            <w:r>
              <w:rPr>
                <w:rFonts w:hint="eastAsia" w:ascii="宋体" w:hAnsi="宋体"/>
                <w:color w:val="000000"/>
                <w:szCs w:val="21"/>
              </w:rPr>
              <w:t>临时设施</w:t>
            </w:r>
          </w:p>
        </w:tc>
        <w:tc>
          <w:tcPr>
            <w:tcW w:w="2070" w:type="dxa"/>
            <w:gridSpan w:val="2"/>
            <w:noWrap w:val="0"/>
            <w:vAlign w:val="center"/>
          </w:tcPr>
          <w:p w14:paraId="4F2096D6">
            <w:pPr>
              <w:pStyle w:val="31"/>
              <w:spacing w:line="360" w:lineRule="auto"/>
              <w:jc w:val="center"/>
              <w:rPr>
                <w:rFonts w:ascii="宋体" w:hAnsi="宋体"/>
                <w:color w:val="000000"/>
                <w:szCs w:val="21"/>
              </w:rPr>
            </w:pPr>
            <w:r>
              <w:rPr>
                <w:rFonts w:hint="eastAsia" w:ascii="宋体" w:hAnsi="宋体"/>
                <w:color w:val="000000"/>
                <w:szCs w:val="21"/>
              </w:rPr>
              <w:t>现场办公</w:t>
            </w:r>
          </w:p>
          <w:p w14:paraId="21386316">
            <w:pPr>
              <w:pStyle w:val="31"/>
              <w:spacing w:line="360" w:lineRule="auto"/>
              <w:jc w:val="center"/>
              <w:rPr>
                <w:rFonts w:ascii="宋体" w:hAnsi="宋体"/>
                <w:color w:val="000000"/>
                <w:szCs w:val="21"/>
              </w:rPr>
            </w:pPr>
            <w:r>
              <w:rPr>
                <w:rFonts w:hint="eastAsia" w:ascii="宋体" w:hAnsi="宋体"/>
                <w:color w:val="000000"/>
                <w:szCs w:val="21"/>
              </w:rPr>
              <w:t>生活设施</w:t>
            </w:r>
          </w:p>
        </w:tc>
        <w:tc>
          <w:tcPr>
            <w:tcW w:w="6645" w:type="dxa"/>
            <w:noWrap w:val="0"/>
            <w:vAlign w:val="center"/>
          </w:tcPr>
          <w:p w14:paraId="562A6963">
            <w:pPr>
              <w:pStyle w:val="31"/>
              <w:spacing w:line="360" w:lineRule="auto"/>
              <w:rPr>
                <w:rFonts w:ascii="宋体" w:hAnsi="宋体"/>
                <w:color w:val="000000"/>
                <w:szCs w:val="21"/>
              </w:rPr>
            </w:pPr>
            <w:r>
              <w:rPr>
                <w:rFonts w:hint="eastAsia" w:ascii="宋体" w:hAnsi="宋体"/>
                <w:color w:val="000000"/>
                <w:szCs w:val="21"/>
              </w:rPr>
              <w:t>1. 施工现场办公、生活区与作业区分开设置，保持安全距离。</w:t>
            </w:r>
          </w:p>
          <w:p w14:paraId="47E96C44">
            <w:pPr>
              <w:pStyle w:val="31"/>
              <w:spacing w:line="360" w:lineRule="auto"/>
              <w:rPr>
                <w:rFonts w:ascii="宋体" w:hAnsi="宋体"/>
                <w:color w:val="000000"/>
                <w:szCs w:val="21"/>
              </w:rPr>
            </w:pPr>
            <w:r>
              <w:rPr>
                <w:rFonts w:hint="eastAsia" w:ascii="宋体" w:hAnsi="宋体"/>
                <w:color w:val="000000"/>
                <w:szCs w:val="21"/>
              </w:rPr>
              <w:t>2. 工地办公室、现场宿舍、食堂、厕所、饮水、沐浴、休息场所等符合卫生、消防安全要求。</w:t>
            </w:r>
          </w:p>
        </w:tc>
      </w:tr>
      <w:tr w14:paraId="6C71D19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noWrap w:val="0"/>
            <w:vAlign w:val="center"/>
          </w:tcPr>
          <w:p w14:paraId="2A010B75">
            <w:pPr>
              <w:pStyle w:val="31"/>
              <w:spacing w:line="360" w:lineRule="auto"/>
              <w:jc w:val="center"/>
              <w:rPr>
                <w:rFonts w:ascii="宋体" w:hAnsi="宋体"/>
                <w:color w:val="000000"/>
                <w:szCs w:val="21"/>
              </w:rPr>
            </w:pPr>
          </w:p>
        </w:tc>
        <w:tc>
          <w:tcPr>
            <w:tcW w:w="525" w:type="dxa"/>
            <w:vMerge w:val="restart"/>
            <w:noWrap w:val="0"/>
            <w:vAlign w:val="center"/>
          </w:tcPr>
          <w:p w14:paraId="7180A0C6">
            <w:pPr>
              <w:pStyle w:val="31"/>
              <w:spacing w:line="360" w:lineRule="auto"/>
              <w:jc w:val="center"/>
              <w:rPr>
                <w:rFonts w:ascii="宋体" w:hAnsi="宋体"/>
                <w:color w:val="000000"/>
                <w:szCs w:val="21"/>
              </w:rPr>
            </w:pPr>
            <w:r>
              <w:rPr>
                <w:rFonts w:hint="eastAsia" w:ascii="宋体" w:hAnsi="宋体"/>
                <w:color w:val="000000"/>
                <w:szCs w:val="21"/>
              </w:rPr>
              <w:t>施工现场</w:t>
            </w:r>
          </w:p>
          <w:p w14:paraId="7112192E">
            <w:pPr>
              <w:pStyle w:val="31"/>
              <w:spacing w:line="360" w:lineRule="auto"/>
              <w:jc w:val="center"/>
              <w:rPr>
                <w:rFonts w:ascii="宋体" w:hAnsi="宋体"/>
                <w:color w:val="000000"/>
                <w:szCs w:val="21"/>
              </w:rPr>
            </w:pPr>
            <w:r>
              <w:rPr>
                <w:rFonts w:hint="eastAsia" w:ascii="宋体" w:hAnsi="宋体"/>
                <w:color w:val="000000"/>
                <w:szCs w:val="21"/>
              </w:rPr>
              <w:t>临时用电</w:t>
            </w:r>
          </w:p>
        </w:tc>
        <w:tc>
          <w:tcPr>
            <w:tcW w:w="1545" w:type="dxa"/>
            <w:noWrap w:val="0"/>
            <w:vAlign w:val="center"/>
          </w:tcPr>
          <w:p w14:paraId="0E2DD95F">
            <w:pPr>
              <w:pStyle w:val="31"/>
              <w:spacing w:line="360" w:lineRule="auto"/>
              <w:jc w:val="center"/>
              <w:rPr>
                <w:rFonts w:ascii="宋体" w:hAnsi="宋体"/>
                <w:color w:val="000000"/>
                <w:szCs w:val="21"/>
              </w:rPr>
            </w:pPr>
            <w:r>
              <w:rPr>
                <w:rFonts w:hint="eastAsia" w:ascii="宋体" w:hAnsi="宋体"/>
                <w:color w:val="000000"/>
                <w:szCs w:val="21"/>
              </w:rPr>
              <w:t>配电线路</w:t>
            </w:r>
          </w:p>
        </w:tc>
        <w:tc>
          <w:tcPr>
            <w:tcW w:w="6645" w:type="dxa"/>
            <w:noWrap w:val="0"/>
            <w:vAlign w:val="center"/>
          </w:tcPr>
          <w:p w14:paraId="752EE292">
            <w:pPr>
              <w:pStyle w:val="31"/>
              <w:spacing w:line="360" w:lineRule="auto"/>
              <w:rPr>
                <w:rFonts w:ascii="宋体" w:hAnsi="宋体"/>
                <w:color w:val="000000"/>
                <w:szCs w:val="21"/>
              </w:rPr>
            </w:pPr>
            <w:r>
              <w:rPr>
                <w:rFonts w:hint="eastAsia" w:ascii="宋体" w:hAnsi="宋体"/>
                <w:color w:val="000000"/>
                <w:szCs w:val="21"/>
              </w:rPr>
              <w:t>1. 按照TN-S系统要求配备五芯电缆、四芯电缆和三芯电缆。</w:t>
            </w:r>
          </w:p>
          <w:p w14:paraId="42B5567B">
            <w:pPr>
              <w:pStyle w:val="31"/>
              <w:spacing w:line="360" w:lineRule="auto"/>
              <w:rPr>
                <w:rFonts w:ascii="宋体" w:hAnsi="宋体"/>
                <w:color w:val="000000"/>
                <w:szCs w:val="21"/>
              </w:rPr>
            </w:pPr>
            <w:r>
              <w:rPr>
                <w:rFonts w:hint="eastAsia" w:ascii="宋体" w:hAnsi="宋体"/>
                <w:color w:val="000000"/>
                <w:szCs w:val="21"/>
              </w:rPr>
              <w:t>2. 按要求架设临时用电线路的电杆、横担、瓷夹、瓷瓶等，或电缆埋地的地沟。</w:t>
            </w:r>
          </w:p>
          <w:p w14:paraId="599E12B4">
            <w:pPr>
              <w:pStyle w:val="31"/>
              <w:spacing w:line="360" w:lineRule="auto"/>
              <w:rPr>
                <w:rFonts w:ascii="宋体" w:hAnsi="宋体"/>
                <w:color w:val="000000"/>
                <w:szCs w:val="21"/>
              </w:rPr>
            </w:pPr>
            <w:r>
              <w:rPr>
                <w:rFonts w:hint="eastAsia" w:ascii="宋体" w:hAnsi="宋体"/>
                <w:color w:val="000000"/>
                <w:szCs w:val="21"/>
              </w:rPr>
              <w:t>3. 对靠近施工现场的外电线路，设置木质、塑料等绝缘体的防护设施。</w:t>
            </w:r>
          </w:p>
        </w:tc>
      </w:tr>
      <w:tr w14:paraId="0BA3522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noWrap w:val="0"/>
            <w:vAlign w:val="center"/>
          </w:tcPr>
          <w:p w14:paraId="4CE3B340">
            <w:pPr>
              <w:pStyle w:val="31"/>
              <w:spacing w:line="360" w:lineRule="auto"/>
              <w:jc w:val="center"/>
              <w:rPr>
                <w:rFonts w:ascii="宋体" w:hAnsi="宋体"/>
                <w:color w:val="000000"/>
                <w:szCs w:val="21"/>
              </w:rPr>
            </w:pPr>
          </w:p>
        </w:tc>
        <w:tc>
          <w:tcPr>
            <w:tcW w:w="525" w:type="dxa"/>
            <w:vMerge w:val="continue"/>
            <w:noWrap w:val="0"/>
            <w:vAlign w:val="center"/>
          </w:tcPr>
          <w:p w14:paraId="092023F1">
            <w:pPr>
              <w:pStyle w:val="31"/>
              <w:spacing w:line="360" w:lineRule="auto"/>
              <w:jc w:val="center"/>
              <w:rPr>
                <w:rFonts w:ascii="宋体" w:hAnsi="宋体"/>
                <w:color w:val="000000"/>
                <w:szCs w:val="21"/>
              </w:rPr>
            </w:pPr>
          </w:p>
        </w:tc>
        <w:tc>
          <w:tcPr>
            <w:tcW w:w="1545" w:type="dxa"/>
            <w:noWrap w:val="0"/>
            <w:vAlign w:val="center"/>
          </w:tcPr>
          <w:p w14:paraId="06336A0B">
            <w:pPr>
              <w:pStyle w:val="31"/>
              <w:spacing w:line="360" w:lineRule="auto"/>
              <w:jc w:val="center"/>
              <w:rPr>
                <w:rFonts w:ascii="宋体" w:hAnsi="宋体"/>
                <w:color w:val="000000"/>
                <w:szCs w:val="21"/>
              </w:rPr>
            </w:pPr>
            <w:r>
              <w:rPr>
                <w:rFonts w:hint="eastAsia" w:ascii="宋体" w:hAnsi="宋体"/>
                <w:color w:val="000000"/>
                <w:szCs w:val="21"/>
              </w:rPr>
              <w:t>配电箱</w:t>
            </w:r>
          </w:p>
          <w:p w14:paraId="652B0B59">
            <w:pPr>
              <w:pStyle w:val="31"/>
              <w:spacing w:line="360" w:lineRule="auto"/>
              <w:jc w:val="center"/>
              <w:rPr>
                <w:rFonts w:ascii="宋体" w:hAnsi="宋体"/>
                <w:color w:val="000000"/>
                <w:szCs w:val="21"/>
              </w:rPr>
            </w:pPr>
            <w:r>
              <w:rPr>
                <w:rFonts w:hint="eastAsia" w:ascii="宋体" w:hAnsi="宋体"/>
                <w:color w:val="000000"/>
                <w:szCs w:val="21"/>
              </w:rPr>
              <w:t>开关箱</w:t>
            </w:r>
          </w:p>
        </w:tc>
        <w:tc>
          <w:tcPr>
            <w:tcW w:w="6645" w:type="dxa"/>
            <w:noWrap w:val="0"/>
            <w:vAlign w:val="center"/>
          </w:tcPr>
          <w:p w14:paraId="4EE6F45F">
            <w:pPr>
              <w:pStyle w:val="31"/>
              <w:spacing w:line="360" w:lineRule="auto"/>
              <w:rPr>
                <w:rFonts w:ascii="宋体" w:hAnsi="宋体"/>
                <w:color w:val="000000"/>
                <w:szCs w:val="21"/>
              </w:rPr>
            </w:pPr>
            <w:r>
              <w:rPr>
                <w:rFonts w:hint="eastAsia" w:ascii="宋体" w:hAnsi="宋体"/>
                <w:color w:val="000000"/>
                <w:szCs w:val="21"/>
              </w:rPr>
              <w:t>1. 按三级配电要求，配备总配电箱、分配电箱、开关箱三类（铁质）标准电箱，开关箱应符合“一机、一箱、一闸、一漏”，三类电箱中的各类电器应是合格品。</w:t>
            </w:r>
          </w:p>
          <w:p w14:paraId="21CF76F6">
            <w:pPr>
              <w:pStyle w:val="31"/>
              <w:spacing w:line="360" w:lineRule="auto"/>
              <w:rPr>
                <w:rFonts w:ascii="宋体" w:hAnsi="宋体"/>
                <w:color w:val="000000"/>
                <w:szCs w:val="21"/>
              </w:rPr>
            </w:pPr>
            <w:r>
              <w:rPr>
                <w:rFonts w:hint="eastAsia" w:ascii="宋体" w:hAnsi="宋体"/>
                <w:color w:val="000000"/>
                <w:szCs w:val="21"/>
              </w:rPr>
              <w:t>2. 按两级保护的要求，选取符合容量要求和质量合格的总配电箱和开关箱中的漏电保护器。</w:t>
            </w:r>
          </w:p>
          <w:p w14:paraId="0C5568D3">
            <w:pPr>
              <w:pStyle w:val="31"/>
              <w:spacing w:line="360" w:lineRule="auto"/>
              <w:rPr>
                <w:rFonts w:ascii="宋体" w:hAnsi="宋体"/>
                <w:color w:val="000000"/>
                <w:szCs w:val="21"/>
              </w:rPr>
            </w:pPr>
            <w:r>
              <w:rPr>
                <w:rFonts w:hint="eastAsia" w:ascii="宋体" w:hAnsi="宋体"/>
                <w:color w:val="000000"/>
                <w:szCs w:val="21"/>
              </w:rPr>
              <w:t>3. 对大型、落地式分配电箱、开关箱设置防护棚和通透式围挡。</w:t>
            </w:r>
          </w:p>
        </w:tc>
      </w:tr>
      <w:tr w14:paraId="256C8D2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75" w:hRule="atLeast"/>
        </w:trPr>
        <w:tc>
          <w:tcPr>
            <w:tcW w:w="738" w:type="dxa"/>
            <w:vMerge w:val="continue"/>
            <w:noWrap w:val="0"/>
            <w:vAlign w:val="center"/>
          </w:tcPr>
          <w:p w14:paraId="06E286E4">
            <w:pPr>
              <w:pStyle w:val="31"/>
              <w:spacing w:line="360" w:lineRule="auto"/>
              <w:jc w:val="center"/>
              <w:rPr>
                <w:rFonts w:ascii="宋体" w:hAnsi="宋体"/>
                <w:color w:val="000000"/>
                <w:szCs w:val="21"/>
              </w:rPr>
            </w:pPr>
          </w:p>
        </w:tc>
        <w:tc>
          <w:tcPr>
            <w:tcW w:w="525" w:type="dxa"/>
            <w:vMerge w:val="continue"/>
            <w:noWrap w:val="0"/>
            <w:vAlign w:val="center"/>
          </w:tcPr>
          <w:p w14:paraId="6A8BE8ED">
            <w:pPr>
              <w:pStyle w:val="31"/>
              <w:spacing w:line="360" w:lineRule="auto"/>
              <w:jc w:val="center"/>
              <w:rPr>
                <w:rFonts w:ascii="宋体" w:hAnsi="宋体"/>
                <w:color w:val="000000"/>
                <w:szCs w:val="21"/>
              </w:rPr>
            </w:pPr>
          </w:p>
        </w:tc>
        <w:tc>
          <w:tcPr>
            <w:tcW w:w="1545" w:type="dxa"/>
            <w:noWrap w:val="0"/>
            <w:vAlign w:val="center"/>
          </w:tcPr>
          <w:p w14:paraId="73DFD8A2">
            <w:pPr>
              <w:pStyle w:val="31"/>
              <w:spacing w:line="360" w:lineRule="auto"/>
              <w:jc w:val="center"/>
              <w:rPr>
                <w:rFonts w:ascii="宋体" w:hAnsi="宋体"/>
                <w:color w:val="000000"/>
                <w:szCs w:val="21"/>
              </w:rPr>
            </w:pPr>
            <w:r>
              <w:rPr>
                <w:rFonts w:hint="eastAsia" w:ascii="宋体" w:hAnsi="宋体"/>
                <w:color w:val="000000"/>
                <w:szCs w:val="21"/>
              </w:rPr>
              <w:t>接地装置</w:t>
            </w:r>
          </w:p>
        </w:tc>
        <w:tc>
          <w:tcPr>
            <w:tcW w:w="6645" w:type="dxa"/>
            <w:noWrap w:val="0"/>
            <w:vAlign w:val="center"/>
          </w:tcPr>
          <w:p w14:paraId="0C1951AD">
            <w:pPr>
              <w:pStyle w:val="31"/>
              <w:spacing w:line="360" w:lineRule="auto"/>
              <w:rPr>
                <w:rFonts w:ascii="宋体" w:hAnsi="宋体"/>
                <w:color w:val="000000"/>
                <w:szCs w:val="21"/>
              </w:rPr>
            </w:pPr>
            <w:r>
              <w:rPr>
                <w:rFonts w:hint="eastAsia" w:ascii="宋体" w:hAnsi="宋体"/>
                <w:color w:val="000000"/>
                <w:szCs w:val="21"/>
              </w:rPr>
              <w:t>施工现场应设置不少于三处的重复接地装置。</w:t>
            </w:r>
          </w:p>
        </w:tc>
      </w:tr>
      <w:tr w14:paraId="3869AB0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916" w:hRule="atLeast"/>
        </w:trPr>
        <w:tc>
          <w:tcPr>
            <w:tcW w:w="738" w:type="dxa"/>
            <w:vMerge w:val="continue"/>
            <w:noWrap w:val="0"/>
            <w:vAlign w:val="center"/>
          </w:tcPr>
          <w:p w14:paraId="48B0EDB5">
            <w:pPr>
              <w:pStyle w:val="31"/>
              <w:spacing w:line="360" w:lineRule="auto"/>
              <w:jc w:val="center"/>
              <w:rPr>
                <w:rFonts w:ascii="宋体" w:hAnsi="宋体"/>
                <w:color w:val="000000"/>
                <w:szCs w:val="21"/>
              </w:rPr>
            </w:pPr>
          </w:p>
        </w:tc>
        <w:tc>
          <w:tcPr>
            <w:tcW w:w="525" w:type="dxa"/>
            <w:vMerge w:val="continue"/>
            <w:noWrap w:val="0"/>
            <w:vAlign w:val="center"/>
          </w:tcPr>
          <w:p w14:paraId="0D9C8114">
            <w:pPr>
              <w:pStyle w:val="31"/>
              <w:spacing w:line="360" w:lineRule="auto"/>
              <w:jc w:val="center"/>
              <w:rPr>
                <w:rFonts w:ascii="宋体" w:hAnsi="宋体"/>
                <w:color w:val="000000"/>
                <w:szCs w:val="21"/>
              </w:rPr>
            </w:pPr>
          </w:p>
        </w:tc>
        <w:tc>
          <w:tcPr>
            <w:tcW w:w="1545" w:type="dxa"/>
            <w:noWrap w:val="0"/>
            <w:vAlign w:val="center"/>
          </w:tcPr>
          <w:p w14:paraId="08D6B349">
            <w:pPr>
              <w:pStyle w:val="31"/>
              <w:spacing w:line="360" w:lineRule="auto"/>
              <w:jc w:val="center"/>
              <w:rPr>
                <w:rFonts w:ascii="宋体" w:hAnsi="宋体"/>
                <w:color w:val="000000"/>
                <w:szCs w:val="21"/>
              </w:rPr>
            </w:pPr>
            <w:r>
              <w:rPr>
                <w:rFonts w:hint="eastAsia" w:ascii="宋体" w:hAnsi="宋体"/>
                <w:color w:val="000000"/>
                <w:szCs w:val="21"/>
              </w:rPr>
              <w:t>现场变配电装置</w:t>
            </w:r>
          </w:p>
        </w:tc>
        <w:tc>
          <w:tcPr>
            <w:tcW w:w="6645" w:type="dxa"/>
            <w:noWrap w:val="0"/>
            <w:vAlign w:val="center"/>
          </w:tcPr>
          <w:p w14:paraId="78790081">
            <w:pPr>
              <w:pStyle w:val="31"/>
              <w:spacing w:line="360" w:lineRule="auto"/>
              <w:rPr>
                <w:rFonts w:ascii="宋体" w:hAnsi="宋体"/>
                <w:color w:val="000000"/>
                <w:szCs w:val="21"/>
              </w:rPr>
            </w:pPr>
            <w:r>
              <w:rPr>
                <w:rFonts w:hint="eastAsia" w:ascii="宋体" w:hAnsi="宋体"/>
                <w:color w:val="000000"/>
                <w:szCs w:val="21"/>
              </w:rPr>
              <w:t>总配电房建筑材料必须达到消防防火要求，室内做硬地坪、电缆沟。</w:t>
            </w:r>
          </w:p>
        </w:tc>
      </w:tr>
      <w:tr w14:paraId="6ECB308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2" w:hRule="atLeast"/>
        </w:trPr>
        <w:tc>
          <w:tcPr>
            <w:tcW w:w="738" w:type="dxa"/>
            <w:noWrap w:val="0"/>
            <w:vAlign w:val="center"/>
          </w:tcPr>
          <w:p w14:paraId="3AAD6FEA">
            <w:pPr>
              <w:pStyle w:val="31"/>
              <w:spacing w:line="360" w:lineRule="auto"/>
              <w:jc w:val="center"/>
              <w:rPr>
                <w:rFonts w:ascii="宋体" w:hAnsi="宋体"/>
                <w:b/>
                <w:bCs/>
                <w:color w:val="000000"/>
                <w:szCs w:val="21"/>
              </w:rPr>
            </w:pPr>
            <w:r>
              <w:rPr>
                <w:rFonts w:hint="eastAsia" w:ascii="宋体" w:hAnsi="宋体"/>
                <w:b/>
                <w:bCs/>
                <w:color w:val="000000"/>
                <w:szCs w:val="21"/>
              </w:rPr>
              <w:t>类别</w:t>
            </w:r>
          </w:p>
        </w:tc>
        <w:tc>
          <w:tcPr>
            <w:tcW w:w="2070" w:type="dxa"/>
            <w:gridSpan w:val="2"/>
            <w:noWrap w:val="0"/>
            <w:vAlign w:val="center"/>
          </w:tcPr>
          <w:p w14:paraId="04CF213E">
            <w:pPr>
              <w:pStyle w:val="31"/>
              <w:spacing w:line="360" w:lineRule="auto"/>
              <w:jc w:val="center"/>
              <w:rPr>
                <w:rFonts w:ascii="宋体" w:hAnsi="宋体"/>
                <w:b/>
                <w:bCs/>
                <w:color w:val="000000"/>
                <w:szCs w:val="21"/>
              </w:rPr>
            </w:pPr>
            <w:r>
              <w:rPr>
                <w:rFonts w:hint="eastAsia" w:ascii="宋体" w:hAnsi="宋体"/>
                <w:b/>
                <w:bCs/>
                <w:color w:val="000000"/>
                <w:szCs w:val="21"/>
              </w:rPr>
              <w:t>项目名称</w:t>
            </w:r>
          </w:p>
        </w:tc>
        <w:tc>
          <w:tcPr>
            <w:tcW w:w="6645" w:type="dxa"/>
            <w:noWrap w:val="0"/>
            <w:vAlign w:val="center"/>
          </w:tcPr>
          <w:p w14:paraId="26D69129">
            <w:pPr>
              <w:pStyle w:val="31"/>
              <w:spacing w:line="360" w:lineRule="auto"/>
              <w:jc w:val="center"/>
              <w:rPr>
                <w:rFonts w:ascii="宋体" w:hAnsi="宋体"/>
                <w:b/>
                <w:bCs/>
                <w:color w:val="000000"/>
                <w:szCs w:val="21"/>
              </w:rPr>
            </w:pPr>
            <w:r>
              <w:rPr>
                <w:rFonts w:hint="eastAsia" w:ascii="宋体" w:hAnsi="宋体"/>
                <w:b/>
                <w:bCs/>
                <w:color w:val="000000"/>
                <w:szCs w:val="21"/>
              </w:rPr>
              <w:t>主要内容和要求</w:t>
            </w:r>
          </w:p>
        </w:tc>
      </w:tr>
      <w:tr w14:paraId="07F532A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restart"/>
            <w:noWrap w:val="0"/>
            <w:vAlign w:val="center"/>
          </w:tcPr>
          <w:p w14:paraId="11F0CD2F">
            <w:pPr>
              <w:pStyle w:val="31"/>
              <w:spacing w:line="360" w:lineRule="auto"/>
              <w:jc w:val="center"/>
              <w:rPr>
                <w:rFonts w:ascii="宋体" w:hAnsi="宋体"/>
                <w:color w:val="000000"/>
                <w:szCs w:val="21"/>
              </w:rPr>
            </w:pPr>
            <w:r>
              <w:rPr>
                <w:rFonts w:hint="eastAsia" w:ascii="宋体" w:hAnsi="宋体"/>
                <w:color w:val="000000"/>
                <w:szCs w:val="21"/>
              </w:rPr>
              <w:t>安全施工</w:t>
            </w:r>
          </w:p>
        </w:tc>
        <w:tc>
          <w:tcPr>
            <w:tcW w:w="525" w:type="dxa"/>
            <w:vMerge w:val="restart"/>
            <w:noWrap w:val="0"/>
            <w:vAlign w:val="center"/>
          </w:tcPr>
          <w:p w14:paraId="67784066">
            <w:pPr>
              <w:pStyle w:val="31"/>
              <w:spacing w:line="360" w:lineRule="auto"/>
              <w:jc w:val="center"/>
              <w:rPr>
                <w:rFonts w:ascii="宋体" w:hAnsi="宋体"/>
                <w:color w:val="000000"/>
                <w:szCs w:val="21"/>
              </w:rPr>
            </w:pPr>
            <w:r>
              <w:rPr>
                <w:rFonts w:hint="eastAsia" w:ascii="宋体" w:hAnsi="宋体"/>
                <w:color w:val="000000"/>
                <w:szCs w:val="21"/>
              </w:rPr>
              <w:t>高处作业防护</w:t>
            </w:r>
          </w:p>
        </w:tc>
        <w:tc>
          <w:tcPr>
            <w:tcW w:w="1545" w:type="dxa"/>
            <w:noWrap w:val="0"/>
            <w:vAlign w:val="center"/>
          </w:tcPr>
          <w:p w14:paraId="59929E22">
            <w:pPr>
              <w:pStyle w:val="31"/>
              <w:spacing w:line="360" w:lineRule="auto"/>
              <w:rPr>
                <w:rFonts w:ascii="宋体" w:hAnsi="宋体"/>
                <w:color w:val="000000"/>
                <w:szCs w:val="21"/>
              </w:rPr>
            </w:pPr>
            <w:r>
              <w:rPr>
                <w:rFonts w:hint="eastAsia" w:ascii="宋体" w:hAnsi="宋体"/>
                <w:color w:val="000000"/>
                <w:szCs w:val="21"/>
              </w:rPr>
              <w:t>楼层、屋面、阳台等临边</w:t>
            </w:r>
          </w:p>
        </w:tc>
        <w:tc>
          <w:tcPr>
            <w:tcW w:w="6645" w:type="dxa"/>
            <w:noWrap w:val="0"/>
            <w:vAlign w:val="center"/>
          </w:tcPr>
          <w:p w14:paraId="71768551">
            <w:pPr>
              <w:pStyle w:val="31"/>
              <w:spacing w:line="360" w:lineRule="auto"/>
              <w:rPr>
                <w:rFonts w:ascii="宋体" w:hAnsi="宋体"/>
                <w:color w:val="000000"/>
                <w:szCs w:val="21"/>
              </w:rPr>
            </w:pPr>
            <w:r>
              <w:rPr>
                <w:rFonts w:hint="eastAsia" w:ascii="宋体" w:hAnsi="宋体"/>
                <w:color w:val="000000"/>
                <w:szCs w:val="21"/>
              </w:rPr>
              <w:t>设两道防护栏杆和18cm高的踢脚板，用密目式安全立网全封闭。</w:t>
            </w:r>
          </w:p>
        </w:tc>
      </w:tr>
      <w:tr w14:paraId="72667D8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noWrap w:val="0"/>
            <w:vAlign w:val="center"/>
          </w:tcPr>
          <w:p w14:paraId="14C4DEED">
            <w:pPr>
              <w:pStyle w:val="31"/>
              <w:spacing w:line="360" w:lineRule="auto"/>
              <w:jc w:val="center"/>
              <w:rPr>
                <w:rFonts w:ascii="宋体" w:hAnsi="宋体"/>
                <w:color w:val="000000"/>
                <w:szCs w:val="21"/>
              </w:rPr>
            </w:pPr>
          </w:p>
        </w:tc>
        <w:tc>
          <w:tcPr>
            <w:tcW w:w="525" w:type="dxa"/>
            <w:vMerge w:val="continue"/>
            <w:noWrap w:val="0"/>
            <w:vAlign w:val="center"/>
          </w:tcPr>
          <w:p w14:paraId="4011E092">
            <w:pPr>
              <w:pStyle w:val="31"/>
              <w:spacing w:line="360" w:lineRule="auto"/>
              <w:jc w:val="center"/>
              <w:rPr>
                <w:rFonts w:ascii="宋体" w:hAnsi="宋体"/>
                <w:color w:val="000000"/>
                <w:szCs w:val="21"/>
              </w:rPr>
            </w:pPr>
          </w:p>
        </w:tc>
        <w:tc>
          <w:tcPr>
            <w:tcW w:w="1545" w:type="dxa"/>
            <w:noWrap w:val="0"/>
            <w:vAlign w:val="center"/>
          </w:tcPr>
          <w:p w14:paraId="18649CB4">
            <w:pPr>
              <w:pStyle w:val="31"/>
              <w:spacing w:line="360" w:lineRule="auto"/>
              <w:rPr>
                <w:rFonts w:ascii="宋体" w:hAnsi="宋体"/>
                <w:color w:val="000000"/>
                <w:szCs w:val="21"/>
              </w:rPr>
            </w:pPr>
            <w:r>
              <w:rPr>
                <w:rFonts w:hint="eastAsia" w:ascii="宋体" w:hAnsi="宋体"/>
                <w:color w:val="000000"/>
                <w:szCs w:val="21"/>
              </w:rPr>
              <w:t>通道口</w:t>
            </w:r>
          </w:p>
        </w:tc>
        <w:tc>
          <w:tcPr>
            <w:tcW w:w="6645" w:type="dxa"/>
            <w:noWrap w:val="0"/>
            <w:vAlign w:val="center"/>
          </w:tcPr>
          <w:p w14:paraId="33406E88">
            <w:pPr>
              <w:pStyle w:val="31"/>
              <w:spacing w:line="360" w:lineRule="auto"/>
              <w:rPr>
                <w:rFonts w:ascii="宋体" w:hAnsi="宋体"/>
                <w:color w:val="000000"/>
                <w:szCs w:val="21"/>
              </w:rPr>
            </w:pPr>
            <w:r>
              <w:rPr>
                <w:rFonts w:hint="eastAsia" w:ascii="宋体" w:hAnsi="宋体"/>
                <w:color w:val="000000"/>
                <w:szCs w:val="21"/>
              </w:rPr>
              <w:t>设防护棚，防护棚应为不小于5cm厚的木板或两道相距50cm的竹笆。两侧应沿栏杆架用密目式安全网封闭。</w:t>
            </w:r>
          </w:p>
        </w:tc>
      </w:tr>
      <w:tr w14:paraId="38FC49E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noWrap w:val="0"/>
            <w:vAlign w:val="center"/>
          </w:tcPr>
          <w:p w14:paraId="137CA41A">
            <w:pPr>
              <w:pStyle w:val="31"/>
              <w:spacing w:line="360" w:lineRule="auto"/>
              <w:jc w:val="center"/>
              <w:rPr>
                <w:rFonts w:ascii="宋体" w:hAnsi="宋体"/>
                <w:color w:val="000000"/>
                <w:szCs w:val="21"/>
              </w:rPr>
            </w:pPr>
          </w:p>
        </w:tc>
        <w:tc>
          <w:tcPr>
            <w:tcW w:w="525" w:type="dxa"/>
            <w:vMerge w:val="continue"/>
            <w:noWrap w:val="0"/>
            <w:vAlign w:val="center"/>
          </w:tcPr>
          <w:p w14:paraId="05770210">
            <w:pPr>
              <w:pStyle w:val="31"/>
              <w:spacing w:line="360" w:lineRule="auto"/>
              <w:jc w:val="center"/>
              <w:rPr>
                <w:rFonts w:ascii="宋体" w:hAnsi="宋体"/>
                <w:color w:val="000000"/>
                <w:szCs w:val="21"/>
              </w:rPr>
            </w:pPr>
          </w:p>
        </w:tc>
        <w:tc>
          <w:tcPr>
            <w:tcW w:w="1545" w:type="dxa"/>
            <w:noWrap w:val="0"/>
            <w:vAlign w:val="center"/>
          </w:tcPr>
          <w:p w14:paraId="148E6B4B">
            <w:pPr>
              <w:pStyle w:val="31"/>
              <w:spacing w:line="360" w:lineRule="auto"/>
              <w:rPr>
                <w:rFonts w:ascii="宋体" w:hAnsi="宋体"/>
                <w:color w:val="000000"/>
                <w:szCs w:val="21"/>
              </w:rPr>
            </w:pPr>
            <w:r>
              <w:rPr>
                <w:rFonts w:hint="eastAsia" w:ascii="宋体" w:hAnsi="宋体"/>
                <w:color w:val="000000"/>
                <w:szCs w:val="21"/>
              </w:rPr>
              <w:t>预留洞口</w:t>
            </w:r>
          </w:p>
        </w:tc>
        <w:tc>
          <w:tcPr>
            <w:tcW w:w="6645" w:type="dxa"/>
            <w:noWrap w:val="0"/>
            <w:vAlign w:val="center"/>
          </w:tcPr>
          <w:p w14:paraId="4910D561">
            <w:pPr>
              <w:pStyle w:val="31"/>
              <w:spacing w:line="360" w:lineRule="auto"/>
              <w:rPr>
                <w:rFonts w:ascii="宋体" w:hAnsi="宋体"/>
                <w:color w:val="000000"/>
                <w:szCs w:val="21"/>
              </w:rPr>
            </w:pPr>
            <w:r>
              <w:rPr>
                <w:rFonts w:hint="eastAsia" w:ascii="宋体" w:hAnsi="宋体"/>
                <w:color w:val="000000"/>
                <w:szCs w:val="21"/>
              </w:rPr>
              <w:t>用硬质材料全封闭，短边超过1.5m长的洞口，除封闭外四周还应设有防护栏杆。</w:t>
            </w:r>
          </w:p>
        </w:tc>
      </w:tr>
      <w:tr w14:paraId="7AEA7D6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05" w:hRule="atLeast"/>
        </w:trPr>
        <w:tc>
          <w:tcPr>
            <w:tcW w:w="738" w:type="dxa"/>
            <w:vMerge w:val="continue"/>
            <w:noWrap w:val="0"/>
            <w:vAlign w:val="center"/>
          </w:tcPr>
          <w:p w14:paraId="2BBFFBFF">
            <w:pPr>
              <w:pStyle w:val="31"/>
              <w:spacing w:line="360" w:lineRule="auto"/>
              <w:jc w:val="center"/>
              <w:rPr>
                <w:rFonts w:ascii="宋体" w:hAnsi="宋体"/>
                <w:color w:val="000000"/>
                <w:szCs w:val="21"/>
              </w:rPr>
            </w:pPr>
          </w:p>
        </w:tc>
        <w:tc>
          <w:tcPr>
            <w:tcW w:w="525" w:type="dxa"/>
            <w:vMerge w:val="continue"/>
            <w:noWrap w:val="0"/>
            <w:vAlign w:val="center"/>
          </w:tcPr>
          <w:p w14:paraId="617696BE">
            <w:pPr>
              <w:pStyle w:val="31"/>
              <w:spacing w:line="360" w:lineRule="auto"/>
              <w:jc w:val="center"/>
              <w:rPr>
                <w:rFonts w:ascii="宋体" w:hAnsi="宋体"/>
                <w:color w:val="000000"/>
                <w:szCs w:val="21"/>
              </w:rPr>
            </w:pPr>
          </w:p>
        </w:tc>
        <w:tc>
          <w:tcPr>
            <w:tcW w:w="1545" w:type="dxa"/>
            <w:noWrap w:val="0"/>
            <w:vAlign w:val="center"/>
          </w:tcPr>
          <w:p w14:paraId="3BF1383D">
            <w:pPr>
              <w:pStyle w:val="31"/>
              <w:spacing w:line="360" w:lineRule="auto"/>
              <w:rPr>
                <w:rFonts w:ascii="宋体" w:hAnsi="宋体"/>
                <w:color w:val="000000"/>
                <w:szCs w:val="21"/>
              </w:rPr>
            </w:pPr>
            <w:r>
              <w:rPr>
                <w:rFonts w:hint="eastAsia" w:ascii="宋体" w:hAnsi="宋体"/>
                <w:color w:val="000000"/>
                <w:szCs w:val="21"/>
              </w:rPr>
              <w:t>电梯井口</w:t>
            </w:r>
          </w:p>
        </w:tc>
        <w:tc>
          <w:tcPr>
            <w:tcW w:w="6645" w:type="dxa"/>
            <w:noWrap w:val="0"/>
            <w:vAlign w:val="center"/>
          </w:tcPr>
          <w:p w14:paraId="065E9009">
            <w:pPr>
              <w:pStyle w:val="31"/>
              <w:spacing w:line="360" w:lineRule="auto"/>
              <w:rPr>
                <w:rFonts w:ascii="宋体" w:hAnsi="宋体"/>
                <w:color w:val="000000"/>
                <w:szCs w:val="21"/>
              </w:rPr>
            </w:pPr>
            <w:r>
              <w:rPr>
                <w:rFonts w:hint="eastAsia" w:ascii="宋体" w:hAnsi="宋体"/>
                <w:color w:val="000000"/>
                <w:szCs w:val="21"/>
              </w:rPr>
              <w:t>设置定型化、工具化的防护门，在电梯井内每隔2层（不大于10m）设置一道水平防护。</w:t>
            </w:r>
          </w:p>
        </w:tc>
      </w:tr>
      <w:tr w14:paraId="42D3615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noWrap w:val="0"/>
            <w:vAlign w:val="center"/>
          </w:tcPr>
          <w:p w14:paraId="60C84849">
            <w:pPr>
              <w:pStyle w:val="31"/>
              <w:spacing w:line="360" w:lineRule="auto"/>
              <w:jc w:val="center"/>
              <w:rPr>
                <w:rFonts w:ascii="宋体" w:hAnsi="宋体"/>
                <w:color w:val="000000"/>
                <w:szCs w:val="21"/>
              </w:rPr>
            </w:pPr>
          </w:p>
        </w:tc>
        <w:tc>
          <w:tcPr>
            <w:tcW w:w="525" w:type="dxa"/>
            <w:vMerge w:val="continue"/>
            <w:noWrap w:val="0"/>
            <w:vAlign w:val="center"/>
          </w:tcPr>
          <w:p w14:paraId="507FBBAA">
            <w:pPr>
              <w:pStyle w:val="31"/>
              <w:spacing w:line="360" w:lineRule="auto"/>
              <w:jc w:val="center"/>
              <w:rPr>
                <w:rFonts w:ascii="宋体" w:hAnsi="宋体"/>
                <w:color w:val="000000"/>
                <w:szCs w:val="21"/>
              </w:rPr>
            </w:pPr>
          </w:p>
        </w:tc>
        <w:tc>
          <w:tcPr>
            <w:tcW w:w="1545" w:type="dxa"/>
            <w:noWrap w:val="0"/>
            <w:vAlign w:val="center"/>
          </w:tcPr>
          <w:p w14:paraId="0D39052D">
            <w:pPr>
              <w:pStyle w:val="31"/>
              <w:spacing w:line="360" w:lineRule="auto"/>
              <w:rPr>
                <w:rFonts w:ascii="宋体" w:hAnsi="宋体"/>
                <w:color w:val="000000"/>
                <w:szCs w:val="21"/>
              </w:rPr>
            </w:pPr>
            <w:r>
              <w:rPr>
                <w:rFonts w:hint="eastAsia" w:ascii="宋体" w:hAnsi="宋体"/>
                <w:color w:val="000000"/>
                <w:szCs w:val="21"/>
              </w:rPr>
              <w:t>楼梯边</w:t>
            </w:r>
          </w:p>
        </w:tc>
        <w:tc>
          <w:tcPr>
            <w:tcW w:w="6645" w:type="dxa"/>
            <w:noWrap w:val="0"/>
            <w:vAlign w:val="center"/>
          </w:tcPr>
          <w:p w14:paraId="1CE213CE">
            <w:pPr>
              <w:pStyle w:val="31"/>
              <w:spacing w:line="360" w:lineRule="auto"/>
              <w:rPr>
                <w:rFonts w:ascii="宋体" w:hAnsi="宋体"/>
                <w:color w:val="000000"/>
                <w:szCs w:val="21"/>
              </w:rPr>
            </w:pPr>
            <w:r>
              <w:rPr>
                <w:rFonts w:hint="eastAsia" w:ascii="宋体" w:hAnsi="宋体"/>
                <w:color w:val="000000"/>
                <w:szCs w:val="21"/>
              </w:rPr>
              <w:t>设1.2m高的定型化、工具化的防护栏，18cm高的踢脚板。</w:t>
            </w:r>
          </w:p>
        </w:tc>
      </w:tr>
      <w:tr w14:paraId="2B74289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noWrap w:val="0"/>
            <w:vAlign w:val="center"/>
          </w:tcPr>
          <w:p w14:paraId="4D622BA4">
            <w:pPr>
              <w:pStyle w:val="31"/>
              <w:spacing w:line="360" w:lineRule="auto"/>
              <w:jc w:val="center"/>
              <w:rPr>
                <w:rFonts w:ascii="宋体" w:hAnsi="宋体"/>
                <w:color w:val="000000"/>
                <w:szCs w:val="21"/>
              </w:rPr>
            </w:pPr>
          </w:p>
        </w:tc>
        <w:tc>
          <w:tcPr>
            <w:tcW w:w="525" w:type="dxa"/>
            <w:vMerge w:val="continue"/>
            <w:noWrap w:val="0"/>
            <w:vAlign w:val="center"/>
          </w:tcPr>
          <w:p w14:paraId="5A745E0C">
            <w:pPr>
              <w:pStyle w:val="31"/>
              <w:spacing w:line="360" w:lineRule="auto"/>
              <w:jc w:val="center"/>
              <w:rPr>
                <w:rFonts w:ascii="宋体" w:hAnsi="宋体"/>
                <w:color w:val="000000"/>
                <w:szCs w:val="21"/>
              </w:rPr>
            </w:pPr>
          </w:p>
        </w:tc>
        <w:tc>
          <w:tcPr>
            <w:tcW w:w="1545" w:type="dxa"/>
            <w:noWrap w:val="0"/>
            <w:vAlign w:val="center"/>
          </w:tcPr>
          <w:p w14:paraId="39D35A7A">
            <w:pPr>
              <w:pStyle w:val="31"/>
              <w:spacing w:line="360" w:lineRule="auto"/>
              <w:rPr>
                <w:rFonts w:ascii="宋体" w:hAnsi="宋体"/>
                <w:color w:val="000000"/>
                <w:szCs w:val="21"/>
              </w:rPr>
            </w:pPr>
            <w:r>
              <w:rPr>
                <w:rFonts w:hint="eastAsia" w:ascii="宋体" w:hAnsi="宋体"/>
                <w:color w:val="000000"/>
                <w:szCs w:val="21"/>
              </w:rPr>
              <w:t>垂直方向交叉作业</w:t>
            </w:r>
          </w:p>
        </w:tc>
        <w:tc>
          <w:tcPr>
            <w:tcW w:w="6645" w:type="dxa"/>
            <w:noWrap w:val="0"/>
            <w:vAlign w:val="center"/>
          </w:tcPr>
          <w:p w14:paraId="0A4C5F82">
            <w:pPr>
              <w:pStyle w:val="31"/>
              <w:spacing w:line="360" w:lineRule="auto"/>
              <w:rPr>
                <w:rFonts w:ascii="宋体" w:hAnsi="宋体"/>
                <w:color w:val="000000"/>
                <w:szCs w:val="21"/>
              </w:rPr>
            </w:pPr>
            <w:r>
              <w:rPr>
                <w:rFonts w:hint="eastAsia" w:ascii="宋体" w:hAnsi="宋体"/>
                <w:color w:val="000000"/>
                <w:szCs w:val="21"/>
              </w:rPr>
              <w:t>设置防护隔离棚或其它设施。</w:t>
            </w:r>
          </w:p>
        </w:tc>
      </w:tr>
      <w:tr w14:paraId="4282B2F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noWrap w:val="0"/>
            <w:vAlign w:val="center"/>
          </w:tcPr>
          <w:p w14:paraId="00A88222">
            <w:pPr>
              <w:pStyle w:val="31"/>
              <w:spacing w:line="360" w:lineRule="auto"/>
              <w:jc w:val="center"/>
              <w:rPr>
                <w:rFonts w:ascii="宋体" w:hAnsi="宋体"/>
                <w:color w:val="000000"/>
                <w:szCs w:val="21"/>
              </w:rPr>
            </w:pPr>
          </w:p>
        </w:tc>
        <w:tc>
          <w:tcPr>
            <w:tcW w:w="525" w:type="dxa"/>
            <w:vMerge w:val="continue"/>
            <w:noWrap w:val="0"/>
            <w:vAlign w:val="center"/>
          </w:tcPr>
          <w:p w14:paraId="5FDA94DD">
            <w:pPr>
              <w:pStyle w:val="31"/>
              <w:spacing w:line="360" w:lineRule="auto"/>
              <w:jc w:val="center"/>
              <w:rPr>
                <w:rFonts w:ascii="宋体" w:hAnsi="宋体"/>
                <w:color w:val="000000"/>
                <w:szCs w:val="21"/>
              </w:rPr>
            </w:pPr>
          </w:p>
        </w:tc>
        <w:tc>
          <w:tcPr>
            <w:tcW w:w="1545" w:type="dxa"/>
            <w:noWrap w:val="0"/>
            <w:vAlign w:val="center"/>
          </w:tcPr>
          <w:p w14:paraId="23BB157C">
            <w:pPr>
              <w:pStyle w:val="31"/>
              <w:spacing w:line="360" w:lineRule="auto"/>
              <w:rPr>
                <w:rFonts w:ascii="宋体" w:hAnsi="宋体"/>
                <w:color w:val="000000"/>
                <w:szCs w:val="21"/>
              </w:rPr>
            </w:pPr>
            <w:r>
              <w:rPr>
                <w:rFonts w:hint="eastAsia" w:ascii="宋体" w:hAnsi="宋体"/>
                <w:color w:val="000000"/>
                <w:szCs w:val="21"/>
              </w:rPr>
              <w:t>高处作业</w:t>
            </w:r>
          </w:p>
        </w:tc>
        <w:tc>
          <w:tcPr>
            <w:tcW w:w="6645" w:type="dxa"/>
            <w:noWrap w:val="0"/>
            <w:vAlign w:val="center"/>
          </w:tcPr>
          <w:p w14:paraId="151FA7D4">
            <w:pPr>
              <w:pStyle w:val="31"/>
              <w:spacing w:line="360" w:lineRule="auto"/>
              <w:rPr>
                <w:rFonts w:ascii="宋体" w:hAnsi="宋体"/>
                <w:color w:val="000000"/>
                <w:szCs w:val="21"/>
              </w:rPr>
            </w:pPr>
            <w:r>
              <w:rPr>
                <w:rFonts w:hint="eastAsia" w:ascii="宋体" w:hAnsi="宋体"/>
                <w:color w:val="000000"/>
                <w:szCs w:val="21"/>
              </w:rPr>
              <w:t>有悬挂安全带的悬索或其它设施，有操作平台，有上下的梯子或其它形式的通道。</w:t>
            </w:r>
          </w:p>
        </w:tc>
      </w:tr>
      <w:tr w14:paraId="759F0AE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noWrap w:val="0"/>
            <w:vAlign w:val="center"/>
          </w:tcPr>
          <w:p w14:paraId="03F2B1B6">
            <w:pPr>
              <w:pStyle w:val="31"/>
              <w:spacing w:line="360" w:lineRule="auto"/>
              <w:jc w:val="center"/>
              <w:rPr>
                <w:rFonts w:ascii="宋体" w:hAnsi="宋体"/>
                <w:color w:val="000000"/>
                <w:szCs w:val="21"/>
              </w:rPr>
            </w:pPr>
          </w:p>
        </w:tc>
        <w:tc>
          <w:tcPr>
            <w:tcW w:w="525" w:type="dxa"/>
            <w:vMerge w:val="continue"/>
            <w:noWrap w:val="0"/>
            <w:vAlign w:val="center"/>
          </w:tcPr>
          <w:p w14:paraId="1F88295A">
            <w:pPr>
              <w:pStyle w:val="31"/>
              <w:spacing w:line="360" w:lineRule="auto"/>
              <w:jc w:val="center"/>
              <w:rPr>
                <w:rFonts w:ascii="宋体" w:hAnsi="宋体"/>
                <w:color w:val="000000"/>
                <w:szCs w:val="21"/>
              </w:rPr>
            </w:pPr>
          </w:p>
        </w:tc>
        <w:tc>
          <w:tcPr>
            <w:tcW w:w="1545" w:type="dxa"/>
            <w:noWrap w:val="0"/>
            <w:vAlign w:val="center"/>
          </w:tcPr>
          <w:p w14:paraId="56101DD2">
            <w:pPr>
              <w:pStyle w:val="31"/>
              <w:spacing w:line="360" w:lineRule="auto"/>
              <w:rPr>
                <w:rFonts w:ascii="宋体" w:hAnsi="宋体"/>
                <w:color w:val="000000"/>
                <w:szCs w:val="21"/>
              </w:rPr>
            </w:pPr>
            <w:r>
              <w:rPr>
                <w:rFonts w:hint="eastAsia" w:ascii="宋体" w:hAnsi="宋体"/>
                <w:color w:val="000000"/>
                <w:szCs w:val="21"/>
              </w:rPr>
              <w:t>基坑、物料平台</w:t>
            </w:r>
          </w:p>
        </w:tc>
        <w:tc>
          <w:tcPr>
            <w:tcW w:w="6645" w:type="dxa"/>
            <w:noWrap w:val="0"/>
            <w:vAlign w:val="center"/>
          </w:tcPr>
          <w:p w14:paraId="4E5EAA26">
            <w:pPr>
              <w:pStyle w:val="31"/>
              <w:spacing w:line="360" w:lineRule="auto"/>
              <w:rPr>
                <w:rFonts w:ascii="宋体" w:hAnsi="宋体"/>
                <w:color w:val="000000"/>
                <w:szCs w:val="21"/>
              </w:rPr>
            </w:pPr>
            <w:r>
              <w:rPr>
                <w:rFonts w:hint="eastAsia" w:ascii="宋体" w:hAnsi="宋体"/>
                <w:color w:val="000000"/>
                <w:szCs w:val="21"/>
              </w:rPr>
              <w:t>设1.2m高标准化的防护栏，用密目式安全立网封闭，悬挂标识。</w:t>
            </w:r>
          </w:p>
        </w:tc>
      </w:tr>
      <w:tr w14:paraId="61F5EFF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noWrap w:val="0"/>
            <w:vAlign w:val="center"/>
          </w:tcPr>
          <w:p w14:paraId="0C7B46E5">
            <w:pPr>
              <w:pStyle w:val="31"/>
              <w:spacing w:line="360" w:lineRule="auto"/>
              <w:jc w:val="center"/>
              <w:rPr>
                <w:rFonts w:ascii="宋体" w:hAnsi="宋体"/>
                <w:color w:val="000000"/>
                <w:szCs w:val="21"/>
              </w:rPr>
            </w:pPr>
          </w:p>
        </w:tc>
        <w:tc>
          <w:tcPr>
            <w:tcW w:w="2070" w:type="dxa"/>
            <w:gridSpan w:val="2"/>
            <w:noWrap w:val="0"/>
            <w:vAlign w:val="center"/>
          </w:tcPr>
          <w:p w14:paraId="2EC37F97">
            <w:pPr>
              <w:pStyle w:val="31"/>
              <w:spacing w:line="360" w:lineRule="auto"/>
              <w:jc w:val="center"/>
              <w:rPr>
                <w:rFonts w:ascii="宋体" w:hAnsi="宋体"/>
                <w:color w:val="000000"/>
                <w:szCs w:val="21"/>
              </w:rPr>
            </w:pPr>
            <w:r>
              <w:rPr>
                <w:rFonts w:hint="eastAsia" w:ascii="宋体" w:hAnsi="宋体"/>
                <w:color w:val="000000"/>
                <w:szCs w:val="21"/>
              </w:rPr>
              <w:t>安全防护用品</w:t>
            </w:r>
          </w:p>
        </w:tc>
        <w:tc>
          <w:tcPr>
            <w:tcW w:w="6645" w:type="dxa"/>
            <w:noWrap w:val="0"/>
            <w:vAlign w:val="center"/>
          </w:tcPr>
          <w:p w14:paraId="5945AE86">
            <w:pPr>
              <w:pStyle w:val="31"/>
              <w:spacing w:line="360" w:lineRule="auto"/>
              <w:rPr>
                <w:rFonts w:ascii="宋体" w:hAnsi="宋体"/>
                <w:color w:val="000000"/>
                <w:szCs w:val="21"/>
              </w:rPr>
            </w:pPr>
            <w:r>
              <w:rPr>
                <w:rFonts w:hint="eastAsia" w:ascii="宋体" w:hAnsi="宋体"/>
                <w:color w:val="000000"/>
                <w:szCs w:val="21"/>
              </w:rPr>
              <w:t>安全帽、安全带、特种作业人员（电工、焊工、架子工等）防护服装、用品等。</w:t>
            </w:r>
          </w:p>
        </w:tc>
      </w:tr>
      <w:tr w14:paraId="1DFB25B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55" w:hRule="atLeast"/>
        </w:trPr>
        <w:tc>
          <w:tcPr>
            <w:tcW w:w="738" w:type="dxa"/>
            <w:vMerge w:val="restart"/>
            <w:noWrap w:val="0"/>
            <w:vAlign w:val="center"/>
          </w:tcPr>
          <w:p w14:paraId="03ED3023">
            <w:pPr>
              <w:pStyle w:val="31"/>
              <w:spacing w:line="360" w:lineRule="auto"/>
              <w:jc w:val="center"/>
              <w:rPr>
                <w:rFonts w:ascii="宋体" w:hAnsi="宋体"/>
                <w:color w:val="000000"/>
                <w:szCs w:val="21"/>
              </w:rPr>
            </w:pPr>
            <w:r>
              <w:rPr>
                <w:rFonts w:hint="eastAsia" w:ascii="宋体" w:hAnsi="宋体"/>
                <w:color w:val="000000"/>
                <w:szCs w:val="21"/>
              </w:rPr>
              <w:t>其它</w:t>
            </w:r>
          </w:p>
        </w:tc>
        <w:tc>
          <w:tcPr>
            <w:tcW w:w="525" w:type="dxa"/>
            <w:vMerge w:val="restart"/>
            <w:noWrap w:val="0"/>
            <w:vAlign w:val="center"/>
          </w:tcPr>
          <w:p w14:paraId="7E65BE0A">
            <w:pPr>
              <w:pStyle w:val="31"/>
              <w:spacing w:line="360" w:lineRule="auto"/>
              <w:jc w:val="center"/>
              <w:rPr>
                <w:rFonts w:ascii="宋体" w:hAnsi="宋体"/>
                <w:color w:val="000000"/>
                <w:szCs w:val="21"/>
              </w:rPr>
            </w:pPr>
            <w:r>
              <w:rPr>
                <w:rFonts w:hint="eastAsia" w:ascii="宋体" w:hAnsi="宋体"/>
                <w:color w:val="000000"/>
                <w:szCs w:val="21"/>
              </w:rPr>
              <w:t>机械设备防护</w:t>
            </w:r>
          </w:p>
        </w:tc>
        <w:tc>
          <w:tcPr>
            <w:tcW w:w="1545" w:type="dxa"/>
            <w:noWrap w:val="0"/>
            <w:vAlign w:val="center"/>
          </w:tcPr>
          <w:p w14:paraId="6EF58143">
            <w:pPr>
              <w:pStyle w:val="31"/>
              <w:spacing w:line="360" w:lineRule="auto"/>
              <w:jc w:val="center"/>
              <w:rPr>
                <w:rFonts w:ascii="宋体" w:hAnsi="宋体"/>
                <w:color w:val="000000"/>
                <w:szCs w:val="21"/>
              </w:rPr>
            </w:pPr>
            <w:r>
              <w:rPr>
                <w:rFonts w:hint="eastAsia" w:ascii="宋体" w:hAnsi="宋体"/>
                <w:color w:val="000000"/>
                <w:szCs w:val="21"/>
              </w:rPr>
              <w:t>中小型机械</w:t>
            </w:r>
          </w:p>
        </w:tc>
        <w:tc>
          <w:tcPr>
            <w:tcW w:w="6645" w:type="dxa"/>
            <w:noWrap w:val="0"/>
            <w:vAlign w:val="center"/>
          </w:tcPr>
          <w:p w14:paraId="2C818A6F">
            <w:pPr>
              <w:pStyle w:val="31"/>
              <w:spacing w:line="360" w:lineRule="auto"/>
              <w:rPr>
                <w:rFonts w:ascii="宋体" w:hAnsi="宋体"/>
                <w:color w:val="000000"/>
                <w:szCs w:val="21"/>
              </w:rPr>
            </w:pPr>
            <w:r>
              <w:rPr>
                <w:rFonts w:hint="eastAsia" w:ascii="宋体" w:hAnsi="宋体"/>
                <w:color w:val="000000"/>
                <w:szCs w:val="21"/>
              </w:rPr>
              <w:t>设防护棚（同通道口防护并有防雨措施）。</w:t>
            </w:r>
          </w:p>
        </w:tc>
      </w:tr>
      <w:tr w14:paraId="71E04AF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noWrap w:val="0"/>
            <w:vAlign w:val="center"/>
          </w:tcPr>
          <w:p w14:paraId="0AA30D65">
            <w:pPr>
              <w:pStyle w:val="31"/>
              <w:spacing w:line="360" w:lineRule="auto"/>
              <w:jc w:val="center"/>
              <w:rPr>
                <w:rFonts w:ascii="宋体" w:hAnsi="宋体"/>
                <w:color w:val="000000"/>
                <w:szCs w:val="21"/>
              </w:rPr>
            </w:pPr>
          </w:p>
        </w:tc>
        <w:tc>
          <w:tcPr>
            <w:tcW w:w="525" w:type="dxa"/>
            <w:vMerge w:val="continue"/>
            <w:noWrap w:val="0"/>
            <w:vAlign w:val="center"/>
          </w:tcPr>
          <w:p w14:paraId="051E3F5B">
            <w:pPr>
              <w:pStyle w:val="31"/>
              <w:spacing w:line="360" w:lineRule="auto"/>
              <w:jc w:val="center"/>
              <w:rPr>
                <w:rFonts w:ascii="宋体" w:hAnsi="宋体"/>
                <w:color w:val="000000"/>
                <w:szCs w:val="21"/>
              </w:rPr>
            </w:pPr>
          </w:p>
        </w:tc>
        <w:tc>
          <w:tcPr>
            <w:tcW w:w="1545" w:type="dxa"/>
            <w:noWrap w:val="0"/>
            <w:vAlign w:val="center"/>
          </w:tcPr>
          <w:p w14:paraId="4D4F16AD">
            <w:pPr>
              <w:pStyle w:val="31"/>
              <w:spacing w:line="360" w:lineRule="auto"/>
              <w:jc w:val="center"/>
              <w:rPr>
                <w:rFonts w:ascii="宋体" w:hAnsi="宋体"/>
                <w:color w:val="000000"/>
                <w:szCs w:val="21"/>
              </w:rPr>
            </w:pPr>
            <w:r>
              <w:rPr>
                <w:rFonts w:hint="eastAsia" w:ascii="宋体" w:hAnsi="宋体"/>
                <w:color w:val="000000"/>
                <w:szCs w:val="21"/>
              </w:rPr>
              <w:t>垂直运输设备</w:t>
            </w:r>
          </w:p>
        </w:tc>
        <w:tc>
          <w:tcPr>
            <w:tcW w:w="6645" w:type="dxa"/>
            <w:noWrap w:val="0"/>
            <w:vAlign w:val="center"/>
          </w:tcPr>
          <w:p w14:paraId="7AF82E8E">
            <w:pPr>
              <w:pStyle w:val="31"/>
              <w:spacing w:line="360" w:lineRule="auto"/>
              <w:rPr>
                <w:rFonts w:ascii="宋体" w:hAnsi="宋体"/>
                <w:color w:val="000000"/>
                <w:szCs w:val="21"/>
              </w:rPr>
            </w:pPr>
            <w:r>
              <w:rPr>
                <w:rFonts w:hint="eastAsia" w:ascii="宋体" w:hAnsi="宋体"/>
                <w:color w:val="000000"/>
                <w:szCs w:val="21"/>
              </w:rPr>
              <w:t>1. 垂直运输设备检测、检验、日常维护、保养等。</w:t>
            </w:r>
          </w:p>
          <w:p w14:paraId="0CF1DA2C">
            <w:pPr>
              <w:pStyle w:val="31"/>
              <w:spacing w:line="360" w:lineRule="auto"/>
              <w:rPr>
                <w:rFonts w:ascii="宋体" w:hAnsi="宋体"/>
                <w:color w:val="000000"/>
                <w:szCs w:val="21"/>
              </w:rPr>
            </w:pPr>
            <w:r>
              <w:rPr>
                <w:rFonts w:hint="eastAsia" w:ascii="宋体" w:hAnsi="宋体"/>
                <w:color w:val="000000"/>
                <w:szCs w:val="21"/>
              </w:rPr>
              <w:t>2. 物料提升机、施工电梯等物料平台搭设、外侧用密目式安全立网全封闭，有安全通道、安全防护门、防护棚等。</w:t>
            </w:r>
          </w:p>
        </w:tc>
      </w:tr>
      <w:tr w14:paraId="3525217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0" w:hRule="exact"/>
        </w:trPr>
        <w:tc>
          <w:tcPr>
            <w:tcW w:w="738" w:type="dxa"/>
            <w:vMerge w:val="continue"/>
            <w:noWrap w:val="0"/>
            <w:vAlign w:val="center"/>
          </w:tcPr>
          <w:p w14:paraId="1D4E3715">
            <w:pPr>
              <w:pStyle w:val="31"/>
              <w:spacing w:line="360" w:lineRule="auto"/>
              <w:jc w:val="center"/>
              <w:rPr>
                <w:rFonts w:ascii="宋体" w:hAnsi="宋体"/>
                <w:color w:val="000000"/>
                <w:szCs w:val="21"/>
              </w:rPr>
            </w:pPr>
          </w:p>
        </w:tc>
        <w:tc>
          <w:tcPr>
            <w:tcW w:w="2070" w:type="dxa"/>
            <w:gridSpan w:val="2"/>
            <w:noWrap w:val="0"/>
            <w:vAlign w:val="center"/>
          </w:tcPr>
          <w:p w14:paraId="4DED02F6">
            <w:pPr>
              <w:pStyle w:val="31"/>
              <w:spacing w:line="360" w:lineRule="auto"/>
              <w:jc w:val="center"/>
              <w:rPr>
                <w:rFonts w:ascii="宋体" w:hAnsi="宋体"/>
                <w:color w:val="000000"/>
                <w:szCs w:val="21"/>
              </w:rPr>
            </w:pPr>
            <w:r>
              <w:rPr>
                <w:rFonts w:hint="eastAsia" w:ascii="宋体" w:hAnsi="宋体"/>
                <w:color w:val="000000"/>
                <w:szCs w:val="21"/>
              </w:rPr>
              <w:t>专家论证审查</w:t>
            </w:r>
          </w:p>
        </w:tc>
        <w:tc>
          <w:tcPr>
            <w:tcW w:w="6645" w:type="dxa"/>
            <w:noWrap w:val="0"/>
            <w:vAlign w:val="center"/>
          </w:tcPr>
          <w:p w14:paraId="0C41D694">
            <w:pPr>
              <w:pStyle w:val="31"/>
              <w:spacing w:line="360" w:lineRule="auto"/>
              <w:rPr>
                <w:rFonts w:ascii="宋体" w:hAnsi="宋体"/>
                <w:color w:val="000000"/>
                <w:szCs w:val="21"/>
              </w:rPr>
            </w:pPr>
            <w:r>
              <w:rPr>
                <w:rFonts w:hint="eastAsia" w:ascii="宋体" w:hAnsi="宋体"/>
                <w:color w:val="000000"/>
                <w:szCs w:val="21"/>
              </w:rPr>
              <w:t>超过一定规模的危险性较大分部分项工程专家论证审查。</w:t>
            </w:r>
          </w:p>
        </w:tc>
      </w:tr>
      <w:tr w14:paraId="43B7F6C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0" w:hRule="exact"/>
        </w:trPr>
        <w:tc>
          <w:tcPr>
            <w:tcW w:w="738" w:type="dxa"/>
            <w:vMerge w:val="continue"/>
            <w:noWrap w:val="0"/>
            <w:vAlign w:val="center"/>
          </w:tcPr>
          <w:p w14:paraId="3BDF4628">
            <w:pPr>
              <w:pStyle w:val="31"/>
              <w:spacing w:line="360" w:lineRule="auto"/>
              <w:jc w:val="center"/>
              <w:rPr>
                <w:rFonts w:ascii="宋体" w:hAnsi="宋体"/>
                <w:color w:val="000000"/>
                <w:szCs w:val="21"/>
              </w:rPr>
            </w:pPr>
          </w:p>
        </w:tc>
        <w:tc>
          <w:tcPr>
            <w:tcW w:w="2070" w:type="dxa"/>
            <w:gridSpan w:val="2"/>
            <w:noWrap w:val="0"/>
            <w:vAlign w:val="center"/>
          </w:tcPr>
          <w:p w14:paraId="15E1461F">
            <w:pPr>
              <w:pStyle w:val="31"/>
              <w:spacing w:line="360" w:lineRule="auto"/>
              <w:jc w:val="center"/>
              <w:rPr>
                <w:rFonts w:ascii="宋体" w:hAnsi="宋体"/>
                <w:color w:val="000000"/>
                <w:szCs w:val="21"/>
              </w:rPr>
            </w:pPr>
            <w:r>
              <w:rPr>
                <w:rFonts w:hint="eastAsia" w:ascii="宋体" w:hAnsi="宋体"/>
                <w:color w:val="000000"/>
                <w:szCs w:val="21"/>
              </w:rPr>
              <w:t>应急救援预案</w:t>
            </w:r>
          </w:p>
        </w:tc>
        <w:tc>
          <w:tcPr>
            <w:tcW w:w="6645" w:type="dxa"/>
            <w:noWrap w:val="0"/>
            <w:vAlign w:val="center"/>
          </w:tcPr>
          <w:p w14:paraId="5A21B539">
            <w:pPr>
              <w:pStyle w:val="31"/>
              <w:spacing w:line="360" w:lineRule="auto"/>
              <w:rPr>
                <w:rFonts w:ascii="宋体" w:hAnsi="宋体"/>
                <w:color w:val="000000"/>
                <w:szCs w:val="21"/>
              </w:rPr>
            </w:pPr>
            <w:r>
              <w:rPr>
                <w:rFonts w:hint="eastAsia" w:ascii="宋体" w:hAnsi="宋体"/>
                <w:color w:val="000000"/>
                <w:szCs w:val="21"/>
              </w:rPr>
              <w:t>救援器材准备及演练等。</w:t>
            </w:r>
          </w:p>
        </w:tc>
      </w:tr>
      <w:tr w14:paraId="5ADCB85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noWrap w:val="0"/>
            <w:vAlign w:val="center"/>
          </w:tcPr>
          <w:p w14:paraId="6844AB0E">
            <w:pPr>
              <w:pStyle w:val="31"/>
              <w:spacing w:line="360" w:lineRule="auto"/>
              <w:jc w:val="center"/>
              <w:rPr>
                <w:rFonts w:ascii="宋体" w:hAnsi="宋体"/>
                <w:color w:val="000000"/>
                <w:szCs w:val="21"/>
              </w:rPr>
            </w:pPr>
          </w:p>
        </w:tc>
        <w:tc>
          <w:tcPr>
            <w:tcW w:w="2070" w:type="dxa"/>
            <w:gridSpan w:val="2"/>
            <w:noWrap w:val="0"/>
            <w:vAlign w:val="center"/>
          </w:tcPr>
          <w:p w14:paraId="09564948">
            <w:pPr>
              <w:pStyle w:val="31"/>
              <w:spacing w:line="360" w:lineRule="auto"/>
              <w:jc w:val="center"/>
              <w:rPr>
                <w:rFonts w:ascii="宋体" w:hAnsi="宋体"/>
                <w:color w:val="000000"/>
                <w:szCs w:val="21"/>
              </w:rPr>
            </w:pPr>
            <w:r>
              <w:rPr>
                <w:rFonts w:hint="eastAsia" w:ascii="宋体" w:hAnsi="宋体"/>
                <w:color w:val="000000"/>
                <w:szCs w:val="21"/>
              </w:rPr>
              <w:t>非正常情况施工</w:t>
            </w:r>
          </w:p>
        </w:tc>
        <w:tc>
          <w:tcPr>
            <w:tcW w:w="6645" w:type="dxa"/>
            <w:noWrap w:val="0"/>
            <w:vAlign w:val="center"/>
          </w:tcPr>
          <w:p w14:paraId="1DA4C4F0">
            <w:pPr>
              <w:pStyle w:val="31"/>
              <w:spacing w:line="360" w:lineRule="auto"/>
              <w:rPr>
                <w:rFonts w:ascii="宋体" w:hAnsi="宋体"/>
                <w:color w:val="000000"/>
                <w:szCs w:val="21"/>
              </w:rPr>
            </w:pPr>
            <w:r>
              <w:rPr>
                <w:rFonts w:hint="eastAsia" w:ascii="宋体" w:hAnsi="宋体"/>
                <w:color w:val="000000"/>
                <w:szCs w:val="21"/>
              </w:rPr>
              <w:t>其它特殊情况下的防护费用，如：城市主干道、人流密集、河边等处施工及文物、古建筑、古树保护等。</w:t>
            </w:r>
          </w:p>
        </w:tc>
      </w:tr>
    </w:tbl>
    <w:p w14:paraId="760AAB7F">
      <w:pPr>
        <w:pStyle w:val="11"/>
        <w:rPr>
          <w:color w:val="000000"/>
        </w:rPr>
      </w:pPr>
      <w:r>
        <w:rPr>
          <w:color w:val="000000"/>
        </w:rPr>
        <w:t>注：本表所列建设工程安全文明施工费，是依据现行法律法规及标准、规范确定的。如法律法规和标准、规范修订，本表所列项目应按照修订后的法律法规和标准规范进行调整。</w:t>
      </w:r>
    </w:p>
    <w:p w14:paraId="208DFFB6">
      <w:pPr>
        <w:pStyle w:val="2"/>
        <w:numPr>
          <w:ilvl w:val="0"/>
          <w:numId w:val="52"/>
        </w:numPr>
        <w:tabs>
          <w:tab w:val="clear" w:pos="482"/>
        </w:tabs>
        <w:bidi w:val="0"/>
        <w:ind w:left="0" w:leftChars="0" w:firstLine="480" w:firstLineChars="0"/>
      </w:pPr>
      <w:r>
        <w:br w:type="page"/>
      </w:r>
      <w:r>
        <w:t>项目经理须具备公路工程或市政公用工程专业二级（含二级）以上注册建造师执业资格，具备有效的安全生产考核合格证书（B类）的证明材料复印件</w:t>
      </w:r>
    </w:p>
    <w:p w14:paraId="39ED3919">
      <w:pPr>
        <w:pStyle w:val="26"/>
        <w:spacing w:line="360" w:lineRule="auto"/>
        <w:rPr>
          <w:rFonts w:hint="eastAsia"/>
        </w:rPr>
      </w:pPr>
    </w:p>
    <w:p w14:paraId="26120078">
      <w:pPr>
        <w:pStyle w:val="26"/>
        <w:spacing w:line="360" w:lineRule="auto"/>
        <w:rPr>
          <w:rFonts w:hint="eastAsia"/>
        </w:rPr>
      </w:pPr>
    </w:p>
    <w:p w14:paraId="5FF5641B">
      <w:pPr>
        <w:pStyle w:val="26"/>
        <w:spacing w:line="360" w:lineRule="auto"/>
        <w:rPr>
          <w:rFonts w:hint="eastAsia"/>
        </w:rPr>
      </w:pPr>
    </w:p>
    <w:p w14:paraId="184A36AA">
      <w:pPr>
        <w:pStyle w:val="2"/>
        <w:numPr>
          <w:ilvl w:val="0"/>
          <w:numId w:val="52"/>
        </w:numPr>
        <w:tabs>
          <w:tab w:val="clear" w:pos="482"/>
        </w:tabs>
        <w:bidi w:val="0"/>
        <w:ind w:left="0" w:leftChars="0" w:firstLine="480" w:firstLineChars="0"/>
      </w:pPr>
      <w:r>
        <w:t>磋商供应商提供近半年内连续三个月的依法缴纳的社保费凭证复印件或者《依法缴纳或依法交社保证明》复印件（如社保凭证或证明未包含养老保险及医疗保险部分，供应商须同时提供养老保险及医疗保险凭证或缴纳证明），如为新成立的磋商单位请按实际依法缴纳月份提供（必须提供，并加盖公章）；</w:t>
      </w:r>
    </w:p>
    <w:p w14:paraId="44506439">
      <w:pPr>
        <w:spacing w:line="360" w:lineRule="auto"/>
        <w:ind w:left="420"/>
        <w:rPr>
          <w:rFonts w:hint="eastAsia" w:ascii="宋体" w:hAnsi="宋体"/>
          <w:b/>
          <w:color w:val="000000"/>
          <w:sz w:val="24"/>
        </w:rPr>
      </w:pPr>
    </w:p>
    <w:p w14:paraId="3EE5698C">
      <w:pPr>
        <w:pStyle w:val="26"/>
        <w:rPr>
          <w:rFonts w:hint="eastAsia"/>
        </w:rPr>
      </w:pPr>
    </w:p>
    <w:p w14:paraId="7BA1F3D7">
      <w:pPr>
        <w:pStyle w:val="2"/>
        <w:numPr>
          <w:ilvl w:val="0"/>
          <w:numId w:val="52"/>
        </w:numPr>
        <w:tabs>
          <w:tab w:val="clear" w:pos="482"/>
        </w:tabs>
        <w:bidi w:val="0"/>
        <w:ind w:left="0" w:leftChars="0" w:firstLine="480" w:firstLineChars="0"/>
      </w:pPr>
      <w:r>
        <w:t>磋商供应商提供近半年内连续三个月依法纳税的完税凭证复印件或者《依法纳税或依法免税证明》复印件，如为新成立的磋商单位请按实际依法缴纳月份提供（必须提供，并加盖公章）；</w:t>
      </w:r>
    </w:p>
    <w:p w14:paraId="53EA38EE">
      <w:pPr>
        <w:spacing w:line="360" w:lineRule="auto"/>
        <w:ind w:left="420"/>
        <w:rPr>
          <w:rFonts w:hint="eastAsia" w:ascii="宋体" w:hAnsi="宋体"/>
          <w:b/>
          <w:color w:val="000000"/>
          <w:sz w:val="24"/>
        </w:rPr>
      </w:pPr>
    </w:p>
    <w:p w14:paraId="0EC26AA9">
      <w:pPr>
        <w:spacing w:line="360" w:lineRule="auto"/>
        <w:ind w:left="420"/>
        <w:rPr>
          <w:rFonts w:hint="eastAsia" w:ascii="宋体" w:hAnsi="宋体"/>
          <w:b/>
          <w:color w:val="000000"/>
          <w:sz w:val="24"/>
        </w:rPr>
      </w:pPr>
    </w:p>
    <w:p w14:paraId="639C6BD6">
      <w:pPr>
        <w:spacing w:line="360" w:lineRule="auto"/>
        <w:ind w:left="420"/>
        <w:rPr>
          <w:rFonts w:hint="eastAsia" w:ascii="宋体" w:hAnsi="宋体"/>
          <w:b/>
          <w:color w:val="000000"/>
          <w:sz w:val="24"/>
        </w:rPr>
      </w:pPr>
    </w:p>
    <w:p w14:paraId="722A968D">
      <w:pPr>
        <w:pStyle w:val="2"/>
        <w:numPr>
          <w:ilvl w:val="0"/>
          <w:numId w:val="52"/>
        </w:numPr>
        <w:tabs>
          <w:tab w:val="clear" w:pos="482"/>
        </w:tabs>
        <w:bidi w:val="0"/>
        <w:ind w:left="0" w:leftChars="0" w:firstLine="480" w:firstLineChars="0"/>
      </w:pPr>
      <w:r>
        <w:t>磋商供应商2022或2023年度经审计财务报告复印件（若为新成立的企业，可根据实际情况提供月度财务报表，格式自拟）；</w:t>
      </w:r>
    </w:p>
    <w:p w14:paraId="29494A33">
      <w:pPr>
        <w:spacing w:line="360" w:lineRule="auto"/>
        <w:rPr>
          <w:rFonts w:hint="eastAsia" w:ascii="宋体" w:hAnsi="宋体"/>
          <w:b/>
          <w:color w:val="000000"/>
          <w:sz w:val="24"/>
        </w:rPr>
      </w:pPr>
    </w:p>
    <w:p w14:paraId="050CEF89">
      <w:pPr>
        <w:spacing w:line="360" w:lineRule="auto"/>
        <w:rPr>
          <w:rFonts w:hint="eastAsia" w:ascii="宋体" w:hAnsi="宋体"/>
          <w:b/>
          <w:color w:val="000000"/>
          <w:sz w:val="24"/>
        </w:rPr>
      </w:pPr>
    </w:p>
    <w:p w14:paraId="61692095">
      <w:pPr>
        <w:spacing w:line="360" w:lineRule="auto"/>
        <w:rPr>
          <w:rFonts w:hint="eastAsia" w:ascii="宋体" w:hAnsi="宋体"/>
          <w:b/>
          <w:color w:val="000000"/>
          <w:sz w:val="24"/>
        </w:rPr>
        <w:sectPr>
          <w:pgSz w:w="11907" w:h="16840"/>
          <w:pgMar w:top="1134" w:right="1134" w:bottom="1134" w:left="1134" w:header="851" w:footer="851" w:gutter="0"/>
          <w:cols w:space="720" w:num="1"/>
          <w:titlePg/>
          <w:docGrid w:linePitch="312" w:charSpace="0"/>
        </w:sectPr>
      </w:pPr>
    </w:p>
    <w:p w14:paraId="036554DE">
      <w:pPr>
        <w:pStyle w:val="2"/>
        <w:numPr>
          <w:ilvl w:val="0"/>
          <w:numId w:val="52"/>
        </w:numPr>
        <w:tabs>
          <w:tab w:val="clear" w:pos="482"/>
        </w:tabs>
        <w:bidi w:val="0"/>
        <w:ind w:left="0" w:leftChars="0" w:firstLine="480" w:firstLineChars="0"/>
      </w:pPr>
      <w:r>
        <w:t>参加政府采购活动前3年内在经营活动中没有重大违法记录的书面声明</w:t>
      </w:r>
    </w:p>
    <w:p w14:paraId="072A7AC0">
      <w:pPr>
        <w:spacing w:line="360" w:lineRule="auto"/>
        <w:ind w:firstLine="240" w:firstLineChars="100"/>
        <w:rPr>
          <w:rStyle w:val="32"/>
          <w:rFonts w:hint="eastAsia" w:ascii="宋体" w:hAnsi="宋体" w:cs="宋体"/>
          <w:color w:val="000000"/>
          <w:sz w:val="24"/>
          <w:u w:val="single"/>
        </w:rPr>
      </w:pPr>
    </w:p>
    <w:p w14:paraId="666F7A5E">
      <w:pPr>
        <w:spacing w:line="360" w:lineRule="auto"/>
        <w:ind w:firstLine="240" w:firstLineChars="100"/>
        <w:rPr>
          <w:rStyle w:val="32"/>
          <w:rFonts w:hint="eastAsia" w:ascii="宋体" w:hAnsi="宋体" w:cs="宋体"/>
          <w:color w:val="000000"/>
          <w:sz w:val="24"/>
          <w:u w:val="single"/>
        </w:rPr>
      </w:pPr>
    </w:p>
    <w:p w14:paraId="6F80DFC9">
      <w:pPr>
        <w:pStyle w:val="11"/>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color w:val="000000"/>
          <w:u w:val="single"/>
        </w:rPr>
      </w:pPr>
      <w:r>
        <w:rPr>
          <w:rStyle w:val="32"/>
          <w:rFonts w:hint="eastAsia"/>
          <w:color w:val="000000"/>
          <w:u w:val="single"/>
          <w:lang w:eastAsia="zh-CN"/>
        </w:rPr>
        <w:t>广西国立工程咨询有限公司</w:t>
      </w:r>
      <w:r>
        <w:rPr>
          <w:rStyle w:val="32"/>
          <w:color w:val="000000"/>
          <w:u w:val="single"/>
        </w:rPr>
        <w:t>：</w:t>
      </w:r>
    </w:p>
    <w:p w14:paraId="5E36A3EB">
      <w:pPr>
        <w:pStyle w:val="11"/>
        <w:keepNext w:val="0"/>
        <w:keepLines w:val="0"/>
        <w:pageBreakBefore w:val="0"/>
        <w:widowControl w:val="0"/>
        <w:kinsoku/>
        <w:wordWrap/>
        <w:overflowPunct/>
        <w:topLinePunct w:val="0"/>
        <w:autoSpaceDE/>
        <w:autoSpaceDN/>
        <w:bidi w:val="0"/>
        <w:adjustRightInd/>
        <w:snapToGrid/>
        <w:spacing w:line="360" w:lineRule="auto"/>
        <w:textAlignment w:val="auto"/>
        <w:rPr>
          <w:color w:val="000000"/>
        </w:rPr>
      </w:pPr>
      <w:r>
        <w:rPr>
          <w:rStyle w:val="32"/>
          <w:color w:val="000000"/>
        </w:rPr>
        <w:t>我公司参加贵公司组织</w:t>
      </w:r>
      <w:r>
        <w:rPr>
          <w:rStyle w:val="32"/>
          <w:color w:val="000000"/>
          <w:u w:val="single"/>
        </w:rPr>
        <w:t xml:space="preserve">         </w:t>
      </w:r>
      <w:r>
        <w:rPr>
          <w:rStyle w:val="32"/>
          <w:color w:val="000000"/>
        </w:rPr>
        <w:t>项目的政府采购活动。我公司在此郑重声明，我公司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案件当事人名单、政府采购严重违法失信行为记录名单，完全符合《中华人民共和国政府采购法》第二十二条规定的供应商资格条件，我方对此声明负全部法律责任。</w:t>
      </w:r>
    </w:p>
    <w:p w14:paraId="3EAD019F">
      <w:pPr>
        <w:pStyle w:val="11"/>
        <w:rPr>
          <w:color w:val="000000"/>
        </w:rPr>
      </w:pPr>
      <w:r>
        <w:rPr>
          <w:rStyle w:val="32"/>
          <w:color w:val="000000"/>
        </w:rPr>
        <w:t>特此承诺。</w:t>
      </w:r>
    </w:p>
    <w:p w14:paraId="6F5669A9">
      <w:pPr>
        <w:spacing w:line="360" w:lineRule="auto"/>
        <w:ind w:firstLine="480" w:firstLineChars="200"/>
        <w:rPr>
          <w:rFonts w:hint="eastAsia" w:ascii="宋体" w:hAnsi="宋体" w:cs="宋体"/>
          <w:color w:val="000000"/>
          <w:sz w:val="24"/>
        </w:rPr>
      </w:pPr>
    </w:p>
    <w:p w14:paraId="2FCE4D5A">
      <w:pPr>
        <w:spacing w:line="360" w:lineRule="auto"/>
        <w:ind w:firstLine="480" w:firstLineChars="200"/>
        <w:rPr>
          <w:rFonts w:hint="eastAsia" w:ascii="宋体" w:hAnsi="宋体" w:cs="宋体"/>
          <w:color w:val="000000"/>
          <w:sz w:val="24"/>
        </w:rPr>
      </w:pPr>
    </w:p>
    <w:p w14:paraId="0D851938">
      <w:pPr>
        <w:spacing w:line="360" w:lineRule="auto"/>
        <w:ind w:firstLine="480" w:firstLineChars="200"/>
        <w:rPr>
          <w:rStyle w:val="32"/>
          <w:rFonts w:hint="eastAsia" w:ascii="Times New Roman" w:hAnsi="Times New Roman" w:eastAsia="宋体" w:cs="Times New Roman"/>
          <w:color w:val="000000"/>
          <w:sz w:val="24"/>
        </w:rPr>
      </w:pPr>
      <w:r>
        <w:rPr>
          <w:rStyle w:val="32"/>
          <w:rFonts w:hint="eastAsia" w:ascii="Times New Roman" w:hAnsi="Times New Roman" w:eastAsia="宋体" w:cs="Times New Roman"/>
          <w:color w:val="000000"/>
          <w:sz w:val="24"/>
        </w:rPr>
        <w:t xml:space="preserve">供应商公章：  </w:t>
      </w:r>
    </w:p>
    <w:p w14:paraId="45AB5236">
      <w:pPr>
        <w:spacing w:line="360" w:lineRule="auto"/>
        <w:ind w:firstLine="480" w:firstLineChars="200"/>
        <w:rPr>
          <w:rStyle w:val="32"/>
          <w:rFonts w:hint="eastAsia" w:ascii="Times New Roman" w:hAnsi="Times New Roman" w:eastAsia="宋体" w:cs="Times New Roman"/>
          <w:color w:val="000000"/>
          <w:sz w:val="24"/>
        </w:rPr>
      </w:pPr>
      <w:r>
        <w:rPr>
          <w:rStyle w:val="32"/>
          <w:rFonts w:hint="eastAsia" w:ascii="Times New Roman" w:hAnsi="Times New Roman" w:eastAsia="宋体" w:cs="Times New Roman"/>
          <w:color w:val="000000"/>
          <w:sz w:val="24"/>
        </w:rPr>
        <w:t>法定代表人或委托代理人签字：   </w:t>
      </w:r>
    </w:p>
    <w:p w14:paraId="7E25CD93">
      <w:pPr>
        <w:spacing w:line="360" w:lineRule="auto"/>
        <w:ind w:left="420"/>
        <w:rPr>
          <w:rStyle w:val="32"/>
          <w:rFonts w:hint="eastAsia" w:ascii="Times New Roman" w:hAnsi="Times New Roman" w:eastAsia="宋体" w:cs="Times New Roman"/>
          <w:color w:val="000000"/>
          <w:sz w:val="24"/>
        </w:rPr>
      </w:pPr>
      <w:r>
        <w:rPr>
          <w:rStyle w:val="32"/>
          <w:rFonts w:hint="eastAsia" w:ascii="Times New Roman" w:hAnsi="Times New Roman" w:eastAsia="宋体" w:cs="Times New Roman"/>
          <w:color w:val="000000"/>
          <w:sz w:val="24"/>
        </w:rPr>
        <w:t>日期：     年     月     日</w:t>
      </w:r>
    </w:p>
    <w:p w14:paraId="672AFA16">
      <w:pPr>
        <w:spacing w:line="360" w:lineRule="auto"/>
        <w:ind w:left="420"/>
        <w:rPr>
          <w:rFonts w:hint="eastAsia" w:ascii="宋体" w:hAnsi="宋体"/>
          <w:b/>
          <w:color w:val="000000"/>
          <w:sz w:val="24"/>
        </w:rPr>
      </w:pPr>
    </w:p>
    <w:p w14:paraId="03BEB3B9">
      <w:pPr>
        <w:pStyle w:val="26"/>
        <w:spacing w:line="360" w:lineRule="auto"/>
        <w:rPr>
          <w:rFonts w:hint="eastAsia" w:ascii="宋体" w:hAnsi="宋体"/>
          <w:b/>
        </w:rPr>
      </w:pPr>
    </w:p>
    <w:p w14:paraId="11149A61">
      <w:pPr>
        <w:pStyle w:val="26"/>
        <w:spacing w:line="360" w:lineRule="auto"/>
        <w:rPr>
          <w:rFonts w:hint="eastAsia" w:ascii="宋体" w:hAnsi="宋体"/>
          <w:b/>
        </w:rPr>
      </w:pPr>
    </w:p>
    <w:p w14:paraId="66251B9E">
      <w:pPr>
        <w:pStyle w:val="26"/>
        <w:spacing w:line="360" w:lineRule="auto"/>
        <w:rPr>
          <w:rFonts w:hint="eastAsia" w:ascii="宋体" w:hAnsi="宋体"/>
          <w:b/>
        </w:rPr>
      </w:pPr>
    </w:p>
    <w:p w14:paraId="75F49A10">
      <w:pPr>
        <w:pStyle w:val="26"/>
        <w:spacing w:line="360" w:lineRule="auto"/>
        <w:rPr>
          <w:rFonts w:hint="eastAsia" w:ascii="宋体" w:hAnsi="宋体"/>
          <w:b/>
        </w:rPr>
      </w:pPr>
    </w:p>
    <w:p w14:paraId="65C57AD8">
      <w:pPr>
        <w:pStyle w:val="26"/>
        <w:spacing w:line="360" w:lineRule="auto"/>
        <w:rPr>
          <w:rFonts w:hint="eastAsia" w:ascii="宋体" w:hAnsi="宋体"/>
          <w:b/>
        </w:rPr>
      </w:pPr>
    </w:p>
    <w:p w14:paraId="23A05ABA">
      <w:pPr>
        <w:pStyle w:val="26"/>
        <w:spacing w:line="360" w:lineRule="auto"/>
        <w:rPr>
          <w:rFonts w:hint="eastAsia" w:ascii="宋体" w:hAnsi="宋体"/>
          <w:b/>
        </w:rPr>
      </w:pPr>
    </w:p>
    <w:p w14:paraId="10ADB49F">
      <w:pPr>
        <w:pStyle w:val="26"/>
        <w:spacing w:line="360" w:lineRule="auto"/>
        <w:rPr>
          <w:rFonts w:hint="eastAsia" w:ascii="宋体" w:hAnsi="宋体"/>
          <w:b/>
        </w:rPr>
      </w:pPr>
    </w:p>
    <w:p w14:paraId="1712052A">
      <w:pPr>
        <w:pStyle w:val="26"/>
        <w:spacing w:line="360" w:lineRule="auto"/>
        <w:rPr>
          <w:rFonts w:hint="eastAsia" w:ascii="宋体" w:hAnsi="宋体"/>
          <w:b/>
        </w:rPr>
      </w:pPr>
    </w:p>
    <w:p w14:paraId="4FDE509C">
      <w:pPr>
        <w:pStyle w:val="26"/>
        <w:spacing w:line="360" w:lineRule="auto"/>
        <w:rPr>
          <w:rFonts w:hint="eastAsia" w:ascii="宋体" w:hAnsi="宋体"/>
          <w:b/>
        </w:rPr>
      </w:pPr>
    </w:p>
    <w:p w14:paraId="14B30B7E">
      <w:pPr>
        <w:pStyle w:val="26"/>
        <w:spacing w:line="360" w:lineRule="auto"/>
        <w:rPr>
          <w:rFonts w:hint="eastAsia" w:ascii="宋体" w:hAnsi="宋体"/>
          <w:b/>
        </w:rPr>
      </w:pPr>
    </w:p>
    <w:p w14:paraId="42E02F45">
      <w:pPr>
        <w:pStyle w:val="26"/>
        <w:spacing w:line="360" w:lineRule="auto"/>
        <w:rPr>
          <w:rFonts w:hint="eastAsia" w:ascii="宋体" w:hAnsi="宋体"/>
          <w:b/>
        </w:rPr>
      </w:pPr>
    </w:p>
    <w:p w14:paraId="675B20F4">
      <w:pPr>
        <w:pStyle w:val="26"/>
        <w:spacing w:line="360" w:lineRule="auto"/>
        <w:rPr>
          <w:rFonts w:hint="eastAsia" w:ascii="宋体" w:hAnsi="宋体"/>
          <w:b/>
        </w:rPr>
      </w:pPr>
    </w:p>
    <w:p w14:paraId="340398B9">
      <w:pPr>
        <w:pStyle w:val="2"/>
        <w:numPr>
          <w:ilvl w:val="0"/>
          <w:numId w:val="52"/>
        </w:numPr>
        <w:tabs>
          <w:tab w:val="clear" w:pos="482"/>
        </w:tabs>
        <w:bidi w:val="0"/>
        <w:ind w:left="0" w:leftChars="0" w:firstLine="480" w:firstLineChars="0"/>
      </w:pPr>
      <w:r>
        <w:t>供应商参加本项目无围标串标行为的承诺函（格式）；</w:t>
      </w:r>
    </w:p>
    <w:p w14:paraId="7094715E">
      <w:pPr>
        <w:pStyle w:val="3"/>
        <w:numPr>
          <w:ilvl w:val="0"/>
          <w:numId w:val="54"/>
        </w:numPr>
        <w:tabs>
          <w:tab w:val="clear" w:pos="482"/>
        </w:tabs>
        <w:topLinePunct w:val="0"/>
        <w:ind w:left="0" w:leftChars="0" w:firstLine="482" w:firstLineChars="0"/>
        <w:rPr>
          <w:b/>
        </w:rPr>
      </w:pPr>
      <w:r>
        <w:t>我公司承诺无下列相互串通投标的情形：</w:t>
      </w:r>
    </w:p>
    <w:p w14:paraId="7FC4AD9D">
      <w:pPr>
        <w:pStyle w:val="11"/>
        <w:numPr>
          <w:ilvl w:val="0"/>
          <w:numId w:val="55"/>
        </w:numPr>
        <w:ind w:left="0" w:leftChars="0" w:firstLine="480" w:firstLineChars="0"/>
        <w:rPr>
          <w:b w:val="0"/>
          <w:color w:val="000000"/>
        </w:rPr>
      </w:pPr>
      <w:r>
        <w:rPr>
          <w:color w:val="000000"/>
        </w:rPr>
        <w:t>不同投标人的投标文件由同一单位或者个人编制；或不同投标人报名的IP地址一致的；</w:t>
      </w:r>
    </w:p>
    <w:p w14:paraId="0E9C2095">
      <w:pPr>
        <w:pStyle w:val="11"/>
        <w:numPr>
          <w:ilvl w:val="0"/>
          <w:numId w:val="55"/>
        </w:numPr>
        <w:ind w:left="0" w:leftChars="0" w:firstLine="480" w:firstLineChars="0"/>
        <w:rPr>
          <w:b w:val="0"/>
          <w:color w:val="000000"/>
        </w:rPr>
      </w:pPr>
      <w:r>
        <w:rPr>
          <w:color w:val="000000"/>
        </w:rPr>
        <w:t>不同投标人委托同一单位或者个人办理投标事宜；</w:t>
      </w:r>
    </w:p>
    <w:p w14:paraId="1FB97EFD">
      <w:pPr>
        <w:pStyle w:val="11"/>
        <w:numPr>
          <w:ilvl w:val="0"/>
          <w:numId w:val="55"/>
        </w:numPr>
        <w:ind w:left="0" w:leftChars="0" w:firstLine="480" w:firstLineChars="0"/>
        <w:rPr>
          <w:b w:val="0"/>
          <w:color w:val="000000"/>
        </w:rPr>
      </w:pPr>
      <w:r>
        <w:rPr>
          <w:color w:val="000000"/>
        </w:rPr>
        <w:t>不同的投标人的投标文件载明的项目管理员为同一个人；</w:t>
      </w:r>
    </w:p>
    <w:p w14:paraId="0C03B8A1">
      <w:pPr>
        <w:pStyle w:val="11"/>
        <w:numPr>
          <w:ilvl w:val="0"/>
          <w:numId w:val="55"/>
        </w:numPr>
        <w:ind w:left="0" w:leftChars="0" w:firstLine="480" w:firstLineChars="0"/>
        <w:rPr>
          <w:b w:val="0"/>
          <w:color w:val="000000"/>
        </w:rPr>
      </w:pPr>
      <w:r>
        <w:rPr>
          <w:color w:val="000000"/>
        </w:rPr>
        <w:t>不同投标人的投标文件异常一致或投标报价呈规律性差异；</w:t>
      </w:r>
    </w:p>
    <w:p w14:paraId="3DDDCA6A">
      <w:pPr>
        <w:pStyle w:val="11"/>
        <w:numPr>
          <w:ilvl w:val="0"/>
          <w:numId w:val="55"/>
        </w:numPr>
        <w:ind w:left="0" w:leftChars="0" w:firstLine="480" w:firstLineChars="0"/>
        <w:rPr>
          <w:b w:val="0"/>
          <w:color w:val="000000"/>
        </w:rPr>
      </w:pPr>
      <w:r>
        <w:rPr>
          <w:color w:val="000000"/>
        </w:rPr>
        <w:t>不同投标人的投标文件相互混装；</w:t>
      </w:r>
    </w:p>
    <w:p w14:paraId="57566154">
      <w:pPr>
        <w:pStyle w:val="11"/>
        <w:numPr>
          <w:ilvl w:val="0"/>
          <w:numId w:val="55"/>
        </w:numPr>
        <w:ind w:left="0" w:leftChars="0" w:firstLine="480" w:firstLineChars="0"/>
        <w:rPr>
          <w:b w:val="0"/>
          <w:color w:val="000000"/>
        </w:rPr>
      </w:pPr>
      <w:r>
        <w:rPr>
          <w:color w:val="000000"/>
        </w:rPr>
        <w:t>不同投标人的投标保证金从同一单位或者个人账户转出。</w:t>
      </w:r>
    </w:p>
    <w:p w14:paraId="72E8E9DD">
      <w:pPr>
        <w:pStyle w:val="3"/>
        <w:numPr>
          <w:ilvl w:val="0"/>
          <w:numId w:val="54"/>
        </w:numPr>
        <w:tabs>
          <w:tab w:val="clear" w:pos="482"/>
        </w:tabs>
        <w:topLinePunct w:val="0"/>
        <w:ind w:left="0" w:leftChars="0" w:firstLine="482" w:firstLineChars="0"/>
        <w:rPr>
          <w:b/>
        </w:rPr>
      </w:pPr>
      <w:r>
        <w:t>我公司承诺无下列恶意串通的情形：</w:t>
      </w:r>
    </w:p>
    <w:p w14:paraId="13D30AF1">
      <w:pPr>
        <w:pStyle w:val="11"/>
        <w:numPr>
          <w:ilvl w:val="0"/>
          <w:numId w:val="56"/>
        </w:numPr>
        <w:ind w:left="0" w:leftChars="0" w:firstLine="480" w:firstLineChars="0"/>
        <w:rPr>
          <w:b w:val="0"/>
          <w:color w:val="000000"/>
        </w:rPr>
      </w:pPr>
      <w:r>
        <w:rPr>
          <w:color w:val="000000"/>
        </w:rPr>
        <w:t>供应商直接或者间接从采购人或者采购代理机构处获得其他供应商的相关信息并修改其投标文件或者响应文件；</w:t>
      </w:r>
    </w:p>
    <w:p w14:paraId="4C8B2441">
      <w:pPr>
        <w:pStyle w:val="11"/>
        <w:numPr>
          <w:ilvl w:val="0"/>
          <w:numId w:val="56"/>
        </w:numPr>
        <w:ind w:left="0" w:leftChars="0" w:firstLine="480" w:firstLineChars="0"/>
        <w:rPr>
          <w:b w:val="0"/>
          <w:color w:val="000000"/>
        </w:rPr>
      </w:pPr>
      <w:r>
        <w:rPr>
          <w:color w:val="000000"/>
        </w:rPr>
        <w:t>供应商按照采购人或者采购代理机构的授意撤换、修改投标文件或者响应文件；</w:t>
      </w:r>
    </w:p>
    <w:p w14:paraId="668B9A4A">
      <w:pPr>
        <w:pStyle w:val="11"/>
        <w:numPr>
          <w:ilvl w:val="0"/>
          <w:numId w:val="56"/>
        </w:numPr>
        <w:ind w:left="0" w:leftChars="0" w:firstLine="480" w:firstLineChars="0"/>
        <w:rPr>
          <w:b w:val="0"/>
          <w:color w:val="000000"/>
        </w:rPr>
      </w:pPr>
      <w:r>
        <w:rPr>
          <w:color w:val="000000"/>
        </w:rPr>
        <w:t>供应商之间协商报价、技术方案等投标文件或者响应文件的实质性内容；</w:t>
      </w:r>
    </w:p>
    <w:p w14:paraId="3E6556A6">
      <w:pPr>
        <w:pStyle w:val="11"/>
        <w:numPr>
          <w:ilvl w:val="0"/>
          <w:numId w:val="56"/>
        </w:numPr>
        <w:ind w:left="0" w:leftChars="0" w:firstLine="480" w:firstLineChars="0"/>
        <w:rPr>
          <w:b w:val="0"/>
          <w:color w:val="000000"/>
        </w:rPr>
      </w:pPr>
      <w:r>
        <w:rPr>
          <w:color w:val="000000"/>
        </w:rPr>
        <w:t>属于同一集团、协会、商会等组织成员的供应商按照该组织要求协同参加政府采购活动；</w:t>
      </w:r>
    </w:p>
    <w:p w14:paraId="120DF94D">
      <w:pPr>
        <w:pStyle w:val="11"/>
        <w:numPr>
          <w:ilvl w:val="0"/>
          <w:numId w:val="56"/>
        </w:numPr>
        <w:ind w:left="0" w:leftChars="0" w:firstLine="480" w:firstLineChars="0"/>
        <w:rPr>
          <w:b w:val="0"/>
          <w:color w:val="000000"/>
        </w:rPr>
      </w:pPr>
      <w:r>
        <w:rPr>
          <w:color w:val="000000"/>
        </w:rPr>
        <w:t>供应商之间事先约定一致抬高或者压低投标报价,或者在招标项目中事先约定轮流以高价位或者低价位中标,或者事先约定由某一特定供应商中标,然后再参加投标；</w:t>
      </w:r>
    </w:p>
    <w:p w14:paraId="043FD2E1">
      <w:pPr>
        <w:pStyle w:val="11"/>
        <w:numPr>
          <w:ilvl w:val="0"/>
          <w:numId w:val="56"/>
        </w:numPr>
        <w:ind w:left="0" w:leftChars="0" w:firstLine="480" w:firstLineChars="0"/>
        <w:rPr>
          <w:b w:val="0"/>
          <w:color w:val="000000"/>
        </w:rPr>
      </w:pPr>
      <w:r>
        <w:rPr>
          <w:color w:val="000000"/>
        </w:rPr>
        <w:t>供应商之间商定部分供应商放弃参加政府采购活动或者放弃中标；</w:t>
      </w:r>
    </w:p>
    <w:p w14:paraId="663EEB49">
      <w:pPr>
        <w:pStyle w:val="11"/>
        <w:numPr>
          <w:ilvl w:val="0"/>
          <w:numId w:val="56"/>
        </w:numPr>
        <w:ind w:left="0" w:leftChars="0" w:firstLine="480" w:firstLineChars="0"/>
        <w:rPr>
          <w:b w:val="0"/>
          <w:color w:val="000000"/>
        </w:rPr>
      </w:pPr>
      <w:r>
        <w:rPr>
          <w:color w:val="000000"/>
        </w:rPr>
        <w:t>供应商与采购人或者采购代理机构之间、供应商相互之间，为谋求特定供应商中标或者排斥其他供应商的其他串通行为。</w:t>
      </w:r>
    </w:p>
    <w:p w14:paraId="69966BD3">
      <w:pPr>
        <w:pStyle w:val="11"/>
        <w:rPr>
          <w:b/>
          <w:color w:val="000000"/>
        </w:rPr>
      </w:pPr>
      <w:r>
        <w:rPr>
          <w:b/>
          <w:color w:val="000000"/>
        </w:rPr>
        <w:t>以上情形一经核查属实，我方愿意承担一切后果，并不再寻求任何旨在减轻或免除法律责任的辩解。</w:t>
      </w:r>
    </w:p>
    <w:p w14:paraId="75FB941D">
      <w:pPr>
        <w:pStyle w:val="15"/>
        <w:snapToGrid w:val="0"/>
        <w:spacing w:before="295" w:after="295" w:line="360" w:lineRule="auto"/>
        <w:ind w:firstLine="6840" w:firstLineChars="2850"/>
        <w:rPr>
          <w:rFonts w:hint="eastAsia" w:hAnsi="宋体"/>
          <w:color w:val="000000"/>
          <w:sz w:val="24"/>
          <w:szCs w:val="24"/>
        </w:rPr>
      </w:pPr>
    </w:p>
    <w:p w14:paraId="6A8444B5">
      <w:pPr>
        <w:pStyle w:val="15"/>
        <w:snapToGrid w:val="0"/>
        <w:spacing w:before="295" w:after="295" w:line="360" w:lineRule="auto"/>
        <w:ind w:firstLine="6840" w:firstLineChars="2850"/>
        <w:rPr>
          <w:rFonts w:hint="eastAsia"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rPr>
        <w:t>（公章）</w:t>
      </w:r>
    </w:p>
    <w:p w14:paraId="6E8FE86F">
      <w:pPr>
        <w:pStyle w:val="15"/>
        <w:snapToGrid w:val="0"/>
        <w:spacing w:before="295" w:after="295" w:line="360" w:lineRule="auto"/>
        <w:rPr>
          <w:rFonts w:ascii="Times New Roman" w:hAnsi="Times New Roman" w:eastAsia="宋体" w:cs="Times New Roman"/>
          <w:color w:val="000000"/>
          <w:sz w:val="24"/>
        </w:rPr>
      </w:pPr>
      <w:r>
        <w:rPr>
          <w:rFonts w:hint="eastAsia" w:ascii="Times New Roman" w:hAnsi="Times New Roman" w:eastAsia="宋体" w:cs="Times New Roman"/>
          <w:color w:val="000000"/>
          <w:sz w:val="24"/>
        </w:rPr>
        <w:t xml:space="preserve">                                                </w:t>
      </w:r>
      <w:r>
        <w:rPr>
          <w:rFonts w:hint="eastAsia" w:ascii="Times New Roman" w:hAnsi="Times New Roman" w:eastAsia="宋体" w:cs="Times New Roman"/>
          <w:color w:val="000000"/>
          <w:sz w:val="24"/>
          <w:u w:val="single"/>
        </w:rPr>
        <w:t xml:space="preserve">      </w:t>
      </w:r>
      <w:r>
        <w:rPr>
          <w:rFonts w:hint="eastAsia" w:ascii="Times New Roman" w:hAnsi="Times New Roman" w:eastAsia="宋体" w:cs="Times New Roman"/>
          <w:color w:val="000000"/>
          <w:sz w:val="24"/>
        </w:rPr>
        <w:t>年</w:t>
      </w:r>
      <w:r>
        <w:rPr>
          <w:rFonts w:hint="eastAsia" w:ascii="Times New Roman" w:hAnsi="Times New Roman" w:eastAsia="宋体" w:cs="Times New Roman"/>
          <w:color w:val="000000"/>
          <w:sz w:val="24"/>
          <w:u w:val="single"/>
        </w:rPr>
        <w:t xml:space="preserve">    </w:t>
      </w:r>
      <w:r>
        <w:rPr>
          <w:rFonts w:hint="eastAsia" w:ascii="Times New Roman" w:hAnsi="Times New Roman" w:eastAsia="宋体" w:cs="Times New Roman"/>
          <w:color w:val="000000"/>
          <w:sz w:val="24"/>
        </w:rPr>
        <w:t>月</w:t>
      </w:r>
      <w:r>
        <w:rPr>
          <w:rFonts w:hint="eastAsia" w:ascii="Times New Roman" w:hAnsi="Times New Roman" w:eastAsia="宋体" w:cs="Times New Roman"/>
          <w:color w:val="000000"/>
          <w:sz w:val="24"/>
          <w:u w:val="single"/>
        </w:rPr>
        <w:t xml:space="preserve">     </w:t>
      </w:r>
      <w:r>
        <w:rPr>
          <w:rFonts w:hint="eastAsia" w:ascii="Times New Roman" w:hAnsi="Times New Roman" w:eastAsia="宋体" w:cs="Times New Roman"/>
          <w:color w:val="000000"/>
          <w:sz w:val="24"/>
        </w:rPr>
        <w:t>日</w:t>
      </w:r>
    </w:p>
    <w:p w14:paraId="7903B613">
      <w:pPr>
        <w:rPr>
          <w:rFonts w:hint="eastAsia" w:ascii="宋体" w:hAnsi="宋体"/>
          <w:b/>
          <w:color w:val="000000"/>
          <w:sz w:val="24"/>
        </w:rPr>
      </w:pPr>
      <w:r>
        <w:rPr>
          <w:rFonts w:hint="eastAsia" w:ascii="宋体" w:hAnsi="宋体"/>
          <w:b/>
        </w:rPr>
        <w:br w:type="page"/>
      </w:r>
    </w:p>
    <w:p w14:paraId="019053C7">
      <w:pPr>
        <w:pStyle w:val="2"/>
        <w:numPr>
          <w:ilvl w:val="0"/>
          <w:numId w:val="52"/>
        </w:numPr>
        <w:tabs>
          <w:tab w:val="clear" w:pos="482"/>
        </w:tabs>
        <w:bidi w:val="0"/>
        <w:ind w:left="0" w:leftChars="0" w:firstLine="480" w:firstLineChars="0"/>
      </w:pPr>
      <w:r>
        <w:t>供应商认为资格审查需要的其他材料</w:t>
      </w:r>
    </w:p>
    <w:p w14:paraId="75528650">
      <w:pPr>
        <w:spacing w:line="360" w:lineRule="auto"/>
        <w:rPr>
          <w:rFonts w:hint="eastAsia" w:ascii="宋体" w:hAnsi="宋体"/>
          <w:b/>
          <w:color w:val="000000"/>
          <w:sz w:val="32"/>
          <w:szCs w:val="32"/>
        </w:rPr>
      </w:pPr>
      <w:r>
        <w:rPr>
          <w:rFonts w:ascii="宋体" w:hAnsi="宋体"/>
          <w:color w:val="000000"/>
          <w:szCs w:val="21"/>
        </w:rPr>
        <w:br w:type="page"/>
      </w:r>
    </w:p>
    <w:p w14:paraId="10F79356">
      <w:pPr>
        <w:spacing w:line="360" w:lineRule="auto"/>
        <w:jc w:val="center"/>
        <w:rPr>
          <w:rFonts w:hint="eastAsia" w:ascii="宋体" w:hAnsi="宋体"/>
          <w:b/>
          <w:color w:val="000000"/>
          <w:sz w:val="44"/>
          <w:szCs w:val="44"/>
        </w:rPr>
      </w:pPr>
    </w:p>
    <w:p w14:paraId="326A997B">
      <w:pPr>
        <w:spacing w:line="360" w:lineRule="auto"/>
        <w:jc w:val="center"/>
        <w:rPr>
          <w:rFonts w:hint="eastAsia" w:ascii="宋体" w:hAnsi="宋体"/>
          <w:b/>
          <w:color w:val="000000"/>
          <w:sz w:val="44"/>
          <w:szCs w:val="44"/>
        </w:rPr>
      </w:pPr>
    </w:p>
    <w:p w14:paraId="48D03602">
      <w:pPr>
        <w:spacing w:line="360" w:lineRule="auto"/>
        <w:jc w:val="center"/>
        <w:rPr>
          <w:rFonts w:hint="eastAsia" w:ascii="宋体" w:hAnsi="宋体"/>
          <w:b/>
          <w:color w:val="000000"/>
          <w:sz w:val="44"/>
          <w:szCs w:val="44"/>
        </w:rPr>
      </w:pPr>
    </w:p>
    <w:p w14:paraId="31281F7F">
      <w:pPr>
        <w:spacing w:line="360" w:lineRule="auto"/>
        <w:jc w:val="center"/>
        <w:rPr>
          <w:rFonts w:hint="eastAsia" w:ascii="宋体" w:hAnsi="宋体"/>
          <w:b/>
          <w:color w:val="000000"/>
          <w:sz w:val="44"/>
          <w:szCs w:val="44"/>
        </w:rPr>
      </w:pPr>
    </w:p>
    <w:p w14:paraId="65C721B2">
      <w:pPr>
        <w:spacing w:line="360" w:lineRule="auto"/>
        <w:jc w:val="center"/>
        <w:rPr>
          <w:rFonts w:hint="eastAsia" w:ascii="宋体" w:hAnsi="宋体"/>
          <w:b/>
          <w:color w:val="000000"/>
          <w:sz w:val="44"/>
          <w:szCs w:val="44"/>
        </w:rPr>
      </w:pPr>
    </w:p>
    <w:p w14:paraId="1440878F">
      <w:pPr>
        <w:spacing w:line="360" w:lineRule="auto"/>
        <w:jc w:val="center"/>
      </w:pPr>
      <w:r>
        <w:rPr>
          <w:rFonts w:hint="eastAsia" w:ascii="宋体" w:hAnsi="宋体"/>
          <w:b/>
          <w:color w:val="000000"/>
          <w:sz w:val="44"/>
          <w:szCs w:val="44"/>
        </w:rPr>
        <w:t>商务文件</w:t>
      </w:r>
    </w:p>
    <w:p w14:paraId="23B191C7">
      <w:pPr>
        <w:spacing w:line="360" w:lineRule="auto"/>
        <w:jc w:val="center"/>
        <w:rPr>
          <w:rFonts w:hint="eastAsia" w:ascii="宋体" w:hAnsi="宋体"/>
          <w:color w:val="000000"/>
          <w:szCs w:val="21"/>
        </w:rPr>
      </w:pPr>
    </w:p>
    <w:p w14:paraId="7EEB894E">
      <w:pPr>
        <w:spacing w:line="360" w:lineRule="auto"/>
        <w:jc w:val="center"/>
        <w:rPr>
          <w:rFonts w:hint="eastAsia" w:ascii="宋体" w:hAnsi="宋体"/>
          <w:color w:val="000000"/>
          <w:szCs w:val="21"/>
        </w:rPr>
      </w:pPr>
    </w:p>
    <w:p w14:paraId="08F70BB2">
      <w:pPr>
        <w:spacing w:line="360" w:lineRule="auto"/>
        <w:jc w:val="center"/>
        <w:rPr>
          <w:rFonts w:hint="eastAsia" w:ascii="宋体" w:hAnsi="宋体"/>
          <w:color w:val="000000"/>
          <w:szCs w:val="21"/>
        </w:rPr>
      </w:pPr>
    </w:p>
    <w:p w14:paraId="7A9B966A">
      <w:pPr>
        <w:spacing w:line="360" w:lineRule="auto"/>
        <w:jc w:val="center"/>
        <w:rPr>
          <w:rFonts w:hint="eastAsia" w:ascii="宋体" w:hAnsi="宋体"/>
          <w:color w:val="000000"/>
          <w:szCs w:val="21"/>
        </w:rPr>
      </w:pPr>
    </w:p>
    <w:p w14:paraId="022F816F">
      <w:pPr>
        <w:spacing w:line="360" w:lineRule="auto"/>
        <w:jc w:val="center"/>
        <w:rPr>
          <w:rFonts w:hint="eastAsia" w:ascii="宋体" w:hAnsi="宋体"/>
          <w:color w:val="000000"/>
          <w:szCs w:val="21"/>
        </w:rPr>
      </w:pPr>
    </w:p>
    <w:p w14:paraId="2147CF5A">
      <w:pPr>
        <w:spacing w:line="360" w:lineRule="auto"/>
        <w:jc w:val="center"/>
        <w:rPr>
          <w:rFonts w:hint="eastAsia" w:ascii="宋体" w:hAnsi="宋体"/>
          <w:color w:val="000000"/>
          <w:szCs w:val="21"/>
        </w:rPr>
      </w:pPr>
    </w:p>
    <w:p w14:paraId="722C4CDB">
      <w:pPr>
        <w:spacing w:line="360" w:lineRule="auto"/>
        <w:rPr>
          <w:rFonts w:hint="eastAsia" w:ascii="宋体" w:hAnsi="宋体"/>
          <w:color w:val="000000"/>
          <w:szCs w:val="21"/>
        </w:rPr>
      </w:pPr>
      <w:r>
        <w:rPr>
          <w:rFonts w:ascii="宋体" w:hAnsi="宋体"/>
          <w:color w:val="000000"/>
          <w:szCs w:val="21"/>
        </w:rPr>
        <w:br w:type="page"/>
      </w:r>
    </w:p>
    <w:p w14:paraId="2D972BC8">
      <w:pPr>
        <w:pStyle w:val="41"/>
      </w:pPr>
      <w:r>
        <w:t>商务文件目录</w:t>
      </w:r>
    </w:p>
    <w:p w14:paraId="39150185">
      <w:pPr>
        <w:spacing w:line="360" w:lineRule="auto"/>
        <w:jc w:val="center"/>
        <w:rPr>
          <w:rFonts w:hint="eastAsia" w:ascii="宋体" w:hAnsi="宋体"/>
          <w:b/>
          <w:color w:val="000000"/>
          <w:sz w:val="24"/>
        </w:rPr>
      </w:pPr>
      <w:r>
        <w:rPr>
          <w:rFonts w:hint="eastAsia" w:ascii="宋体" w:hAnsi="宋体"/>
          <w:b/>
          <w:color w:val="000000"/>
          <w:sz w:val="24"/>
        </w:rPr>
        <w:t>（应附有页码）</w:t>
      </w:r>
    </w:p>
    <w:p w14:paraId="52F9A0FB">
      <w:pPr>
        <w:spacing w:line="360" w:lineRule="auto"/>
        <w:jc w:val="center"/>
        <w:rPr>
          <w:rFonts w:hint="eastAsia" w:ascii="宋体" w:hAnsi="宋体"/>
          <w:b/>
          <w:color w:val="000000"/>
          <w:sz w:val="24"/>
        </w:rPr>
      </w:pPr>
    </w:p>
    <w:p w14:paraId="398CA7C8">
      <w:pPr>
        <w:numPr>
          <w:ilvl w:val="0"/>
          <w:numId w:val="57"/>
        </w:numPr>
        <w:tabs>
          <w:tab w:val="left" w:pos="0"/>
        </w:tabs>
        <w:spacing w:line="360" w:lineRule="auto"/>
        <w:ind w:left="0" w:leftChars="0" w:firstLine="482" w:firstLineChars="0"/>
        <w:rPr>
          <w:rFonts w:hint="eastAsia" w:ascii="宋体" w:hAnsi="宋体"/>
          <w:b/>
          <w:color w:val="000000"/>
          <w:szCs w:val="21"/>
        </w:rPr>
      </w:pPr>
      <w:r>
        <w:rPr>
          <w:rFonts w:hint="eastAsia" w:ascii="宋体" w:hAnsi="宋体"/>
          <w:color w:val="000000"/>
          <w:szCs w:val="21"/>
        </w:rPr>
        <w:t>磋商函</w:t>
      </w:r>
      <w:r>
        <w:rPr>
          <w:rFonts w:hint="eastAsia" w:ascii="宋体" w:hAnsi="宋体"/>
          <w:b/>
          <w:color w:val="000000"/>
          <w:szCs w:val="21"/>
        </w:rPr>
        <w:t xml:space="preserve"> </w:t>
      </w:r>
    </w:p>
    <w:p w14:paraId="149311F9">
      <w:pPr>
        <w:numPr>
          <w:ilvl w:val="0"/>
          <w:numId w:val="57"/>
        </w:numPr>
        <w:tabs>
          <w:tab w:val="left" w:pos="0"/>
        </w:tabs>
        <w:spacing w:line="360" w:lineRule="auto"/>
        <w:ind w:left="0" w:leftChars="0" w:firstLine="482" w:firstLineChars="0"/>
        <w:rPr>
          <w:rFonts w:hint="eastAsia" w:ascii="宋体" w:hAnsi="宋体"/>
          <w:color w:val="000000"/>
          <w:szCs w:val="21"/>
        </w:rPr>
      </w:pPr>
      <w:r>
        <w:rPr>
          <w:rFonts w:hint="eastAsia" w:ascii="宋体" w:hAnsi="宋体"/>
          <w:color w:val="000000"/>
          <w:szCs w:val="21"/>
        </w:rPr>
        <w:t>磋商函附录</w:t>
      </w:r>
    </w:p>
    <w:p w14:paraId="0ECA03B9">
      <w:pPr>
        <w:numPr>
          <w:ilvl w:val="0"/>
          <w:numId w:val="57"/>
        </w:numPr>
        <w:tabs>
          <w:tab w:val="left" w:pos="0"/>
        </w:tabs>
        <w:spacing w:line="360" w:lineRule="auto"/>
        <w:ind w:left="0" w:leftChars="0" w:firstLine="482" w:firstLineChars="0"/>
        <w:rPr>
          <w:rFonts w:hint="eastAsia" w:ascii="宋体" w:hAnsi="宋体"/>
          <w:color w:val="000000"/>
          <w:szCs w:val="21"/>
        </w:rPr>
      </w:pPr>
      <w:r>
        <w:rPr>
          <w:rFonts w:hint="eastAsia" w:ascii="宋体" w:hAnsi="宋体"/>
          <w:color w:val="000000"/>
          <w:szCs w:val="21"/>
        </w:rPr>
        <w:t>磋商报价表</w:t>
      </w:r>
    </w:p>
    <w:p w14:paraId="4A210192">
      <w:pPr>
        <w:numPr>
          <w:ilvl w:val="0"/>
          <w:numId w:val="57"/>
        </w:numPr>
        <w:tabs>
          <w:tab w:val="left" w:pos="0"/>
        </w:tabs>
        <w:spacing w:line="360" w:lineRule="auto"/>
        <w:ind w:left="0" w:leftChars="0" w:firstLine="482" w:firstLineChars="0"/>
        <w:rPr>
          <w:rFonts w:hint="eastAsia" w:ascii="宋体" w:hAnsi="宋体"/>
          <w:color w:val="000000"/>
          <w:szCs w:val="21"/>
        </w:rPr>
      </w:pPr>
      <w:r>
        <w:rPr>
          <w:rFonts w:hint="eastAsia" w:ascii="宋体" w:hAnsi="宋体"/>
          <w:color w:val="000000"/>
          <w:szCs w:val="21"/>
        </w:rPr>
        <w:t>已标价工程量清单</w:t>
      </w:r>
    </w:p>
    <w:p w14:paraId="40ADD111">
      <w:pPr>
        <w:numPr>
          <w:ilvl w:val="0"/>
          <w:numId w:val="57"/>
        </w:numPr>
        <w:tabs>
          <w:tab w:val="left" w:pos="0"/>
        </w:tabs>
        <w:spacing w:line="360" w:lineRule="auto"/>
        <w:ind w:left="0" w:leftChars="0" w:firstLine="482" w:firstLineChars="0"/>
        <w:rPr>
          <w:rFonts w:hint="eastAsia" w:ascii="宋体" w:hAnsi="宋体"/>
          <w:color w:val="000000"/>
          <w:szCs w:val="21"/>
        </w:rPr>
      </w:pPr>
      <w:r>
        <w:rPr>
          <w:rFonts w:hint="eastAsia" w:ascii="宋体" w:hAnsi="宋体"/>
          <w:color w:val="000000"/>
          <w:szCs w:val="21"/>
        </w:rPr>
        <w:t>供应商认为必要提供的其它资料</w:t>
      </w:r>
    </w:p>
    <w:p w14:paraId="36078832">
      <w:pPr>
        <w:spacing w:line="360" w:lineRule="auto"/>
        <w:rPr>
          <w:rFonts w:hint="eastAsia" w:ascii="宋体" w:hAnsi="宋体"/>
          <w:color w:val="000000"/>
          <w:szCs w:val="21"/>
        </w:rPr>
      </w:pPr>
    </w:p>
    <w:p w14:paraId="75EE59DF">
      <w:pPr>
        <w:spacing w:line="360" w:lineRule="auto"/>
        <w:ind w:firstLine="5880" w:firstLineChars="2800"/>
        <w:rPr>
          <w:rFonts w:hint="eastAsia" w:ascii="宋体" w:hAnsi="宋体"/>
          <w:color w:val="000000"/>
          <w:szCs w:val="21"/>
        </w:rPr>
      </w:pPr>
    </w:p>
    <w:p w14:paraId="47A7055D">
      <w:pPr>
        <w:pStyle w:val="2"/>
        <w:numPr>
          <w:ilvl w:val="0"/>
          <w:numId w:val="58"/>
        </w:numPr>
        <w:tabs>
          <w:tab w:val="clear" w:pos="482"/>
        </w:tabs>
        <w:ind w:left="0" w:leftChars="0" w:firstLine="482" w:firstLineChars="0"/>
        <w:rPr>
          <w:b/>
        </w:rPr>
      </w:pPr>
      <w:r>
        <w:br w:type="page"/>
      </w:r>
      <w:r>
        <w:t>磋商函（格式）</w:t>
      </w:r>
    </w:p>
    <w:p w14:paraId="4BC6634E">
      <w:pPr>
        <w:pStyle w:val="43"/>
        <w:outlineLvl w:val="9"/>
      </w:pPr>
      <w:bookmarkStart w:id="57" w:name="_Toc6413134"/>
      <w:bookmarkStart w:id="58" w:name="_Toc14342"/>
      <w:r>
        <w:t>磋商函</w:t>
      </w:r>
      <w:bookmarkEnd w:id="57"/>
      <w:bookmarkEnd w:id="58"/>
    </w:p>
    <w:p w14:paraId="2022D7B0">
      <w:pPr>
        <w:pStyle w:val="11"/>
        <w:ind w:firstLine="0" w:firstLineChars="0"/>
        <w:rPr>
          <w:color w:val="000000"/>
        </w:rPr>
      </w:pPr>
      <w:r>
        <w:rPr>
          <w:color w:val="000000"/>
        </w:rPr>
        <w:t xml:space="preserve">致 </w:t>
      </w:r>
      <w:r>
        <w:rPr>
          <w:color w:val="000000"/>
          <w:u w:val="single"/>
        </w:rPr>
        <w:t>（采购人）</w:t>
      </w:r>
      <w:r>
        <w:rPr>
          <w:color w:val="000000"/>
          <w:u w:val="single"/>
        </w:rPr>
        <w:tab/>
      </w:r>
      <w:r>
        <w:rPr>
          <w:color w:val="000000"/>
        </w:rPr>
        <w:t>：</w:t>
      </w:r>
    </w:p>
    <w:p w14:paraId="213E0460">
      <w:pPr>
        <w:tabs>
          <w:tab w:val="left" w:pos="7560"/>
        </w:tabs>
        <w:spacing w:line="360" w:lineRule="auto"/>
        <w:ind w:firstLine="420" w:firstLineChars="200"/>
        <w:rPr>
          <w:rFonts w:ascii="宋体" w:hAnsi="宋体"/>
          <w:color w:val="000000"/>
        </w:rPr>
      </w:pPr>
    </w:p>
    <w:p w14:paraId="4DC6773D">
      <w:pPr>
        <w:pStyle w:val="11"/>
        <w:numPr>
          <w:ilvl w:val="0"/>
          <w:numId w:val="59"/>
        </w:numPr>
        <w:topLinePunct w:val="0"/>
        <w:ind w:left="0" w:leftChars="0" w:firstLine="480" w:firstLineChars="0"/>
        <w:rPr>
          <w:b w:val="0"/>
          <w:color w:val="000000"/>
        </w:rPr>
      </w:pPr>
      <w:r>
        <w:rPr>
          <w:color w:val="000000"/>
        </w:rPr>
        <w:t>根据你方项目编号为</w:t>
      </w:r>
      <w:r>
        <w:rPr>
          <w:color w:val="000000"/>
          <w:u w:val="single"/>
        </w:rPr>
        <w:t xml:space="preserve">  （项目编号）  </w:t>
      </w:r>
      <w:r>
        <w:rPr>
          <w:color w:val="000000"/>
        </w:rPr>
        <w:t>的</w:t>
      </w:r>
      <w:r>
        <w:rPr>
          <w:color w:val="000000"/>
          <w:u w:val="single"/>
        </w:rPr>
        <w:t xml:space="preserve">  （项目名称）  </w:t>
      </w:r>
      <w:r>
        <w:rPr>
          <w:color w:val="000000"/>
        </w:rPr>
        <w:t>工程竞争性磋商文件，遵照《中华人民共和国政府采购法》、《中华人民共和国政府采购法实施条例》、《政府采购竞争性磋商采购方式管理暂行办法》等有关规定，经踏勘项目现场和研究上述竞争性磋商文件的磋商须知、合同条款、图纸、工程建设标准和工程量清单及其他有关文件后，我方愿以人民币（大写）</w:t>
      </w:r>
      <w:r>
        <w:rPr>
          <w:color w:val="000000"/>
          <w:u w:val="single"/>
        </w:rPr>
        <w:t xml:space="preserve">      </w:t>
      </w:r>
      <w:r>
        <w:rPr>
          <w:color w:val="000000"/>
        </w:rPr>
        <w:t>元（小写）</w:t>
      </w:r>
      <w:r>
        <w:rPr>
          <w:color w:val="000000"/>
          <w:u w:val="single"/>
        </w:rPr>
        <w:t xml:space="preserve">￥      </w:t>
      </w:r>
      <w:r>
        <w:rPr>
          <w:color w:val="000000"/>
        </w:rPr>
        <w:t>元，的磋商报价并按上述图纸、合同条款、工程建设标准和工程量清单（如有时）的条件要求承包上述工程的施工、竣工，并承担任何质量缺陷保修责任。我方保证工程质量达到</w:t>
      </w:r>
      <w:r>
        <w:rPr>
          <w:color w:val="000000"/>
          <w:u w:val="single"/>
        </w:rPr>
        <w:t xml:space="preserve">       </w:t>
      </w:r>
      <w:r>
        <w:rPr>
          <w:color w:val="000000"/>
        </w:rPr>
        <w:t>等级。</w:t>
      </w:r>
    </w:p>
    <w:p w14:paraId="0C693CA5">
      <w:pPr>
        <w:pStyle w:val="11"/>
        <w:numPr>
          <w:ilvl w:val="0"/>
          <w:numId w:val="59"/>
        </w:numPr>
        <w:topLinePunct w:val="0"/>
        <w:ind w:left="0" w:leftChars="0" w:firstLine="480" w:firstLineChars="0"/>
        <w:rPr>
          <w:b w:val="0"/>
          <w:color w:val="000000"/>
        </w:rPr>
      </w:pPr>
      <w:r>
        <w:rPr>
          <w:color w:val="000000"/>
        </w:rPr>
        <w:t>我方已详细审核全部竞争性磋商文件，包括修改文件（如有时）及有关附件。</w:t>
      </w:r>
    </w:p>
    <w:p w14:paraId="78886314">
      <w:pPr>
        <w:pStyle w:val="11"/>
        <w:numPr>
          <w:ilvl w:val="0"/>
          <w:numId w:val="59"/>
        </w:numPr>
        <w:topLinePunct w:val="0"/>
        <w:ind w:left="0" w:leftChars="0" w:firstLine="480" w:firstLineChars="0"/>
        <w:rPr>
          <w:b w:val="0"/>
          <w:color w:val="000000"/>
        </w:rPr>
      </w:pPr>
      <w:r>
        <w:rPr>
          <w:color w:val="000000"/>
        </w:rPr>
        <w:t>我方承认磋商函附录是我方磋商函的组成部分。</w:t>
      </w:r>
    </w:p>
    <w:p w14:paraId="5060644D">
      <w:pPr>
        <w:pStyle w:val="11"/>
        <w:numPr>
          <w:ilvl w:val="0"/>
          <w:numId w:val="59"/>
        </w:numPr>
        <w:topLinePunct w:val="0"/>
        <w:ind w:left="0" w:leftChars="0" w:firstLine="480" w:firstLineChars="0"/>
        <w:rPr>
          <w:b w:val="0"/>
          <w:color w:val="000000"/>
        </w:rPr>
      </w:pPr>
      <w:r>
        <w:rPr>
          <w:color w:val="000000"/>
        </w:rPr>
        <w:t>一旦我方成交，我方保证按合同书中规定的工期</w:t>
      </w:r>
      <w:r>
        <w:rPr>
          <w:color w:val="000000"/>
          <w:u w:val="single"/>
        </w:rPr>
        <w:t xml:space="preserve">        </w:t>
      </w:r>
      <w:r>
        <w:rPr>
          <w:color w:val="000000"/>
        </w:rPr>
        <w:t>日历天内完成并移交全部工程。</w:t>
      </w:r>
    </w:p>
    <w:p w14:paraId="6DE77A8A">
      <w:pPr>
        <w:pStyle w:val="11"/>
        <w:numPr>
          <w:ilvl w:val="0"/>
          <w:numId w:val="59"/>
        </w:numPr>
        <w:topLinePunct w:val="0"/>
        <w:ind w:left="0" w:leftChars="0" w:firstLine="480" w:firstLineChars="0"/>
        <w:rPr>
          <w:b w:val="0"/>
          <w:color w:val="000000"/>
        </w:rPr>
      </w:pPr>
      <w:r>
        <w:rPr>
          <w:color w:val="000000"/>
        </w:rPr>
        <w:t>如果我方成交，我方将按照文件规定提交履约保证金作为履约担保。</w:t>
      </w:r>
    </w:p>
    <w:p w14:paraId="23D9EE20">
      <w:pPr>
        <w:pStyle w:val="11"/>
        <w:numPr>
          <w:ilvl w:val="0"/>
          <w:numId w:val="59"/>
        </w:numPr>
        <w:topLinePunct w:val="0"/>
        <w:ind w:left="0" w:leftChars="0" w:firstLine="480" w:firstLineChars="0"/>
        <w:rPr>
          <w:b w:val="0"/>
          <w:color w:val="000000"/>
        </w:rPr>
      </w:pPr>
      <w:r>
        <w:rPr>
          <w:color w:val="000000"/>
        </w:rPr>
        <w:t>我方同意所提交的响应文件在竞争性磋商文件的“磋商须知”中第11条规定的响应文件有效期内有效，在此期间内如果成交，我方将受此约束。</w:t>
      </w:r>
    </w:p>
    <w:p w14:paraId="67983986">
      <w:pPr>
        <w:pStyle w:val="11"/>
        <w:numPr>
          <w:ilvl w:val="0"/>
          <w:numId w:val="59"/>
        </w:numPr>
        <w:topLinePunct w:val="0"/>
        <w:ind w:left="0" w:leftChars="0" w:firstLine="480" w:firstLineChars="0"/>
        <w:rPr>
          <w:b w:val="0"/>
          <w:color w:val="000000"/>
        </w:rPr>
      </w:pPr>
      <w:r>
        <w:rPr>
          <w:color w:val="000000"/>
        </w:rPr>
        <w:t>除非另外达成协议并生效，你方的成交通知书和本响应文件将成为约束双方的合同文件的组成部分。</w:t>
      </w:r>
    </w:p>
    <w:p w14:paraId="2092DF27">
      <w:pPr>
        <w:spacing w:line="360" w:lineRule="auto"/>
        <w:rPr>
          <w:rFonts w:ascii="宋体" w:hAnsi="宋体"/>
          <w:color w:val="000000"/>
        </w:rPr>
      </w:pPr>
    </w:p>
    <w:p w14:paraId="6807F4A7">
      <w:pPr>
        <w:spacing w:line="360" w:lineRule="auto"/>
        <w:ind w:left="1000"/>
        <w:rPr>
          <w:rFonts w:ascii="Times New Roman" w:hAnsi="Times New Roman" w:eastAsia="宋体" w:cs="Times New Roman"/>
          <w:color w:val="000000"/>
          <w:sz w:val="24"/>
          <w:u w:val="single"/>
        </w:rPr>
      </w:pPr>
      <w:r>
        <w:rPr>
          <w:rFonts w:ascii="Times New Roman" w:hAnsi="Times New Roman" w:eastAsia="宋体" w:cs="Times New Roman"/>
          <w:color w:val="000000"/>
          <w:sz w:val="24"/>
        </w:rPr>
        <w:t xml:space="preserve">         供</w:t>
      </w:r>
      <w:r>
        <w:rPr>
          <w:rFonts w:hint="eastAsia" w:ascii="Times New Roman" w:hAnsi="Times New Roman" w:eastAsia="宋体" w:cs="Times New Roman"/>
          <w:color w:val="000000"/>
          <w:sz w:val="24"/>
        </w:rPr>
        <w:t xml:space="preserve"> </w:t>
      </w:r>
      <w:r>
        <w:rPr>
          <w:rFonts w:ascii="Times New Roman" w:hAnsi="Times New Roman" w:eastAsia="宋体" w:cs="Times New Roman"/>
          <w:color w:val="000000"/>
          <w:sz w:val="24"/>
        </w:rPr>
        <w:t>应</w:t>
      </w:r>
      <w:r>
        <w:rPr>
          <w:rFonts w:hint="eastAsia" w:ascii="Times New Roman" w:hAnsi="Times New Roman" w:eastAsia="宋体" w:cs="Times New Roman"/>
          <w:color w:val="000000"/>
          <w:sz w:val="24"/>
        </w:rPr>
        <w:t xml:space="preserve"> </w:t>
      </w:r>
      <w:r>
        <w:rPr>
          <w:rFonts w:ascii="Times New Roman" w:hAnsi="Times New Roman" w:eastAsia="宋体" w:cs="Times New Roman"/>
          <w:color w:val="000000"/>
          <w:sz w:val="24"/>
        </w:rPr>
        <w:t>商：</w:t>
      </w:r>
      <w:r>
        <w:rPr>
          <w:rFonts w:ascii="Times New Roman" w:hAnsi="Times New Roman" w:eastAsia="宋体" w:cs="Times New Roman"/>
          <w:color w:val="000000"/>
          <w:sz w:val="24"/>
          <w:u w:val="single"/>
        </w:rPr>
        <w:t xml:space="preserve">                       </w:t>
      </w:r>
      <w:r>
        <w:rPr>
          <w:rFonts w:hint="eastAsia" w:ascii="Times New Roman" w:hAnsi="Times New Roman" w:eastAsia="宋体" w:cs="Times New Roman"/>
          <w:color w:val="000000"/>
          <w:sz w:val="24"/>
          <w:u w:val="single"/>
        </w:rPr>
        <w:t xml:space="preserve">                </w:t>
      </w:r>
      <w:r>
        <w:rPr>
          <w:rFonts w:ascii="Times New Roman" w:hAnsi="Times New Roman" w:eastAsia="宋体" w:cs="Times New Roman"/>
          <w:color w:val="000000"/>
          <w:sz w:val="24"/>
          <w:u w:val="single"/>
        </w:rPr>
        <w:t xml:space="preserve"> （盖</w:t>
      </w:r>
      <w:r>
        <w:rPr>
          <w:rFonts w:hint="eastAsia" w:ascii="Times New Roman" w:hAnsi="Times New Roman" w:eastAsia="宋体" w:cs="Times New Roman"/>
          <w:color w:val="000000"/>
          <w:sz w:val="24"/>
          <w:u w:val="single"/>
        </w:rPr>
        <w:t>单位</w:t>
      </w:r>
      <w:r>
        <w:rPr>
          <w:rFonts w:ascii="Times New Roman" w:hAnsi="Times New Roman" w:eastAsia="宋体" w:cs="Times New Roman"/>
          <w:color w:val="000000"/>
          <w:sz w:val="24"/>
          <w:u w:val="single"/>
        </w:rPr>
        <w:t>章）</w:t>
      </w:r>
    </w:p>
    <w:p w14:paraId="26DC7DEA">
      <w:pPr>
        <w:spacing w:line="360" w:lineRule="auto"/>
        <w:ind w:left="1000"/>
        <w:rPr>
          <w:rFonts w:ascii="Times New Roman" w:hAnsi="Times New Roman" w:eastAsia="宋体" w:cs="Times New Roman"/>
          <w:color w:val="000000"/>
          <w:sz w:val="24"/>
          <w:u w:val="single"/>
        </w:rPr>
      </w:pPr>
      <w:r>
        <w:rPr>
          <w:rFonts w:ascii="Times New Roman" w:hAnsi="Times New Roman" w:eastAsia="宋体" w:cs="Times New Roman"/>
          <w:color w:val="000000"/>
          <w:sz w:val="24"/>
        </w:rPr>
        <w:t xml:space="preserve">         单位地址：</w:t>
      </w:r>
      <w:r>
        <w:rPr>
          <w:rFonts w:ascii="Times New Roman" w:hAnsi="Times New Roman" w:eastAsia="宋体" w:cs="Times New Roman"/>
          <w:color w:val="000000"/>
          <w:sz w:val="24"/>
          <w:u w:val="single"/>
        </w:rPr>
        <w:t xml:space="preserve">                       </w:t>
      </w:r>
      <w:r>
        <w:rPr>
          <w:rFonts w:hint="eastAsia" w:ascii="Times New Roman" w:hAnsi="Times New Roman" w:eastAsia="宋体" w:cs="Times New Roman"/>
          <w:color w:val="000000"/>
          <w:sz w:val="24"/>
          <w:u w:val="single"/>
        </w:rPr>
        <w:t xml:space="preserve">                </w:t>
      </w:r>
      <w:r>
        <w:rPr>
          <w:rFonts w:ascii="Times New Roman" w:hAnsi="Times New Roman" w:eastAsia="宋体" w:cs="Times New Roman"/>
          <w:color w:val="000000"/>
          <w:sz w:val="24"/>
          <w:u w:val="single"/>
        </w:rPr>
        <w:t xml:space="preserve"> </w:t>
      </w:r>
    </w:p>
    <w:p w14:paraId="645C9590">
      <w:pPr>
        <w:spacing w:line="360" w:lineRule="auto"/>
        <w:ind w:left="1000"/>
        <w:rPr>
          <w:rFonts w:ascii="Times New Roman" w:hAnsi="Times New Roman" w:eastAsia="宋体" w:cs="Times New Roman"/>
          <w:color w:val="000000"/>
          <w:sz w:val="24"/>
          <w:u w:val="single"/>
        </w:rPr>
      </w:pPr>
      <w:r>
        <w:rPr>
          <w:rFonts w:ascii="Times New Roman" w:hAnsi="Times New Roman" w:eastAsia="宋体" w:cs="Times New Roman"/>
          <w:color w:val="000000"/>
          <w:sz w:val="24"/>
        </w:rPr>
        <w:t xml:space="preserve">         </w:t>
      </w:r>
      <w:r>
        <w:rPr>
          <w:rFonts w:hint="eastAsia" w:ascii="Times New Roman" w:hAnsi="Times New Roman" w:eastAsia="宋体" w:cs="Times New Roman"/>
          <w:color w:val="000000"/>
          <w:sz w:val="24"/>
        </w:rPr>
        <w:t>法定代表人</w:t>
      </w:r>
      <w:r>
        <w:rPr>
          <w:rFonts w:ascii="Times New Roman" w:hAnsi="Times New Roman" w:eastAsia="宋体" w:cs="Times New Roman"/>
          <w:color w:val="000000"/>
          <w:sz w:val="24"/>
        </w:rPr>
        <w:t>或其委托代理人：</w:t>
      </w:r>
      <w:r>
        <w:rPr>
          <w:rFonts w:ascii="Times New Roman" w:hAnsi="Times New Roman" w:eastAsia="宋体" w:cs="Times New Roman"/>
          <w:color w:val="000000"/>
          <w:sz w:val="24"/>
          <w:u w:val="single"/>
        </w:rPr>
        <w:t xml:space="preserve">      （签字或盖章）</w:t>
      </w:r>
    </w:p>
    <w:p w14:paraId="4D289FB2">
      <w:pPr>
        <w:spacing w:line="360" w:lineRule="auto"/>
        <w:ind w:left="1000" w:leftChars="476" w:firstLine="1080" w:firstLineChars="450"/>
        <w:rPr>
          <w:rFonts w:ascii="Times New Roman" w:hAnsi="Times New Roman" w:eastAsia="宋体" w:cs="Times New Roman"/>
          <w:color w:val="000000"/>
          <w:sz w:val="24"/>
        </w:rPr>
      </w:pPr>
      <w:r>
        <w:rPr>
          <w:rFonts w:ascii="Times New Roman" w:hAnsi="Times New Roman" w:eastAsia="宋体" w:cs="Times New Roman"/>
          <w:color w:val="000000"/>
          <w:sz w:val="24"/>
        </w:rPr>
        <w:t>邮政编码：</w:t>
      </w:r>
      <w:r>
        <w:rPr>
          <w:rFonts w:hint="eastAsia" w:ascii="Times New Roman" w:hAnsi="Times New Roman" w:eastAsia="宋体" w:cs="Times New Roman"/>
          <w:color w:val="000000"/>
          <w:sz w:val="24"/>
          <w:u w:val="single"/>
        </w:rPr>
        <w:t xml:space="preserve">          </w:t>
      </w:r>
      <w:r>
        <w:rPr>
          <w:rFonts w:ascii="Times New Roman" w:hAnsi="Times New Roman" w:eastAsia="宋体" w:cs="Times New Roman"/>
          <w:color w:val="000000"/>
          <w:sz w:val="24"/>
        </w:rPr>
        <w:t>电话：</w:t>
      </w:r>
      <w:r>
        <w:rPr>
          <w:rFonts w:hint="eastAsia" w:ascii="Times New Roman" w:hAnsi="Times New Roman" w:eastAsia="宋体" w:cs="Times New Roman"/>
          <w:color w:val="000000"/>
          <w:sz w:val="24"/>
          <w:u w:val="single"/>
        </w:rPr>
        <w:t xml:space="preserve">         </w:t>
      </w:r>
      <w:r>
        <w:rPr>
          <w:rFonts w:ascii="Times New Roman" w:hAnsi="Times New Roman" w:eastAsia="宋体" w:cs="Times New Roman"/>
          <w:color w:val="000000"/>
          <w:sz w:val="24"/>
        </w:rPr>
        <w:t xml:space="preserve"> 传真：</w:t>
      </w:r>
      <w:r>
        <w:rPr>
          <w:rFonts w:hint="eastAsia" w:ascii="Times New Roman" w:hAnsi="Times New Roman" w:eastAsia="宋体" w:cs="Times New Roman"/>
          <w:color w:val="000000"/>
          <w:sz w:val="24"/>
          <w:u w:val="single"/>
        </w:rPr>
        <w:t xml:space="preserve">          </w:t>
      </w:r>
    </w:p>
    <w:p w14:paraId="2AE9744C">
      <w:pPr>
        <w:spacing w:line="360" w:lineRule="auto"/>
        <w:ind w:left="1000"/>
        <w:rPr>
          <w:rFonts w:ascii="Times New Roman" w:hAnsi="Times New Roman" w:eastAsia="宋体" w:cs="Times New Roman"/>
          <w:color w:val="000000"/>
          <w:sz w:val="24"/>
        </w:rPr>
      </w:pPr>
      <w:r>
        <w:rPr>
          <w:rFonts w:ascii="Times New Roman" w:hAnsi="Times New Roman" w:eastAsia="宋体" w:cs="Times New Roman"/>
          <w:color w:val="000000"/>
          <w:sz w:val="24"/>
        </w:rPr>
        <w:t xml:space="preserve">         开户银行名称：</w:t>
      </w:r>
      <w:r>
        <w:rPr>
          <w:rFonts w:hint="eastAsia" w:ascii="Times New Roman" w:hAnsi="Times New Roman" w:eastAsia="宋体" w:cs="Times New Roman"/>
          <w:color w:val="000000"/>
          <w:sz w:val="24"/>
          <w:u w:val="single"/>
        </w:rPr>
        <w:t xml:space="preserve">                                    </w:t>
      </w:r>
    </w:p>
    <w:p w14:paraId="5D1251FA">
      <w:pPr>
        <w:spacing w:line="360" w:lineRule="auto"/>
        <w:ind w:left="1000"/>
        <w:rPr>
          <w:rFonts w:ascii="Times New Roman" w:hAnsi="Times New Roman" w:eastAsia="宋体" w:cs="Times New Roman"/>
          <w:color w:val="000000"/>
          <w:sz w:val="24"/>
        </w:rPr>
      </w:pPr>
      <w:r>
        <w:rPr>
          <w:rFonts w:ascii="Times New Roman" w:hAnsi="Times New Roman" w:eastAsia="宋体" w:cs="Times New Roman"/>
          <w:color w:val="000000"/>
          <w:sz w:val="24"/>
        </w:rPr>
        <w:t xml:space="preserve">         开户银行账号：</w:t>
      </w:r>
      <w:r>
        <w:rPr>
          <w:rFonts w:hint="eastAsia" w:ascii="Times New Roman" w:hAnsi="Times New Roman" w:eastAsia="宋体" w:cs="Times New Roman"/>
          <w:color w:val="000000"/>
          <w:sz w:val="24"/>
          <w:u w:val="single"/>
        </w:rPr>
        <w:t xml:space="preserve">                                    </w:t>
      </w:r>
    </w:p>
    <w:p w14:paraId="37ED7739">
      <w:pPr>
        <w:spacing w:line="360" w:lineRule="auto"/>
        <w:ind w:left="1000"/>
        <w:rPr>
          <w:rFonts w:ascii="Times New Roman" w:hAnsi="Times New Roman" w:eastAsia="宋体" w:cs="Times New Roman"/>
          <w:color w:val="000000"/>
          <w:sz w:val="24"/>
        </w:rPr>
      </w:pPr>
      <w:r>
        <w:rPr>
          <w:rFonts w:ascii="Times New Roman" w:hAnsi="Times New Roman" w:eastAsia="宋体" w:cs="Times New Roman"/>
          <w:color w:val="000000"/>
          <w:sz w:val="24"/>
        </w:rPr>
        <w:t xml:space="preserve">         开户银行地址：</w:t>
      </w:r>
      <w:r>
        <w:rPr>
          <w:rFonts w:hint="eastAsia" w:ascii="Times New Roman" w:hAnsi="Times New Roman" w:eastAsia="宋体" w:cs="Times New Roman"/>
          <w:color w:val="000000"/>
          <w:sz w:val="24"/>
          <w:u w:val="single"/>
        </w:rPr>
        <w:t xml:space="preserve">                                    </w:t>
      </w:r>
    </w:p>
    <w:p w14:paraId="48BE8EC9">
      <w:pPr>
        <w:spacing w:line="360" w:lineRule="auto"/>
        <w:ind w:left="1000"/>
        <w:rPr>
          <w:rFonts w:ascii="Times New Roman" w:hAnsi="Times New Roman" w:eastAsia="宋体" w:cs="Times New Roman"/>
          <w:color w:val="000000"/>
          <w:sz w:val="24"/>
        </w:rPr>
      </w:pPr>
      <w:r>
        <w:rPr>
          <w:rFonts w:ascii="Times New Roman" w:hAnsi="Times New Roman" w:eastAsia="宋体" w:cs="Times New Roman"/>
          <w:color w:val="000000"/>
          <w:sz w:val="24"/>
        </w:rPr>
        <w:t xml:space="preserve">         开户银行电话：</w:t>
      </w:r>
      <w:r>
        <w:rPr>
          <w:rFonts w:hint="eastAsia" w:ascii="Times New Roman" w:hAnsi="Times New Roman" w:eastAsia="宋体" w:cs="Times New Roman"/>
          <w:color w:val="000000"/>
          <w:sz w:val="24"/>
          <w:u w:val="single"/>
        </w:rPr>
        <w:t xml:space="preserve">                                    </w:t>
      </w:r>
    </w:p>
    <w:p w14:paraId="42BFBC0F">
      <w:pPr>
        <w:spacing w:line="360" w:lineRule="auto"/>
        <w:ind w:left="420" w:leftChars="200" w:firstLine="1800" w:firstLineChars="750"/>
        <w:rPr>
          <w:rFonts w:hint="eastAsia" w:ascii="Times New Roman" w:hAnsi="Times New Roman" w:eastAsia="宋体" w:cs="Times New Roman"/>
          <w:color w:val="000000"/>
          <w:sz w:val="24"/>
          <w:szCs w:val="21"/>
        </w:rPr>
      </w:pPr>
      <w:r>
        <w:rPr>
          <w:rFonts w:ascii="Times New Roman" w:hAnsi="Times New Roman" w:eastAsia="宋体" w:cs="Times New Roman"/>
          <w:color w:val="000000"/>
          <w:sz w:val="24"/>
        </w:rPr>
        <w:t>日期：</w:t>
      </w:r>
      <w:r>
        <w:rPr>
          <w:rFonts w:ascii="Times New Roman" w:hAnsi="Times New Roman" w:eastAsia="宋体" w:cs="Times New Roman"/>
          <w:color w:val="000000"/>
          <w:sz w:val="24"/>
          <w:szCs w:val="21"/>
          <w:u w:val="single"/>
        </w:rPr>
        <w:t xml:space="preserve">         </w:t>
      </w:r>
      <w:r>
        <w:rPr>
          <w:rFonts w:ascii="Times New Roman" w:hAnsi="Times New Roman" w:eastAsia="宋体" w:cs="Times New Roman"/>
          <w:color w:val="000000"/>
          <w:sz w:val="24"/>
          <w:szCs w:val="21"/>
        </w:rPr>
        <w:t>年</w:t>
      </w:r>
      <w:r>
        <w:rPr>
          <w:rFonts w:ascii="Times New Roman" w:hAnsi="Times New Roman" w:eastAsia="宋体" w:cs="Times New Roman"/>
          <w:color w:val="000000"/>
          <w:sz w:val="24"/>
          <w:szCs w:val="21"/>
          <w:u w:val="single"/>
        </w:rPr>
        <w:t xml:space="preserve">        </w:t>
      </w:r>
      <w:r>
        <w:rPr>
          <w:rFonts w:ascii="Times New Roman" w:hAnsi="Times New Roman" w:eastAsia="宋体" w:cs="Times New Roman"/>
          <w:color w:val="000000"/>
          <w:sz w:val="24"/>
          <w:szCs w:val="21"/>
        </w:rPr>
        <w:t>月</w:t>
      </w:r>
      <w:r>
        <w:rPr>
          <w:rFonts w:ascii="Times New Roman" w:hAnsi="Times New Roman" w:eastAsia="宋体" w:cs="Times New Roman"/>
          <w:color w:val="000000"/>
          <w:sz w:val="24"/>
          <w:szCs w:val="21"/>
          <w:u w:val="single"/>
        </w:rPr>
        <w:t xml:space="preserve">        </w:t>
      </w:r>
      <w:r>
        <w:rPr>
          <w:rFonts w:ascii="Times New Roman" w:hAnsi="Times New Roman" w:eastAsia="宋体" w:cs="Times New Roman"/>
          <w:color w:val="000000"/>
          <w:sz w:val="24"/>
          <w:szCs w:val="21"/>
        </w:rPr>
        <w:t>日</w:t>
      </w:r>
    </w:p>
    <w:p w14:paraId="1A45F2CD">
      <w:pPr>
        <w:spacing w:line="360" w:lineRule="auto"/>
        <w:ind w:left="420" w:leftChars="200" w:firstLine="1575" w:firstLineChars="750"/>
        <w:rPr>
          <w:rFonts w:hint="eastAsia" w:ascii="宋体" w:hAnsi="宋体"/>
          <w:color w:val="000000"/>
          <w:szCs w:val="21"/>
        </w:rPr>
      </w:pPr>
    </w:p>
    <w:p w14:paraId="721B61D9">
      <w:pPr>
        <w:spacing w:line="360" w:lineRule="auto"/>
        <w:ind w:left="420" w:leftChars="200" w:firstLine="1807" w:firstLineChars="750"/>
        <w:rPr>
          <w:rFonts w:hint="eastAsia" w:ascii="宋体" w:hAnsi="宋体"/>
          <w:b/>
          <w:color w:val="000000"/>
          <w:sz w:val="24"/>
        </w:rPr>
        <w:sectPr>
          <w:pgSz w:w="11907" w:h="16840"/>
          <w:pgMar w:top="1134" w:right="1134" w:bottom="1134" w:left="1134" w:header="851" w:footer="851" w:gutter="0"/>
          <w:cols w:space="720" w:num="1"/>
          <w:titlePg/>
          <w:docGrid w:linePitch="312" w:charSpace="0"/>
        </w:sectPr>
      </w:pPr>
    </w:p>
    <w:p w14:paraId="5DCEE534">
      <w:pPr>
        <w:pStyle w:val="2"/>
        <w:numPr>
          <w:ilvl w:val="0"/>
          <w:numId w:val="58"/>
        </w:numPr>
        <w:tabs>
          <w:tab w:val="clear" w:pos="482"/>
        </w:tabs>
        <w:ind w:left="0" w:leftChars="0" w:firstLine="482" w:firstLineChars="0"/>
      </w:pPr>
      <w:r>
        <w:t>磋商函附录（格式）</w:t>
      </w:r>
    </w:p>
    <w:p w14:paraId="1E2E8453">
      <w:pPr>
        <w:pStyle w:val="40"/>
        <w:outlineLvl w:val="1"/>
      </w:pPr>
      <w:bookmarkStart w:id="59" w:name="_Toc13925"/>
      <w:bookmarkStart w:id="60" w:name="_Toc6413135"/>
      <w:r>
        <w:t>磋商函附录</w:t>
      </w:r>
      <w:bookmarkEnd w:id="59"/>
      <w:bookmarkEnd w:id="60"/>
    </w:p>
    <w:p w14:paraId="32DD4E80">
      <w:pPr>
        <w:pStyle w:val="33"/>
        <w:spacing w:line="360" w:lineRule="auto"/>
        <w:jc w:val="center"/>
        <w:rPr>
          <w:rFonts w:ascii="宋体" w:hAnsi="宋体"/>
          <w:color w:val="000000"/>
          <w:sz w:val="28"/>
          <w:szCs w:val="28"/>
        </w:rPr>
      </w:pPr>
    </w:p>
    <w:tbl>
      <w:tblPr>
        <w:tblStyle w:val="22"/>
        <w:tblW w:w="89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2"/>
        <w:gridCol w:w="1985"/>
        <w:gridCol w:w="2126"/>
        <w:gridCol w:w="1984"/>
        <w:gridCol w:w="1843"/>
      </w:tblGrid>
      <w:tr w14:paraId="48ACAF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noWrap w:val="0"/>
            <w:vAlign w:val="center"/>
          </w:tcPr>
          <w:p w14:paraId="3E407EFA">
            <w:pPr>
              <w:spacing w:line="360" w:lineRule="auto"/>
              <w:jc w:val="center"/>
              <w:rPr>
                <w:rFonts w:ascii="宋体" w:hAnsi="宋体"/>
                <w:color w:val="000000"/>
                <w:szCs w:val="21"/>
              </w:rPr>
            </w:pPr>
            <w:r>
              <w:rPr>
                <w:rFonts w:ascii="宋体" w:hAnsi="宋体"/>
                <w:color w:val="000000"/>
                <w:szCs w:val="21"/>
              </w:rPr>
              <w:t>序 号</w:t>
            </w:r>
          </w:p>
        </w:tc>
        <w:tc>
          <w:tcPr>
            <w:tcW w:w="1985" w:type="dxa"/>
            <w:noWrap w:val="0"/>
            <w:vAlign w:val="center"/>
          </w:tcPr>
          <w:p w14:paraId="459D8BD4">
            <w:pPr>
              <w:spacing w:line="360" w:lineRule="auto"/>
              <w:jc w:val="center"/>
              <w:rPr>
                <w:rFonts w:ascii="宋体" w:hAnsi="宋体"/>
                <w:color w:val="000000"/>
                <w:szCs w:val="21"/>
              </w:rPr>
            </w:pPr>
            <w:r>
              <w:rPr>
                <w:rFonts w:ascii="宋体" w:hAnsi="宋体"/>
                <w:color w:val="000000"/>
                <w:szCs w:val="21"/>
              </w:rPr>
              <w:t>条款内容</w:t>
            </w:r>
          </w:p>
        </w:tc>
        <w:tc>
          <w:tcPr>
            <w:tcW w:w="2126" w:type="dxa"/>
            <w:noWrap w:val="0"/>
            <w:vAlign w:val="center"/>
          </w:tcPr>
          <w:p w14:paraId="73AC8480">
            <w:pPr>
              <w:spacing w:line="360" w:lineRule="auto"/>
              <w:jc w:val="center"/>
              <w:rPr>
                <w:rFonts w:ascii="宋体" w:hAnsi="宋体"/>
                <w:color w:val="000000"/>
                <w:szCs w:val="21"/>
              </w:rPr>
            </w:pPr>
            <w:r>
              <w:rPr>
                <w:rFonts w:ascii="宋体" w:hAnsi="宋体"/>
                <w:color w:val="000000"/>
                <w:szCs w:val="21"/>
              </w:rPr>
              <w:t>合同条款号</w:t>
            </w:r>
          </w:p>
        </w:tc>
        <w:tc>
          <w:tcPr>
            <w:tcW w:w="1984" w:type="dxa"/>
            <w:noWrap w:val="0"/>
            <w:vAlign w:val="center"/>
          </w:tcPr>
          <w:p w14:paraId="1D1B930C">
            <w:pPr>
              <w:spacing w:line="360" w:lineRule="auto"/>
              <w:jc w:val="center"/>
              <w:rPr>
                <w:rFonts w:ascii="宋体" w:hAnsi="宋体"/>
                <w:color w:val="000000"/>
                <w:szCs w:val="21"/>
              </w:rPr>
            </w:pPr>
            <w:r>
              <w:rPr>
                <w:rFonts w:ascii="宋体" w:hAnsi="宋体"/>
                <w:color w:val="000000"/>
                <w:szCs w:val="21"/>
              </w:rPr>
              <w:t>约定内容</w:t>
            </w:r>
          </w:p>
        </w:tc>
        <w:tc>
          <w:tcPr>
            <w:tcW w:w="1843" w:type="dxa"/>
            <w:noWrap w:val="0"/>
            <w:vAlign w:val="center"/>
          </w:tcPr>
          <w:p w14:paraId="1A32E24A">
            <w:pPr>
              <w:spacing w:line="360" w:lineRule="auto"/>
              <w:jc w:val="center"/>
              <w:rPr>
                <w:rFonts w:ascii="宋体" w:hAnsi="宋体"/>
                <w:color w:val="000000"/>
                <w:szCs w:val="21"/>
              </w:rPr>
            </w:pPr>
            <w:r>
              <w:rPr>
                <w:rFonts w:ascii="宋体" w:hAnsi="宋体"/>
                <w:color w:val="000000"/>
                <w:szCs w:val="21"/>
              </w:rPr>
              <w:t>备注</w:t>
            </w:r>
          </w:p>
        </w:tc>
      </w:tr>
      <w:tr w14:paraId="20E92F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noWrap w:val="0"/>
            <w:vAlign w:val="center"/>
          </w:tcPr>
          <w:p w14:paraId="60024F80">
            <w:pPr>
              <w:spacing w:line="360" w:lineRule="auto"/>
              <w:jc w:val="center"/>
              <w:rPr>
                <w:rFonts w:ascii="宋体" w:hAnsi="宋体"/>
                <w:color w:val="000000"/>
                <w:szCs w:val="21"/>
              </w:rPr>
            </w:pPr>
            <w:r>
              <w:rPr>
                <w:rFonts w:ascii="宋体" w:hAnsi="宋体"/>
                <w:color w:val="000000"/>
                <w:szCs w:val="21"/>
              </w:rPr>
              <w:t>1</w:t>
            </w:r>
          </w:p>
        </w:tc>
        <w:tc>
          <w:tcPr>
            <w:tcW w:w="1985" w:type="dxa"/>
            <w:noWrap w:val="0"/>
            <w:vAlign w:val="center"/>
          </w:tcPr>
          <w:p w14:paraId="5FC69956">
            <w:pPr>
              <w:spacing w:line="360" w:lineRule="auto"/>
              <w:rPr>
                <w:rFonts w:ascii="宋体" w:hAnsi="宋体"/>
                <w:color w:val="000000"/>
                <w:szCs w:val="21"/>
              </w:rPr>
            </w:pPr>
            <w:r>
              <w:rPr>
                <w:rFonts w:ascii="宋体" w:hAnsi="宋体"/>
                <w:color w:val="000000"/>
                <w:szCs w:val="21"/>
              </w:rPr>
              <w:t>项目经理</w:t>
            </w:r>
          </w:p>
        </w:tc>
        <w:tc>
          <w:tcPr>
            <w:tcW w:w="2126" w:type="dxa"/>
            <w:noWrap w:val="0"/>
            <w:tcMar>
              <w:left w:w="170" w:type="dxa"/>
            </w:tcMar>
            <w:vAlign w:val="center"/>
          </w:tcPr>
          <w:p w14:paraId="00939A68">
            <w:pPr>
              <w:spacing w:line="360" w:lineRule="auto"/>
              <w:jc w:val="center"/>
              <w:rPr>
                <w:rFonts w:ascii="宋体" w:hAnsi="宋体"/>
                <w:color w:val="000000"/>
                <w:szCs w:val="21"/>
              </w:rPr>
            </w:pPr>
          </w:p>
        </w:tc>
        <w:tc>
          <w:tcPr>
            <w:tcW w:w="1984" w:type="dxa"/>
            <w:noWrap w:val="0"/>
            <w:vAlign w:val="center"/>
          </w:tcPr>
          <w:p w14:paraId="5970E792">
            <w:pPr>
              <w:spacing w:line="360" w:lineRule="auto"/>
              <w:rPr>
                <w:rFonts w:ascii="宋体" w:hAnsi="宋体"/>
                <w:color w:val="000000"/>
                <w:szCs w:val="21"/>
              </w:rPr>
            </w:pPr>
            <w:r>
              <w:rPr>
                <w:rFonts w:ascii="宋体" w:hAnsi="宋体"/>
                <w:color w:val="000000"/>
                <w:szCs w:val="21"/>
              </w:rPr>
              <w:t>姓名：</w:t>
            </w:r>
            <w:r>
              <w:rPr>
                <w:rFonts w:ascii="宋体" w:hAnsi="宋体"/>
                <w:color w:val="000000"/>
                <w:szCs w:val="21"/>
                <w:u w:val="single"/>
              </w:rPr>
              <w:t xml:space="preserve">          </w:t>
            </w:r>
          </w:p>
        </w:tc>
        <w:tc>
          <w:tcPr>
            <w:tcW w:w="1843" w:type="dxa"/>
            <w:noWrap w:val="0"/>
            <w:vAlign w:val="center"/>
          </w:tcPr>
          <w:p w14:paraId="4CF9A238">
            <w:pPr>
              <w:spacing w:line="360" w:lineRule="auto"/>
              <w:jc w:val="center"/>
              <w:rPr>
                <w:rFonts w:ascii="宋体" w:hAnsi="宋体"/>
                <w:color w:val="000000"/>
                <w:szCs w:val="21"/>
              </w:rPr>
            </w:pPr>
          </w:p>
        </w:tc>
      </w:tr>
      <w:tr w14:paraId="203E1B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noWrap w:val="0"/>
            <w:vAlign w:val="center"/>
          </w:tcPr>
          <w:p w14:paraId="3A523701">
            <w:pPr>
              <w:spacing w:line="360" w:lineRule="auto"/>
              <w:jc w:val="center"/>
              <w:rPr>
                <w:rFonts w:ascii="宋体" w:hAnsi="宋体"/>
                <w:color w:val="000000"/>
                <w:szCs w:val="21"/>
              </w:rPr>
            </w:pPr>
            <w:r>
              <w:rPr>
                <w:rFonts w:hint="eastAsia" w:ascii="宋体" w:hAnsi="宋体"/>
                <w:color w:val="000000"/>
                <w:szCs w:val="21"/>
              </w:rPr>
              <w:t>2</w:t>
            </w:r>
          </w:p>
        </w:tc>
        <w:tc>
          <w:tcPr>
            <w:tcW w:w="1985" w:type="dxa"/>
            <w:noWrap w:val="0"/>
            <w:vAlign w:val="center"/>
          </w:tcPr>
          <w:p w14:paraId="0CE86D58">
            <w:pPr>
              <w:spacing w:line="360" w:lineRule="auto"/>
              <w:rPr>
                <w:rFonts w:ascii="宋体" w:hAnsi="宋体"/>
                <w:color w:val="000000"/>
                <w:szCs w:val="21"/>
              </w:rPr>
            </w:pPr>
            <w:r>
              <w:rPr>
                <w:rFonts w:hint="eastAsia" w:ascii="宋体" w:hAnsi="宋体"/>
                <w:color w:val="000000"/>
                <w:szCs w:val="21"/>
              </w:rPr>
              <w:t>响应文件有效期</w:t>
            </w:r>
          </w:p>
        </w:tc>
        <w:tc>
          <w:tcPr>
            <w:tcW w:w="2126" w:type="dxa"/>
            <w:noWrap w:val="0"/>
            <w:tcMar>
              <w:left w:w="170" w:type="dxa"/>
            </w:tcMar>
            <w:vAlign w:val="center"/>
          </w:tcPr>
          <w:p w14:paraId="084BB42A">
            <w:pPr>
              <w:spacing w:line="360" w:lineRule="auto"/>
              <w:rPr>
                <w:rFonts w:ascii="宋体" w:hAnsi="宋体"/>
                <w:color w:val="000000"/>
                <w:szCs w:val="21"/>
              </w:rPr>
            </w:pPr>
          </w:p>
        </w:tc>
        <w:tc>
          <w:tcPr>
            <w:tcW w:w="1984" w:type="dxa"/>
            <w:noWrap w:val="0"/>
            <w:vAlign w:val="center"/>
          </w:tcPr>
          <w:p w14:paraId="061E62E6">
            <w:pPr>
              <w:spacing w:line="360" w:lineRule="auto"/>
              <w:jc w:val="center"/>
              <w:rPr>
                <w:rFonts w:ascii="宋体" w:hAnsi="宋体"/>
                <w:color w:val="000000"/>
                <w:szCs w:val="21"/>
                <w:u w:val="single"/>
              </w:rPr>
            </w:pPr>
          </w:p>
        </w:tc>
        <w:tc>
          <w:tcPr>
            <w:tcW w:w="1843" w:type="dxa"/>
            <w:noWrap w:val="0"/>
            <w:vAlign w:val="center"/>
          </w:tcPr>
          <w:p w14:paraId="65624AF1">
            <w:pPr>
              <w:spacing w:line="360" w:lineRule="auto"/>
              <w:jc w:val="center"/>
              <w:rPr>
                <w:rFonts w:ascii="宋体" w:hAnsi="宋体"/>
                <w:color w:val="000000"/>
                <w:szCs w:val="21"/>
              </w:rPr>
            </w:pPr>
          </w:p>
        </w:tc>
      </w:tr>
      <w:tr w14:paraId="728389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noWrap w:val="0"/>
            <w:vAlign w:val="center"/>
          </w:tcPr>
          <w:p w14:paraId="2F2E6E77">
            <w:pPr>
              <w:spacing w:line="360" w:lineRule="auto"/>
              <w:jc w:val="center"/>
              <w:rPr>
                <w:rFonts w:ascii="宋体" w:hAnsi="宋体"/>
                <w:color w:val="000000"/>
                <w:szCs w:val="21"/>
              </w:rPr>
            </w:pPr>
            <w:r>
              <w:rPr>
                <w:rFonts w:ascii="宋体" w:hAnsi="宋体"/>
                <w:color w:val="000000"/>
                <w:szCs w:val="21"/>
              </w:rPr>
              <w:t>3</w:t>
            </w:r>
          </w:p>
        </w:tc>
        <w:tc>
          <w:tcPr>
            <w:tcW w:w="1985" w:type="dxa"/>
            <w:noWrap w:val="0"/>
            <w:vAlign w:val="center"/>
          </w:tcPr>
          <w:p w14:paraId="7D824889">
            <w:pPr>
              <w:spacing w:line="360" w:lineRule="auto"/>
              <w:rPr>
                <w:rFonts w:ascii="宋体" w:hAnsi="宋体"/>
                <w:color w:val="000000"/>
                <w:szCs w:val="21"/>
              </w:rPr>
            </w:pPr>
            <w:r>
              <w:rPr>
                <w:rFonts w:ascii="宋体" w:hAnsi="宋体"/>
                <w:color w:val="000000"/>
                <w:szCs w:val="21"/>
              </w:rPr>
              <w:t>工期</w:t>
            </w:r>
          </w:p>
        </w:tc>
        <w:tc>
          <w:tcPr>
            <w:tcW w:w="2126" w:type="dxa"/>
            <w:noWrap w:val="0"/>
            <w:tcMar>
              <w:left w:w="170" w:type="dxa"/>
            </w:tcMar>
            <w:vAlign w:val="center"/>
          </w:tcPr>
          <w:p w14:paraId="23291C69">
            <w:pPr>
              <w:spacing w:line="360" w:lineRule="auto"/>
              <w:jc w:val="center"/>
              <w:rPr>
                <w:rFonts w:ascii="宋体" w:hAnsi="宋体"/>
                <w:color w:val="000000"/>
              </w:rPr>
            </w:pPr>
          </w:p>
        </w:tc>
        <w:tc>
          <w:tcPr>
            <w:tcW w:w="1984" w:type="dxa"/>
            <w:noWrap w:val="0"/>
            <w:vAlign w:val="center"/>
          </w:tcPr>
          <w:p w14:paraId="7F4031BF">
            <w:pPr>
              <w:spacing w:line="360" w:lineRule="auto"/>
              <w:jc w:val="center"/>
              <w:rPr>
                <w:rFonts w:ascii="宋体" w:hAnsi="宋体"/>
                <w:color w:val="000000"/>
                <w:szCs w:val="21"/>
              </w:rPr>
            </w:pPr>
            <w:r>
              <w:rPr>
                <w:rFonts w:ascii="宋体" w:hAnsi="宋体"/>
                <w:color w:val="000000"/>
                <w:szCs w:val="21"/>
                <w:u w:val="single"/>
              </w:rPr>
              <w:t xml:space="preserve">          </w:t>
            </w:r>
            <w:r>
              <w:rPr>
                <w:rFonts w:ascii="宋体" w:hAnsi="宋体"/>
                <w:color w:val="000000"/>
                <w:szCs w:val="21"/>
              </w:rPr>
              <w:t>日历天</w:t>
            </w:r>
          </w:p>
        </w:tc>
        <w:tc>
          <w:tcPr>
            <w:tcW w:w="1843" w:type="dxa"/>
            <w:noWrap w:val="0"/>
            <w:vAlign w:val="center"/>
          </w:tcPr>
          <w:p w14:paraId="3F9D1A1E">
            <w:pPr>
              <w:spacing w:line="360" w:lineRule="auto"/>
              <w:jc w:val="center"/>
              <w:rPr>
                <w:rFonts w:ascii="宋体" w:hAnsi="宋体"/>
                <w:color w:val="000000"/>
                <w:szCs w:val="21"/>
              </w:rPr>
            </w:pPr>
          </w:p>
        </w:tc>
      </w:tr>
      <w:tr w14:paraId="65AC75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noWrap w:val="0"/>
            <w:vAlign w:val="center"/>
          </w:tcPr>
          <w:p w14:paraId="231680E1">
            <w:pPr>
              <w:spacing w:line="360" w:lineRule="auto"/>
              <w:jc w:val="center"/>
              <w:rPr>
                <w:rFonts w:ascii="宋体" w:hAnsi="宋体"/>
                <w:color w:val="000000"/>
                <w:szCs w:val="21"/>
              </w:rPr>
            </w:pPr>
            <w:r>
              <w:rPr>
                <w:rFonts w:hint="eastAsia" w:ascii="宋体" w:hAnsi="宋体"/>
                <w:color w:val="000000"/>
                <w:szCs w:val="21"/>
              </w:rPr>
              <w:t>4</w:t>
            </w:r>
          </w:p>
        </w:tc>
        <w:tc>
          <w:tcPr>
            <w:tcW w:w="1985" w:type="dxa"/>
            <w:noWrap w:val="0"/>
            <w:vAlign w:val="center"/>
          </w:tcPr>
          <w:p w14:paraId="2E2D059C">
            <w:pPr>
              <w:spacing w:line="360" w:lineRule="auto"/>
              <w:rPr>
                <w:rFonts w:ascii="宋体" w:hAnsi="宋体"/>
                <w:color w:val="000000"/>
                <w:szCs w:val="21"/>
              </w:rPr>
            </w:pPr>
            <w:r>
              <w:rPr>
                <w:rFonts w:ascii="宋体" w:hAnsi="宋体"/>
                <w:color w:val="000000"/>
                <w:szCs w:val="21"/>
              </w:rPr>
              <w:t>履约保证金</w:t>
            </w:r>
          </w:p>
        </w:tc>
        <w:tc>
          <w:tcPr>
            <w:tcW w:w="2126" w:type="dxa"/>
            <w:noWrap w:val="0"/>
            <w:tcMar>
              <w:left w:w="170" w:type="dxa"/>
            </w:tcMar>
            <w:vAlign w:val="center"/>
          </w:tcPr>
          <w:p w14:paraId="66B1A8BA">
            <w:pPr>
              <w:spacing w:line="360" w:lineRule="auto"/>
              <w:jc w:val="center"/>
              <w:rPr>
                <w:rFonts w:ascii="宋体" w:hAnsi="宋体"/>
                <w:color w:val="000000"/>
              </w:rPr>
            </w:pPr>
          </w:p>
        </w:tc>
        <w:tc>
          <w:tcPr>
            <w:tcW w:w="1984" w:type="dxa"/>
            <w:noWrap w:val="0"/>
            <w:vAlign w:val="center"/>
          </w:tcPr>
          <w:p w14:paraId="7C7291BB">
            <w:pPr>
              <w:spacing w:line="360" w:lineRule="auto"/>
              <w:jc w:val="center"/>
              <w:rPr>
                <w:rFonts w:ascii="宋体" w:hAnsi="宋体"/>
                <w:color w:val="000000"/>
                <w:szCs w:val="21"/>
              </w:rPr>
            </w:pPr>
          </w:p>
        </w:tc>
        <w:tc>
          <w:tcPr>
            <w:tcW w:w="1843" w:type="dxa"/>
            <w:noWrap w:val="0"/>
            <w:vAlign w:val="center"/>
          </w:tcPr>
          <w:p w14:paraId="49948484">
            <w:pPr>
              <w:spacing w:line="360" w:lineRule="auto"/>
              <w:jc w:val="center"/>
              <w:rPr>
                <w:rFonts w:ascii="宋体" w:hAnsi="宋体"/>
                <w:color w:val="000000"/>
                <w:szCs w:val="21"/>
              </w:rPr>
            </w:pPr>
          </w:p>
        </w:tc>
      </w:tr>
      <w:tr w14:paraId="4009BB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noWrap w:val="0"/>
            <w:vAlign w:val="center"/>
          </w:tcPr>
          <w:p w14:paraId="188D143A">
            <w:pPr>
              <w:spacing w:line="360" w:lineRule="auto"/>
              <w:jc w:val="center"/>
              <w:rPr>
                <w:rFonts w:ascii="宋体" w:hAnsi="宋体"/>
                <w:color w:val="000000"/>
                <w:szCs w:val="21"/>
              </w:rPr>
            </w:pPr>
            <w:r>
              <w:rPr>
                <w:rFonts w:hint="eastAsia" w:ascii="宋体" w:hAnsi="宋体"/>
                <w:color w:val="000000"/>
                <w:szCs w:val="21"/>
              </w:rPr>
              <w:t>5</w:t>
            </w:r>
          </w:p>
        </w:tc>
        <w:tc>
          <w:tcPr>
            <w:tcW w:w="1985" w:type="dxa"/>
            <w:noWrap w:val="0"/>
            <w:vAlign w:val="center"/>
          </w:tcPr>
          <w:p w14:paraId="48FE3446">
            <w:pPr>
              <w:spacing w:line="360" w:lineRule="auto"/>
              <w:rPr>
                <w:rFonts w:ascii="宋体" w:hAnsi="宋体"/>
                <w:color w:val="000000"/>
                <w:szCs w:val="21"/>
              </w:rPr>
            </w:pPr>
            <w:r>
              <w:rPr>
                <w:rFonts w:ascii="宋体" w:hAnsi="宋体"/>
                <w:color w:val="000000"/>
                <w:szCs w:val="21"/>
              </w:rPr>
              <w:t>质量标准</w:t>
            </w:r>
          </w:p>
        </w:tc>
        <w:tc>
          <w:tcPr>
            <w:tcW w:w="2126" w:type="dxa"/>
            <w:noWrap w:val="0"/>
            <w:tcMar>
              <w:left w:w="170" w:type="dxa"/>
            </w:tcMar>
            <w:vAlign w:val="center"/>
          </w:tcPr>
          <w:p w14:paraId="1D4E0686">
            <w:pPr>
              <w:spacing w:line="360" w:lineRule="auto"/>
              <w:jc w:val="center"/>
              <w:rPr>
                <w:rFonts w:ascii="宋体" w:hAnsi="宋体"/>
                <w:color w:val="000000"/>
              </w:rPr>
            </w:pPr>
          </w:p>
        </w:tc>
        <w:tc>
          <w:tcPr>
            <w:tcW w:w="1984" w:type="dxa"/>
            <w:noWrap w:val="0"/>
            <w:vAlign w:val="center"/>
          </w:tcPr>
          <w:p w14:paraId="210737E8">
            <w:pPr>
              <w:spacing w:line="360" w:lineRule="auto"/>
              <w:jc w:val="center"/>
              <w:rPr>
                <w:rFonts w:ascii="宋体" w:hAnsi="宋体"/>
                <w:color w:val="000000"/>
                <w:szCs w:val="21"/>
              </w:rPr>
            </w:pPr>
            <w:r>
              <w:rPr>
                <w:rFonts w:hint="eastAsia" w:ascii="宋体" w:hAnsi="宋体"/>
                <w:color w:val="000000"/>
                <w:szCs w:val="21"/>
                <w:u w:val="single"/>
              </w:rPr>
              <w:t xml:space="preserve">       </w:t>
            </w:r>
          </w:p>
        </w:tc>
        <w:tc>
          <w:tcPr>
            <w:tcW w:w="1843" w:type="dxa"/>
            <w:noWrap w:val="0"/>
            <w:vAlign w:val="center"/>
          </w:tcPr>
          <w:p w14:paraId="4B873EC2">
            <w:pPr>
              <w:spacing w:line="360" w:lineRule="auto"/>
              <w:jc w:val="center"/>
              <w:rPr>
                <w:rFonts w:ascii="宋体" w:hAnsi="宋体"/>
                <w:color w:val="000000"/>
                <w:szCs w:val="21"/>
              </w:rPr>
            </w:pPr>
          </w:p>
        </w:tc>
      </w:tr>
      <w:tr w14:paraId="387E44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noWrap w:val="0"/>
            <w:vAlign w:val="center"/>
          </w:tcPr>
          <w:p w14:paraId="18949E13">
            <w:pPr>
              <w:spacing w:line="360" w:lineRule="auto"/>
              <w:jc w:val="center"/>
              <w:rPr>
                <w:rFonts w:ascii="宋体" w:hAnsi="宋体"/>
                <w:color w:val="000000"/>
                <w:szCs w:val="21"/>
              </w:rPr>
            </w:pPr>
            <w:r>
              <w:rPr>
                <w:rFonts w:ascii="宋体" w:hAnsi="宋体"/>
                <w:color w:val="000000"/>
                <w:szCs w:val="21"/>
              </w:rPr>
              <w:t>……</w:t>
            </w:r>
          </w:p>
        </w:tc>
        <w:tc>
          <w:tcPr>
            <w:tcW w:w="1985" w:type="dxa"/>
            <w:noWrap w:val="0"/>
            <w:vAlign w:val="center"/>
          </w:tcPr>
          <w:p w14:paraId="30844195">
            <w:pPr>
              <w:spacing w:line="360" w:lineRule="auto"/>
              <w:jc w:val="center"/>
              <w:rPr>
                <w:rFonts w:ascii="宋体" w:hAnsi="宋体"/>
                <w:color w:val="000000"/>
                <w:szCs w:val="21"/>
              </w:rPr>
            </w:pPr>
            <w:r>
              <w:rPr>
                <w:rFonts w:ascii="宋体" w:hAnsi="宋体"/>
                <w:color w:val="000000"/>
                <w:szCs w:val="21"/>
              </w:rPr>
              <w:t>……</w:t>
            </w:r>
          </w:p>
        </w:tc>
        <w:tc>
          <w:tcPr>
            <w:tcW w:w="2126" w:type="dxa"/>
            <w:noWrap w:val="0"/>
            <w:tcMar>
              <w:left w:w="170" w:type="dxa"/>
            </w:tcMar>
            <w:vAlign w:val="center"/>
          </w:tcPr>
          <w:p w14:paraId="090D4B3D">
            <w:pPr>
              <w:spacing w:line="360" w:lineRule="auto"/>
              <w:rPr>
                <w:rFonts w:ascii="宋体" w:hAnsi="宋体"/>
                <w:color w:val="000000"/>
                <w:szCs w:val="21"/>
              </w:rPr>
            </w:pPr>
          </w:p>
        </w:tc>
        <w:tc>
          <w:tcPr>
            <w:tcW w:w="1984" w:type="dxa"/>
            <w:noWrap w:val="0"/>
            <w:vAlign w:val="center"/>
          </w:tcPr>
          <w:p w14:paraId="2B3DB547">
            <w:pPr>
              <w:spacing w:line="360" w:lineRule="auto"/>
              <w:jc w:val="center"/>
              <w:rPr>
                <w:rFonts w:ascii="宋体" w:hAnsi="宋体"/>
                <w:color w:val="000000"/>
                <w:szCs w:val="21"/>
              </w:rPr>
            </w:pPr>
          </w:p>
        </w:tc>
        <w:tc>
          <w:tcPr>
            <w:tcW w:w="1843" w:type="dxa"/>
            <w:noWrap w:val="0"/>
            <w:vAlign w:val="center"/>
          </w:tcPr>
          <w:p w14:paraId="0D191B18">
            <w:pPr>
              <w:spacing w:line="360" w:lineRule="auto"/>
              <w:jc w:val="center"/>
              <w:rPr>
                <w:rFonts w:ascii="宋体" w:hAnsi="宋体"/>
                <w:color w:val="000000"/>
                <w:szCs w:val="21"/>
              </w:rPr>
            </w:pPr>
          </w:p>
        </w:tc>
      </w:tr>
      <w:tr w14:paraId="1756C9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jc w:val="center"/>
        </w:trPr>
        <w:tc>
          <w:tcPr>
            <w:tcW w:w="8930" w:type="dxa"/>
            <w:gridSpan w:val="5"/>
            <w:noWrap w:val="0"/>
            <w:vAlign w:val="center"/>
          </w:tcPr>
          <w:p w14:paraId="0347F037">
            <w:pPr>
              <w:spacing w:line="360" w:lineRule="auto"/>
              <w:rPr>
                <w:rFonts w:ascii="宋体" w:hAnsi="宋体"/>
                <w:color w:val="000000"/>
                <w:szCs w:val="21"/>
              </w:rPr>
            </w:pPr>
            <w:r>
              <w:rPr>
                <w:rFonts w:ascii="宋体" w:hAnsi="宋体"/>
                <w:color w:val="000000"/>
                <w:szCs w:val="21"/>
              </w:rPr>
              <w:t>备注：供应商在响应竞争性磋商文件中规定的实质性要求和条件的基础上，可做出其他有利于采购单位的承诺。此类承诺可在本表中予以补充填写。</w:t>
            </w:r>
          </w:p>
        </w:tc>
      </w:tr>
    </w:tbl>
    <w:p w14:paraId="7FBAA739">
      <w:pPr>
        <w:spacing w:line="360" w:lineRule="auto"/>
        <w:ind w:firstLine="480" w:firstLineChars="200"/>
        <w:rPr>
          <w:rFonts w:ascii="Times New Roman" w:hAnsi="Times New Roman" w:eastAsia="宋体" w:cs="Times New Roman"/>
          <w:color w:val="000000"/>
          <w:sz w:val="24"/>
          <w:szCs w:val="21"/>
        </w:rPr>
      </w:pPr>
      <w:r>
        <w:rPr>
          <w:rFonts w:ascii="Times New Roman" w:hAnsi="Times New Roman" w:eastAsia="宋体" w:cs="Times New Roman"/>
          <w:color w:val="000000"/>
          <w:sz w:val="24"/>
          <w:szCs w:val="21"/>
        </w:rPr>
        <w:t>供应商（盖</w:t>
      </w:r>
      <w:r>
        <w:rPr>
          <w:rFonts w:hint="eastAsia" w:ascii="Times New Roman" w:hAnsi="Times New Roman" w:eastAsia="宋体" w:cs="Times New Roman"/>
          <w:color w:val="000000"/>
          <w:sz w:val="24"/>
          <w:szCs w:val="21"/>
        </w:rPr>
        <w:t>单位</w:t>
      </w:r>
      <w:r>
        <w:rPr>
          <w:rFonts w:ascii="Times New Roman" w:hAnsi="Times New Roman" w:eastAsia="宋体" w:cs="Times New Roman"/>
          <w:color w:val="000000"/>
          <w:sz w:val="24"/>
          <w:szCs w:val="21"/>
        </w:rPr>
        <w:t>章）：</w:t>
      </w:r>
    </w:p>
    <w:p w14:paraId="4B7D8849">
      <w:pPr>
        <w:spacing w:line="360" w:lineRule="auto"/>
        <w:ind w:firstLine="480" w:firstLineChars="200"/>
        <w:rPr>
          <w:rFonts w:ascii="Times New Roman" w:hAnsi="Times New Roman" w:eastAsia="宋体" w:cs="Times New Roman"/>
          <w:color w:val="000000"/>
          <w:sz w:val="24"/>
          <w:szCs w:val="21"/>
        </w:rPr>
      </w:pPr>
      <w:r>
        <w:rPr>
          <w:rFonts w:ascii="Times New Roman" w:hAnsi="Times New Roman" w:eastAsia="宋体" w:cs="Times New Roman"/>
          <w:color w:val="000000"/>
          <w:sz w:val="24"/>
          <w:szCs w:val="21"/>
        </w:rPr>
        <w:t>法人代表或委托代理人（签字或盖章）：</w:t>
      </w:r>
    </w:p>
    <w:p w14:paraId="697EF25D">
      <w:pPr>
        <w:spacing w:line="360" w:lineRule="auto"/>
        <w:ind w:firstLine="480" w:firstLineChars="200"/>
        <w:rPr>
          <w:rFonts w:ascii="Times New Roman" w:hAnsi="Times New Roman" w:eastAsia="宋体" w:cs="Times New Roman"/>
          <w:color w:val="000000"/>
          <w:sz w:val="24"/>
          <w:szCs w:val="21"/>
        </w:rPr>
      </w:pPr>
      <w:r>
        <w:rPr>
          <w:rFonts w:ascii="Times New Roman" w:hAnsi="Times New Roman" w:eastAsia="宋体" w:cs="Times New Roman"/>
          <w:color w:val="000000"/>
          <w:sz w:val="24"/>
          <w:szCs w:val="21"/>
        </w:rPr>
        <w:t>日期：</w:t>
      </w:r>
      <w:r>
        <w:rPr>
          <w:rFonts w:ascii="Times New Roman" w:hAnsi="Times New Roman" w:eastAsia="宋体" w:cs="Times New Roman"/>
          <w:color w:val="000000"/>
          <w:sz w:val="24"/>
          <w:szCs w:val="21"/>
          <w:u w:val="single"/>
        </w:rPr>
        <w:t xml:space="preserve">   </w:t>
      </w:r>
      <w:r>
        <w:rPr>
          <w:rFonts w:hint="eastAsia" w:ascii="Times New Roman" w:hAnsi="Times New Roman" w:eastAsia="宋体" w:cs="Times New Roman"/>
          <w:color w:val="000000"/>
          <w:sz w:val="24"/>
          <w:szCs w:val="21"/>
          <w:u w:val="single"/>
        </w:rPr>
        <w:t xml:space="preserve">        </w:t>
      </w:r>
      <w:r>
        <w:rPr>
          <w:rFonts w:ascii="Times New Roman" w:hAnsi="Times New Roman" w:eastAsia="宋体" w:cs="Times New Roman"/>
          <w:color w:val="000000"/>
          <w:sz w:val="24"/>
          <w:szCs w:val="21"/>
          <w:u w:val="single"/>
        </w:rPr>
        <w:t xml:space="preserve">   </w:t>
      </w:r>
      <w:r>
        <w:rPr>
          <w:rFonts w:ascii="Times New Roman" w:hAnsi="Times New Roman" w:eastAsia="宋体" w:cs="Times New Roman"/>
          <w:color w:val="000000"/>
          <w:sz w:val="24"/>
          <w:szCs w:val="21"/>
        </w:rPr>
        <w:t>年</w:t>
      </w:r>
      <w:r>
        <w:rPr>
          <w:rFonts w:ascii="Times New Roman" w:hAnsi="Times New Roman" w:eastAsia="宋体" w:cs="Times New Roman"/>
          <w:color w:val="000000"/>
          <w:sz w:val="24"/>
          <w:szCs w:val="21"/>
          <w:u w:val="single"/>
        </w:rPr>
        <w:t xml:space="preserve">      </w:t>
      </w:r>
      <w:r>
        <w:rPr>
          <w:rFonts w:ascii="Times New Roman" w:hAnsi="Times New Roman" w:eastAsia="宋体" w:cs="Times New Roman"/>
          <w:color w:val="000000"/>
          <w:sz w:val="24"/>
          <w:szCs w:val="21"/>
        </w:rPr>
        <w:t>月</w:t>
      </w:r>
      <w:r>
        <w:rPr>
          <w:rFonts w:ascii="Times New Roman" w:hAnsi="Times New Roman" w:eastAsia="宋体" w:cs="Times New Roman"/>
          <w:color w:val="000000"/>
          <w:sz w:val="24"/>
          <w:szCs w:val="21"/>
          <w:u w:val="single"/>
        </w:rPr>
        <w:t xml:space="preserve">      </w:t>
      </w:r>
      <w:r>
        <w:rPr>
          <w:rFonts w:ascii="Times New Roman" w:hAnsi="Times New Roman" w:eastAsia="宋体" w:cs="Times New Roman"/>
          <w:color w:val="000000"/>
          <w:sz w:val="24"/>
          <w:szCs w:val="21"/>
        </w:rPr>
        <w:t>日</w:t>
      </w:r>
    </w:p>
    <w:p w14:paraId="1EA29EB1">
      <w:pPr>
        <w:spacing w:line="360" w:lineRule="auto"/>
        <w:ind w:firstLine="525" w:firstLineChars="250"/>
        <w:rPr>
          <w:rFonts w:ascii="宋体" w:hAnsi="宋体"/>
          <w:color w:val="000000"/>
          <w:szCs w:val="21"/>
        </w:rPr>
      </w:pPr>
    </w:p>
    <w:p w14:paraId="47FA2420">
      <w:pPr>
        <w:spacing w:line="360" w:lineRule="auto"/>
        <w:rPr>
          <w:rFonts w:ascii="宋体" w:hAnsi="宋体"/>
          <w:color w:val="000000"/>
          <w:sz w:val="24"/>
        </w:rPr>
        <w:sectPr>
          <w:pgSz w:w="11907" w:h="16840"/>
          <w:pgMar w:top="1134" w:right="1134" w:bottom="1134" w:left="1134" w:header="1139" w:footer="851" w:gutter="0"/>
          <w:cols w:space="720" w:num="1"/>
          <w:titlePg/>
          <w:docGrid w:linePitch="312" w:charSpace="0"/>
        </w:sectPr>
      </w:pPr>
    </w:p>
    <w:p w14:paraId="3369C441">
      <w:pPr>
        <w:pStyle w:val="2"/>
        <w:numPr>
          <w:ilvl w:val="0"/>
          <w:numId w:val="58"/>
        </w:numPr>
        <w:tabs>
          <w:tab w:val="clear" w:pos="482"/>
        </w:tabs>
        <w:ind w:left="0" w:leftChars="0" w:firstLine="482" w:firstLineChars="0"/>
      </w:pPr>
      <w:r>
        <w:t>磋商报价表（格式）</w:t>
      </w:r>
    </w:p>
    <w:p w14:paraId="29B4CBB6">
      <w:pPr>
        <w:pStyle w:val="43"/>
        <w:outlineLvl w:val="9"/>
      </w:pPr>
      <w:bookmarkStart w:id="61" w:name="_Toc6413136"/>
      <w:bookmarkStart w:id="62" w:name="_Toc8370"/>
      <w:r>
        <w:t>磋商报价表</w:t>
      </w:r>
      <w:bookmarkEnd w:id="61"/>
      <w:bookmarkEnd w:id="62"/>
    </w:p>
    <w:p w14:paraId="39AB9B0C">
      <w:pPr>
        <w:pStyle w:val="33"/>
        <w:spacing w:line="360" w:lineRule="auto"/>
        <w:jc w:val="center"/>
        <w:outlineLvl w:val="9"/>
        <w:rPr>
          <w:rFonts w:ascii="宋体" w:hAnsi="宋体"/>
          <w:b/>
          <w:color w:val="000000"/>
          <w:sz w:val="24"/>
        </w:rPr>
      </w:pPr>
    </w:p>
    <w:p w14:paraId="764F1A76">
      <w:pPr>
        <w:spacing w:line="360" w:lineRule="auto"/>
        <w:ind w:left="-178" w:leftChars="-85" w:right="-512" w:rightChars="-244" w:firstLine="840" w:firstLineChars="400"/>
        <w:jc w:val="left"/>
        <w:rPr>
          <w:rFonts w:ascii="宋体" w:hAnsi="宋体"/>
          <w:color w:val="000000"/>
        </w:rPr>
      </w:pPr>
      <w:r>
        <w:rPr>
          <w:rFonts w:ascii="宋体" w:hAnsi="宋体"/>
          <w:color w:val="000000"/>
        </w:rPr>
        <w:t xml:space="preserve">                                               币种：人民币</w:t>
      </w:r>
    </w:p>
    <w:tbl>
      <w:tblPr>
        <w:tblStyle w:val="22"/>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02"/>
        <w:gridCol w:w="3153"/>
        <w:gridCol w:w="2005"/>
        <w:gridCol w:w="1722"/>
      </w:tblGrid>
      <w:tr w14:paraId="7CA4C3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2901" w:type="pct"/>
            <w:gridSpan w:val="2"/>
            <w:noWrap w:val="0"/>
            <w:vAlign w:val="center"/>
          </w:tcPr>
          <w:p w14:paraId="56661DF0">
            <w:pPr>
              <w:widowControl/>
              <w:spacing w:line="360" w:lineRule="auto"/>
              <w:jc w:val="center"/>
              <w:rPr>
                <w:rFonts w:ascii="宋体" w:hAnsi="宋体"/>
                <w:color w:val="000000"/>
              </w:rPr>
            </w:pPr>
            <w:r>
              <w:rPr>
                <w:rFonts w:hint="eastAsia" w:ascii="宋体" w:hAnsi="宋体"/>
                <w:color w:val="000000"/>
              </w:rPr>
              <w:t>磋商</w:t>
            </w:r>
            <w:r>
              <w:rPr>
                <w:rFonts w:ascii="宋体" w:hAnsi="宋体"/>
                <w:color w:val="000000"/>
              </w:rPr>
              <w:t>报价</w:t>
            </w:r>
          </w:p>
        </w:tc>
        <w:tc>
          <w:tcPr>
            <w:tcW w:w="1128" w:type="pct"/>
            <w:noWrap w:val="0"/>
            <w:vAlign w:val="center"/>
          </w:tcPr>
          <w:p w14:paraId="1D6BA275">
            <w:pPr>
              <w:widowControl/>
              <w:spacing w:line="360" w:lineRule="auto"/>
              <w:jc w:val="right"/>
              <w:rPr>
                <w:rFonts w:ascii="宋体" w:hAnsi="宋体"/>
                <w:color w:val="000000"/>
              </w:rPr>
            </w:pPr>
            <w:r>
              <w:rPr>
                <w:rFonts w:ascii="宋体" w:hAnsi="宋体"/>
                <w:color w:val="000000"/>
              </w:rPr>
              <w:t>元</w:t>
            </w:r>
          </w:p>
        </w:tc>
        <w:tc>
          <w:tcPr>
            <w:tcW w:w="969" w:type="pct"/>
            <w:noWrap w:val="0"/>
            <w:vAlign w:val="center"/>
          </w:tcPr>
          <w:p w14:paraId="04A50E68">
            <w:pPr>
              <w:widowControl/>
              <w:spacing w:line="360" w:lineRule="auto"/>
              <w:jc w:val="center"/>
              <w:rPr>
                <w:rFonts w:ascii="宋体" w:hAnsi="宋体"/>
                <w:color w:val="000000"/>
              </w:rPr>
            </w:pPr>
            <w:r>
              <w:rPr>
                <w:rFonts w:ascii="宋体" w:hAnsi="宋体"/>
                <w:color w:val="000000"/>
              </w:rPr>
              <w:t>备注</w:t>
            </w:r>
          </w:p>
        </w:tc>
      </w:tr>
      <w:tr w14:paraId="3068C4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1127" w:type="pct"/>
            <w:vMerge w:val="restart"/>
            <w:noWrap w:val="0"/>
            <w:vAlign w:val="center"/>
          </w:tcPr>
          <w:p w14:paraId="65627FB4">
            <w:pPr>
              <w:spacing w:line="360" w:lineRule="auto"/>
              <w:jc w:val="center"/>
              <w:rPr>
                <w:rFonts w:ascii="宋体" w:hAnsi="宋体"/>
                <w:color w:val="000000"/>
              </w:rPr>
            </w:pPr>
            <w:r>
              <w:rPr>
                <w:rFonts w:ascii="宋体" w:hAnsi="宋体"/>
                <w:color w:val="000000"/>
              </w:rPr>
              <w:t>其中</w:t>
            </w:r>
          </w:p>
        </w:tc>
        <w:tc>
          <w:tcPr>
            <w:tcW w:w="1773" w:type="pct"/>
            <w:noWrap w:val="0"/>
            <w:vAlign w:val="center"/>
          </w:tcPr>
          <w:p w14:paraId="2FC5AB45">
            <w:pPr>
              <w:widowControl/>
              <w:spacing w:line="360" w:lineRule="auto"/>
              <w:jc w:val="center"/>
              <w:rPr>
                <w:rFonts w:ascii="宋体" w:hAnsi="宋体"/>
                <w:color w:val="000000"/>
              </w:rPr>
            </w:pPr>
            <w:r>
              <w:rPr>
                <w:rFonts w:ascii="宋体" w:hAnsi="宋体"/>
                <w:color w:val="000000"/>
              </w:rPr>
              <w:t>安全文明施工费</w:t>
            </w:r>
          </w:p>
        </w:tc>
        <w:tc>
          <w:tcPr>
            <w:tcW w:w="1128" w:type="pct"/>
            <w:noWrap w:val="0"/>
            <w:vAlign w:val="center"/>
          </w:tcPr>
          <w:p w14:paraId="0F584747">
            <w:pPr>
              <w:spacing w:line="360" w:lineRule="auto"/>
              <w:jc w:val="right"/>
              <w:rPr>
                <w:rFonts w:ascii="宋体" w:hAnsi="宋体"/>
                <w:color w:val="000000"/>
              </w:rPr>
            </w:pPr>
            <w:r>
              <w:rPr>
                <w:rFonts w:ascii="宋体" w:hAnsi="宋体"/>
                <w:color w:val="000000"/>
              </w:rPr>
              <w:t>元</w:t>
            </w:r>
          </w:p>
        </w:tc>
        <w:tc>
          <w:tcPr>
            <w:tcW w:w="969" w:type="pct"/>
            <w:noWrap w:val="0"/>
            <w:vAlign w:val="center"/>
          </w:tcPr>
          <w:p w14:paraId="2879110D">
            <w:pPr>
              <w:spacing w:line="360" w:lineRule="auto"/>
              <w:jc w:val="center"/>
              <w:rPr>
                <w:rFonts w:ascii="宋体" w:hAnsi="宋体"/>
                <w:color w:val="000000"/>
              </w:rPr>
            </w:pPr>
          </w:p>
        </w:tc>
      </w:tr>
      <w:tr w14:paraId="667092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127" w:type="pct"/>
            <w:vMerge w:val="continue"/>
            <w:noWrap w:val="0"/>
            <w:vAlign w:val="center"/>
          </w:tcPr>
          <w:p w14:paraId="0D3CE84D">
            <w:pPr>
              <w:widowControl/>
              <w:spacing w:line="360" w:lineRule="auto"/>
              <w:jc w:val="center"/>
              <w:rPr>
                <w:rFonts w:ascii="宋体" w:hAnsi="宋体"/>
                <w:color w:val="000000"/>
              </w:rPr>
            </w:pPr>
          </w:p>
        </w:tc>
        <w:tc>
          <w:tcPr>
            <w:tcW w:w="1773" w:type="pct"/>
            <w:noWrap w:val="0"/>
            <w:vAlign w:val="center"/>
          </w:tcPr>
          <w:p w14:paraId="1955ECA1">
            <w:pPr>
              <w:spacing w:line="360" w:lineRule="auto"/>
              <w:jc w:val="center"/>
              <w:rPr>
                <w:rFonts w:ascii="宋体" w:hAnsi="宋体"/>
                <w:color w:val="000000"/>
              </w:rPr>
            </w:pPr>
            <w:r>
              <w:rPr>
                <w:rFonts w:hint="eastAsia" w:ascii="宋体" w:hAnsi="宋体"/>
                <w:color w:val="000000"/>
              </w:rPr>
              <w:t>发包人提供材料（如有）</w:t>
            </w:r>
          </w:p>
        </w:tc>
        <w:tc>
          <w:tcPr>
            <w:tcW w:w="1128" w:type="pct"/>
            <w:noWrap w:val="0"/>
            <w:vAlign w:val="center"/>
          </w:tcPr>
          <w:p w14:paraId="0D355B18">
            <w:pPr>
              <w:widowControl/>
              <w:spacing w:line="360" w:lineRule="auto"/>
              <w:jc w:val="right"/>
              <w:rPr>
                <w:rFonts w:ascii="宋体" w:hAnsi="宋体"/>
                <w:color w:val="000000"/>
              </w:rPr>
            </w:pPr>
            <w:r>
              <w:rPr>
                <w:rFonts w:ascii="宋体" w:hAnsi="宋体"/>
                <w:color w:val="000000"/>
              </w:rPr>
              <w:t>元</w:t>
            </w:r>
          </w:p>
        </w:tc>
        <w:tc>
          <w:tcPr>
            <w:tcW w:w="969" w:type="pct"/>
            <w:noWrap w:val="0"/>
            <w:vAlign w:val="top"/>
          </w:tcPr>
          <w:p w14:paraId="4E21F4E3">
            <w:pPr>
              <w:widowControl/>
              <w:spacing w:line="360" w:lineRule="auto"/>
              <w:ind w:right="480"/>
              <w:rPr>
                <w:rFonts w:ascii="宋体" w:hAnsi="宋体"/>
                <w:color w:val="000000"/>
              </w:rPr>
            </w:pPr>
          </w:p>
        </w:tc>
      </w:tr>
      <w:tr w14:paraId="1CA6F3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127" w:type="pct"/>
            <w:vMerge w:val="continue"/>
            <w:noWrap w:val="0"/>
            <w:vAlign w:val="center"/>
          </w:tcPr>
          <w:p w14:paraId="11E02564">
            <w:pPr>
              <w:widowControl/>
              <w:spacing w:line="360" w:lineRule="auto"/>
              <w:jc w:val="center"/>
              <w:rPr>
                <w:rFonts w:ascii="宋体" w:hAnsi="宋体"/>
                <w:color w:val="000000"/>
              </w:rPr>
            </w:pPr>
          </w:p>
        </w:tc>
        <w:tc>
          <w:tcPr>
            <w:tcW w:w="1773" w:type="pct"/>
            <w:noWrap w:val="0"/>
            <w:vAlign w:val="center"/>
          </w:tcPr>
          <w:p w14:paraId="2FF58CFC">
            <w:pPr>
              <w:spacing w:line="360" w:lineRule="auto"/>
              <w:jc w:val="center"/>
              <w:rPr>
                <w:rFonts w:ascii="宋体" w:hAnsi="宋体"/>
                <w:color w:val="000000"/>
              </w:rPr>
            </w:pPr>
            <w:r>
              <w:rPr>
                <w:rFonts w:hint="eastAsia" w:ascii="宋体" w:hAnsi="宋体"/>
                <w:color w:val="000000"/>
              </w:rPr>
              <w:t>承包人提供材料（设备）暂估价（如有）</w:t>
            </w:r>
          </w:p>
        </w:tc>
        <w:tc>
          <w:tcPr>
            <w:tcW w:w="1128" w:type="pct"/>
            <w:noWrap w:val="0"/>
            <w:vAlign w:val="center"/>
          </w:tcPr>
          <w:p w14:paraId="482B580A">
            <w:pPr>
              <w:widowControl/>
              <w:spacing w:line="360" w:lineRule="auto"/>
              <w:jc w:val="right"/>
              <w:rPr>
                <w:rFonts w:ascii="宋体" w:hAnsi="宋体"/>
                <w:color w:val="000000"/>
              </w:rPr>
            </w:pPr>
            <w:r>
              <w:rPr>
                <w:rFonts w:ascii="宋体" w:hAnsi="宋体"/>
                <w:color w:val="000000"/>
              </w:rPr>
              <w:t>元</w:t>
            </w:r>
          </w:p>
        </w:tc>
        <w:tc>
          <w:tcPr>
            <w:tcW w:w="969" w:type="pct"/>
            <w:noWrap w:val="0"/>
            <w:vAlign w:val="top"/>
          </w:tcPr>
          <w:p w14:paraId="1F536A78">
            <w:pPr>
              <w:widowControl/>
              <w:spacing w:line="360" w:lineRule="auto"/>
              <w:ind w:right="480"/>
              <w:rPr>
                <w:rFonts w:ascii="宋体" w:hAnsi="宋体"/>
                <w:color w:val="000000"/>
              </w:rPr>
            </w:pPr>
          </w:p>
        </w:tc>
      </w:tr>
      <w:tr w14:paraId="407916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127" w:type="pct"/>
            <w:vMerge w:val="continue"/>
            <w:noWrap w:val="0"/>
            <w:vAlign w:val="center"/>
          </w:tcPr>
          <w:p w14:paraId="71D94A91">
            <w:pPr>
              <w:widowControl/>
              <w:spacing w:line="360" w:lineRule="auto"/>
              <w:jc w:val="center"/>
              <w:rPr>
                <w:rFonts w:ascii="宋体" w:hAnsi="宋体"/>
                <w:color w:val="000000"/>
              </w:rPr>
            </w:pPr>
          </w:p>
        </w:tc>
        <w:tc>
          <w:tcPr>
            <w:tcW w:w="1773" w:type="pct"/>
            <w:noWrap w:val="0"/>
            <w:vAlign w:val="center"/>
          </w:tcPr>
          <w:p w14:paraId="62CAF642">
            <w:pPr>
              <w:widowControl/>
              <w:spacing w:line="360" w:lineRule="auto"/>
              <w:jc w:val="center"/>
              <w:rPr>
                <w:rFonts w:ascii="宋体" w:hAnsi="宋体"/>
                <w:color w:val="000000"/>
              </w:rPr>
            </w:pPr>
            <w:r>
              <w:rPr>
                <w:rFonts w:hint="eastAsia" w:ascii="宋体" w:hAnsi="宋体"/>
                <w:color w:val="000000"/>
              </w:rPr>
              <w:t>暂估专业工程（如有）</w:t>
            </w:r>
          </w:p>
        </w:tc>
        <w:tc>
          <w:tcPr>
            <w:tcW w:w="1128" w:type="pct"/>
            <w:noWrap w:val="0"/>
            <w:vAlign w:val="center"/>
          </w:tcPr>
          <w:p w14:paraId="2568889C">
            <w:pPr>
              <w:widowControl/>
              <w:spacing w:line="360" w:lineRule="auto"/>
              <w:jc w:val="right"/>
              <w:rPr>
                <w:rFonts w:ascii="宋体" w:hAnsi="宋体"/>
                <w:color w:val="000000"/>
              </w:rPr>
            </w:pPr>
            <w:r>
              <w:rPr>
                <w:rFonts w:ascii="宋体" w:hAnsi="宋体"/>
                <w:color w:val="000000"/>
              </w:rPr>
              <w:t>元</w:t>
            </w:r>
          </w:p>
        </w:tc>
        <w:tc>
          <w:tcPr>
            <w:tcW w:w="969" w:type="pct"/>
            <w:noWrap w:val="0"/>
            <w:vAlign w:val="top"/>
          </w:tcPr>
          <w:p w14:paraId="632948A8">
            <w:pPr>
              <w:widowControl/>
              <w:spacing w:line="360" w:lineRule="auto"/>
              <w:ind w:right="480"/>
              <w:rPr>
                <w:rFonts w:ascii="宋体" w:hAnsi="宋体"/>
                <w:color w:val="000000"/>
              </w:rPr>
            </w:pPr>
          </w:p>
        </w:tc>
      </w:tr>
      <w:tr w14:paraId="6CDD29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127" w:type="pct"/>
            <w:vMerge w:val="continue"/>
            <w:noWrap w:val="0"/>
            <w:vAlign w:val="center"/>
          </w:tcPr>
          <w:p w14:paraId="14B7CBDF">
            <w:pPr>
              <w:widowControl/>
              <w:spacing w:line="360" w:lineRule="auto"/>
              <w:jc w:val="center"/>
              <w:rPr>
                <w:rFonts w:ascii="宋体" w:hAnsi="宋体"/>
                <w:color w:val="000000"/>
              </w:rPr>
            </w:pPr>
          </w:p>
        </w:tc>
        <w:tc>
          <w:tcPr>
            <w:tcW w:w="1773" w:type="pct"/>
            <w:noWrap w:val="0"/>
            <w:vAlign w:val="center"/>
          </w:tcPr>
          <w:p w14:paraId="2A29D304">
            <w:pPr>
              <w:widowControl/>
              <w:spacing w:line="360" w:lineRule="auto"/>
              <w:jc w:val="center"/>
              <w:rPr>
                <w:rFonts w:ascii="宋体" w:hAnsi="宋体"/>
                <w:color w:val="000000"/>
              </w:rPr>
            </w:pPr>
            <w:r>
              <w:rPr>
                <w:rFonts w:hint="eastAsia" w:ascii="宋体" w:hAnsi="宋体"/>
                <w:color w:val="000000"/>
              </w:rPr>
              <w:t>暂列金额（如有）</w:t>
            </w:r>
          </w:p>
        </w:tc>
        <w:tc>
          <w:tcPr>
            <w:tcW w:w="1128" w:type="pct"/>
            <w:noWrap w:val="0"/>
            <w:vAlign w:val="center"/>
          </w:tcPr>
          <w:p w14:paraId="2AF83464">
            <w:pPr>
              <w:widowControl/>
              <w:spacing w:line="360" w:lineRule="auto"/>
              <w:jc w:val="right"/>
              <w:rPr>
                <w:rFonts w:ascii="宋体" w:hAnsi="宋体"/>
                <w:color w:val="000000"/>
              </w:rPr>
            </w:pPr>
            <w:r>
              <w:rPr>
                <w:rFonts w:ascii="宋体" w:hAnsi="宋体"/>
                <w:color w:val="000000"/>
              </w:rPr>
              <w:t>元</w:t>
            </w:r>
          </w:p>
        </w:tc>
        <w:tc>
          <w:tcPr>
            <w:tcW w:w="969" w:type="pct"/>
            <w:noWrap w:val="0"/>
            <w:vAlign w:val="top"/>
          </w:tcPr>
          <w:p w14:paraId="63AD09AA">
            <w:pPr>
              <w:widowControl/>
              <w:spacing w:line="360" w:lineRule="auto"/>
              <w:ind w:right="480"/>
              <w:rPr>
                <w:rFonts w:ascii="宋体" w:hAnsi="宋体"/>
                <w:color w:val="000000"/>
              </w:rPr>
            </w:pPr>
          </w:p>
        </w:tc>
      </w:tr>
    </w:tbl>
    <w:p w14:paraId="721E4C17">
      <w:pPr>
        <w:spacing w:line="360" w:lineRule="auto"/>
        <w:ind w:left="-178" w:leftChars="-85" w:firstLine="177" w:firstLineChars="74"/>
        <w:rPr>
          <w:rFonts w:ascii="宋体" w:hAnsi="宋体"/>
          <w:color w:val="000000"/>
          <w:sz w:val="24"/>
        </w:rPr>
      </w:pPr>
    </w:p>
    <w:p w14:paraId="0B1E3ED2">
      <w:pPr>
        <w:spacing w:line="360" w:lineRule="auto"/>
        <w:rPr>
          <w:rFonts w:ascii="宋体" w:hAnsi="宋体"/>
          <w:color w:val="000000"/>
        </w:rPr>
      </w:pPr>
    </w:p>
    <w:p w14:paraId="6E62EBB7">
      <w:pPr>
        <w:spacing w:line="360" w:lineRule="auto"/>
        <w:rPr>
          <w:rFonts w:ascii="宋体" w:hAnsi="宋体"/>
          <w:color w:val="000000"/>
        </w:rPr>
      </w:pPr>
    </w:p>
    <w:p w14:paraId="551CD40C">
      <w:pPr>
        <w:spacing w:line="360" w:lineRule="auto"/>
        <w:ind w:firstLine="240" w:firstLineChars="100"/>
        <w:rPr>
          <w:rFonts w:ascii="Times New Roman" w:hAnsi="Times New Roman" w:eastAsia="宋体" w:cs="Times New Roman"/>
          <w:color w:val="000000"/>
          <w:sz w:val="24"/>
        </w:rPr>
      </w:pPr>
      <w:r>
        <w:rPr>
          <w:rFonts w:hint="eastAsia" w:ascii="Times New Roman" w:hAnsi="Times New Roman" w:eastAsia="宋体" w:cs="Times New Roman"/>
          <w:color w:val="000000"/>
          <w:sz w:val="24"/>
        </w:rPr>
        <w:t>供应商</w:t>
      </w:r>
      <w:r>
        <w:rPr>
          <w:rFonts w:ascii="Times New Roman" w:hAnsi="Times New Roman" w:eastAsia="宋体" w:cs="Times New Roman"/>
          <w:color w:val="000000"/>
          <w:sz w:val="24"/>
        </w:rPr>
        <w:t>（盖</w:t>
      </w:r>
      <w:r>
        <w:rPr>
          <w:rFonts w:hint="eastAsia" w:ascii="Times New Roman" w:hAnsi="Times New Roman" w:eastAsia="宋体" w:cs="Times New Roman"/>
          <w:color w:val="000000"/>
          <w:sz w:val="24"/>
        </w:rPr>
        <w:t>单位</w:t>
      </w:r>
      <w:r>
        <w:rPr>
          <w:rFonts w:ascii="Times New Roman" w:hAnsi="Times New Roman" w:eastAsia="宋体" w:cs="Times New Roman"/>
          <w:color w:val="000000"/>
          <w:sz w:val="24"/>
        </w:rPr>
        <w:t>章）：</w:t>
      </w:r>
    </w:p>
    <w:p w14:paraId="0A072AEA">
      <w:pPr>
        <w:spacing w:line="360" w:lineRule="auto"/>
        <w:ind w:firstLine="240" w:firstLineChars="100"/>
        <w:rPr>
          <w:rFonts w:ascii="Times New Roman" w:hAnsi="Times New Roman" w:eastAsia="宋体" w:cs="Times New Roman"/>
          <w:color w:val="000000"/>
          <w:sz w:val="24"/>
        </w:rPr>
      </w:pPr>
      <w:r>
        <w:rPr>
          <w:rFonts w:hint="eastAsia" w:ascii="Times New Roman" w:hAnsi="Times New Roman" w:eastAsia="宋体" w:cs="Times New Roman"/>
          <w:color w:val="000000"/>
          <w:sz w:val="24"/>
        </w:rPr>
        <w:t>法定代表人</w:t>
      </w:r>
      <w:r>
        <w:rPr>
          <w:rFonts w:ascii="Times New Roman" w:hAnsi="Times New Roman" w:eastAsia="宋体" w:cs="Times New Roman"/>
          <w:color w:val="000000"/>
          <w:sz w:val="24"/>
        </w:rPr>
        <w:t>或其委托代理人（签字或盖章）：</w:t>
      </w:r>
    </w:p>
    <w:p w14:paraId="0111C414">
      <w:pPr>
        <w:spacing w:line="360" w:lineRule="auto"/>
        <w:ind w:firstLine="240" w:firstLineChars="100"/>
        <w:rPr>
          <w:rFonts w:ascii="Times New Roman" w:hAnsi="Times New Roman" w:eastAsia="宋体" w:cs="Times New Roman"/>
          <w:color w:val="000000"/>
          <w:sz w:val="24"/>
        </w:rPr>
      </w:pPr>
      <w:r>
        <w:rPr>
          <w:rFonts w:ascii="Times New Roman" w:hAnsi="Times New Roman" w:eastAsia="宋体" w:cs="Times New Roman"/>
          <w:color w:val="000000"/>
          <w:sz w:val="24"/>
        </w:rPr>
        <w:t>日期：</w:t>
      </w:r>
      <w:r>
        <w:rPr>
          <w:rFonts w:ascii="Times New Roman" w:hAnsi="Times New Roman" w:eastAsia="宋体" w:cs="Times New Roman"/>
          <w:color w:val="000000"/>
          <w:sz w:val="24"/>
          <w:szCs w:val="21"/>
          <w:u w:val="single"/>
        </w:rPr>
        <w:t xml:space="preserve"> </w:t>
      </w:r>
      <w:r>
        <w:rPr>
          <w:rFonts w:hint="eastAsia" w:ascii="Times New Roman" w:hAnsi="Times New Roman" w:eastAsia="宋体" w:cs="Times New Roman"/>
          <w:color w:val="000000"/>
          <w:sz w:val="24"/>
          <w:szCs w:val="21"/>
          <w:u w:val="single"/>
        </w:rPr>
        <w:t xml:space="preserve">        </w:t>
      </w:r>
      <w:r>
        <w:rPr>
          <w:rFonts w:ascii="Times New Roman" w:hAnsi="Times New Roman" w:eastAsia="宋体" w:cs="Times New Roman"/>
          <w:color w:val="000000"/>
          <w:sz w:val="24"/>
          <w:szCs w:val="21"/>
          <w:u w:val="single"/>
        </w:rPr>
        <w:t xml:space="preserve">     </w:t>
      </w:r>
      <w:r>
        <w:rPr>
          <w:rFonts w:ascii="Times New Roman" w:hAnsi="Times New Roman" w:eastAsia="宋体" w:cs="Times New Roman"/>
          <w:color w:val="000000"/>
          <w:sz w:val="24"/>
          <w:szCs w:val="21"/>
        </w:rPr>
        <w:t>年</w:t>
      </w:r>
      <w:r>
        <w:rPr>
          <w:rFonts w:ascii="Times New Roman" w:hAnsi="Times New Roman" w:eastAsia="宋体" w:cs="Times New Roman"/>
          <w:color w:val="000000"/>
          <w:sz w:val="24"/>
          <w:szCs w:val="21"/>
          <w:u w:val="single"/>
        </w:rPr>
        <w:t xml:space="preserve">      </w:t>
      </w:r>
      <w:r>
        <w:rPr>
          <w:rFonts w:ascii="Times New Roman" w:hAnsi="Times New Roman" w:eastAsia="宋体" w:cs="Times New Roman"/>
          <w:color w:val="000000"/>
          <w:sz w:val="24"/>
          <w:szCs w:val="21"/>
        </w:rPr>
        <w:t>月</w:t>
      </w:r>
      <w:r>
        <w:rPr>
          <w:rFonts w:ascii="Times New Roman" w:hAnsi="Times New Roman" w:eastAsia="宋体" w:cs="Times New Roman"/>
          <w:color w:val="000000"/>
          <w:sz w:val="24"/>
          <w:szCs w:val="21"/>
          <w:u w:val="single"/>
        </w:rPr>
        <w:t xml:space="preserve">      </w:t>
      </w:r>
      <w:r>
        <w:rPr>
          <w:rFonts w:ascii="Times New Roman" w:hAnsi="Times New Roman" w:eastAsia="宋体" w:cs="Times New Roman"/>
          <w:color w:val="000000"/>
          <w:sz w:val="24"/>
          <w:szCs w:val="21"/>
        </w:rPr>
        <w:t>日</w:t>
      </w:r>
    </w:p>
    <w:p w14:paraId="73B90FD4">
      <w:pPr>
        <w:spacing w:line="360" w:lineRule="auto"/>
        <w:ind w:firstLine="210" w:firstLineChars="100"/>
        <w:rPr>
          <w:rFonts w:ascii="宋体" w:hAnsi="宋体"/>
          <w:color w:val="000000"/>
        </w:rPr>
      </w:pPr>
    </w:p>
    <w:p w14:paraId="6869A31F">
      <w:pPr>
        <w:spacing w:line="360" w:lineRule="auto"/>
        <w:ind w:left="420"/>
        <w:rPr>
          <w:rFonts w:hint="eastAsia" w:ascii="宋体" w:hAnsi="宋体"/>
          <w:b/>
          <w:color w:val="000000"/>
          <w:sz w:val="24"/>
        </w:rPr>
      </w:pPr>
    </w:p>
    <w:p w14:paraId="7F676143">
      <w:pPr>
        <w:spacing w:line="360" w:lineRule="auto"/>
        <w:ind w:left="420"/>
        <w:rPr>
          <w:rFonts w:hint="eastAsia" w:ascii="宋体" w:hAnsi="宋体"/>
          <w:b/>
          <w:color w:val="000000"/>
          <w:sz w:val="24"/>
        </w:rPr>
      </w:pPr>
    </w:p>
    <w:p w14:paraId="1F5A39B8">
      <w:pPr>
        <w:spacing w:line="360" w:lineRule="auto"/>
        <w:ind w:left="420"/>
        <w:rPr>
          <w:rFonts w:hint="eastAsia" w:ascii="宋体" w:hAnsi="宋体"/>
          <w:b/>
          <w:color w:val="000000"/>
          <w:sz w:val="24"/>
        </w:rPr>
      </w:pPr>
    </w:p>
    <w:p w14:paraId="5C3B21EA">
      <w:pPr>
        <w:spacing w:line="360" w:lineRule="auto"/>
        <w:ind w:left="420"/>
        <w:rPr>
          <w:rFonts w:hint="eastAsia" w:ascii="宋体" w:hAnsi="宋体"/>
          <w:b/>
          <w:color w:val="000000"/>
          <w:sz w:val="24"/>
        </w:rPr>
      </w:pPr>
    </w:p>
    <w:p w14:paraId="7C2B2894">
      <w:pPr>
        <w:spacing w:line="360" w:lineRule="auto"/>
        <w:ind w:left="420"/>
        <w:rPr>
          <w:rFonts w:hint="eastAsia" w:ascii="宋体" w:hAnsi="宋体"/>
          <w:b/>
          <w:color w:val="000000"/>
          <w:sz w:val="24"/>
        </w:rPr>
      </w:pPr>
    </w:p>
    <w:p w14:paraId="50A74963">
      <w:pPr>
        <w:spacing w:line="360" w:lineRule="auto"/>
        <w:ind w:left="420"/>
        <w:rPr>
          <w:rFonts w:hint="eastAsia" w:ascii="宋体" w:hAnsi="宋体"/>
          <w:b/>
          <w:color w:val="000000"/>
          <w:sz w:val="24"/>
        </w:rPr>
      </w:pPr>
    </w:p>
    <w:p w14:paraId="228F8967">
      <w:pPr>
        <w:spacing w:line="360" w:lineRule="auto"/>
        <w:ind w:left="420"/>
        <w:rPr>
          <w:rFonts w:hint="eastAsia" w:ascii="宋体" w:hAnsi="宋体"/>
          <w:b/>
          <w:color w:val="000000"/>
          <w:sz w:val="24"/>
        </w:rPr>
        <w:sectPr>
          <w:pgSz w:w="11907" w:h="16840"/>
          <w:pgMar w:top="1440" w:right="1440" w:bottom="1440" w:left="1797" w:header="851" w:footer="851" w:gutter="0"/>
          <w:cols w:space="720" w:num="1"/>
          <w:docGrid w:linePitch="312" w:charSpace="0"/>
        </w:sectPr>
      </w:pPr>
    </w:p>
    <w:p w14:paraId="5E9D7820">
      <w:pPr>
        <w:pStyle w:val="2"/>
        <w:numPr>
          <w:ilvl w:val="0"/>
          <w:numId w:val="58"/>
        </w:numPr>
        <w:tabs>
          <w:tab w:val="clear" w:pos="482"/>
        </w:tabs>
        <w:ind w:left="0" w:leftChars="0" w:firstLine="482" w:firstLineChars="0"/>
      </w:pPr>
      <w:r>
        <w:t>已标价工程量清单</w:t>
      </w:r>
    </w:p>
    <w:p w14:paraId="561E5D91">
      <w:pPr>
        <w:pStyle w:val="11"/>
        <w:numPr>
          <w:ilvl w:val="0"/>
          <w:numId w:val="60"/>
        </w:numPr>
        <w:topLinePunct w:val="0"/>
        <w:ind w:left="0" w:leftChars="0" w:firstLine="480" w:firstLineChars="0"/>
        <w:rPr>
          <w:b w:val="0"/>
          <w:color w:val="000000"/>
        </w:rPr>
      </w:pPr>
      <w:r>
        <w:rPr>
          <w:color w:val="000000"/>
        </w:rPr>
        <w:t>说明：已标价工程量清单按规范中的“工程量清单”中的相关清单表格式填写。构成合同文件的已标价工程量清单包括规范中的“工程量清单”有关工程量清单、磋商报价以及其他说明的内容。</w:t>
      </w:r>
    </w:p>
    <w:p w14:paraId="34727FD1">
      <w:pPr>
        <w:pStyle w:val="11"/>
        <w:numPr>
          <w:ilvl w:val="0"/>
          <w:numId w:val="60"/>
        </w:numPr>
        <w:topLinePunct w:val="0"/>
        <w:ind w:left="0" w:leftChars="0" w:firstLine="480" w:firstLineChars="0"/>
        <w:rPr>
          <w:b w:val="0"/>
          <w:color w:val="000000"/>
        </w:rPr>
      </w:pPr>
      <w:r>
        <w:rPr>
          <w:color w:val="000000"/>
        </w:rPr>
        <w:t>表格：可按《建设工程工程量计算规范（GB50854～50862—2013）广西壮族自治区实施细则》工程量清单计价表格提供。</w:t>
      </w:r>
    </w:p>
    <w:p w14:paraId="1B514B4D">
      <w:pPr>
        <w:spacing w:line="360" w:lineRule="auto"/>
        <w:rPr>
          <w:rFonts w:hint="eastAsia" w:ascii="宋体" w:hAnsi="宋体"/>
          <w:b/>
          <w:color w:val="000000"/>
          <w:sz w:val="32"/>
          <w:szCs w:val="32"/>
        </w:rPr>
      </w:pPr>
      <w:r>
        <w:rPr>
          <w:rFonts w:ascii="宋体" w:hAnsi="宋体"/>
          <w:color w:val="000000"/>
          <w:szCs w:val="21"/>
        </w:rPr>
        <w:br w:type="page"/>
      </w:r>
    </w:p>
    <w:p w14:paraId="26618748">
      <w:pPr>
        <w:spacing w:line="360" w:lineRule="auto"/>
        <w:jc w:val="center"/>
        <w:rPr>
          <w:rFonts w:hint="eastAsia" w:ascii="宋体" w:hAnsi="宋体"/>
          <w:b/>
          <w:color w:val="000000"/>
          <w:sz w:val="44"/>
          <w:szCs w:val="44"/>
        </w:rPr>
      </w:pPr>
    </w:p>
    <w:p w14:paraId="74A56375">
      <w:pPr>
        <w:spacing w:line="360" w:lineRule="auto"/>
        <w:jc w:val="center"/>
        <w:rPr>
          <w:rFonts w:hint="eastAsia" w:ascii="宋体" w:hAnsi="宋体"/>
          <w:b/>
          <w:color w:val="000000"/>
          <w:sz w:val="44"/>
          <w:szCs w:val="44"/>
        </w:rPr>
      </w:pPr>
    </w:p>
    <w:p w14:paraId="44BA06A5">
      <w:pPr>
        <w:spacing w:line="360" w:lineRule="auto"/>
        <w:jc w:val="center"/>
        <w:rPr>
          <w:rFonts w:hint="eastAsia" w:ascii="宋体" w:hAnsi="宋体"/>
          <w:b/>
          <w:color w:val="000000"/>
          <w:sz w:val="44"/>
          <w:szCs w:val="44"/>
        </w:rPr>
      </w:pPr>
    </w:p>
    <w:p w14:paraId="0BA60183">
      <w:pPr>
        <w:spacing w:line="360" w:lineRule="auto"/>
        <w:jc w:val="center"/>
        <w:rPr>
          <w:rFonts w:hint="eastAsia" w:ascii="宋体" w:hAnsi="宋体"/>
          <w:b/>
          <w:color w:val="000000"/>
          <w:sz w:val="44"/>
          <w:szCs w:val="44"/>
        </w:rPr>
      </w:pPr>
    </w:p>
    <w:p w14:paraId="634DCE7C">
      <w:pPr>
        <w:spacing w:line="360" w:lineRule="auto"/>
        <w:jc w:val="center"/>
        <w:rPr>
          <w:rFonts w:hint="eastAsia" w:ascii="宋体" w:hAnsi="宋体"/>
          <w:b/>
          <w:color w:val="000000"/>
          <w:sz w:val="44"/>
          <w:szCs w:val="44"/>
        </w:rPr>
      </w:pPr>
    </w:p>
    <w:p w14:paraId="02254337">
      <w:pPr>
        <w:spacing w:line="360" w:lineRule="auto"/>
        <w:jc w:val="center"/>
        <w:rPr>
          <w:rFonts w:hint="eastAsia" w:ascii="宋体" w:hAnsi="宋体"/>
          <w:b/>
          <w:color w:val="000000"/>
          <w:sz w:val="44"/>
          <w:szCs w:val="44"/>
        </w:rPr>
      </w:pPr>
    </w:p>
    <w:p w14:paraId="67D0E666">
      <w:pPr>
        <w:spacing w:line="360" w:lineRule="auto"/>
        <w:jc w:val="center"/>
        <w:rPr>
          <w:rFonts w:hint="eastAsia" w:ascii="宋体" w:hAnsi="宋体"/>
          <w:b/>
          <w:color w:val="000000"/>
          <w:sz w:val="32"/>
          <w:szCs w:val="32"/>
        </w:rPr>
      </w:pPr>
      <w:r>
        <w:rPr>
          <w:rFonts w:hint="eastAsia" w:ascii="宋体" w:hAnsi="宋体"/>
          <w:b/>
          <w:color w:val="000000"/>
          <w:sz w:val="44"/>
          <w:szCs w:val="44"/>
        </w:rPr>
        <w:t>技术文件</w:t>
      </w:r>
    </w:p>
    <w:p w14:paraId="59E0CDA7">
      <w:pPr>
        <w:spacing w:line="360" w:lineRule="auto"/>
        <w:jc w:val="center"/>
        <w:rPr>
          <w:rFonts w:hint="eastAsia" w:ascii="宋体" w:hAnsi="宋体"/>
          <w:color w:val="000000"/>
          <w:szCs w:val="21"/>
        </w:rPr>
      </w:pPr>
    </w:p>
    <w:p w14:paraId="02F7CB89">
      <w:pPr>
        <w:spacing w:line="360" w:lineRule="auto"/>
        <w:jc w:val="center"/>
        <w:rPr>
          <w:rFonts w:hint="eastAsia" w:ascii="宋体" w:hAnsi="宋体"/>
          <w:color w:val="000000"/>
          <w:szCs w:val="21"/>
        </w:rPr>
      </w:pPr>
    </w:p>
    <w:p w14:paraId="032BA9E9">
      <w:pPr>
        <w:spacing w:line="360" w:lineRule="auto"/>
        <w:jc w:val="center"/>
        <w:rPr>
          <w:rFonts w:hint="eastAsia" w:ascii="宋体" w:hAnsi="宋体"/>
          <w:color w:val="000000"/>
          <w:szCs w:val="21"/>
        </w:rPr>
      </w:pPr>
    </w:p>
    <w:p w14:paraId="33E00972">
      <w:pPr>
        <w:spacing w:line="360" w:lineRule="auto"/>
        <w:jc w:val="center"/>
        <w:rPr>
          <w:rFonts w:hint="eastAsia" w:ascii="宋体" w:hAnsi="宋体"/>
          <w:color w:val="000000"/>
          <w:szCs w:val="21"/>
        </w:rPr>
      </w:pPr>
    </w:p>
    <w:p w14:paraId="7EED91C4">
      <w:pPr>
        <w:spacing w:line="360" w:lineRule="auto"/>
        <w:jc w:val="center"/>
        <w:rPr>
          <w:rFonts w:hint="eastAsia" w:ascii="宋体" w:hAnsi="宋体"/>
          <w:color w:val="000000"/>
          <w:szCs w:val="21"/>
        </w:rPr>
      </w:pPr>
    </w:p>
    <w:p w14:paraId="34337A0E">
      <w:pPr>
        <w:spacing w:line="360" w:lineRule="auto"/>
        <w:rPr>
          <w:rFonts w:hint="eastAsia" w:ascii="宋体" w:hAnsi="宋体"/>
          <w:color w:val="000000"/>
          <w:szCs w:val="21"/>
        </w:rPr>
      </w:pPr>
      <w:r>
        <w:rPr>
          <w:rFonts w:ascii="宋体" w:hAnsi="宋体"/>
          <w:color w:val="000000"/>
          <w:szCs w:val="21"/>
        </w:rPr>
        <w:br w:type="page"/>
      </w:r>
    </w:p>
    <w:p w14:paraId="64A5A880">
      <w:pPr>
        <w:pStyle w:val="41"/>
      </w:pPr>
      <w:r>
        <w:t>技术文件目录</w:t>
      </w:r>
    </w:p>
    <w:p w14:paraId="0CB6A442">
      <w:pPr>
        <w:pStyle w:val="41"/>
      </w:pPr>
      <w:r>
        <w:t>（应附有页码）</w:t>
      </w:r>
    </w:p>
    <w:p w14:paraId="5C82F284">
      <w:pPr>
        <w:spacing w:line="360" w:lineRule="auto"/>
        <w:jc w:val="center"/>
        <w:rPr>
          <w:rFonts w:hint="eastAsia" w:ascii="宋体" w:hAnsi="宋体"/>
          <w:b/>
          <w:color w:val="000000"/>
          <w:sz w:val="24"/>
        </w:rPr>
      </w:pPr>
    </w:p>
    <w:p w14:paraId="6E797409">
      <w:pPr>
        <w:pStyle w:val="11"/>
        <w:numPr>
          <w:ilvl w:val="0"/>
          <w:numId w:val="61"/>
        </w:numPr>
        <w:topLinePunct w:val="0"/>
        <w:ind w:left="0" w:leftChars="0" w:firstLine="480" w:firstLineChars="0"/>
        <w:rPr>
          <w:b w:val="0"/>
          <w:color w:val="000000"/>
        </w:rPr>
      </w:pPr>
      <w:r>
        <w:rPr>
          <w:color w:val="000000"/>
        </w:rPr>
        <w:t>施工组织设计</w:t>
      </w:r>
    </w:p>
    <w:p w14:paraId="74C829A6">
      <w:pPr>
        <w:pStyle w:val="11"/>
        <w:numPr>
          <w:ilvl w:val="0"/>
          <w:numId w:val="61"/>
        </w:numPr>
        <w:topLinePunct w:val="0"/>
        <w:ind w:left="0" w:leftChars="0" w:firstLine="480" w:firstLineChars="0"/>
        <w:rPr>
          <w:b w:val="0"/>
          <w:color w:val="000000"/>
        </w:rPr>
      </w:pPr>
      <w:r>
        <w:rPr>
          <w:color w:val="000000"/>
        </w:rPr>
        <w:t>项目管理机构配备情况表</w:t>
      </w:r>
    </w:p>
    <w:p w14:paraId="489B256E">
      <w:pPr>
        <w:pStyle w:val="11"/>
        <w:numPr>
          <w:ilvl w:val="0"/>
          <w:numId w:val="61"/>
        </w:numPr>
        <w:topLinePunct w:val="0"/>
        <w:ind w:left="0" w:leftChars="0" w:firstLine="480" w:firstLineChars="0"/>
        <w:rPr>
          <w:b w:val="0"/>
          <w:color w:val="000000"/>
        </w:rPr>
      </w:pPr>
      <w:r>
        <w:rPr>
          <w:color w:val="000000"/>
        </w:rPr>
        <w:t>按本竞争性磋商文件规定提交的其它资料</w:t>
      </w:r>
    </w:p>
    <w:p w14:paraId="7F4A34F6">
      <w:pPr>
        <w:keepNext/>
        <w:keepLines/>
        <w:widowControl w:val="0"/>
        <w:spacing w:before="280" w:after="290" w:line="376" w:lineRule="auto"/>
        <w:jc w:val="both"/>
        <w:outlineLvl w:val="9"/>
        <w:rPr>
          <w:rFonts w:hint="eastAsia" w:ascii="Arial" w:hAnsi="Arial" w:eastAsia="黑体" w:cs="Times New Roman"/>
          <w:b/>
          <w:bCs/>
          <w:color w:val="000000"/>
          <w:kern w:val="2"/>
          <w:sz w:val="28"/>
          <w:szCs w:val="28"/>
          <w:lang w:val="en-US" w:eastAsia="zh-CN" w:bidi="ar-SA"/>
        </w:rPr>
      </w:pPr>
    </w:p>
    <w:p w14:paraId="15099CDF">
      <w:pPr>
        <w:spacing w:line="360" w:lineRule="auto"/>
        <w:rPr>
          <w:rFonts w:ascii="宋体" w:hAnsi="宋体"/>
          <w:color w:val="000000"/>
          <w:szCs w:val="21"/>
        </w:rPr>
      </w:pPr>
    </w:p>
    <w:p w14:paraId="75A7034B">
      <w:pPr>
        <w:pStyle w:val="2"/>
        <w:numPr>
          <w:ilvl w:val="0"/>
          <w:numId w:val="62"/>
        </w:numPr>
        <w:ind w:left="0" w:leftChars="0" w:firstLine="480" w:firstLineChars="0"/>
        <w:rPr>
          <w:b/>
        </w:rPr>
      </w:pPr>
      <w:r>
        <w:br w:type="page"/>
      </w:r>
      <w:r>
        <w:t>施工组织设计</w:t>
      </w:r>
    </w:p>
    <w:p w14:paraId="008AAAF8">
      <w:pPr>
        <w:pStyle w:val="11"/>
        <w:numPr>
          <w:ilvl w:val="0"/>
          <w:numId w:val="63"/>
        </w:numPr>
        <w:topLinePunct w:val="0"/>
        <w:ind w:left="0" w:leftChars="0" w:firstLine="480" w:firstLineChars="0"/>
        <w:rPr>
          <w:b w:val="0"/>
          <w:color w:val="000000"/>
        </w:rPr>
      </w:pPr>
      <w:r>
        <w:rPr>
          <w:color w:val="000000"/>
        </w:rPr>
        <w:t>供应商编制施工组织设计的要求：编制时应采用文字并结合图表形式说明施工方法；拟投入本工程的主要施工设备情况、拟配备本工程的试验和检测仪器设备情况、劳动力计划等；结合工程特点提出切实可行的工程质量、安全生产、文明施工、工程进度、技术组织措施，同时应对关键工序、复杂环节重点提出相应技术措施，如冬雨季施工技术、减少噪音、降低环境污染、地下管线及其他地上地下设施的保护加固措施等。</w:t>
      </w:r>
    </w:p>
    <w:p w14:paraId="542D211C">
      <w:pPr>
        <w:pStyle w:val="11"/>
        <w:numPr>
          <w:ilvl w:val="0"/>
          <w:numId w:val="63"/>
        </w:numPr>
        <w:topLinePunct w:val="0"/>
        <w:ind w:left="0" w:leftChars="0" w:firstLine="480" w:firstLineChars="0"/>
        <w:rPr>
          <w:b w:val="0"/>
          <w:color w:val="000000"/>
        </w:rPr>
      </w:pPr>
      <w:r>
        <w:rPr>
          <w:color w:val="000000"/>
        </w:rPr>
        <w:t>施工组织设计除采用文字表述外可附下列图表，图表及格式要求附后。</w:t>
      </w:r>
    </w:p>
    <w:p w14:paraId="3893E7B3">
      <w:pPr>
        <w:pStyle w:val="11"/>
        <w:keepNext w:val="0"/>
        <w:keepLines w:val="0"/>
        <w:pageBreakBefore w:val="0"/>
        <w:widowControl w:val="0"/>
        <w:kinsoku/>
        <w:wordWrap/>
        <w:overflowPunct/>
        <w:topLinePunct w:val="0"/>
        <w:autoSpaceDE/>
        <w:autoSpaceDN/>
        <w:bidi w:val="0"/>
        <w:adjustRightInd/>
        <w:snapToGrid/>
        <w:spacing w:line="240" w:lineRule="auto"/>
        <w:textAlignment w:val="auto"/>
        <w:rPr>
          <w:color w:val="000000"/>
        </w:rPr>
      </w:pPr>
      <w:r>
        <w:rPr>
          <w:color w:val="000000"/>
        </w:rPr>
        <w:t>附表一  拟投入本工程的主要施工设备表</w:t>
      </w:r>
    </w:p>
    <w:p w14:paraId="36E53A0B">
      <w:pPr>
        <w:pStyle w:val="11"/>
        <w:keepNext w:val="0"/>
        <w:keepLines w:val="0"/>
        <w:pageBreakBefore w:val="0"/>
        <w:widowControl w:val="0"/>
        <w:kinsoku/>
        <w:wordWrap/>
        <w:overflowPunct/>
        <w:topLinePunct w:val="0"/>
        <w:autoSpaceDE/>
        <w:autoSpaceDN/>
        <w:bidi w:val="0"/>
        <w:adjustRightInd/>
        <w:snapToGrid/>
        <w:spacing w:line="240" w:lineRule="auto"/>
        <w:textAlignment w:val="auto"/>
        <w:rPr>
          <w:color w:val="000000"/>
        </w:rPr>
      </w:pPr>
      <w:r>
        <w:rPr>
          <w:color w:val="000000"/>
        </w:rPr>
        <w:t>附表二  拟配备本工程的试验和检测仪器设备表</w:t>
      </w:r>
    </w:p>
    <w:p w14:paraId="6C1A3A0E">
      <w:pPr>
        <w:pStyle w:val="11"/>
        <w:keepNext w:val="0"/>
        <w:keepLines w:val="0"/>
        <w:pageBreakBefore w:val="0"/>
        <w:widowControl w:val="0"/>
        <w:kinsoku/>
        <w:wordWrap/>
        <w:overflowPunct/>
        <w:topLinePunct w:val="0"/>
        <w:autoSpaceDE/>
        <w:autoSpaceDN/>
        <w:bidi w:val="0"/>
        <w:adjustRightInd/>
        <w:snapToGrid/>
        <w:spacing w:line="240" w:lineRule="auto"/>
        <w:textAlignment w:val="auto"/>
        <w:rPr>
          <w:color w:val="000000"/>
        </w:rPr>
      </w:pPr>
      <w:r>
        <w:rPr>
          <w:color w:val="000000"/>
        </w:rPr>
        <w:t>附表三  劳动力计划表</w:t>
      </w:r>
    </w:p>
    <w:p w14:paraId="275260C2">
      <w:pPr>
        <w:pStyle w:val="11"/>
        <w:keepNext w:val="0"/>
        <w:keepLines w:val="0"/>
        <w:pageBreakBefore w:val="0"/>
        <w:widowControl w:val="0"/>
        <w:kinsoku/>
        <w:wordWrap/>
        <w:overflowPunct/>
        <w:topLinePunct w:val="0"/>
        <w:autoSpaceDE/>
        <w:autoSpaceDN/>
        <w:bidi w:val="0"/>
        <w:adjustRightInd/>
        <w:snapToGrid/>
        <w:spacing w:line="240" w:lineRule="auto"/>
        <w:textAlignment w:val="auto"/>
        <w:rPr>
          <w:color w:val="000000"/>
        </w:rPr>
      </w:pPr>
      <w:r>
        <w:rPr>
          <w:color w:val="000000"/>
        </w:rPr>
        <w:t>附表四  计划开、竣工日期和施工进度网络图</w:t>
      </w:r>
    </w:p>
    <w:p w14:paraId="06AAD7D6">
      <w:pPr>
        <w:pStyle w:val="11"/>
        <w:keepNext w:val="0"/>
        <w:keepLines w:val="0"/>
        <w:pageBreakBefore w:val="0"/>
        <w:widowControl w:val="0"/>
        <w:kinsoku/>
        <w:wordWrap/>
        <w:overflowPunct/>
        <w:topLinePunct w:val="0"/>
        <w:autoSpaceDE/>
        <w:autoSpaceDN/>
        <w:bidi w:val="0"/>
        <w:adjustRightInd/>
        <w:snapToGrid/>
        <w:spacing w:line="240" w:lineRule="auto"/>
        <w:textAlignment w:val="auto"/>
        <w:rPr>
          <w:rFonts w:ascii="宋体" w:hAnsi="宋体"/>
          <w:color w:val="000000"/>
          <w:szCs w:val="21"/>
        </w:rPr>
      </w:pPr>
      <w:r>
        <w:rPr>
          <w:color w:val="000000"/>
        </w:rPr>
        <w:t>附表五  临时用地表</w:t>
      </w:r>
    </w:p>
    <w:p w14:paraId="36E8AD8A">
      <w:pPr>
        <w:pStyle w:val="40"/>
        <w:outlineLvl w:val="0"/>
      </w:pPr>
      <w:r>
        <w:t>附表一：拟投入本工程的主要施工设备表</w:t>
      </w:r>
    </w:p>
    <w:tbl>
      <w:tblPr>
        <w:tblStyle w:val="22"/>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8"/>
        <w:gridCol w:w="1165"/>
        <w:gridCol w:w="807"/>
        <w:gridCol w:w="672"/>
        <w:gridCol w:w="672"/>
        <w:gridCol w:w="807"/>
        <w:gridCol w:w="1077"/>
        <w:gridCol w:w="942"/>
        <w:gridCol w:w="1078"/>
        <w:gridCol w:w="943"/>
      </w:tblGrid>
      <w:tr w14:paraId="5C3625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jc w:val="center"/>
        </w:trPr>
        <w:tc>
          <w:tcPr>
            <w:tcW w:w="404" w:type="pct"/>
            <w:noWrap w:val="0"/>
            <w:vAlign w:val="center"/>
          </w:tcPr>
          <w:p w14:paraId="4EA6A9E8">
            <w:pPr>
              <w:spacing w:line="360" w:lineRule="auto"/>
              <w:jc w:val="center"/>
              <w:rPr>
                <w:rFonts w:ascii="宋体" w:hAnsi="宋体"/>
                <w:color w:val="000000"/>
                <w:szCs w:val="21"/>
              </w:rPr>
            </w:pPr>
            <w:r>
              <w:rPr>
                <w:rFonts w:ascii="宋体" w:hAnsi="宋体"/>
                <w:color w:val="000000"/>
                <w:szCs w:val="21"/>
              </w:rPr>
              <w:t>序号</w:t>
            </w:r>
          </w:p>
        </w:tc>
        <w:tc>
          <w:tcPr>
            <w:tcW w:w="655" w:type="pct"/>
            <w:noWrap w:val="0"/>
            <w:vAlign w:val="center"/>
          </w:tcPr>
          <w:p w14:paraId="4B132F1B">
            <w:pPr>
              <w:spacing w:line="360" w:lineRule="auto"/>
              <w:jc w:val="center"/>
              <w:rPr>
                <w:rFonts w:ascii="宋体" w:hAnsi="宋体"/>
                <w:color w:val="000000"/>
                <w:szCs w:val="21"/>
              </w:rPr>
            </w:pPr>
            <w:r>
              <w:rPr>
                <w:rFonts w:ascii="宋体" w:hAnsi="宋体"/>
                <w:color w:val="000000"/>
                <w:szCs w:val="21"/>
              </w:rPr>
              <w:t>设备名称</w:t>
            </w:r>
          </w:p>
        </w:tc>
        <w:tc>
          <w:tcPr>
            <w:tcW w:w="454" w:type="pct"/>
            <w:noWrap w:val="0"/>
            <w:vAlign w:val="center"/>
          </w:tcPr>
          <w:p w14:paraId="693A721A">
            <w:pPr>
              <w:spacing w:line="360" w:lineRule="auto"/>
              <w:jc w:val="center"/>
              <w:rPr>
                <w:rFonts w:ascii="宋体" w:hAnsi="宋体"/>
                <w:color w:val="000000"/>
                <w:szCs w:val="21"/>
              </w:rPr>
            </w:pPr>
            <w:r>
              <w:rPr>
                <w:rFonts w:ascii="宋体" w:hAnsi="宋体"/>
                <w:color w:val="000000"/>
                <w:szCs w:val="21"/>
              </w:rPr>
              <w:t>型号</w:t>
            </w:r>
          </w:p>
          <w:p w14:paraId="7B798CB6">
            <w:pPr>
              <w:spacing w:line="360" w:lineRule="auto"/>
              <w:jc w:val="center"/>
              <w:rPr>
                <w:rFonts w:ascii="宋体" w:hAnsi="宋体"/>
                <w:color w:val="000000"/>
                <w:szCs w:val="21"/>
              </w:rPr>
            </w:pPr>
            <w:r>
              <w:rPr>
                <w:rFonts w:ascii="宋体" w:hAnsi="宋体"/>
                <w:color w:val="000000"/>
                <w:szCs w:val="21"/>
              </w:rPr>
              <w:t>规格</w:t>
            </w:r>
          </w:p>
        </w:tc>
        <w:tc>
          <w:tcPr>
            <w:tcW w:w="378" w:type="pct"/>
            <w:noWrap w:val="0"/>
            <w:vAlign w:val="center"/>
          </w:tcPr>
          <w:p w14:paraId="571B19F0">
            <w:pPr>
              <w:spacing w:line="360" w:lineRule="auto"/>
              <w:jc w:val="center"/>
              <w:rPr>
                <w:rFonts w:ascii="宋体" w:hAnsi="宋体"/>
                <w:color w:val="000000"/>
                <w:szCs w:val="21"/>
              </w:rPr>
            </w:pPr>
            <w:r>
              <w:rPr>
                <w:rFonts w:ascii="宋体" w:hAnsi="宋体"/>
                <w:color w:val="000000"/>
                <w:szCs w:val="21"/>
              </w:rPr>
              <w:t>数量</w:t>
            </w:r>
          </w:p>
        </w:tc>
        <w:tc>
          <w:tcPr>
            <w:tcW w:w="378" w:type="pct"/>
            <w:noWrap w:val="0"/>
            <w:vAlign w:val="center"/>
          </w:tcPr>
          <w:p w14:paraId="11ED56A3">
            <w:pPr>
              <w:spacing w:line="360" w:lineRule="auto"/>
              <w:jc w:val="center"/>
              <w:rPr>
                <w:rFonts w:ascii="宋体" w:hAnsi="宋体"/>
                <w:color w:val="000000"/>
                <w:szCs w:val="21"/>
              </w:rPr>
            </w:pPr>
            <w:r>
              <w:rPr>
                <w:rFonts w:ascii="宋体" w:hAnsi="宋体"/>
                <w:color w:val="000000"/>
                <w:szCs w:val="21"/>
              </w:rPr>
              <w:t>国别</w:t>
            </w:r>
          </w:p>
          <w:p w14:paraId="3CC88932">
            <w:pPr>
              <w:spacing w:line="360" w:lineRule="auto"/>
              <w:jc w:val="center"/>
              <w:rPr>
                <w:rFonts w:ascii="宋体" w:hAnsi="宋体"/>
                <w:color w:val="000000"/>
                <w:szCs w:val="21"/>
              </w:rPr>
            </w:pPr>
            <w:r>
              <w:rPr>
                <w:rFonts w:ascii="宋体" w:hAnsi="宋体"/>
                <w:color w:val="000000"/>
                <w:szCs w:val="21"/>
              </w:rPr>
              <w:t>产地</w:t>
            </w:r>
          </w:p>
        </w:tc>
        <w:tc>
          <w:tcPr>
            <w:tcW w:w="454" w:type="pct"/>
            <w:noWrap w:val="0"/>
            <w:vAlign w:val="center"/>
          </w:tcPr>
          <w:p w14:paraId="17B6CD13">
            <w:pPr>
              <w:spacing w:line="360" w:lineRule="auto"/>
              <w:jc w:val="center"/>
              <w:rPr>
                <w:rFonts w:ascii="宋体" w:hAnsi="宋体"/>
                <w:color w:val="000000"/>
                <w:szCs w:val="21"/>
              </w:rPr>
            </w:pPr>
            <w:r>
              <w:rPr>
                <w:rFonts w:ascii="宋体" w:hAnsi="宋体"/>
                <w:color w:val="000000"/>
                <w:szCs w:val="21"/>
              </w:rPr>
              <w:t>制造</w:t>
            </w:r>
          </w:p>
          <w:p w14:paraId="3A306613">
            <w:pPr>
              <w:spacing w:line="360" w:lineRule="auto"/>
              <w:jc w:val="center"/>
              <w:rPr>
                <w:rFonts w:ascii="宋体" w:hAnsi="宋体"/>
                <w:color w:val="000000"/>
                <w:szCs w:val="21"/>
              </w:rPr>
            </w:pPr>
            <w:r>
              <w:rPr>
                <w:rFonts w:ascii="宋体" w:hAnsi="宋体"/>
                <w:color w:val="000000"/>
                <w:szCs w:val="21"/>
              </w:rPr>
              <w:t>年份</w:t>
            </w:r>
          </w:p>
        </w:tc>
        <w:tc>
          <w:tcPr>
            <w:tcW w:w="606" w:type="pct"/>
            <w:noWrap w:val="0"/>
            <w:vAlign w:val="center"/>
          </w:tcPr>
          <w:p w14:paraId="340F54D7">
            <w:pPr>
              <w:spacing w:line="360" w:lineRule="auto"/>
              <w:jc w:val="center"/>
              <w:rPr>
                <w:rFonts w:ascii="宋体" w:hAnsi="宋体"/>
                <w:color w:val="000000"/>
                <w:szCs w:val="21"/>
              </w:rPr>
            </w:pPr>
            <w:r>
              <w:rPr>
                <w:rFonts w:ascii="宋体" w:hAnsi="宋体"/>
                <w:color w:val="000000"/>
                <w:szCs w:val="21"/>
              </w:rPr>
              <w:t>额定功率</w:t>
            </w:r>
          </w:p>
          <w:p w14:paraId="1D82BD0C">
            <w:pPr>
              <w:spacing w:line="360" w:lineRule="auto"/>
              <w:jc w:val="center"/>
              <w:rPr>
                <w:rFonts w:ascii="宋体" w:hAnsi="宋体"/>
                <w:color w:val="000000"/>
                <w:szCs w:val="21"/>
              </w:rPr>
            </w:pPr>
            <w:r>
              <w:rPr>
                <w:rFonts w:ascii="宋体" w:hAnsi="宋体"/>
                <w:color w:val="000000"/>
                <w:szCs w:val="21"/>
              </w:rPr>
              <w:t>（KW）</w:t>
            </w:r>
          </w:p>
        </w:tc>
        <w:tc>
          <w:tcPr>
            <w:tcW w:w="530" w:type="pct"/>
            <w:noWrap w:val="0"/>
            <w:vAlign w:val="center"/>
          </w:tcPr>
          <w:p w14:paraId="5AEFFA34">
            <w:pPr>
              <w:spacing w:line="360" w:lineRule="auto"/>
              <w:jc w:val="center"/>
              <w:rPr>
                <w:rFonts w:ascii="宋体" w:hAnsi="宋体"/>
                <w:color w:val="000000"/>
                <w:szCs w:val="21"/>
              </w:rPr>
            </w:pPr>
            <w:r>
              <w:rPr>
                <w:rFonts w:ascii="宋体" w:hAnsi="宋体"/>
                <w:color w:val="000000"/>
                <w:szCs w:val="21"/>
              </w:rPr>
              <w:t>生产</w:t>
            </w:r>
          </w:p>
          <w:p w14:paraId="7FC6AB05">
            <w:pPr>
              <w:spacing w:line="360" w:lineRule="auto"/>
              <w:jc w:val="center"/>
              <w:rPr>
                <w:rFonts w:ascii="宋体" w:hAnsi="宋体"/>
                <w:color w:val="000000"/>
                <w:szCs w:val="21"/>
              </w:rPr>
            </w:pPr>
            <w:r>
              <w:rPr>
                <w:rFonts w:ascii="宋体" w:hAnsi="宋体"/>
                <w:color w:val="000000"/>
                <w:szCs w:val="21"/>
              </w:rPr>
              <w:t>能力</w:t>
            </w:r>
          </w:p>
        </w:tc>
        <w:tc>
          <w:tcPr>
            <w:tcW w:w="606" w:type="pct"/>
            <w:noWrap w:val="0"/>
            <w:vAlign w:val="center"/>
          </w:tcPr>
          <w:p w14:paraId="18AC45C2">
            <w:pPr>
              <w:spacing w:line="360" w:lineRule="auto"/>
              <w:jc w:val="center"/>
              <w:rPr>
                <w:rFonts w:ascii="宋体" w:hAnsi="宋体"/>
                <w:color w:val="000000"/>
                <w:szCs w:val="21"/>
              </w:rPr>
            </w:pPr>
            <w:r>
              <w:rPr>
                <w:rFonts w:ascii="宋体" w:hAnsi="宋体"/>
                <w:color w:val="000000"/>
                <w:szCs w:val="21"/>
              </w:rPr>
              <w:t>用于施</w:t>
            </w:r>
          </w:p>
          <w:p w14:paraId="2EB9890A">
            <w:pPr>
              <w:spacing w:line="360" w:lineRule="auto"/>
              <w:jc w:val="center"/>
              <w:rPr>
                <w:rFonts w:ascii="宋体" w:hAnsi="宋体"/>
                <w:color w:val="000000"/>
                <w:szCs w:val="21"/>
              </w:rPr>
            </w:pPr>
            <w:r>
              <w:rPr>
                <w:rFonts w:ascii="宋体" w:hAnsi="宋体"/>
                <w:color w:val="000000"/>
                <w:szCs w:val="21"/>
              </w:rPr>
              <w:t>工部位</w:t>
            </w:r>
          </w:p>
        </w:tc>
        <w:tc>
          <w:tcPr>
            <w:tcW w:w="530" w:type="pct"/>
            <w:noWrap w:val="0"/>
            <w:vAlign w:val="center"/>
          </w:tcPr>
          <w:p w14:paraId="77FCCF12">
            <w:pPr>
              <w:spacing w:line="360" w:lineRule="auto"/>
              <w:jc w:val="center"/>
              <w:rPr>
                <w:rFonts w:ascii="宋体" w:hAnsi="宋体"/>
                <w:color w:val="000000"/>
                <w:szCs w:val="21"/>
              </w:rPr>
            </w:pPr>
            <w:r>
              <w:rPr>
                <w:rFonts w:ascii="宋体" w:hAnsi="宋体"/>
                <w:color w:val="000000"/>
                <w:szCs w:val="21"/>
              </w:rPr>
              <w:t>备注</w:t>
            </w:r>
          </w:p>
        </w:tc>
      </w:tr>
      <w:tr w14:paraId="727DB0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04" w:type="pct"/>
            <w:noWrap w:val="0"/>
            <w:vAlign w:val="top"/>
          </w:tcPr>
          <w:p w14:paraId="2EEB7E2F">
            <w:pPr>
              <w:spacing w:line="360" w:lineRule="auto"/>
              <w:rPr>
                <w:rFonts w:ascii="宋体" w:hAnsi="宋体"/>
                <w:color w:val="000000"/>
                <w:szCs w:val="21"/>
              </w:rPr>
            </w:pPr>
          </w:p>
        </w:tc>
        <w:tc>
          <w:tcPr>
            <w:tcW w:w="655" w:type="pct"/>
            <w:noWrap w:val="0"/>
            <w:vAlign w:val="top"/>
          </w:tcPr>
          <w:p w14:paraId="6FAF569F">
            <w:pPr>
              <w:spacing w:line="360" w:lineRule="auto"/>
              <w:ind w:firstLine="420" w:firstLineChars="200"/>
              <w:rPr>
                <w:rFonts w:ascii="宋体" w:hAnsi="宋体"/>
                <w:color w:val="000000"/>
                <w:szCs w:val="21"/>
              </w:rPr>
            </w:pPr>
          </w:p>
        </w:tc>
        <w:tc>
          <w:tcPr>
            <w:tcW w:w="454" w:type="pct"/>
            <w:noWrap w:val="0"/>
            <w:vAlign w:val="top"/>
          </w:tcPr>
          <w:p w14:paraId="13D7B33F">
            <w:pPr>
              <w:spacing w:line="360" w:lineRule="auto"/>
              <w:rPr>
                <w:rFonts w:ascii="宋体" w:hAnsi="宋体"/>
                <w:color w:val="000000"/>
                <w:szCs w:val="21"/>
              </w:rPr>
            </w:pPr>
          </w:p>
        </w:tc>
        <w:tc>
          <w:tcPr>
            <w:tcW w:w="378" w:type="pct"/>
            <w:noWrap w:val="0"/>
            <w:vAlign w:val="top"/>
          </w:tcPr>
          <w:p w14:paraId="338FD442">
            <w:pPr>
              <w:spacing w:line="360" w:lineRule="auto"/>
              <w:rPr>
                <w:rFonts w:ascii="宋体" w:hAnsi="宋体"/>
                <w:color w:val="000000"/>
                <w:szCs w:val="21"/>
              </w:rPr>
            </w:pPr>
          </w:p>
        </w:tc>
        <w:tc>
          <w:tcPr>
            <w:tcW w:w="378" w:type="pct"/>
            <w:noWrap w:val="0"/>
            <w:vAlign w:val="top"/>
          </w:tcPr>
          <w:p w14:paraId="319BB4AA">
            <w:pPr>
              <w:spacing w:line="360" w:lineRule="auto"/>
              <w:rPr>
                <w:rFonts w:ascii="宋体" w:hAnsi="宋体"/>
                <w:color w:val="000000"/>
                <w:szCs w:val="21"/>
              </w:rPr>
            </w:pPr>
          </w:p>
        </w:tc>
        <w:tc>
          <w:tcPr>
            <w:tcW w:w="454" w:type="pct"/>
            <w:noWrap w:val="0"/>
            <w:vAlign w:val="top"/>
          </w:tcPr>
          <w:p w14:paraId="67C51D34">
            <w:pPr>
              <w:spacing w:line="360" w:lineRule="auto"/>
              <w:rPr>
                <w:rFonts w:ascii="宋体" w:hAnsi="宋体"/>
                <w:color w:val="000000"/>
                <w:szCs w:val="21"/>
              </w:rPr>
            </w:pPr>
          </w:p>
        </w:tc>
        <w:tc>
          <w:tcPr>
            <w:tcW w:w="606" w:type="pct"/>
            <w:noWrap w:val="0"/>
            <w:vAlign w:val="top"/>
          </w:tcPr>
          <w:p w14:paraId="3D1DC047">
            <w:pPr>
              <w:spacing w:line="360" w:lineRule="auto"/>
              <w:rPr>
                <w:rFonts w:ascii="宋体" w:hAnsi="宋体"/>
                <w:color w:val="000000"/>
                <w:szCs w:val="21"/>
              </w:rPr>
            </w:pPr>
          </w:p>
        </w:tc>
        <w:tc>
          <w:tcPr>
            <w:tcW w:w="530" w:type="pct"/>
            <w:noWrap w:val="0"/>
            <w:vAlign w:val="top"/>
          </w:tcPr>
          <w:p w14:paraId="32F22FB3">
            <w:pPr>
              <w:spacing w:line="360" w:lineRule="auto"/>
              <w:rPr>
                <w:rFonts w:ascii="宋体" w:hAnsi="宋体"/>
                <w:color w:val="000000"/>
                <w:szCs w:val="21"/>
              </w:rPr>
            </w:pPr>
          </w:p>
        </w:tc>
        <w:tc>
          <w:tcPr>
            <w:tcW w:w="606" w:type="pct"/>
            <w:noWrap w:val="0"/>
            <w:vAlign w:val="top"/>
          </w:tcPr>
          <w:p w14:paraId="3684839D">
            <w:pPr>
              <w:spacing w:line="360" w:lineRule="auto"/>
              <w:rPr>
                <w:rFonts w:ascii="宋体" w:hAnsi="宋体"/>
                <w:color w:val="000000"/>
                <w:szCs w:val="21"/>
              </w:rPr>
            </w:pPr>
          </w:p>
        </w:tc>
        <w:tc>
          <w:tcPr>
            <w:tcW w:w="530" w:type="pct"/>
            <w:noWrap w:val="0"/>
            <w:vAlign w:val="top"/>
          </w:tcPr>
          <w:p w14:paraId="0C3840CD">
            <w:pPr>
              <w:spacing w:line="360" w:lineRule="auto"/>
              <w:rPr>
                <w:rFonts w:ascii="宋体" w:hAnsi="宋体"/>
                <w:color w:val="000000"/>
                <w:szCs w:val="21"/>
              </w:rPr>
            </w:pPr>
          </w:p>
        </w:tc>
      </w:tr>
      <w:tr w14:paraId="03B90E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04" w:type="pct"/>
            <w:noWrap w:val="0"/>
            <w:vAlign w:val="top"/>
          </w:tcPr>
          <w:p w14:paraId="3EB79408">
            <w:pPr>
              <w:spacing w:line="360" w:lineRule="auto"/>
              <w:rPr>
                <w:rFonts w:ascii="宋体" w:hAnsi="宋体"/>
                <w:color w:val="000000"/>
                <w:szCs w:val="21"/>
              </w:rPr>
            </w:pPr>
          </w:p>
        </w:tc>
        <w:tc>
          <w:tcPr>
            <w:tcW w:w="655" w:type="pct"/>
            <w:noWrap w:val="0"/>
            <w:vAlign w:val="top"/>
          </w:tcPr>
          <w:p w14:paraId="663169DD">
            <w:pPr>
              <w:spacing w:line="360" w:lineRule="auto"/>
              <w:rPr>
                <w:rFonts w:ascii="宋体" w:hAnsi="宋体"/>
                <w:color w:val="000000"/>
                <w:szCs w:val="21"/>
              </w:rPr>
            </w:pPr>
          </w:p>
        </w:tc>
        <w:tc>
          <w:tcPr>
            <w:tcW w:w="454" w:type="pct"/>
            <w:noWrap w:val="0"/>
            <w:vAlign w:val="top"/>
          </w:tcPr>
          <w:p w14:paraId="2F4F784C">
            <w:pPr>
              <w:spacing w:line="360" w:lineRule="auto"/>
              <w:rPr>
                <w:rFonts w:ascii="宋体" w:hAnsi="宋体"/>
                <w:color w:val="000000"/>
                <w:szCs w:val="21"/>
              </w:rPr>
            </w:pPr>
          </w:p>
        </w:tc>
        <w:tc>
          <w:tcPr>
            <w:tcW w:w="378" w:type="pct"/>
            <w:noWrap w:val="0"/>
            <w:vAlign w:val="top"/>
          </w:tcPr>
          <w:p w14:paraId="1D832459">
            <w:pPr>
              <w:spacing w:line="360" w:lineRule="auto"/>
              <w:rPr>
                <w:rFonts w:ascii="宋体" w:hAnsi="宋体"/>
                <w:color w:val="000000"/>
                <w:szCs w:val="21"/>
              </w:rPr>
            </w:pPr>
          </w:p>
        </w:tc>
        <w:tc>
          <w:tcPr>
            <w:tcW w:w="378" w:type="pct"/>
            <w:noWrap w:val="0"/>
            <w:vAlign w:val="top"/>
          </w:tcPr>
          <w:p w14:paraId="0073E153">
            <w:pPr>
              <w:spacing w:line="360" w:lineRule="auto"/>
              <w:rPr>
                <w:rFonts w:ascii="宋体" w:hAnsi="宋体"/>
                <w:color w:val="000000"/>
                <w:szCs w:val="21"/>
              </w:rPr>
            </w:pPr>
          </w:p>
        </w:tc>
        <w:tc>
          <w:tcPr>
            <w:tcW w:w="454" w:type="pct"/>
            <w:noWrap w:val="0"/>
            <w:vAlign w:val="top"/>
          </w:tcPr>
          <w:p w14:paraId="1A8A9B6B">
            <w:pPr>
              <w:spacing w:line="360" w:lineRule="auto"/>
              <w:rPr>
                <w:rFonts w:ascii="宋体" w:hAnsi="宋体"/>
                <w:color w:val="000000"/>
                <w:szCs w:val="21"/>
              </w:rPr>
            </w:pPr>
          </w:p>
        </w:tc>
        <w:tc>
          <w:tcPr>
            <w:tcW w:w="606" w:type="pct"/>
            <w:noWrap w:val="0"/>
            <w:vAlign w:val="top"/>
          </w:tcPr>
          <w:p w14:paraId="7CAB8D84">
            <w:pPr>
              <w:spacing w:line="360" w:lineRule="auto"/>
              <w:rPr>
                <w:rFonts w:ascii="宋体" w:hAnsi="宋体"/>
                <w:color w:val="000000"/>
                <w:szCs w:val="21"/>
              </w:rPr>
            </w:pPr>
          </w:p>
        </w:tc>
        <w:tc>
          <w:tcPr>
            <w:tcW w:w="530" w:type="pct"/>
            <w:noWrap w:val="0"/>
            <w:vAlign w:val="top"/>
          </w:tcPr>
          <w:p w14:paraId="4677C2D8">
            <w:pPr>
              <w:spacing w:line="360" w:lineRule="auto"/>
              <w:rPr>
                <w:rFonts w:ascii="宋体" w:hAnsi="宋体"/>
                <w:color w:val="000000"/>
                <w:szCs w:val="21"/>
              </w:rPr>
            </w:pPr>
          </w:p>
        </w:tc>
        <w:tc>
          <w:tcPr>
            <w:tcW w:w="606" w:type="pct"/>
            <w:noWrap w:val="0"/>
            <w:vAlign w:val="top"/>
          </w:tcPr>
          <w:p w14:paraId="39146878">
            <w:pPr>
              <w:spacing w:line="360" w:lineRule="auto"/>
              <w:rPr>
                <w:rFonts w:ascii="宋体" w:hAnsi="宋体"/>
                <w:color w:val="000000"/>
                <w:szCs w:val="21"/>
              </w:rPr>
            </w:pPr>
          </w:p>
        </w:tc>
        <w:tc>
          <w:tcPr>
            <w:tcW w:w="530" w:type="pct"/>
            <w:noWrap w:val="0"/>
            <w:vAlign w:val="top"/>
          </w:tcPr>
          <w:p w14:paraId="4464997D">
            <w:pPr>
              <w:spacing w:line="360" w:lineRule="auto"/>
              <w:rPr>
                <w:rFonts w:ascii="宋体" w:hAnsi="宋体"/>
                <w:color w:val="000000"/>
                <w:szCs w:val="21"/>
              </w:rPr>
            </w:pPr>
          </w:p>
        </w:tc>
      </w:tr>
      <w:tr w14:paraId="6E44B5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04" w:type="pct"/>
            <w:noWrap w:val="0"/>
            <w:vAlign w:val="top"/>
          </w:tcPr>
          <w:p w14:paraId="16BE0094">
            <w:pPr>
              <w:spacing w:line="360" w:lineRule="auto"/>
              <w:rPr>
                <w:rFonts w:ascii="宋体" w:hAnsi="宋体"/>
                <w:color w:val="000000"/>
                <w:szCs w:val="21"/>
              </w:rPr>
            </w:pPr>
          </w:p>
        </w:tc>
        <w:tc>
          <w:tcPr>
            <w:tcW w:w="655" w:type="pct"/>
            <w:noWrap w:val="0"/>
            <w:vAlign w:val="top"/>
          </w:tcPr>
          <w:p w14:paraId="0A444C9B">
            <w:pPr>
              <w:spacing w:line="360" w:lineRule="auto"/>
              <w:rPr>
                <w:rFonts w:ascii="宋体" w:hAnsi="宋体"/>
                <w:color w:val="000000"/>
                <w:szCs w:val="21"/>
              </w:rPr>
            </w:pPr>
          </w:p>
        </w:tc>
        <w:tc>
          <w:tcPr>
            <w:tcW w:w="454" w:type="pct"/>
            <w:noWrap w:val="0"/>
            <w:vAlign w:val="top"/>
          </w:tcPr>
          <w:p w14:paraId="2FD42CDF">
            <w:pPr>
              <w:spacing w:line="360" w:lineRule="auto"/>
              <w:rPr>
                <w:rFonts w:ascii="宋体" w:hAnsi="宋体"/>
                <w:color w:val="000000"/>
                <w:szCs w:val="21"/>
              </w:rPr>
            </w:pPr>
          </w:p>
        </w:tc>
        <w:tc>
          <w:tcPr>
            <w:tcW w:w="378" w:type="pct"/>
            <w:noWrap w:val="0"/>
            <w:vAlign w:val="top"/>
          </w:tcPr>
          <w:p w14:paraId="11518358">
            <w:pPr>
              <w:spacing w:line="360" w:lineRule="auto"/>
              <w:rPr>
                <w:rFonts w:ascii="宋体" w:hAnsi="宋体"/>
                <w:color w:val="000000"/>
                <w:szCs w:val="21"/>
              </w:rPr>
            </w:pPr>
          </w:p>
        </w:tc>
        <w:tc>
          <w:tcPr>
            <w:tcW w:w="378" w:type="pct"/>
            <w:noWrap w:val="0"/>
            <w:vAlign w:val="top"/>
          </w:tcPr>
          <w:p w14:paraId="42DB4B01">
            <w:pPr>
              <w:spacing w:line="360" w:lineRule="auto"/>
              <w:rPr>
                <w:rFonts w:ascii="宋体" w:hAnsi="宋体"/>
                <w:color w:val="000000"/>
                <w:szCs w:val="21"/>
              </w:rPr>
            </w:pPr>
          </w:p>
        </w:tc>
        <w:tc>
          <w:tcPr>
            <w:tcW w:w="454" w:type="pct"/>
            <w:noWrap w:val="0"/>
            <w:vAlign w:val="top"/>
          </w:tcPr>
          <w:p w14:paraId="76C36FE6">
            <w:pPr>
              <w:spacing w:line="360" w:lineRule="auto"/>
              <w:rPr>
                <w:rFonts w:ascii="宋体" w:hAnsi="宋体"/>
                <w:color w:val="000000"/>
                <w:szCs w:val="21"/>
              </w:rPr>
            </w:pPr>
          </w:p>
        </w:tc>
        <w:tc>
          <w:tcPr>
            <w:tcW w:w="606" w:type="pct"/>
            <w:noWrap w:val="0"/>
            <w:vAlign w:val="top"/>
          </w:tcPr>
          <w:p w14:paraId="72235936">
            <w:pPr>
              <w:spacing w:line="360" w:lineRule="auto"/>
              <w:rPr>
                <w:rFonts w:ascii="宋体" w:hAnsi="宋体"/>
                <w:color w:val="000000"/>
                <w:szCs w:val="21"/>
              </w:rPr>
            </w:pPr>
          </w:p>
        </w:tc>
        <w:tc>
          <w:tcPr>
            <w:tcW w:w="530" w:type="pct"/>
            <w:noWrap w:val="0"/>
            <w:vAlign w:val="top"/>
          </w:tcPr>
          <w:p w14:paraId="6543A0AC">
            <w:pPr>
              <w:spacing w:line="360" w:lineRule="auto"/>
              <w:rPr>
                <w:rFonts w:ascii="宋体" w:hAnsi="宋体"/>
                <w:color w:val="000000"/>
                <w:szCs w:val="21"/>
              </w:rPr>
            </w:pPr>
          </w:p>
        </w:tc>
        <w:tc>
          <w:tcPr>
            <w:tcW w:w="606" w:type="pct"/>
            <w:noWrap w:val="0"/>
            <w:vAlign w:val="top"/>
          </w:tcPr>
          <w:p w14:paraId="489FB7DC">
            <w:pPr>
              <w:spacing w:line="360" w:lineRule="auto"/>
              <w:rPr>
                <w:rFonts w:ascii="宋体" w:hAnsi="宋体"/>
                <w:color w:val="000000"/>
                <w:szCs w:val="21"/>
              </w:rPr>
            </w:pPr>
          </w:p>
        </w:tc>
        <w:tc>
          <w:tcPr>
            <w:tcW w:w="530" w:type="pct"/>
            <w:noWrap w:val="0"/>
            <w:vAlign w:val="top"/>
          </w:tcPr>
          <w:p w14:paraId="5ED20606">
            <w:pPr>
              <w:spacing w:line="360" w:lineRule="auto"/>
              <w:rPr>
                <w:rFonts w:ascii="宋体" w:hAnsi="宋体"/>
                <w:color w:val="000000"/>
                <w:szCs w:val="21"/>
              </w:rPr>
            </w:pPr>
          </w:p>
        </w:tc>
      </w:tr>
      <w:tr w14:paraId="41C696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04" w:type="pct"/>
            <w:noWrap w:val="0"/>
            <w:vAlign w:val="top"/>
          </w:tcPr>
          <w:p w14:paraId="30EF524D">
            <w:pPr>
              <w:spacing w:line="360" w:lineRule="auto"/>
              <w:rPr>
                <w:rFonts w:ascii="宋体" w:hAnsi="宋体"/>
                <w:color w:val="000000"/>
                <w:szCs w:val="21"/>
              </w:rPr>
            </w:pPr>
          </w:p>
        </w:tc>
        <w:tc>
          <w:tcPr>
            <w:tcW w:w="655" w:type="pct"/>
            <w:noWrap w:val="0"/>
            <w:vAlign w:val="top"/>
          </w:tcPr>
          <w:p w14:paraId="7A5FFDF7">
            <w:pPr>
              <w:spacing w:line="360" w:lineRule="auto"/>
              <w:rPr>
                <w:rFonts w:ascii="宋体" w:hAnsi="宋体"/>
                <w:color w:val="000000"/>
                <w:szCs w:val="21"/>
              </w:rPr>
            </w:pPr>
          </w:p>
        </w:tc>
        <w:tc>
          <w:tcPr>
            <w:tcW w:w="454" w:type="pct"/>
            <w:noWrap w:val="0"/>
            <w:vAlign w:val="top"/>
          </w:tcPr>
          <w:p w14:paraId="0120EA22">
            <w:pPr>
              <w:spacing w:line="360" w:lineRule="auto"/>
              <w:rPr>
                <w:rFonts w:ascii="宋体" w:hAnsi="宋体"/>
                <w:color w:val="000000"/>
                <w:szCs w:val="21"/>
              </w:rPr>
            </w:pPr>
          </w:p>
        </w:tc>
        <w:tc>
          <w:tcPr>
            <w:tcW w:w="378" w:type="pct"/>
            <w:noWrap w:val="0"/>
            <w:vAlign w:val="top"/>
          </w:tcPr>
          <w:p w14:paraId="5B745305">
            <w:pPr>
              <w:spacing w:line="360" w:lineRule="auto"/>
              <w:rPr>
                <w:rFonts w:ascii="宋体" w:hAnsi="宋体"/>
                <w:color w:val="000000"/>
                <w:szCs w:val="21"/>
              </w:rPr>
            </w:pPr>
          </w:p>
        </w:tc>
        <w:tc>
          <w:tcPr>
            <w:tcW w:w="378" w:type="pct"/>
            <w:noWrap w:val="0"/>
            <w:vAlign w:val="top"/>
          </w:tcPr>
          <w:p w14:paraId="28494321">
            <w:pPr>
              <w:spacing w:line="360" w:lineRule="auto"/>
              <w:rPr>
                <w:rFonts w:ascii="宋体" w:hAnsi="宋体"/>
                <w:color w:val="000000"/>
                <w:szCs w:val="21"/>
              </w:rPr>
            </w:pPr>
          </w:p>
        </w:tc>
        <w:tc>
          <w:tcPr>
            <w:tcW w:w="454" w:type="pct"/>
            <w:noWrap w:val="0"/>
            <w:vAlign w:val="top"/>
          </w:tcPr>
          <w:p w14:paraId="27BEC911">
            <w:pPr>
              <w:spacing w:line="360" w:lineRule="auto"/>
              <w:rPr>
                <w:rFonts w:ascii="宋体" w:hAnsi="宋体"/>
                <w:color w:val="000000"/>
                <w:szCs w:val="21"/>
              </w:rPr>
            </w:pPr>
          </w:p>
        </w:tc>
        <w:tc>
          <w:tcPr>
            <w:tcW w:w="606" w:type="pct"/>
            <w:noWrap w:val="0"/>
            <w:vAlign w:val="top"/>
          </w:tcPr>
          <w:p w14:paraId="67EC5BD3">
            <w:pPr>
              <w:spacing w:line="360" w:lineRule="auto"/>
              <w:rPr>
                <w:rFonts w:ascii="宋体" w:hAnsi="宋体"/>
                <w:color w:val="000000"/>
                <w:szCs w:val="21"/>
              </w:rPr>
            </w:pPr>
          </w:p>
        </w:tc>
        <w:tc>
          <w:tcPr>
            <w:tcW w:w="530" w:type="pct"/>
            <w:noWrap w:val="0"/>
            <w:vAlign w:val="top"/>
          </w:tcPr>
          <w:p w14:paraId="4CFBD8E3">
            <w:pPr>
              <w:spacing w:line="360" w:lineRule="auto"/>
              <w:rPr>
                <w:rFonts w:ascii="宋体" w:hAnsi="宋体"/>
                <w:color w:val="000000"/>
                <w:szCs w:val="21"/>
              </w:rPr>
            </w:pPr>
          </w:p>
        </w:tc>
        <w:tc>
          <w:tcPr>
            <w:tcW w:w="606" w:type="pct"/>
            <w:noWrap w:val="0"/>
            <w:vAlign w:val="top"/>
          </w:tcPr>
          <w:p w14:paraId="27C12233">
            <w:pPr>
              <w:spacing w:line="360" w:lineRule="auto"/>
              <w:rPr>
                <w:rFonts w:ascii="宋体" w:hAnsi="宋体"/>
                <w:color w:val="000000"/>
                <w:szCs w:val="21"/>
              </w:rPr>
            </w:pPr>
          </w:p>
        </w:tc>
        <w:tc>
          <w:tcPr>
            <w:tcW w:w="530" w:type="pct"/>
            <w:noWrap w:val="0"/>
            <w:vAlign w:val="top"/>
          </w:tcPr>
          <w:p w14:paraId="1A0A495F">
            <w:pPr>
              <w:spacing w:line="360" w:lineRule="auto"/>
              <w:rPr>
                <w:rFonts w:ascii="宋体" w:hAnsi="宋体"/>
                <w:color w:val="000000"/>
                <w:szCs w:val="21"/>
              </w:rPr>
            </w:pPr>
          </w:p>
        </w:tc>
      </w:tr>
      <w:tr w14:paraId="0C6D34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04" w:type="pct"/>
            <w:noWrap w:val="0"/>
            <w:vAlign w:val="top"/>
          </w:tcPr>
          <w:p w14:paraId="130AC916">
            <w:pPr>
              <w:spacing w:line="360" w:lineRule="auto"/>
              <w:rPr>
                <w:rFonts w:ascii="宋体" w:hAnsi="宋体"/>
                <w:color w:val="000000"/>
                <w:szCs w:val="21"/>
              </w:rPr>
            </w:pPr>
          </w:p>
        </w:tc>
        <w:tc>
          <w:tcPr>
            <w:tcW w:w="655" w:type="pct"/>
            <w:noWrap w:val="0"/>
            <w:vAlign w:val="top"/>
          </w:tcPr>
          <w:p w14:paraId="094BEA20">
            <w:pPr>
              <w:spacing w:line="360" w:lineRule="auto"/>
              <w:rPr>
                <w:rFonts w:ascii="宋体" w:hAnsi="宋体"/>
                <w:color w:val="000000"/>
                <w:szCs w:val="21"/>
              </w:rPr>
            </w:pPr>
          </w:p>
        </w:tc>
        <w:tc>
          <w:tcPr>
            <w:tcW w:w="454" w:type="pct"/>
            <w:noWrap w:val="0"/>
            <w:vAlign w:val="top"/>
          </w:tcPr>
          <w:p w14:paraId="52B59EF9">
            <w:pPr>
              <w:spacing w:line="360" w:lineRule="auto"/>
              <w:rPr>
                <w:rFonts w:ascii="宋体" w:hAnsi="宋体"/>
                <w:color w:val="000000"/>
                <w:szCs w:val="21"/>
              </w:rPr>
            </w:pPr>
          </w:p>
        </w:tc>
        <w:tc>
          <w:tcPr>
            <w:tcW w:w="378" w:type="pct"/>
            <w:noWrap w:val="0"/>
            <w:vAlign w:val="top"/>
          </w:tcPr>
          <w:p w14:paraId="6A850BF2">
            <w:pPr>
              <w:spacing w:line="360" w:lineRule="auto"/>
              <w:rPr>
                <w:rFonts w:ascii="宋体" w:hAnsi="宋体"/>
                <w:color w:val="000000"/>
                <w:szCs w:val="21"/>
              </w:rPr>
            </w:pPr>
          </w:p>
        </w:tc>
        <w:tc>
          <w:tcPr>
            <w:tcW w:w="378" w:type="pct"/>
            <w:noWrap w:val="0"/>
            <w:vAlign w:val="top"/>
          </w:tcPr>
          <w:p w14:paraId="3F0AE17E">
            <w:pPr>
              <w:spacing w:line="360" w:lineRule="auto"/>
              <w:rPr>
                <w:rFonts w:ascii="宋体" w:hAnsi="宋体"/>
                <w:color w:val="000000"/>
                <w:szCs w:val="21"/>
              </w:rPr>
            </w:pPr>
          </w:p>
        </w:tc>
        <w:tc>
          <w:tcPr>
            <w:tcW w:w="454" w:type="pct"/>
            <w:noWrap w:val="0"/>
            <w:vAlign w:val="top"/>
          </w:tcPr>
          <w:p w14:paraId="55EA0708">
            <w:pPr>
              <w:spacing w:line="360" w:lineRule="auto"/>
              <w:rPr>
                <w:rFonts w:ascii="宋体" w:hAnsi="宋体"/>
                <w:color w:val="000000"/>
                <w:szCs w:val="21"/>
              </w:rPr>
            </w:pPr>
          </w:p>
        </w:tc>
        <w:tc>
          <w:tcPr>
            <w:tcW w:w="606" w:type="pct"/>
            <w:noWrap w:val="0"/>
            <w:vAlign w:val="top"/>
          </w:tcPr>
          <w:p w14:paraId="25AC284A">
            <w:pPr>
              <w:spacing w:line="360" w:lineRule="auto"/>
              <w:rPr>
                <w:rFonts w:ascii="宋体" w:hAnsi="宋体"/>
                <w:color w:val="000000"/>
                <w:szCs w:val="21"/>
              </w:rPr>
            </w:pPr>
          </w:p>
        </w:tc>
        <w:tc>
          <w:tcPr>
            <w:tcW w:w="530" w:type="pct"/>
            <w:noWrap w:val="0"/>
            <w:vAlign w:val="top"/>
          </w:tcPr>
          <w:p w14:paraId="322360FE">
            <w:pPr>
              <w:spacing w:line="360" w:lineRule="auto"/>
              <w:rPr>
                <w:rFonts w:ascii="宋体" w:hAnsi="宋体"/>
                <w:color w:val="000000"/>
                <w:szCs w:val="21"/>
              </w:rPr>
            </w:pPr>
          </w:p>
        </w:tc>
        <w:tc>
          <w:tcPr>
            <w:tcW w:w="606" w:type="pct"/>
            <w:noWrap w:val="0"/>
            <w:vAlign w:val="top"/>
          </w:tcPr>
          <w:p w14:paraId="0FBD6AF6">
            <w:pPr>
              <w:spacing w:line="360" w:lineRule="auto"/>
              <w:rPr>
                <w:rFonts w:ascii="宋体" w:hAnsi="宋体"/>
                <w:color w:val="000000"/>
                <w:szCs w:val="21"/>
              </w:rPr>
            </w:pPr>
          </w:p>
        </w:tc>
        <w:tc>
          <w:tcPr>
            <w:tcW w:w="530" w:type="pct"/>
            <w:noWrap w:val="0"/>
            <w:vAlign w:val="top"/>
          </w:tcPr>
          <w:p w14:paraId="0A47D828">
            <w:pPr>
              <w:spacing w:line="360" w:lineRule="auto"/>
              <w:rPr>
                <w:rFonts w:ascii="宋体" w:hAnsi="宋体"/>
                <w:color w:val="000000"/>
                <w:szCs w:val="21"/>
              </w:rPr>
            </w:pPr>
          </w:p>
        </w:tc>
      </w:tr>
    </w:tbl>
    <w:p w14:paraId="0E8961F9">
      <w:pPr>
        <w:pStyle w:val="40"/>
        <w:outlineLvl w:val="0"/>
      </w:pPr>
      <w:r>
        <w:t>附表二：拟配备本工程的试验和检测仪器设备表</w:t>
      </w:r>
    </w:p>
    <w:tbl>
      <w:tblPr>
        <w:tblStyle w:val="22"/>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8"/>
        <w:gridCol w:w="1164"/>
        <w:gridCol w:w="807"/>
        <w:gridCol w:w="672"/>
        <w:gridCol w:w="672"/>
        <w:gridCol w:w="1077"/>
        <w:gridCol w:w="1212"/>
        <w:gridCol w:w="1077"/>
        <w:gridCol w:w="1482"/>
      </w:tblGrid>
      <w:tr w14:paraId="1A1741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4" w:type="pct"/>
            <w:noWrap w:val="0"/>
            <w:vAlign w:val="center"/>
          </w:tcPr>
          <w:p w14:paraId="5B0D959E">
            <w:pPr>
              <w:spacing w:line="360" w:lineRule="auto"/>
              <w:jc w:val="center"/>
              <w:rPr>
                <w:rFonts w:ascii="宋体" w:hAnsi="宋体"/>
                <w:color w:val="000000"/>
                <w:szCs w:val="21"/>
              </w:rPr>
            </w:pPr>
            <w:r>
              <w:rPr>
                <w:rFonts w:ascii="宋体" w:hAnsi="宋体"/>
                <w:color w:val="000000"/>
                <w:szCs w:val="21"/>
              </w:rPr>
              <w:t>序号</w:t>
            </w:r>
          </w:p>
        </w:tc>
        <w:tc>
          <w:tcPr>
            <w:tcW w:w="655" w:type="pct"/>
            <w:noWrap w:val="0"/>
            <w:vAlign w:val="center"/>
          </w:tcPr>
          <w:p w14:paraId="77B7A888">
            <w:pPr>
              <w:spacing w:line="360" w:lineRule="auto"/>
              <w:jc w:val="center"/>
              <w:rPr>
                <w:rFonts w:ascii="宋体" w:hAnsi="宋体"/>
                <w:color w:val="000000"/>
                <w:szCs w:val="21"/>
              </w:rPr>
            </w:pPr>
            <w:r>
              <w:rPr>
                <w:rFonts w:ascii="宋体" w:hAnsi="宋体"/>
                <w:color w:val="000000"/>
                <w:szCs w:val="21"/>
              </w:rPr>
              <w:t>仪器设备名称</w:t>
            </w:r>
          </w:p>
        </w:tc>
        <w:tc>
          <w:tcPr>
            <w:tcW w:w="454" w:type="pct"/>
            <w:noWrap w:val="0"/>
            <w:vAlign w:val="center"/>
          </w:tcPr>
          <w:p w14:paraId="72DA05F9">
            <w:pPr>
              <w:spacing w:line="360" w:lineRule="auto"/>
              <w:jc w:val="center"/>
              <w:rPr>
                <w:rFonts w:ascii="宋体" w:hAnsi="宋体"/>
                <w:color w:val="000000"/>
                <w:szCs w:val="21"/>
              </w:rPr>
            </w:pPr>
            <w:r>
              <w:rPr>
                <w:rFonts w:ascii="宋体" w:hAnsi="宋体"/>
                <w:color w:val="000000"/>
                <w:szCs w:val="21"/>
              </w:rPr>
              <w:t>型号</w:t>
            </w:r>
          </w:p>
          <w:p w14:paraId="5ECFB7C8">
            <w:pPr>
              <w:spacing w:line="360" w:lineRule="auto"/>
              <w:jc w:val="center"/>
              <w:rPr>
                <w:rFonts w:ascii="宋体" w:hAnsi="宋体"/>
                <w:color w:val="000000"/>
                <w:szCs w:val="21"/>
              </w:rPr>
            </w:pPr>
            <w:r>
              <w:rPr>
                <w:rFonts w:ascii="宋体" w:hAnsi="宋体"/>
                <w:color w:val="000000"/>
                <w:szCs w:val="21"/>
              </w:rPr>
              <w:t>规格</w:t>
            </w:r>
          </w:p>
        </w:tc>
        <w:tc>
          <w:tcPr>
            <w:tcW w:w="378" w:type="pct"/>
            <w:noWrap w:val="0"/>
            <w:vAlign w:val="center"/>
          </w:tcPr>
          <w:p w14:paraId="019F9C33">
            <w:pPr>
              <w:spacing w:line="360" w:lineRule="auto"/>
              <w:jc w:val="center"/>
              <w:rPr>
                <w:rFonts w:ascii="宋体" w:hAnsi="宋体"/>
                <w:color w:val="000000"/>
                <w:szCs w:val="21"/>
              </w:rPr>
            </w:pPr>
            <w:r>
              <w:rPr>
                <w:rFonts w:ascii="宋体" w:hAnsi="宋体"/>
                <w:color w:val="000000"/>
                <w:szCs w:val="21"/>
              </w:rPr>
              <w:t>数量</w:t>
            </w:r>
          </w:p>
        </w:tc>
        <w:tc>
          <w:tcPr>
            <w:tcW w:w="378" w:type="pct"/>
            <w:noWrap w:val="0"/>
            <w:vAlign w:val="center"/>
          </w:tcPr>
          <w:p w14:paraId="170DA676">
            <w:pPr>
              <w:spacing w:line="360" w:lineRule="auto"/>
              <w:jc w:val="center"/>
              <w:rPr>
                <w:rFonts w:ascii="宋体" w:hAnsi="宋体"/>
                <w:color w:val="000000"/>
                <w:szCs w:val="21"/>
              </w:rPr>
            </w:pPr>
            <w:r>
              <w:rPr>
                <w:rFonts w:ascii="宋体" w:hAnsi="宋体"/>
                <w:color w:val="000000"/>
                <w:szCs w:val="21"/>
              </w:rPr>
              <w:t>国别</w:t>
            </w:r>
          </w:p>
          <w:p w14:paraId="307633B3">
            <w:pPr>
              <w:spacing w:line="360" w:lineRule="auto"/>
              <w:jc w:val="center"/>
              <w:rPr>
                <w:rFonts w:ascii="宋体" w:hAnsi="宋体"/>
                <w:color w:val="000000"/>
                <w:szCs w:val="21"/>
              </w:rPr>
            </w:pPr>
            <w:r>
              <w:rPr>
                <w:rFonts w:ascii="宋体" w:hAnsi="宋体"/>
                <w:color w:val="000000"/>
                <w:szCs w:val="21"/>
              </w:rPr>
              <w:t>产地</w:t>
            </w:r>
          </w:p>
        </w:tc>
        <w:tc>
          <w:tcPr>
            <w:tcW w:w="606" w:type="pct"/>
            <w:noWrap w:val="0"/>
            <w:vAlign w:val="center"/>
          </w:tcPr>
          <w:p w14:paraId="44894E85">
            <w:pPr>
              <w:spacing w:line="360" w:lineRule="auto"/>
              <w:jc w:val="center"/>
              <w:rPr>
                <w:rFonts w:ascii="宋体" w:hAnsi="宋体"/>
                <w:color w:val="000000"/>
                <w:szCs w:val="21"/>
              </w:rPr>
            </w:pPr>
            <w:r>
              <w:rPr>
                <w:rFonts w:ascii="宋体" w:hAnsi="宋体"/>
                <w:color w:val="000000"/>
                <w:szCs w:val="21"/>
              </w:rPr>
              <w:t>制造年份</w:t>
            </w:r>
          </w:p>
        </w:tc>
        <w:tc>
          <w:tcPr>
            <w:tcW w:w="682" w:type="pct"/>
            <w:noWrap w:val="0"/>
            <w:vAlign w:val="center"/>
          </w:tcPr>
          <w:p w14:paraId="7F668592">
            <w:pPr>
              <w:spacing w:line="360" w:lineRule="auto"/>
              <w:jc w:val="center"/>
              <w:rPr>
                <w:rFonts w:ascii="宋体" w:hAnsi="宋体"/>
                <w:color w:val="000000"/>
                <w:szCs w:val="21"/>
              </w:rPr>
            </w:pPr>
            <w:r>
              <w:rPr>
                <w:rFonts w:ascii="宋体" w:hAnsi="宋体"/>
                <w:color w:val="000000"/>
                <w:szCs w:val="21"/>
              </w:rPr>
              <w:t>已使用</w:t>
            </w:r>
          </w:p>
          <w:p w14:paraId="038B3203">
            <w:pPr>
              <w:spacing w:line="360" w:lineRule="auto"/>
              <w:jc w:val="center"/>
              <w:rPr>
                <w:rFonts w:ascii="宋体" w:hAnsi="宋体"/>
                <w:color w:val="000000"/>
                <w:szCs w:val="21"/>
              </w:rPr>
            </w:pPr>
            <w:r>
              <w:rPr>
                <w:rFonts w:ascii="宋体" w:hAnsi="宋体"/>
                <w:color w:val="000000"/>
                <w:szCs w:val="21"/>
              </w:rPr>
              <w:t>台时数</w:t>
            </w:r>
          </w:p>
        </w:tc>
        <w:tc>
          <w:tcPr>
            <w:tcW w:w="606" w:type="pct"/>
            <w:noWrap w:val="0"/>
            <w:vAlign w:val="center"/>
          </w:tcPr>
          <w:p w14:paraId="7CF22FF9">
            <w:pPr>
              <w:spacing w:line="360" w:lineRule="auto"/>
              <w:jc w:val="center"/>
              <w:rPr>
                <w:rFonts w:ascii="宋体" w:hAnsi="宋体"/>
                <w:color w:val="000000"/>
                <w:szCs w:val="21"/>
              </w:rPr>
            </w:pPr>
            <w:r>
              <w:rPr>
                <w:rFonts w:ascii="宋体" w:hAnsi="宋体"/>
                <w:color w:val="000000"/>
                <w:szCs w:val="21"/>
              </w:rPr>
              <w:t>用途</w:t>
            </w:r>
          </w:p>
        </w:tc>
        <w:tc>
          <w:tcPr>
            <w:tcW w:w="833" w:type="pct"/>
            <w:noWrap w:val="0"/>
            <w:vAlign w:val="center"/>
          </w:tcPr>
          <w:p w14:paraId="2F8E1D4B">
            <w:pPr>
              <w:spacing w:line="360" w:lineRule="auto"/>
              <w:jc w:val="center"/>
              <w:rPr>
                <w:rFonts w:ascii="宋体" w:hAnsi="宋体"/>
                <w:color w:val="000000"/>
                <w:szCs w:val="21"/>
              </w:rPr>
            </w:pPr>
            <w:r>
              <w:rPr>
                <w:rFonts w:ascii="宋体" w:hAnsi="宋体"/>
                <w:color w:val="000000"/>
                <w:szCs w:val="21"/>
              </w:rPr>
              <w:t>备注</w:t>
            </w:r>
          </w:p>
        </w:tc>
      </w:tr>
      <w:tr w14:paraId="587AAB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4" w:type="pct"/>
            <w:noWrap w:val="0"/>
            <w:vAlign w:val="center"/>
          </w:tcPr>
          <w:p w14:paraId="42CA75AC">
            <w:pPr>
              <w:spacing w:line="360" w:lineRule="auto"/>
              <w:ind w:firstLine="420" w:firstLineChars="200"/>
              <w:rPr>
                <w:rFonts w:ascii="宋体" w:hAnsi="宋体"/>
                <w:color w:val="000000"/>
                <w:szCs w:val="21"/>
              </w:rPr>
            </w:pPr>
          </w:p>
        </w:tc>
        <w:tc>
          <w:tcPr>
            <w:tcW w:w="655" w:type="pct"/>
            <w:noWrap w:val="0"/>
            <w:vAlign w:val="center"/>
          </w:tcPr>
          <w:p w14:paraId="2F5887F4">
            <w:pPr>
              <w:spacing w:line="360" w:lineRule="auto"/>
              <w:ind w:firstLine="420" w:firstLineChars="200"/>
              <w:rPr>
                <w:rFonts w:ascii="宋体" w:hAnsi="宋体"/>
                <w:color w:val="000000"/>
                <w:szCs w:val="21"/>
              </w:rPr>
            </w:pPr>
          </w:p>
        </w:tc>
        <w:tc>
          <w:tcPr>
            <w:tcW w:w="454" w:type="pct"/>
            <w:noWrap w:val="0"/>
            <w:vAlign w:val="center"/>
          </w:tcPr>
          <w:p w14:paraId="3165BEDB">
            <w:pPr>
              <w:spacing w:line="360" w:lineRule="auto"/>
              <w:ind w:firstLine="420" w:firstLineChars="200"/>
              <w:rPr>
                <w:rFonts w:ascii="宋体" w:hAnsi="宋体"/>
                <w:color w:val="000000"/>
                <w:szCs w:val="21"/>
              </w:rPr>
            </w:pPr>
          </w:p>
        </w:tc>
        <w:tc>
          <w:tcPr>
            <w:tcW w:w="378" w:type="pct"/>
            <w:noWrap w:val="0"/>
            <w:vAlign w:val="center"/>
          </w:tcPr>
          <w:p w14:paraId="367AC21F">
            <w:pPr>
              <w:spacing w:line="360" w:lineRule="auto"/>
              <w:ind w:firstLine="420" w:firstLineChars="200"/>
              <w:rPr>
                <w:rFonts w:ascii="宋体" w:hAnsi="宋体"/>
                <w:color w:val="000000"/>
                <w:szCs w:val="21"/>
              </w:rPr>
            </w:pPr>
          </w:p>
        </w:tc>
        <w:tc>
          <w:tcPr>
            <w:tcW w:w="378" w:type="pct"/>
            <w:noWrap w:val="0"/>
            <w:vAlign w:val="center"/>
          </w:tcPr>
          <w:p w14:paraId="175B75CA">
            <w:pPr>
              <w:spacing w:line="360" w:lineRule="auto"/>
              <w:ind w:firstLine="420" w:firstLineChars="200"/>
              <w:rPr>
                <w:rFonts w:ascii="宋体" w:hAnsi="宋体"/>
                <w:color w:val="000000"/>
                <w:szCs w:val="21"/>
              </w:rPr>
            </w:pPr>
          </w:p>
        </w:tc>
        <w:tc>
          <w:tcPr>
            <w:tcW w:w="606" w:type="pct"/>
            <w:noWrap w:val="0"/>
            <w:vAlign w:val="center"/>
          </w:tcPr>
          <w:p w14:paraId="5D9D7477">
            <w:pPr>
              <w:spacing w:line="360" w:lineRule="auto"/>
              <w:ind w:firstLine="420" w:firstLineChars="200"/>
              <w:rPr>
                <w:rFonts w:ascii="宋体" w:hAnsi="宋体"/>
                <w:color w:val="000000"/>
                <w:szCs w:val="21"/>
              </w:rPr>
            </w:pPr>
          </w:p>
        </w:tc>
        <w:tc>
          <w:tcPr>
            <w:tcW w:w="682" w:type="pct"/>
            <w:noWrap w:val="0"/>
            <w:vAlign w:val="center"/>
          </w:tcPr>
          <w:p w14:paraId="23AC01FF">
            <w:pPr>
              <w:spacing w:line="360" w:lineRule="auto"/>
              <w:ind w:firstLine="420" w:firstLineChars="200"/>
              <w:rPr>
                <w:rFonts w:ascii="宋体" w:hAnsi="宋体"/>
                <w:color w:val="000000"/>
                <w:szCs w:val="21"/>
              </w:rPr>
            </w:pPr>
          </w:p>
        </w:tc>
        <w:tc>
          <w:tcPr>
            <w:tcW w:w="606" w:type="pct"/>
            <w:noWrap w:val="0"/>
            <w:vAlign w:val="center"/>
          </w:tcPr>
          <w:p w14:paraId="6B995124">
            <w:pPr>
              <w:spacing w:line="360" w:lineRule="auto"/>
              <w:ind w:firstLine="420" w:firstLineChars="200"/>
              <w:rPr>
                <w:rFonts w:ascii="宋体" w:hAnsi="宋体"/>
                <w:color w:val="000000"/>
                <w:szCs w:val="21"/>
              </w:rPr>
            </w:pPr>
          </w:p>
        </w:tc>
        <w:tc>
          <w:tcPr>
            <w:tcW w:w="833" w:type="pct"/>
            <w:noWrap w:val="0"/>
            <w:vAlign w:val="center"/>
          </w:tcPr>
          <w:p w14:paraId="5D57EBF3">
            <w:pPr>
              <w:spacing w:line="360" w:lineRule="auto"/>
              <w:ind w:firstLine="420" w:firstLineChars="200"/>
              <w:rPr>
                <w:rFonts w:ascii="宋体" w:hAnsi="宋体"/>
                <w:color w:val="000000"/>
                <w:szCs w:val="21"/>
              </w:rPr>
            </w:pPr>
          </w:p>
        </w:tc>
      </w:tr>
      <w:tr w14:paraId="7D6C5D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4" w:type="pct"/>
            <w:noWrap w:val="0"/>
            <w:vAlign w:val="center"/>
          </w:tcPr>
          <w:p w14:paraId="779E59AB">
            <w:pPr>
              <w:spacing w:line="360" w:lineRule="auto"/>
              <w:ind w:firstLine="420" w:firstLineChars="200"/>
              <w:rPr>
                <w:rFonts w:ascii="宋体" w:hAnsi="宋体"/>
                <w:color w:val="000000"/>
                <w:szCs w:val="21"/>
              </w:rPr>
            </w:pPr>
          </w:p>
        </w:tc>
        <w:tc>
          <w:tcPr>
            <w:tcW w:w="655" w:type="pct"/>
            <w:noWrap w:val="0"/>
            <w:vAlign w:val="center"/>
          </w:tcPr>
          <w:p w14:paraId="12AC2831">
            <w:pPr>
              <w:spacing w:line="360" w:lineRule="auto"/>
              <w:ind w:firstLine="420" w:firstLineChars="200"/>
              <w:rPr>
                <w:rFonts w:ascii="宋体" w:hAnsi="宋体"/>
                <w:color w:val="000000"/>
                <w:szCs w:val="21"/>
              </w:rPr>
            </w:pPr>
          </w:p>
        </w:tc>
        <w:tc>
          <w:tcPr>
            <w:tcW w:w="454" w:type="pct"/>
            <w:noWrap w:val="0"/>
            <w:vAlign w:val="center"/>
          </w:tcPr>
          <w:p w14:paraId="4196D825">
            <w:pPr>
              <w:spacing w:line="360" w:lineRule="auto"/>
              <w:ind w:firstLine="420" w:firstLineChars="200"/>
              <w:rPr>
                <w:rFonts w:ascii="宋体" w:hAnsi="宋体"/>
                <w:color w:val="000000"/>
                <w:szCs w:val="21"/>
              </w:rPr>
            </w:pPr>
          </w:p>
        </w:tc>
        <w:tc>
          <w:tcPr>
            <w:tcW w:w="378" w:type="pct"/>
            <w:noWrap w:val="0"/>
            <w:vAlign w:val="center"/>
          </w:tcPr>
          <w:p w14:paraId="2D8AC24B">
            <w:pPr>
              <w:spacing w:line="360" w:lineRule="auto"/>
              <w:ind w:firstLine="420" w:firstLineChars="200"/>
              <w:rPr>
                <w:rFonts w:ascii="宋体" w:hAnsi="宋体"/>
                <w:color w:val="000000"/>
                <w:szCs w:val="21"/>
              </w:rPr>
            </w:pPr>
          </w:p>
        </w:tc>
        <w:tc>
          <w:tcPr>
            <w:tcW w:w="378" w:type="pct"/>
            <w:noWrap w:val="0"/>
            <w:vAlign w:val="center"/>
          </w:tcPr>
          <w:p w14:paraId="02BA373A">
            <w:pPr>
              <w:spacing w:line="360" w:lineRule="auto"/>
              <w:ind w:firstLine="420" w:firstLineChars="200"/>
              <w:rPr>
                <w:rFonts w:ascii="宋体" w:hAnsi="宋体"/>
                <w:color w:val="000000"/>
                <w:szCs w:val="21"/>
              </w:rPr>
            </w:pPr>
          </w:p>
        </w:tc>
        <w:tc>
          <w:tcPr>
            <w:tcW w:w="606" w:type="pct"/>
            <w:noWrap w:val="0"/>
            <w:vAlign w:val="center"/>
          </w:tcPr>
          <w:p w14:paraId="44B2B8B2">
            <w:pPr>
              <w:spacing w:line="360" w:lineRule="auto"/>
              <w:ind w:firstLine="420" w:firstLineChars="200"/>
              <w:rPr>
                <w:rFonts w:ascii="宋体" w:hAnsi="宋体"/>
                <w:color w:val="000000"/>
                <w:szCs w:val="21"/>
              </w:rPr>
            </w:pPr>
          </w:p>
        </w:tc>
        <w:tc>
          <w:tcPr>
            <w:tcW w:w="682" w:type="pct"/>
            <w:noWrap w:val="0"/>
            <w:vAlign w:val="center"/>
          </w:tcPr>
          <w:p w14:paraId="21C7D701">
            <w:pPr>
              <w:spacing w:line="360" w:lineRule="auto"/>
              <w:ind w:firstLine="420" w:firstLineChars="200"/>
              <w:rPr>
                <w:rFonts w:ascii="宋体" w:hAnsi="宋体"/>
                <w:color w:val="000000"/>
                <w:szCs w:val="21"/>
              </w:rPr>
            </w:pPr>
          </w:p>
        </w:tc>
        <w:tc>
          <w:tcPr>
            <w:tcW w:w="606" w:type="pct"/>
            <w:noWrap w:val="0"/>
            <w:vAlign w:val="center"/>
          </w:tcPr>
          <w:p w14:paraId="37B97DF3">
            <w:pPr>
              <w:spacing w:line="360" w:lineRule="auto"/>
              <w:ind w:firstLine="420" w:firstLineChars="200"/>
              <w:rPr>
                <w:rFonts w:ascii="宋体" w:hAnsi="宋体"/>
                <w:color w:val="000000"/>
                <w:szCs w:val="21"/>
              </w:rPr>
            </w:pPr>
          </w:p>
        </w:tc>
        <w:tc>
          <w:tcPr>
            <w:tcW w:w="833" w:type="pct"/>
            <w:noWrap w:val="0"/>
            <w:vAlign w:val="center"/>
          </w:tcPr>
          <w:p w14:paraId="568042AB">
            <w:pPr>
              <w:spacing w:line="360" w:lineRule="auto"/>
              <w:ind w:firstLine="420" w:firstLineChars="200"/>
              <w:rPr>
                <w:rFonts w:ascii="宋体" w:hAnsi="宋体"/>
                <w:color w:val="000000"/>
                <w:szCs w:val="21"/>
              </w:rPr>
            </w:pPr>
          </w:p>
        </w:tc>
      </w:tr>
      <w:tr w14:paraId="31E0F0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4" w:type="pct"/>
            <w:noWrap w:val="0"/>
            <w:vAlign w:val="center"/>
          </w:tcPr>
          <w:p w14:paraId="0935F19D">
            <w:pPr>
              <w:spacing w:line="360" w:lineRule="auto"/>
              <w:ind w:firstLine="420" w:firstLineChars="200"/>
              <w:rPr>
                <w:rFonts w:ascii="宋体" w:hAnsi="宋体"/>
                <w:color w:val="000000"/>
                <w:szCs w:val="21"/>
              </w:rPr>
            </w:pPr>
          </w:p>
        </w:tc>
        <w:tc>
          <w:tcPr>
            <w:tcW w:w="655" w:type="pct"/>
            <w:noWrap w:val="0"/>
            <w:vAlign w:val="center"/>
          </w:tcPr>
          <w:p w14:paraId="35C9BA7A">
            <w:pPr>
              <w:spacing w:line="360" w:lineRule="auto"/>
              <w:ind w:firstLine="420" w:firstLineChars="200"/>
              <w:rPr>
                <w:rFonts w:ascii="宋体" w:hAnsi="宋体"/>
                <w:color w:val="000000"/>
                <w:szCs w:val="21"/>
              </w:rPr>
            </w:pPr>
          </w:p>
        </w:tc>
        <w:tc>
          <w:tcPr>
            <w:tcW w:w="454" w:type="pct"/>
            <w:noWrap w:val="0"/>
            <w:vAlign w:val="center"/>
          </w:tcPr>
          <w:p w14:paraId="09ECB190">
            <w:pPr>
              <w:spacing w:line="360" w:lineRule="auto"/>
              <w:ind w:firstLine="420" w:firstLineChars="200"/>
              <w:rPr>
                <w:rFonts w:ascii="宋体" w:hAnsi="宋体"/>
                <w:color w:val="000000"/>
                <w:szCs w:val="21"/>
              </w:rPr>
            </w:pPr>
          </w:p>
        </w:tc>
        <w:tc>
          <w:tcPr>
            <w:tcW w:w="378" w:type="pct"/>
            <w:noWrap w:val="0"/>
            <w:vAlign w:val="center"/>
          </w:tcPr>
          <w:p w14:paraId="0E0BC840">
            <w:pPr>
              <w:spacing w:line="360" w:lineRule="auto"/>
              <w:ind w:firstLine="420" w:firstLineChars="200"/>
              <w:rPr>
                <w:rFonts w:ascii="宋体" w:hAnsi="宋体"/>
                <w:color w:val="000000"/>
                <w:szCs w:val="21"/>
              </w:rPr>
            </w:pPr>
          </w:p>
        </w:tc>
        <w:tc>
          <w:tcPr>
            <w:tcW w:w="378" w:type="pct"/>
            <w:noWrap w:val="0"/>
            <w:vAlign w:val="center"/>
          </w:tcPr>
          <w:p w14:paraId="1109DF9B">
            <w:pPr>
              <w:spacing w:line="360" w:lineRule="auto"/>
              <w:ind w:firstLine="420" w:firstLineChars="200"/>
              <w:rPr>
                <w:rFonts w:ascii="宋体" w:hAnsi="宋体"/>
                <w:color w:val="000000"/>
                <w:szCs w:val="21"/>
              </w:rPr>
            </w:pPr>
          </w:p>
        </w:tc>
        <w:tc>
          <w:tcPr>
            <w:tcW w:w="606" w:type="pct"/>
            <w:noWrap w:val="0"/>
            <w:vAlign w:val="center"/>
          </w:tcPr>
          <w:p w14:paraId="34737946">
            <w:pPr>
              <w:spacing w:line="360" w:lineRule="auto"/>
              <w:ind w:firstLine="420" w:firstLineChars="200"/>
              <w:rPr>
                <w:rFonts w:ascii="宋体" w:hAnsi="宋体"/>
                <w:color w:val="000000"/>
                <w:szCs w:val="21"/>
              </w:rPr>
            </w:pPr>
          </w:p>
        </w:tc>
        <w:tc>
          <w:tcPr>
            <w:tcW w:w="682" w:type="pct"/>
            <w:noWrap w:val="0"/>
            <w:vAlign w:val="center"/>
          </w:tcPr>
          <w:p w14:paraId="36AB1844">
            <w:pPr>
              <w:spacing w:line="360" w:lineRule="auto"/>
              <w:ind w:firstLine="420" w:firstLineChars="200"/>
              <w:rPr>
                <w:rFonts w:ascii="宋体" w:hAnsi="宋体"/>
                <w:color w:val="000000"/>
                <w:szCs w:val="21"/>
              </w:rPr>
            </w:pPr>
          </w:p>
        </w:tc>
        <w:tc>
          <w:tcPr>
            <w:tcW w:w="606" w:type="pct"/>
            <w:noWrap w:val="0"/>
            <w:vAlign w:val="center"/>
          </w:tcPr>
          <w:p w14:paraId="0FD34E36">
            <w:pPr>
              <w:spacing w:line="360" w:lineRule="auto"/>
              <w:ind w:firstLine="420" w:firstLineChars="200"/>
              <w:rPr>
                <w:rFonts w:ascii="宋体" w:hAnsi="宋体"/>
                <w:color w:val="000000"/>
                <w:szCs w:val="21"/>
              </w:rPr>
            </w:pPr>
          </w:p>
        </w:tc>
        <w:tc>
          <w:tcPr>
            <w:tcW w:w="833" w:type="pct"/>
            <w:noWrap w:val="0"/>
            <w:vAlign w:val="center"/>
          </w:tcPr>
          <w:p w14:paraId="238D23FF">
            <w:pPr>
              <w:spacing w:line="360" w:lineRule="auto"/>
              <w:ind w:firstLine="420" w:firstLineChars="200"/>
              <w:rPr>
                <w:rFonts w:ascii="宋体" w:hAnsi="宋体"/>
                <w:color w:val="000000"/>
                <w:szCs w:val="21"/>
              </w:rPr>
            </w:pPr>
          </w:p>
        </w:tc>
      </w:tr>
      <w:tr w14:paraId="7A0585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4" w:type="pct"/>
            <w:noWrap w:val="0"/>
            <w:vAlign w:val="center"/>
          </w:tcPr>
          <w:p w14:paraId="7CD44236">
            <w:pPr>
              <w:spacing w:line="360" w:lineRule="auto"/>
              <w:ind w:firstLine="420" w:firstLineChars="200"/>
              <w:rPr>
                <w:rFonts w:ascii="宋体" w:hAnsi="宋体"/>
                <w:color w:val="000000"/>
                <w:szCs w:val="21"/>
              </w:rPr>
            </w:pPr>
          </w:p>
        </w:tc>
        <w:tc>
          <w:tcPr>
            <w:tcW w:w="655" w:type="pct"/>
            <w:noWrap w:val="0"/>
            <w:vAlign w:val="center"/>
          </w:tcPr>
          <w:p w14:paraId="450A8155">
            <w:pPr>
              <w:spacing w:line="360" w:lineRule="auto"/>
              <w:ind w:firstLine="420" w:firstLineChars="200"/>
              <w:rPr>
                <w:rFonts w:ascii="宋体" w:hAnsi="宋体"/>
                <w:color w:val="000000"/>
                <w:szCs w:val="21"/>
              </w:rPr>
            </w:pPr>
          </w:p>
        </w:tc>
        <w:tc>
          <w:tcPr>
            <w:tcW w:w="454" w:type="pct"/>
            <w:noWrap w:val="0"/>
            <w:vAlign w:val="center"/>
          </w:tcPr>
          <w:p w14:paraId="5B95C1F1">
            <w:pPr>
              <w:spacing w:line="360" w:lineRule="auto"/>
              <w:ind w:firstLine="420" w:firstLineChars="200"/>
              <w:rPr>
                <w:rFonts w:ascii="宋体" w:hAnsi="宋体"/>
                <w:color w:val="000000"/>
                <w:szCs w:val="21"/>
              </w:rPr>
            </w:pPr>
          </w:p>
        </w:tc>
        <w:tc>
          <w:tcPr>
            <w:tcW w:w="378" w:type="pct"/>
            <w:noWrap w:val="0"/>
            <w:vAlign w:val="center"/>
          </w:tcPr>
          <w:p w14:paraId="2DBE004F">
            <w:pPr>
              <w:spacing w:line="360" w:lineRule="auto"/>
              <w:ind w:firstLine="420" w:firstLineChars="200"/>
              <w:rPr>
                <w:rFonts w:ascii="宋体" w:hAnsi="宋体"/>
                <w:color w:val="000000"/>
                <w:szCs w:val="21"/>
              </w:rPr>
            </w:pPr>
          </w:p>
        </w:tc>
        <w:tc>
          <w:tcPr>
            <w:tcW w:w="378" w:type="pct"/>
            <w:noWrap w:val="0"/>
            <w:vAlign w:val="center"/>
          </w:tcPr>
          <w:p w14:paraId="723122C4">
            <w:pPr>
              <w:spacing w:line="360" w:lineRule="auto"/>
              <w:ind w:firstLine="420" w:firstLineChars="200"/>
              <w:rPr>
                <w:rFonts w:ascii="宋体" w:hAnsi="宋体"/>
                <w:color w:val="000000"/>
                <w:szCs w:val="21"/>
              </w:rPr>
            </w:pPr>
          </w:p>
        </w:tc>
        <w:tc>
          <w:tcPr>
            <w:tcW w:w="606" w:type="pct"/>
            <w:noWrap w:val="0"/>
            <w:vAlign w:val="center"/>
          </w:tcPr>
          <w:p w14:paraId="3ED96A47">
            <w:pPr>
              <w:spacing w:line="360" w:lineRule="auto"/>
              <w:ind w:firstLine="420" w:firstLineChars="200"/>
              <w:rPr>
                <w:rFonts w:ascii="宋体" w:hAnsi="宋体"/>
                <w:color w:val="000000"/>
                <w:szCs w:val="21"/>
              </w:rPr>
            </w:pPr>
          </w:p>
        </w:tc>
        <w:tc>
          <w:tcPr>
            <w:tcW w:w="682" w:type="pct"/>
            <w:noWrap w:val="0"/>
            <w:vAlign w:val="center"/>
          </w:tcPr>
          <w:p w14:paraId="2E760E11">
            <w:pPr>
              <w:spacing w:line="360" w:lineRule="auto"/>
              <w:ind w:firstLine="420" w:firstLineChars="200"/>
              <w:rPr>
                <w:rFonts w:ascii="宋体" w:hAnsi="宋体"/>
                <w:color w:val="000000"/>
                <w:szCs w:val="21"/>
              </w:rPr>
            </w:pPr>
          </w:p>
        </w:tc>
        <w:tc>
          <w:tcPr>
            <w:tcW w:w="606" w:type="pct"/>
            <w:noWrap w:val="0"/>
            <w:vAlign w:val="center"/>
          </w:tcPr>
          <w:p w14:paraId="1584CD6F">
            <w:pPr>
              <w:spacing w:line="360" w:lineRule="auto"/>
              <w:ind w:firstLine="420" w:firstLineChars="200"/>
              <w:rPr>
                <w:rFonts w:ascii="宋体" w:hAnsi="宋体"/>
                <w:color w:val="000000"/>
                <w:szCs w:val="21"/>
              </w:rPr>
            </w:pPr>
          </w:p>
        </w:tc>
        <w:tc>
          <w:tcPr>
            <w:tcW w:w="833" w:type="pct"/>
            <w:noWrap w:val="0"/>
            <w:vAlign w:val="center"/>
          </w:tcPr>
          <w:p w14:paraId="6750771C">
            <w:pPr>
              <w:spacing w:line="360" w:lineRule="auto"/>
              <w:ind w:firstLine="420" w:firstLineChars="200"/>
              <w:rPr>
                <w:rFonts w:ascii="宋体" w:hAnsi="宋体"/>
                <w:color w:val="000000"/>
                <w:szCs w:val="21"/>
              </w:rPr>
            </w:pPr>
          </w:p>
        </w:tc>
      </w:tr>
      <w:tr w14:paraId="555553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4" w:type="pct"/>
            <w:noWrap w:val="0"/>
            <w:vAlign w:val="center"/>
          </w:tcPr>
          <w:p w14:paraId="3534936E">
            <w:pPr>
              <w:spacing w:line="360" w:lineRule="auto"/>
              <w:ind w:firstLine="420" w:firstLineChars="200"/>
              <w:rPr>
                <w:rFonts w:ascii="宋体" w:hAnsi="宋体"/>
                <w:color w:val="000000"/>
                <w:szCs w:val="21"/>
              </w:rPr>
            </w:pPr>
          </w:p>
        </w:tc>
        <w:tc>
          <w:tcPr>
            <w:tcW w:w="655" w:type="pct"/>
            <w:noWrap w:val="0"/>
            <w:vAlign w:val="center"/>
          </w:tcPr>
          <w:p w14:paraId="65397BBB">
            <w:pPr>
              <w:spacing w:line="360" w:lineRule="auto"/>
              <w:ind w:firstLine="420" w:firstLineChars="200"/>
              <w:rPr>
                <w:rFonts w:ascii="宋体" w:hAnsi="宋体"/>
                <w:color w:val="000000"/>
                <w:szCs w:val="21"/>
              </w:rPr>
            </w:pPr>
          </w:p>
        </w:tc>
        <w:tc>
          <w:tcPr>
            <w:tcW w:w="454" w:type="pct"/>
            <w:noWrap w:val="0"/>
            <w:vAlign w:val="center"/>
          </w:tcPr>
          <w:p w14:paraId="314F2AD2">
            <w:pPr>
              <w:spacing w:line="360" w:lineRule="auto"/>
              <w:ind w:firstLine="420" w:firstLineChars="200"/>
              <w:rPr>
                <w:rFonts w:ascii="宋体" w:hAnsi="宋体"/>
                <w:color w:val="000000"/>
                <w:szCs w:val="21"/>
              </w:rPr>
            </w:pPr>
          </w:p>
        </w:tc>
        <w:tc>
          <w:tcPr>
            <w:tcW w:w="378" w:type="pct"/>
            <w:noWrap w:val="0"/>
            <w:vAlign w:val="center"/>
          </w:tcPr>
          <w:p w14:paraId="110AF309">
            <w:pPr>
              <w:spacing w:line="360" w:lineRule="auto"/>
              <w:ind w:firstLine="420" w:firstLineChars="200"/>
              <w:rPr>
                <w:rFonts w:ascii="宋体" w:hAnsi="宋体"/>
                <w:color w:val="000000"/>
                <w:szCs w:val="21"/>
              </w:rPr>
            </w:pPr>
          </w:p>
        </w:tc>
        <w:tc>
          <w:tcPr>
            <w:tcW w:w="378" w:type="pct"/>
            <w:noWrap w:val="0"/>
            <w:vAlign w:val="center"/>
          </w:tcPr>
          <w:p w14:paraId="11F67B55">
            <w:pPr>
              <w:spacing w:line="360" w:lineRule="auto"/>
              <w:ind w:firstLine="420" w:firstLineChars="200"/>
              <w:rPr>
                <w:rFonts w:ascii="宋体" w:hAnsi="宋体"/>
                <w:color w:val="000000"/>
                <w:szCs w:val="21"/>
              </w:rPr>
            </w:pPr>
          </w:p>
        </w:tc>
        <w:tc>
          <w:tcPr>
            <w:tcW w:w="606" w:type="pct"/>
            <w:noWrap w:val="0"/>
            <w:vAlign w:val="center"/>
          </w:tcPr>
          <w:p w14:paraId="0E7BCC89">
            <w:pPr>
              <w:spacing w:line="360" w:lineRule="auto"/>
              <w:ind w:firstLine="420" w:firstLineChars="200"/>
              <w:rPr>
                <w:rFonts w:ascii="宋体" w:hAnsi="宋体"/>
                <w:color w:val="000000"/>
                <w:szCs w:val="21"/>
              </w:rPr>
            </w:pPr>
          </w:p>
        </w:tc>
        <w:tc>
          <w:tcPr>
            <w:tcW w:w="682" w:type="pct"/>
            <w:noWrap w:val="0"/>
            <w:vAlign w:val="center"/>
          </w:tcPr>
          <w:p w14:paraId="6EE2FD68">
            <w:pPr>
              <w:spacing w:line="360" w:lineRule="auto"/>
              <w:ind w:firstLine="420" w:firstLineChars="200"/>
              <w:rPr>
                <w:rFonts w:ascii="宋体" w:hAnsi="宋体"/>
                <w:color w:val="000000"/>
                <w:szCs w:val="21"/>
              </w:rPr>
            </w:pPr>
          </w:p>
        </w:tc>
        <w:tc>
          <w:tcPr>
            <w:tcW w:w="606" w:type="pct"/>
            <w:noWrap w:val="0"/>
            <w:vAlign w:val="center"/>
          </w:tcPr>
          <w:p w14:paraId="4ADD25F0">
            <w:pPr>
              <w:spacing w:line="360" w:lineRule="auto"/>
              <w:ind w:firstLine="420" w:firstLineChars="200"/>
              <w:rPr>
                <w:rFonts w:ascii="宋体" w:hAnsi="宋体"/>
                <w:color w:val="000000"/>
                <w:szCs w:val="21"/>
              </w:rPr>
            </w:pPr>
          </w:p>
        </w:tc>
        <w:tc>
          <w:tcPr>
            <w:tcW w:w="833" w:type="pct"/>
            <w:noWrap w:val="0"/>
            <w:vAlign w:val="center"/>
          </w:tcPr>
          <w:p w14:paraId="02C42BB0">
            <w:pPr>
              <w:spacing w:line="360" w:lineRule="auto"/>
              <w:ind w:firstLine="420" w:firstLineChars="200"/>
              <w:rPr>
                <w:rFonts w:ascii="宋体" w:hAnsi="宋体"/>
                <w:color w:val="000000"/>
                <w:szCs w:val="21"/>
              </w:rPr>
            </w:pPr>
          </w:p>
        </w:tc>
      </w:tr>
    </w:tbl>
    <w:p w14:paraId="50F2C946">
      <w:r>
        <w:br w:type="page"/>
      </w:r>
    </w:p>
    <w:p w14:paraId="0686FC30">
      <w:pPr>
        <w:pStyle w:val="40"/>
        <w:outlineLvl w:val="0"/>
      </w:pPr>
      <w:r>
        <w:t>附表三：劳动力计划表</w:t>
      </w:r>
    </w:p>
    <w:p w14:paraId="19427535">
      <w:pPr>
        <w:spacing w:line="360" w:lineRule="auto"/>
        <w:ind w:firstLine="7245" w:firstLineChars="3450"/>
        <w:rPr>
          <w:rFonts w:ascii="宋体" w:hAnsi="宋体"/>
          <w:color w:val="000000"/>
          <w:szCs w:val="21"/>
        </w:rPr>
      </w:pPr>
      <w:r>
        <w:rPr>
          <w:rFonts w:ascii="宋体" w:hAnsi="宋体"/>
          <w:color w:val="000000"/>
          <w:szCs w:val="21"/>
        </w:rPr>
        <w:t xml:space="preserve">    单位：人</w:t>
      </w:r>
    </w:p>
    <w:tbl>
      <w:tblPr>
        <w:tblStyle w:val="22"/>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8"/>
        <w:gridCol w:w="911"/>
        <w:gridCol w:w="1192"/>
        <w:gridCol w:w="1193"/>
        <w:gridCol w:w="1193"/>
        <w:gridCol w:w="1193"/>
        <w:gridCol w:w="1193"/>
        <w:gridCol w:w="1201"/>
      </w:tblGrid>
      <w:tr w14:paraId="75520E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5" w:type="pct"/>
            <w:noWrap w:val="0"/>
            <w:vAlign w:val="center"/>
          </w:tcPr>
          <w:p w14:paraId="323278F3">
            <w:pPr>
              <w:spacing w:line="360" w:lineRule="auto"/>
              <w:jc w:val="center"/>
              <w:rPr>
                <w:rFonts w:ascii="宋体" w:hAnsi="宋体"/>
                <w:color w:val="000000"/>
                <w:szCs w:val="21"/>
              </w:rPr>
            </w:pPr>
            <w:r>
              <w:rPr>
                <w:rFonts w:ascii="宋体" w:hAnsi="宋体"/>
                <w:color w:val="000000"/>
                <w:szCs w:val="21"/>
              </w:rPr>
              <w:t>工种</w:t>
            </w:r>
          </w:p>
        </w:tc>
        <w:tc>
          <w:tcPr>
            <w:tcW w:w="4544" w:type="pct"/>
            <w:gridSpan w:val="7"/>
            <w:noWrap w:val="0"/>
            <w:vAlign w:val="center"/>
          </w:tcPr>
          <w:p w14:paraId="2EB89580">
            <w:pPr>
              <w:spacing w:line="360" w:lineRule="auto"/>
              <w:jc w:val="center"/>
              <w:rPr>
                <w:rFonts w:ascii="宋体" w:hAnsi="宋体"/>
                <w:color w:val="000000"/>
                <w:szCs w:val="21"/>
              </w:rPr>
            </w:pPr>
            <w:r>
              <w:rPr>
                <w:rFonts w:ascii="宋体" w:hAnsi="宋体"/>
                <w:color w:val="000000"/>
                <w:szCs w:val="21"/>
              </w:rPr>
              <w:t>按工程施工阶段投入劳动力情况</w:t>
            </w:r>
          </w:p>
        </w:tc>
      </w:tr>
      <w:tr w14:paraId="654A63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5" w:type="pct"/>
            <w:noWrap w:val="0"/>
            <w:vAlign w:val="center"/>
          </w:tcPr>
          <w:p w14:paraId="589BFF2C">
            <w:pPr>
              <w:spacing w:line="360" w:lineRule="auto"/>
              <w:jc w:val="center"/>
              <w:rPr>
                <w:rFonts w:ascii="宋体" w:hAnsi="宋体"/>
                <w:color w:val="000000"/>
                <w:szCs w:val="21"/>
              </w:rPr>
            </w:pPr>
          </w:p>
        </w:tc>
        <w:tc>
          <w:tcPr>
            <w:tcW w:w="513" w:type="pct"/>
            <w:noWrap w:val="0"/>
            <w:vAlign w:val="center"/>
          </w:tcPr>
          <w:p w14:paraId="0FBBEF18">
            <w:pPr>
              <w:spacing w:line="360" w:lineRule="auto"/>
              <w:jc w:val="center"/>
              <w:rPr>
                <w:rFonts w:ascii="宋体" w:hAnsi="宋体"/>
                <w:color w:val="000000"/>
                <w:szCs w:val="21"/>
              </w:rPr>
            </w:pPr>
          </w:p>
        </w:tc>
        <w:tc>
          <w:tcPr>
            <w:tcW w:w="671" w:type="pct"/>
            <w:noWrap w:val="0"/>
            <w:vAlign w:val="center"/>
          </w:tcPr>
          <w:p w14:paraId="59CDE3D2">
            <w:pPr>
              <w:spacing w:line="360" w:lineRule="auto"/>
              <w:jc w:val="center"/>
              <w:rPr>
                <w:rFonts w:ascii="宋体" w:hAnsi="宋体"/>
                <w:color w:val="000000"/>
                <w:szCs w:val="21"/>
              </w:rPr>
            </w:pPr>
          </w:p>
        </w:tc>
        <w:tc>
          <w:tcPr>
            <w:tcW w:w="671" w:type="pct"/>
            <w:noWrap w:val="0"/>
            <w:vAlign w:val="center"/>
          </w:tcPr>
          <w:p w14:paraId="0D752535">
            <w:pPr>
              <w:spacing w:line="360" w:lineRule="auto"/>
              <w:jc w:val="center"/>
              <w:rPr>
                <w:rFonts w:ascii="宋体" w:hAnsi="宋体"/>
                <w:color w:val="000000"/>
                <w:szCs w:val="21"/>
              </w:rPr>
            </w:pPr>
          </w:p>
        </w:tc>
        <w:tc>
          <w:tcPr>
            <w:tcW w:w="671" w:type="pct"/>
            <w:noWrap w:val="0"/>
            <w:vAlign w:val="center"/>
          </w:tcPr>
          <w:p w14:paraId="01D7888C">
            <w:pPr>
              <w:spacing w:line="360" w:lineRule="auto"/>
              <w:jc w:val="center"/>
              <w:rPr>
                <w:rFonts w:ascii="宋体" w:hAnsi="宋体"/>
                <w:color w:val="000000"/>
                <w:szCs w:val="21"/>
              </w:rPr>
            </w:pPr>
          </w:p>
        </w:tc>
        <w:tc>
          <w:tcPr>
            <w:tcW w:w="671" w:type="pct"/>
            <w:noWrap w:val="0"/>
            <w:vAlign w:val="center"/>
          </w:tcPr>
          <w:p w14:paraId="18796548">
            <w:pPr>
              <w:spacing w:line="360" w:lineRule="auto"/>
              <w:jc w:val="center"/>
              <w:rPr>
                <w:rFonts w:ascii="宋体" w:hAnsi="宋体"/>
                <w:color w:val="000000"/>
                <w:szCs w:val="21"/>
              </w:rPr>
            </w:pPr>
          </w:p>
        </w:tc>
        <w:tc>
          <w:tcPr>
            <w:tcW w:w="671" w:type="pct"/>
            <w:noWrap w:val="0"/>
            <w:vAlign w:val="center"/>
          </w:tcPr>
          <w:p w14:paraId="6148DAF7">
            <w:pPr>
              <w:spacing w:line="360" w:lineRule="auto"/>
              <w:jc w:val="center"/>
              <w:rPr>
                <w:rFonts w:ascii="宋体" w:hAnsi="宋体"/>
                <w:color w:val="000000"/>
                <w:szCs w:val="21"/>
              </w:rPr>
            </w:pPr>
          </w:p>
        </w:tc>
        <w:tc>
          <w:tcPr>
            <w:tcW w:w="673" w:type="pct"/>
            <w:noWrap w:val="0"/>
            <w:vAlign w:val="center"/>
          </w:tcPr>
          <w:p w14:paraId="59FA4112">
            <w:pPr>
              <w:spacing w:line="360" w:lineRule="auto"/>
              <w:jc w:val="center"/>
              <w:rPr>
                <w:rFonts w:ascii="宋体" w:hAnsi="宋体"/>
                <w:color w:val="000000"/>
                <w:szCs w:val="21"/>
              </w:rPr>
            </w:pPr>
          </w:p>
        </w:tc>
      </w:tr>
      <w:tr w14:paraId="56B189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5" w:type="pct"/>
            <w:noWrap w:val="0"/>
            <w:vAlign w:val="center"/>
          </w:tcPr>
          <w:p w14:paraId="2CCF5915">
            <w:pPr>
              <w:spacing w:line="360" w:lineRule="auto"/>
              <w:jc w:val="center"/>
              <w:rPr>
                <w:rFonts w:ascii="宋体" w:hAnsi="宋体"/>
                <w:color w:val="000000"/>
                <w:szCs w:val="21"/>
              </w:rPr>
            </w:pPr>
          </w:p>
        </w:tc>
        <w:tc>
          <w:tcPr>
            <w:tcW w:w="513" w:type="pct"/>
            <w:noWrap w:val="0"/>
            <w:vAlign w:val="center"/>
          </w:tcPr>
          <w:p w14:paraId="2D99E92B">
            <w:pPr>
              <w:spacing w:line="360" w:lineRule="auto"/>
              <w:jc w:val="center"/>
              <w:rPr>
                <w:rFonts w:ascii="宋体" w:hAnsi="宋体"/>
                <w:color w:val="000000"/>
                <w:szCs w:val="21"/>
              </w:rPr>
            </w:pPr>
          </w:p>
        </w:tc>
        <w:tc>
          <w:tcPr>
            <w:tcW w:w="671" w:type="pct"/>
            <w:noWrap w:val="0"/>
            <w:vAlign w:val="center"/>
          </w:tcPr>
          <w:p w14:paraId="7BDBC289">
            <w:pPr>
              <w:spacing w:line="360" w:lineRule="auto"/>
              <w:jc w:val="center"/>
              <w:rPr>
                <w:rFonts w:ascii="宋体" w:hAnsi="宋体"/>
                <w:color w:val="000000"/>
                <w:szCs w:val="21"/>
              </w:rPr>
            </w:pPr>
          </w:p>
        </w:tc>
        <w:tc>
          <w:tcPr>
            <w:tcW w:w="671" w:type="pct"/>
            <w:noWrap w:val="0"/>
            <w:vAlign w:val="center"/>
          </w:tcPr>
          <w:p w14:paraId="1302BAB2">
            <w:pPr>
              <w:spacing w:line="360" w:lineRule="auto"/>
              <w:jc w:val="center"/>
              <w:rPr>
                <w:rFonts w:ascii="宋体" w:hAnsi="宋体"/>
                <w:color w:val="000000"/>
                <w:szCs w:val="21"/>
              </w:rPr>
            </w:pPr>
          </w:p>
        </w:tc>
        <w:tc>
          <w:tcPr>
            <w:tcW w:w="671" w:type="pct"/>
            <w:noWrap w:val="0"/>
            <w:vAlign w:val="center"/>
          </w:tcPr>
          <w:p w14:paraId="6318E38B">
            <w:pPr>
              <w:spacing w:line="360" w:lineRule="auto"/>
              <w:jc w:val="center"/>
              <w:rPr>
                <w:rFonts w:ascii="宋体" w:hAnsi="宋体"/>
                <w:color w:val="000000"/>
                <w:szCs w:val="21"/>
              </w:rPr>
            </w:pPr>
          </w:p>
        </w:tc>
        <w:tc>
          <w:tcPr>
            <w:tcW w:w="671" w:type="pct"/>
            <w:noWrap w:val="0"/>
            <w:vAlign w:val="center"/>
          </w:tcPr>
          <w:p w14:paraId="61E07D4B">
            <w:pPr>
              <w:spacing w:line="360" w:lineRule="auto"/>
              <w:jc w:val="center"/>
              <w:rPr>
                <w:rFonts w:ascii="宋体" w:hAnsi="宋体"/>
                <w:color w:val="000000"/>
                <w:szCs w:val="21"/>
              </w:rPr>
            </w:pPr>
          </w:p>
        </w:tc>
        <w:tc>
          <w:tcPr>
            <w:tcW w:w="671" w:type="pct"/>
            <w:noWrap w:val="0"/>
            <w:vAlign w:val="center"/>
          </w:tcPr>
          <w:p w14:paraId="5B983184">
            <w:pPr>
              <w:spacing w:line="360" w:lineRule="auto"/>
              <w:jc w:val="center"/>
              <w:rPr>
                <w:rFonts w:ascii="宋体" w:hAnsi="宋体"/>
                <w:color w:val="000000"/>
                <w:szCs w:val="21"/>
              </w:rPr>
            </w:pPr>
          </w:p>
        </w:tc>
        <w:tc>
          <w:tcPr>
            <w:tcW w:w="673" w:type="pct"/>
            <w:noWrap w:val="0"/>
            <w:vAlign w:val="center"/>
          </w:tcPr>
          <w:p w14:paraId="63FB4A64">
            <w:pPr>
              <w:spacing w:line="360" w:lineRule="auto"/>
              <w:jc w:val="center"/>
              <w:rPr>
                <w:rFonts w:ascii="宋体" w:hAnsi="宋体"/>
                <w:color w:val="000000"/>
                <w:szCs w:val="21"/>
              </w:rPr>
            </w:pPr>
          </w:p>
        </w:tc>
      </w:tr>
      <w:tr w14:paraId="2756E2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5" w:type="pct"/>
            <w:noWrap w:val="0"/>
            <w:vAlign w:val="center"/>
          </w:tcPr>
          <w:p w14:paraId="6C7B15EA">
            <w:pPr>
              <w:spacing w:line="360" w:lineRule="auto"/>
              <w:jc w:val="center"/>
              <w:rPr>
                <w:rFonts w:ascii="宋体" w:hAnsi="宋体"/>
                <w:color w:val="000000"/>
                <w:szCs w:val="21"/>
              </w:rPr>
            </w:pPr>
          </w:p>
        </w:tc>
        <w:tc>
          <w:tcPr>
            <w:tcW w:w="513" w:type="pct"/>
            <w:noWrap w:val="0"/>
            <w:vAlign w:val="center"/>
          </w:tcPr>
          <w:p w14:paraId="0F6235D6">
            <w:pPr>
              <w:spacing w:line="360" w:lineRule="auto"/>
              <w:jc w:val="center"/>
              <w:rPr>
                <w:rFonts w:ascii="宋体" w:hAnsi="宋体"/>
                <w:color w:val="000000"/>
                <w:szCs w:val="21"/>
              </w:rPr>
            </w:pPr>
          </w:p>
        </w:tc>
        <w:tc>
          <w:tcPr>
            <w:tcW w:w="671" w:type="pct"/>
            <w:noWrap w:val="0"/>
            <w:vAlign w:val="center"/>
          </w:tcPr>
          <w:p w14:paraId="2D0808E0">
            <w:pPr>
              <w:spacing w:line="360" w:lineRule="auto"/>
              <w:jc w:val="center"/>
              <w:rPr>
                <w:rFonts w:ascii="宋体" w:hAnsi="宋体"/>
                <w:color w:val="000000"/>
                <w:szCs w:val="21"/>
              </w:rPr>
            </w:pPr>
          </w:p>
        </w:tc>
        <w:tc>
          <w:tcPr>
            <w:tcW w:w="671" w:type="pct"/>
            <w:noWrap w:val="0"/>
            <w:vAlign w:val="center"/>
          </w:tcPr>
          <w:p w14:paraId="59C16A78">
            <w:pPr>
              <w:spacing w:line="360" w:lineRule="auto"/>
              <w:jc w:val="center"/>
              <w:rPr>
                <w:rFonts w:ascii="宋体" w:hAnsi="宋体"/>
                <w:color w:val="000000"/>
                <w:szCs w:val="21"/>
              </w:rPr>
            </w:pPr>
          </w:p>
        </w:tc>
        <w:tc>
          <w:tcPr>
            <w:tcW w:w="671" w:type="pct"/>
            <w:noWrap w:val="0"/>
            <w:vAlign w:val="center"/>
          </w:tcPr>
          <w:p w14:paraId="0A98F961">
            <w:pPr>
              <w:spacing w:line="360" w:lineRule="auto"/>
              <w:jc w:val="center"/>
              <w:rPr>
                <w:rFonts w:ascii="宋体" w:hAnsi="宋体"/>
                <w:color w:val="000000"/>
                <w:szCs w:val="21"/>
              </w:rPr>
            </w:pPr>
          </w:p>
        </w:tc>
        <w:tc>
          <w:tcPr>
            <w:tcW w:w="671" w:type="pct"/>
            <w:noWrap w:val="0"/>
            <w:vAlign w:val="center"/>
          </w:tcPr>
          <w:p w14:paraId="5495361A">
            <w:pPr>
              <w:spacing w:line="360" w:lineRule="auto"/>
              <w:jc w:val="center"/>
              <w:rPr>
                <w:rFonts w:ascii="宋体" w:hAnsi="宋体"/>
                <w:color w:val="000000"/>
                <w:szCs w:val="21"/>
              </w:rPr>
            </w:pPr>
          </w:p>
        </w:tc>
        <w:tc>
          <w:tcPr>
            <w:tcW w:w="671" w:type="pct"/>
            <w:noWrap w:val="0"/>
            <w:vAlign w:val="center"/>
          </w:tcPr>
          <w:p w14:paraId="6C93BB49">
            <w:pPr>
              <w:spacing w:line="360" w:lineRule="auto"/>
              <w:jc w:val="center"/>
              <w:rPr>
                <w:rFonts w:ascii="宋体" w:hAnsi="宋体"/>
                <w:color w:val="000000"/>
                <w:szCs w:val="21"/>
              </w:rPr>
            </w:pPr>
          </w:p>
        </w:tc>
        <w:tc>
          <w:tcPr>
            <w:tcW w:w="673" w:type="pct"/>
            <w:noWrap w:val="0"/>
            <w:vAlign w:val="center"/>
          </w:tcPr>
          <w:p w14:paraId="7C50078B">
            <w:pPr>
              <w:spacing w:line="360" w:lineRule="auto"/>
              <w:jc w:val="center"/>
              <w:rPr>
                <w:rFonts w:ascii="宋体" w:hAnsi="宋体"/>
                <w:color w:val="000000"/>
                <w:szCs w:val="21"/>
              </w:rPr>
            </w:pPr>
          </w:p>
        </w:tc>
      </w:tr>
      <w:tr w14:paraId="19A24E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5" w:type="pct"/>
            <w:noWrap w:val="0"/>
            <w:vAlign w:val="center"/>
          </w:tcPr>
          <w:p w14:paraId="3E3828A4">
            <w:pPr>
              <w:spacing w:line="360" w:lineRule="auto"/>
              <w:jc w:val="center"/>
              <w:rPr>
                <w:rFonts w:ascii="宋体" w:hAnsi="宋体"/>
                <w:color w:val="000000"/>
                <w:szCs w:val="21"/>
              </w:rPr>
            </w:pPr>
          </w:p>
        </w:tc>
        <w:tc>
          <w:tcPr>
            <w:tcW w:w="513" w:type="pct"/>
            <w:noWrap w:val="0"/>
            <w:vAlign w:val="center"/>
          </w:tcPr>
          <w:p w14:paraId="5D536FA9">
            <w:pPr>
              <w:spacing w:line="360" w:lineRule="auto"/>
              <w:jc w:val="center"/>
              <w:rPr>
                <w:rFonts w:ascii="宋体" w:hAnsi="宋体"/>
                <w:color w:val="000000"/>
                <w:szCs w:val="21"/>
              </w:rPr>
            </w:pPr>
          </w:p>
        </w:tc>
        <w:tc>
          <w:tcPr>
            <w:tcW w:w="671" w:type="pct"/>
            <w:noWrap w:val="0"/>
            <w:vAlign w:val="center"/>
          </w:tcPr>
          <w:p w14:paraId="2561BAC2">
            <w:pPr>
              <w:spacing w:line="360" w:lineRule="auto"/>
              <w:jc w:val="center"/>
              <w:rPr>
                <w:rFonts w:ascii="宋体" w:hAnsi="宋体"/>
                <w:color w:val="000000"/>
                <w:szCs w:val="21"/>
              </w:rPr>
            </w:pPr>
          </w:p>
        </w:tc>
        <w:tc>
          <w:tcPr>
            <w:tcW w:w="671" w:type="pct"/>
            <w:noWrap w:val="0"/>
            <w:vAlign w:val="center"/>
          </w:tcPr>
          <w:p w14:paraId="705102A4">
            <w:pPr>
              <w:spacing w:line="360" w:lineRule="auto"/>
              <w:jc w:val="center"/>
              <w:rPr>
                <w:rFonts w:ascii="宋体" w:hAnsi="宋体"/>
                <w:color w:val="000000"/>
                <w:szCs w:val="21"/>
              </w:rPr>
            </w:pPr>
          </w:p>
        </w:tc>
        <w:tc>
          <w:tcPr>
            <w:tcW w:w="671" w:type="pct"/>
            <w:noWrap w:val="0"/>
            <w:vAlign w:val="center"/>
          </w:tcPr>
          <w:p w14:paraId="2B2318A6">
            <w:pPr>
              <w:spacing w:line="360" w:lineRule="auto"/>
              <w:jc w:val="center"/>
              <w:rPr>
                <w:rFonts w:ascii="宋体" w:hAnsi="宋体"/>
                <w:color w:val="000000"/>
                <w:szCs w:val="21"/>
              </w:rPr>
            </w:pPr>
          </w:p>
        </w:tc>
        <w:tc>
          <w:tcPr>
            <w:tcW w:w="671" w:type="pct"/>
            <w:noWrap w:val="0"/>
            <w:vAlign w:val="center"/>
          </w:tcPr>
          <w:p w14:paraId="4E3E6F4A">
            <w:pPr>
              <w:spacing w:line="360" w:lineRule="auto"/>
              <w:jc w:val="center"/>
              <w:rPr>
                <w:rFonts w:ascii="宋体" w:hAnsi="宋体"/>
                <w:color w:val="000000"/>
                <w:szCs w:val="21"/>
              </w:rPr>
            </w:pPr>
          </w:p>
        </w:tc>
        <w:tc>
          <w:tcPr>
            <w:tcW w:w="671" w:type="pct"/>
            <w:noWrap w:val="0"/>
            <w:vAlign w:val="center"/>
          </w:tcPr>
          <w:p w14:paraId="7A5F607F">
            <w:pPr>
              <w:spacing w:line="360" w:lineRule="auto"/>
              <w:jc w:val="center"/>
              <w:rPr>
                <w:rFonts w:ascii="宋体" w:hAnsi="宋体"/>
                <w:color w:val="000000"/>
                <w:szCs w:val="21"/>
              </w:rPr>
            </w:pPr>
          </w:p>
        </w:tc>
        <w:tc>
          <w:tcPr>
            <w:tcW w:w="673" w:type="pct"/>
            <w:noWrap w:val="0"/>
            <w:vAlign w:val="center"/>
          </w:tcPr>
          <w:p w14:paraId="4005FBF6">
            <w:pPr>
              <w:spacing w:line="360" w:lineRule="auto"/>
              <w:jc w:val="center"/>
              <w:rPr>
                <w:rFonts w:ascii="宋体" w:hAnsi="宋体"/>
                <w:color w:val="000000"/>
                <w:szCs w:val="21"/>
              </w:rPr>
            </w:pPr>
          </w:p>
        </w:tc>
      </w:tr>
      <w:tr w14:paraId="301D30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5" w:type="pct"/>
            <w:noWrap w:val="0"/>
            <w:vAlign w:val="center"/>
          </w:tcPr>
          <w:p w14:paraId="39E70BCF">
            <w:pPr>
              <w:spacing w:line="360" w:lineRule="auto"/>
              <w:jc w:val="center"/>
              <w:rPr>
                <w:rFonts w:ascii="宋体" w:hAnsi="宋体"/>
                <w:color w:val="000000"/>
                <w:szCs w:val="21"/>
              </w:rPr>
            </w:pPr>
          </w:p>
        </w:tc>
        <w:tc>
          <w:tcPr>
            <w:tcW w:w="513" w:type="pct"/>
            <w:noWrap w:val="0"/>
            <w:vAlign w:val="center"/>
          </w:tcPr>
          <w:p w14:paraId="1743BA3E">
            <w:pPr>
              <w:spacing w:line="360" w:lineRule="auto"/>
              <w:jc w:val="center"/>
              <w:rPr>
                <w:rFonts w:ascii="宋体" w:hAnsi="宋体"/>
                <w:color w:val="000000"/>
                <w:szCs w:val="21"/>
              </w:rPr>
            </w:pPr>
          </w:p>
        </w:tc>
        <w:tc>
          <w:tcPr>
            <w:tcW w:w="671" w:type="pct"/>
            <w:noWrap w:val="0"/>
            <w:vAlign w:val="center"/>
          </w:tcPr>
          <w:p w14:paraId="186607DF">
            <w:pPr>
              <w:spacing w:line="360" w:lineRule="auto"/>
              <w:jc w:val="center"/>
              <w:rPr>
                <w:rFonts w:ascii="宋体" w:hAnsi="宋体"/>
                <w:color w:val="000000"/>
                <w:szCs w:val="21"/>
              </w:rPr>
            </w:pPr>
          </w:p>
        </w:tc>
        <w:tc>
          <w:tcPr>
            <w:tcW w:w="671" w:type="pct"/>
            <w:noWrap w:val="0"/>
            <w:vAlign w:val="center"/>
          </w:tcPr>
          <w:p w14:paraId="37671198">
            <w:pPr>
              <w:spacing w:line="360" w:lineRule="auto"/>
              <w:jc w:val="center"/>
              <w:rPr>
                <w:rFonts w:ascii="宋体" w:hAnsi="宋体"/>
                <w:color w:val="000000"/>
                <w:szCs w:val="21"/>
              </w:rPr>
            </w:pPr>
          </w:p>
        </w:tc>
        <w:tc>
          <w:tcPr>
            <w:tcW w:w="671" w:type="pct"/>
            <w:noWrap w:val="0"/>
            <w:vAlign w:val="center"/>
          </w:tcPr>
          <w:p w14:paraId="797898CF">
            <w:pPr>
              <w:spacing w:line="360" w:lineRule="auto"/>
              <w:jc w:val="center"/>
              <w:rPr>
                <w:rFonts w:ascii="宋体" w:hAnsi="宋体"/>
                <w:color w:val="000000"/>
                <w:szCs w:val="21"/>
              </w:rPr>
            </w:pPr>
          </w:p>
        </w:tc>
        <w:tc>
          <w:tcPr>
            <w:tcW w:w="671" w:type="pct"/>
            <w:noWrap w:val="0"/>
            <w:vAlign w:val="center"/>
          </w:tcPr>
          <w:p w14:paraId="42B9066D">
            <w:pPr>
              <w:spacing w:line="360" w:lineRule="auto"/>
              <w:jc w:val="center"/>
              <w:rPr>
                <w:rFonts w:ascii="宋体" w:hAnsi="宋体"/>
                <w:color w:val="000000"/>
                <w:szCs w:val="21"/>
              </w:rPr>
            </w:pPr>
          </w:p>
        </w:tc>
        <w:tc>
          <w:tcPr>
            <w:tcW w:w="671" w:type="pct"/>
            <w:noWrap w:val="0"/>
            <w:vAlign w:val="center"/>
          </w:tcPr>
          <w:p w14:paraId="75719EF5">
            <w:pPr>
              <w:spacing w:line="360" w:lineRule="auto"/>
              <w:jc w:val="center"/>
              <w:rPr>
                <w:rFonts w:ascii="宋体" w:hAnsi="宋体"/>
                <w:color w:val="000000"/>
                <w:szCs w:val="21"/>
              </w:rPr>
            </w:pPr>
          </w:p>
        </w:tc>
        <w:tc>
          <w:tcPr>
            <w:tcW w:w="673" w:type="pct"/>
            <w:noWrap w:val="0"/>
            <w:vAlign w:val="center"/>
          </w:tcPr>
          <w:p w14:paraId="12E901C0">
            <w:pPr>
              <w:spacing w:line="360" w:lineRule="auto"/>
              <w:jc w:val="center"/>
              <w:rPr>
                <w:rFonts w:ascii="宋体" w:hAnsi="宋体"/>
                <w:color w:val="000000"/>
                <w:szCs w:val="21"/>
              </w:rPr>
            </w:pPr>
          </w:p>
        </w:tc>
      </w:tr>
      <w:tr w14:paraId="362839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5" w:type="pct"/>
            <w:noWrap w:val="0"/>
            <w:vAlign w:val="center"/>
          </w:tcPr>
          <w:p w14:paraId="4DF5D01B">
            <w:pPr>
              <w:spacing w:line="360" w:lineRule="auto"/>
              <w:jc w:val="center"/>
              <w:rPr>
                <w:rFonts w:ascii="宋体" w:hAnsi="宋体"/>
                <w:color w:val="000000"/>
                <w:szCs w:val="21"/>
              </w:rPr>
            </w:pPr>
          </w:p>
        </w:tc>
        <w:tc>
          <w:tcPr>
            <w:tcW w:w="513" w:type="pct"/>
            <w:noWrap w:val="0"/>
            <w:vAlign w:val="center"/>
          </w:tcPr>
          <w:p w14:paraId="755CA7A2">
            <w:pPr>
              <w:spacing w:line="360" w:lineRule="auto"/>
              <w:jc w:val="center"/>
              <w:rPr>
                <w:rFonts w:ascii="宋体" w:hAnsi="宋体"/>
                <w:color w:val="000000"/>
                <w:szCs w:val="21"/>
              </w:rPr>
            </w:pPr>
          </w:p>
        </w:tc>
        <w:tc>
          <w:tcPr>
            <w:tcW w:w="671" w:type="pct"/>
            <w:noWrap w:val="0"/>
            <w:vAlign w:val="center"/>
          </w:tcPr>
          <w:p w14:paraId="0B652256">
            <w:pPr>
              <w:spacing w:line="360" w:lineRule="auto"/>
              <w:jc w:val="center"/>
              <w:rPr>
                <w:rFonts w:ascii="宋体" w:hAnsi="宋体"/>
                <w:color w:val="000000"/>
                <w:szCs w:val="21"/>
              </w:rPr>
            </w:pPr>
          </w:p>
        </w:tc>
        <w:tc>
          <w:tcPr>
            <w:tcW w:w="671" w:type="pct"/>
            <w:noWrap w:val="0"/>
            <w:vAlign w:val="center"/>
          </w:tcPr>
          <w:p w14:paraId="71EA063E">
            <w:pPr>
              <w:spacing w:line="360" w:lineRule="auto"/>
              <w:jc w:val="center"/>
              <w:rPr>
                <w:rFonts w:ascii="宋体" w:hAnsi="宋体"/>
                <w:color w:val="000000"/>
                <w:szCs w:val="21"/>
              </w:rPr>
            </w:pPr>
          </w:p>
        </w:tc>
        <w:tc>
          <w:tcPr>
            <w:tcW w:w="671" w:type="pct"/>
            <w:noWrap w:val="0"/>
            <w:vAlign w:val="center"/>
          </w:tcPr>
          <w:p w14:paraId="7E15B3A3">
            <w:pPr>
              <w:spacing w:line="360" w:lineRule="auto"/>
              <w:jc w:val="center"/>
              <w:rPr>
                <w:rFonts w:ascii="宋体" w:hAnsi="宋体"/>
                <w:color w:val="000000"/>
                <w:szCs w:val="21"/>
              </w:rPr>
            </w:pPr>
          </w:p>
        </w:tc>
        <w:tc>
          <w:tcPr>
            <w:tcW w:w="671" w:type="pct"/>
            <w:noWrap w:val="0"/>
            <w:vAlign w:val="center"/>
          </w:tcPr>
          <w:p w14:paraId="3A7571B3">
            <w:pPr>
              <w:spacing w:line="360" w:lineRule="auto"/>
              <w:jc w:val="center"/>
              <w:rPr>
                <w:rFonts w:ascii="宋体" w:hAnsi="宋体"/>
                <w:color w:val="000000"/>
                <w:szCs w:val="21"/>
              </w:rPr>
            </w:pPr>
          </w:p>
        </w:tc>
        <w:tc>
          <w:tcPr>
            <w:tcW w:w="671" w:type="pct"/>
            <w:noWrap w:val="0"/>
            <w:vAlign w:val="center"/>
          </w:tcPr>
          <w:p w14:paraId="4186FE5B">
            <w:pPr>
              <w:spacing w:line="360" w:lineRule="auto"/>
              <w:jc w:val="center"/>
              <w:rPr>
                <w:rFonts w:ascii="宋体" w:hAnsi="宋体"/>
                <w:color w:val="000000"/>
                <w:szCs w:val="21"/>
              </w:rPr>
            </w:pPr>
          </w:p>
        </w:tc>
        <w:tc>
          <w:tcPr>
            <w:tcW w:w="673" w:type="pct"/>
            <w:noWrap w:val="0"/>
            <w:vAlign w:val="center"/>
          </w:tcPr>
          <w:p w14:paraId="0FF0A524">
            <w:pPr>
              <w:spacing w:line="360" w:lineRule="auto"/>
              <w:jc w:val="center"/>
              <w:rPr>
                <w:rFonts w:ascii="宋体" w:hAnsi="宋体"/>
                <w:color w:val="000000"/>
                <w:szCs w:val="21"/>
              </w:rPr>
            </w:pPr>
          </w:p>
        </w:tc>
      </w:tr>
      <w:tr w14:paraId="4D2456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5" w:type="pct"/>
            <w:noWrap w:val="0"/>
            <w:vAlign w:val="center"/>
          </w:tcPr>
          <w:p w14:paraId="3B97D191">
            <w:pPr>
              <w:spacing w:line="360" w:lineRule="auto"/>
              <w:jc w:val="center"/>
              <w:rPr>
                <w:rFonts w:ascii="宋体" w:hAnsi="宋体"/>
                <w:color w:val="000000"/>
                <w:szCs w:val="21"/>
              </w:rPr>
            </w:pPr>
          </w:p>
        </w:tc>
        <w:tc>
          <w:tcPr>
            <w:tcW w:w="513" w:type="pct"/>
            <w:noWrap w:val="0"/>
            <w:vAlign w:val="center"/>
          </w:tcPr>
          <w:p w14:paraId="3C957A8F">
            <w:pPr>
              <w:spacing w:line="360" w:lineRule="auto"/>
              <w:jc w:val="center"/>
              <w:rPr>
                <w:rFonts w:ascii="宋体" w:hAnsi="宋体"/>
                <w:color w:val="000000"/>
                <w:szCs w:val="21"/>
              </w:rPr>
            </w:pPr>
          </w:p>
        </w:tc>
        <w:tc>
          <w:tcPr>
            <w:tcW w:w="671" w:type="pct"/>
            <w:noWrap w:val="0"/>
            <w:vAlign w:val="center"/>
          </w:tcPr>
          <w:p w14:paraId="6488326D">
            <w:pPr>
              <w:spacing w:line="360" w:lineRule="auto"/>
              <w:jc w:val="center"/>
              <w:rPr>
                <w:rFonts w:ascii="宋体" w:hAnsi="宋体"/>
                <w:color w:val="000000"/>
                <w:szCs w:val="21"/>
              </w:rPr>
            </w:pPr>
          </w:p>
        </w:tc>
        <w:tc>
          <w:tcPr>
            <w:tcW w:w="671" w:type="pct"/>
            <w:noWrap w:val="0"/>
            <w:vAlign w:val="center"/>
          </w:tcPr>
          <w:p w14:paraId="6D982DAC">
            <w:pPr>
              <w:spacing w:line="360" w:lineRule="auto"/>
              <w:jc w:val="center"/>
              <w:rPr>
                <w:rFonts w:ascii="宋体" w:hAnsi="宋体"/>
                <w:color w:val="000000"/>
                <w:szCs w:val="21"/>
              </w:rPr>
            </w:pPr>
          </w:p>
        </w:tc>
        <w:tc>
          <w:tcPr>
            <w:tcW w:w="671" w:type="pct"/>
            <w:noWrap w:val="0"/>
            <w:vAlign w:val="center"/>
          </w:tcPr>
          <w:p w14:paraId="41084F2F">
            <w:pPr>
              <w:spacing w:line="360" w:lineRule="auto"/>
              <w:jc w:val="center"/>
              <w:rPr>
                <w:rFonts w:ascii="宋体" w:hAnsi="宋体"/>
                <w:color w:val="000000"/>
                <w:szCs w:val="21"/>
              </w:rPr>
            </w:pPr>
          </w:p>
        </w:tc>
        <w:tc>
          <w:tcPr>
            <w:tcW w:w="671" w:type="pct"/>
            <w:noWrap w:val="0"/>
            <w:vAlign w:val="center"/>
          </w:tcPr>
          <w:p w14:paraId="729242BC">
            <w:pPr>
              <w:spacing w:line="360" w:lineRule="auto"/>
              <w:jc w:val="center"/>
              <w:rPr>
                <w:rFonts w:ascii="宋体" w:hAnsi="宋体"/>
                <w:color w:val="000000"/>
                <w:szCs w:val="21"/>
              </w:rPr>
            </w:pPr>
          </w:p>
        </w:tc>
        <w:tc>
          <w:tcPr>
            <w:tcW w:w="671" w:type="pct"/>
            <w:noWrap w:val="0"/>
            <w:vAlign w:val="center"/>
          </w:tcPr>
          <w:p w14:paraId="43765B23">
            <w:pPr>
              <w:spacing w:line="360" w:lineRule="auto"/>
              <w:jc w:val="center"/>
              <w:rPr>
                <w:rFonts w:ascii="宋体" w:hAnsi="宋体"/>
                <w:color w:val="000000"/>
                <w:szCs w:val="21"/>
              </w:rPr>
            </w:pPr>
          </w:p>
        </w:tc>
        <w:tc>
          <w:tcPr>
            <w:tcW w:w="673" w:type="pct"/>
            <w:noWrap w:val="0"/>
            <w:vAlign w:val="center"/>
          </w:tcPr>
          <w:p w14:paraId="47E7B8A5">
            <w:pPr>
              <w:spacing w:line="360" w:lineRule="auto"/>
              <w:jc w:val="center"/>
              <w:rPr>
                <w:rFonts w:ascii="宋体" w:hAnsi="宋体"/>
                <w:color w:val="000000"/>
                <w:szCs w:val="21"/>
              </w:rPr>
            </w:pPr>
          </w:p>
        </w:tc>
      </w:tr>
    </w:tbl>
    <w:p w14:paraId="41131B7F">
      <w:pPr>
        <w:spacing w:line="360" w:lineRule="auto"/>
        <w:rPr>
          <w:rFonts w:ascii="宋体" w:hAnsi="宋体"/>
          <w:color w:val="000000"/>
        </w:rPr>
      </w:pPr>
    </w:p>
    <w:p w14:paraId="685F3C50">
      <w:pPr>
        <w:spacing w:line="360" w:lineRule="auto"/>
        <w:rPr>
          <w:rFonts w:ascii="宋体" w:hAnsi="宋体"/>
          <w:b/>
          <w:color w:val="000000"/>
        </w:rPr>
      </w:pPr>
    </w:p>
    <w:p w14:paraId="4681018A">
      <w:pPr>
        <w:pStyle w:val="40"/>
        <w:outlineLvl w:val="0"/>
      </w:pPr>
      <w:r>
        <w:t>附表四：计划开、竣工日期和施工进度计划（网络图或横道图）</w:t>
      </w:r>
    </w:p>
    <w:p w14:paraId="5CE47DD0">
      <w:pPr>
        <w:pStyle w:val="11"/>
        <w:rPr>
          <w:color w:val="000000"/>
        </w:rPr>
      </w:pPr>
      <w:r>
        <w:rPr>
          <w:color w:val="000000"/>
        </w:rPr>
        <w:t>1. 供应商应提交施工进度计划，说明按竞争性磋商文件要求的工期进行施工的各个关键日期。中标的供应商还应按合同条件有关条款的要求提交详细的施工进度计划。</w:t>
      </w:r>
    </w:p>
    <w:p w14:paraId="4088EABE">
      <w:pPr>
        <w:pStyle w:val="11"/>
        <w:rPr>
          <w:color w:val="000000"/>
        </w:rPr>
      </w:pPr>
      <w:r>
        <w:rPr>
          <w:color w:val="000000"/>
        </w:rPr>
        <w:t>2. 施工进度计划可采用网络图（或横道图）表示，说明计划开工日期和各分项工程各阶段的完工日期和分包合同签订的日期。</w:t>
      </w:r>
    </w:p>
    <w:p w14:paraId="1E358D9C">
      <w:pPr>
        <w:pStyle w:val="11"/>
        <w:rPr>
          <w:color w:val="000000"/>
        </w:rPr>
      </w:pPr>
      <w:r>
        <w:rPr>
          <w:color w:val="000000"/>
        </w:rPr>
        <w:t>3. 施工进度计划应与施工组织设计相适应。</w:t>
      </w:r>
    </w:p>
    <w:p w14:paraId="537D338F">
      <w:pPr>
        <w:spacing w:line="360" w:lineRule="auto"/>
        <w:rPr>
          <w:rFonts w:ascii="宋体" w:hAnsi="宋体"/>
          <w:color w:val="000000"/>
        </w:rPr>
      </w:pPr>
    </w:p>
    <w:p w14:paraId="71D28803">
      <w:pPr>
        <w:pStyle w:val="40"/>
        <w:outlineLvl w:val="1"/>
      </w:pPr>
      <w:r>
        <w:t>附表五：临时用地表</w:t>
      </w:r>
    </w:p>
    <w:tbl>
      <w:tblPr>
        <w:tblStyle w:val="22"/>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20"/>
        <w:gridCol w:w="2220"/>
        <w:gridCol w:w="2221"/>
        <w:gridCol w:w="2221"/>
      </w:tblGrid>
      <w:tr w14:paraId="350427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250" w:type="pct"/>
            <w:noWrap w:val="0"/>
            <w:vAlign w:val="center"/>
          </w:tcPr>
          <w:p w14:paraId="6AF7CC21">
            <w:pPr>
              <w:spacing w:line="360" w:lineRule="auto"/>
              <w:jc w:val="center"/>
              <w:rPr>
                <w:rFonts w:ascii="宋体" w:hAnsi="宋体"/>
                <w:color w:val="000000"/>
              </w:rPr>
            </w:pPr>
            <w:r>
              <w:rPr>
                <w:rFonts w:ascii="宋体" w:hAnsi="宋体"/>
                <w:color w:val="000000"/>
                <w:szCs w:val="21"/>
              </w:rPr>
              <w:t>用途</w:t>
            </w:r>
          </w:p>
        </w:tc>
        <w:tc>
          <w:tcPr>
            <w:tcW w:w="1250" w:type="pct"/>
            <w:noWrap w:val="0"/>
            <w:vAlign w:val="center"/>
          </w:tcPr>
          <w:p w14:paraId="5F23741E">
            <w:pPr>
              <w:spacing w:line="360" w:lineRule="auto"/>
              <w:jc w:val="center"/>
              <w:rPr>
                <w:rFonts w:ascii="宋体" w:hAnsi="宋体"/>
                <w:color w:val="000000"/>
              </w:rPr>
            </w:pPr>
            <w:r>
              <w:rPr>
                <w:rFonts w:ascii="宋体" w:hAnsi="宋体"/>
                <w:color w:val="000000"/>
                <w:szCs w:val="21"/>
              </w:rPr>
              <w:t>面积（平方米）</w:t>
            </w:r>
          </w:p>
        </w:tc>
        <w:tc>
          <w:tcPr>
            <w:tcW w:w="1250" w:type="pct"/>
            <w:noWrap w:val="0"/>
            <w:vAlign w:val="center"/>
          </w:tcPr>
          <w:p w14:paraId="15E042AA">
            <w:pPr>
              <w:spacing w:line="360" w:lineRule="auto"/>
              <w:jc w:val="center"/>
              <w:rPr>
                <w:rFonts w:ascii="宋体" w:hAnsi="宋体"/>
                <w:color w:val="000000"/>
              </w:rPr>
            </w:pPr>
            <w:r>
              <w:rPr>
                <w:rFonts w:ascii="宋体" w:hAnsi="宋体"/>
                <w:color w:val="000000"/>
                <w:szCs w:val="21"/>
              </w:rPr>
              <w:t>位置</w:t>
            </w:r>
          </w:p>
        </w:tc>
        <w:tc>
          <w:tcPr>
            <w:tcW w:w="1250" w:type="pct"/>
            <w:noWrap w:val="0"/>
            <w:vAlign w:val="center"/>
          </w:tcPr>
          <w:p w14:paraId="6F81E8DB">
            <w:pPr>
              <w:spacing w:line="360" w:lineRule="auto"/>
              <w:jc w:val="center"/>
              <w:rPr>
                <w:rFonts w:ascii="宋体" w:hAnsi="宋体"/>
                <w:color w:val="000000"/>
              </w:rPr>
            </w:pPr>
            <w:r>
              <w:rPr>
                <w:rFonts w:ascii="宋体" w:hAnsi="宋体"/>
                <w:color w:val="000000"/>
                <w:szCs w:val="21"/>
              </w:rPr>
              <w:t>需用时间</w:t>
            </w:r>
          </w:p>
        </w:tc>
      </w:tr>
      <w:tr w14:paraId="4A7416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250" w:type="pct"/>
            <w:noWrap w:val="0"/>
            <w:vAlign w:val="top"/>
          </w:tcPr>
          <w:p w14:paraId="31F88FFE">
            <w:pPr>
              <w:spacing w:line="360" w:lineRule="auto"/>
              <w:rPr>
                <w:rFonts w:ascii="宋体" w:hAnsi="宋体"/>
                <w:color w:val="000000"/>
              </w:rPr>
            </w:pPr>
          </w:p>
        </w:tc>
        <w:tc>
          <w:tcPr>
            <w:tcW w:w="1250" w:type="pct"/>
            <w:noWrap w:val="0"/>
            <w:vAlign w:val="top"/>
          </w:tcPr>
          <w:p w14:paraId="063F3C7A">
            <w:pPr>
              <w:spacing w:line="360" w:lineRule="auto"/>
              <w:rPr>
                <w:rFonts w:ascii="宋体" w:hAnsi="宋体"/>
                <w:color w:val="000000"/>
              </w:rPr>
            </w:pPr>
          </w:p>
        </w:tc>
        <w:tc>
          <w:tcPr>
            <w:tcW w:w="1250" w:type="pct"/>
            <w:noWrap w:val="0"/>
            <w:vAlign w:val="top"/>
          </w:tcPr>
          <w:p w14:paraId="7A04E8D4">
            <w:pPr>
              <w:spacing w:line="360" w:lineRule="auto"/>
              <w:rPr>
                <w:rFonts w:ascii="宋体" w:hAnsi="宋体"/>
                <w:color w:val="000000"/>
              </w:rPr>
            </w:pPr>
          </w:p>
        </w:tc>
        <w:tc>
          <w:tcPr>
            <w:tcW w:w="1250" w:type="pct"/>
            <w:noWrap w:val="0"/>
            <w:vAlign w:val="top"/>
          </w:tcPr>
          <w:p w14:paraId="39F984F0">
            <w:pPr>
              <w:spacing w:line="360" w:lineRule="auto"/>
              <w:rPr>
                <w:rFonts w:ascii="宋体" w:hAnsi="宋体"/>
                <w:color w:val="000000"/>
              </w:rPr>
            </w:pPr>
          </w:p>
        </w:tc>
      </w:tr>
      <w:tr w14:paraId="5ED616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250" w:type="pct"/>
            <w:noWrap w:val="0"/>
            <w:vAlign w:val="top"/>
          </w:tcPr>
          <w:p w14:paraId="0B8ADD6F">
            <w:pPr>
              <w:spacing w:line="360" w:lineRule="auto"/>
              <w:rPr>
                <w:rFonts w:ascii="宋体" w:hAnsi="宋体"/>
                <w:color w:val="000000"/>
              </w:rPr>
            </w:pPr>
          </w:p>
        </w:tc>
        <w:tc>
          <w:tcPr>
            <w:tcW w:w="1250" w:type="pct"/>
            <w:noWrap w:val="0"/>
            <w:vAlign w:val="top"/>
          </w:tcPr>
          <w:p w14:paraId="283A653C">
            <w:pPr>
              <w:spacing w:line="360" w:lineRule="auto"/>
              <w:rPr>
                <w:rFonts w:ascii="宋体" w:hAnsi="宋体"/>
                <w:color w:val="000000"/>
              </w:rPr>
            </w:pPr>
          </w:p>
        </w:tc>
        <w:tc>
          <w:tcPr>
            <w:tcW w:w="1250" w:type="pct"/>
            <w:noWrap w:val="0"/>
            <w:vAlign w:val="top"/>
          </w:tcPr>
          <w:p w14:paraId="294BD223">
            <w:pPr>
              <w:spacing w:line="360" w:lineRule="auto"/>
              <w:rPr>
                <w:rFonts w:ascii="宋体" w:hAnsi="宋体"/>
                <w:color w:val="000000"/>
              </w:rPr>
            </w:pPr>
          </w:p>
        </w:tc>
        <w:tc>
          <w:tcPr>
            <w:tcW w:w="1250" w:type="pct"/>
            <w:noWrap w:val="0"/>
            <w:vAlign w:val="top"/>
          </w:tcPr>
          <w:p w14:paraId="33ED2681">
            <w:pPr>
              <w:spacing w:line="360" w:lineRule="auto"/>
              <w:rPr>
                <w:rFonts w:ascii="宋体" w:hAnsi="宋体"/>
                <w:color w:val="000000"/>
              </w:rPr>
            </w:pPr>
          </w:p>
        </w:tc>
      </w:tr>
      <w:tr w14:paraId="690DF6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1250" w:type="pct"/>
            <w:noWrap w:val="0"/>
            <w:vAlign w:val="top"/>
          </w:tcPr>
          <w:p w14:paraId="7DF6EE99">
            <w:pPr>
              <w:spacing w:line="360" w:lineRule="auto"/>
              <w:rPr>
                <w:rFonts w:ascii="宋体" w:hAnsi="宋体"/>
                <w:color w:val="000000"/>
              </w:rPr>
            </w:pPr>
          </w:p>
        </w:tc>
        <w:tc>
          <w:tcPr>
            <w:tcW w:w="1250" w:type="pct"/>
            <w:noWrap w:val="0"/>
            <w:vAlign w:val="top"/>
          </w:tcPr>
          <w:p w14:paraId="7E8C7AA8">
            <w:pPr>
              <w:spacing w:line="360" w:lineRule="auto"/>
              <w:rPr>
                <w:rFonts w:ascii="宋体" w:hAnsi="宋体"/>
                <w:color w:val="000000"/>
              </w:rPr>
            </w:pPr>
          </w:p>
        </w:tc>
        <w:tc>
          <w:tcPr>
            <w:tcW w:w="1250" w:type="pct"/>
            <w:noWrap w:val="0"/>
            <w:vAlign w:val="top"/>
          </w:tcPr>
          <w:p w14:paraId="55232EB6">
            <w:pPr>
              <w:spacing w:line="360" w:lineRule="auto"/>
              <w:rPr>
                <w:rFonts w:ascii="宋体" w:hAnsi="宋体"/>
                <w:color w:val="000000"/>
              </w:rPr>
            </w:pPr>
          </w:p>
        </w:tc>
        <w:tc>
          <w:tcPr>
            <w:tcW w:w="1250" w:type="pct"/>
            <w:noWrap w:val="0"/>
            <w:vAlign w:val="top"/>
          </w:tcPr>
          <w:p w14:paraId="60E965DD">
            <w:pPr>
              <w:spacing w:line="360" w:lineRule="auto"/>
              <w:rPr>
                <w:rFonts w:ascii="宋体" w:hAnsi="宋体"/>
                <w:color w:val="000000"/>
              </w:rPr>
            </w:pPr>
          </w:p>
        </w:tc>
      </w:tr>
      <w:tr w14:paraId="74032D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250" w:type="pct"/>
            <w:noWrap w:val="0"/>
            <w:vAlign w:val="top"/>
          </w:tcPr>
          <w:p w14:paraId="5662AF5A">
            <w:pPr>
              <w:spacing w:line="360" w:lineRule="auto"/>
              <w:rPr>
                <w:rFonts w:ascii="宋体" w:hAnsi="宋体"/>
                <w:color w:val="000000"/>
              </w:rPr>
            </w:pPr>
          </w:p>
        </w:tc>
        <w:tc>
          <w:tcPr>
            <w:tcW w:w="1250" w:type="pct"/>
            <w:noWrap w:val="0"/>
            <w:vAlign w:val="top"/>
          </w:tcPr>
          <w:p w14:paraId="6EACDAB0">
            <w:pPr>
              <w:spacing w:line="360" w:lineRule="auto"/>
              <w:rPr>
                <w:rFonts w:ascii="宋体" w:hAnsi="宋体"/>
                <w:color w:val="000000"/>
              </w:rPr>
            </w:pPr>
          </w:p>
        </w:tc>
        <w:tc>
          <w:tcPr>
            <w:tcW w:w="1250" w:type="pct"/>
            <w:noWrap w:val="0"/>
            <w:vAlign w:val="top"/>
          </w:tcPr>
          <w:p w14:paraId="3E3F817D">
            <w:pPr>
              <w:spacing w:line="360" w:lineRule="auto"/>
              <w:rPr>
                <w:rFonts w:ascii="宋体" w:hAnsi="宋体"/>
                <w:color w:val="000000"/>
              </w:rPr>
            </w:pPr>
          </w:p>
        </w:tc>
        <w:tc>
          <w:tcPr>
            <w:tcW w:w="1250" w:type="pct"/>
            <w:noWrap w:val="0"/>
            <w:vAlign w:val="top"/>
          </w:tcPr>
          <w:p w14:paraId="0F7D3103">
            <w:pPr>
              <w:spacing w:line="360" w:lineRule="auto"/>
              <w:rPr>
                <w:rFonts w:ascii="宋体" w:hAnsi="宋体"/>
                <w:color w:val="000000"/>
              </w:rPr>
            </w:pPr>
          </w:p>
        </w:tc>
      </w:tr>
    </w:tbl>
    <w:p w14:paraId="12BC753B">
      <w:pPr>
        <w:spacing w:line="360" w:lineRule="auto"/>
        <w:rPr>
          <w:rFonts w:ascii="宋体" w:hAnsi="宋体"/>
          <w:color w:val="000000"/>
        </w:rPr>
      </w:pPr>
    </w:p>
    <w:p w14:paraId="1252DFE2">
      <w:pPr>
        <w:spacing w:line="360" w:lineRule="auto"/>
        <w:rPr>
          <w:rFonts w:hint="eastAsia" w:ascii="宋体" w:hAnsi="宋体"/>
          <w:b/>
          <w:color w:val="000000"/>
          <w:sz w:val="24"/>
        </w:rPr>
      </w:pPr>
      <w:r>
        <w:rPr>
          <w:rFonts w:ascii="宋体" w:hAnsi="宋体"/>
          <w:b/>
          <w:color w:val="000000"/>
          <w:sz w:val="24"/>
        </w:rPr>
        <w:br w:type="page"/>
      </w:r>
    </w:p>
    <w:p w14:paraId="0F3AF3DF">
      <w:pPr>
        <w:pStyle w:val="2"/>
        <w:numPr>
          <w:ilvl w:val="0"/>
          <w:numId w:val="62"/>
        </w:numPr>
        <w:tabs>
          <w:tab w:val="clear" w:pos="482"/>
        </w:tabs>
        <w:ind w:left="0" w:leftChars="0" w:firstLine="480" w:firstLineChars="0"/>
      </w:pPr>
      <w:r>
        <w:t>项目管理机构配备情况表</w:t>
      </w:r>
    </w:p>
    <w:p w14:paraId="48F2E836">
      <w:pPr>
        <w:pStyle w:val="3"/>
        <w:numPr>
          <w:ilvl w:val="0"/>
          <w:numId w:val="64"/>
        </w:numPr>
        <w:topLinePunct w:val="0"/>
        <w:ind w:left="0" w:leftChars="0" w:firstLine="482" w:firstLineChars="0"/>
        <w:rPr>
          <w:b/>
        </w:rPr>
      </w:pPr>
      <w:r>
        <w:t>项目管理机构配备情况表</w:t>
      </w:r>
    </w:p>
    <w:p w14:paraId="373575AF">
      <w:pPr>
        <w:pStyle w:val="33"/>
        <w:spacing w:line="360" w:lineRule="auto"/>
        <w:rPr>
          <w:rFonts w:ascii="宋体" w:hAnsi="宋体"/>
          <w:color w:val="000000"/>
          <w:u w:val="single"/>
        </w:rPr>
      </w:pPr>
    </w:p>
    <w:tbl>
      <w:tblPr>
        <w:tblStyle w:val="22"/>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2"/>
        <w:gridCol w:w="785"/>
        <w:gridCol w:w="775"/>
        <w:gridCol w:w="1089"/>
        <w:gridCol w:w="1089"/>
        <w:gridCol w:w="1089"/>
        <w:gridCol w:w="1093"/>
        <w:gridCol w:w="807"/>
        <w:gridCol w:w="1215"/>
      </w:tblGrid>
      <w:tr w14:paraId="5A0152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atLeast"/>
          <w:jc w:val="center"/>
        </w:trPr>
        <w:tc>
          <w:tcPr>
            <w:tcW w:w="530" w:type="pct"/>
            <w:vMerge w:val="restart"/>
            <w:noWrap w:val="0"/>
            <w:vAlign w:val="center"/>
          </w:tcPr>
          <w:p w14:paraId="6AB045C9">
            <w:pPr>
              <w:spacing w:line="360" w:lineRule="auto"/>
              <w:ind w:left="223" w:hanging="222" w:hangingChars="106"/>
              <w:jc w:val="center"/>
              <w:rPr>
                <w:rFonts w:ascii="宋体" w:hAnsi="宋体"/>
                <w:color w:val="000000"/>
              </w:rPr>
            </w:pPr>
            <w:r>
              <w:rPr>
                <w:rFonts w:ascii="宋体" w:hAnsi="宋体"/>
                <w:color w:val="000000"/>
              </w:rPr>
              <w:t>岗位</w:t>
            </w:r>
          </w:p>
        </w:tc>
        <w:tc>
          <w:tcPr>
            <w:tcW w:w="442" w:type="pct"/>
            <w:vMerge w:val="restart"/>
            <w:noWrap w:val="0"/>
            <w:vAlign w:val="center"/>
          </w:tcPr>
          <w:p w14:paraId="3B45301A">
            <w:pPr>
              <w:spacing w:line="360" w:lineRule="auto"/>
              <w:ind w:left="223" w:hanging="222" w:hangingChars="106"/>
              <w:jc w:val="center"/>
              <w:rPr>
                <w:rFonts w:ascii="宋体" w:hAnsi="宋体"/>
                <w:color w:val="000000"/>
              </w:rPr>
            </w:pPr>
            <w:bookmarkStart w:id="63" w:name="_Toc251052187"/>
            <w:r>
              <w:rPr>
                <w:rFonts w:ascii="宋体" w:hAnsi="宋体"/>
                <w:color w:val="000000"/>
              </w:rPr>
              <w:t>姓名</w:t>
            </w:r>
            <w:bookmarkEnd w:id="63"/>
          </w:p>
        </w:tc>
        <w:tc>
          <w:tcPr>
            <w:tcW w:w="436" w:type="pct"/>
            <w:vMerge w:val="restart"/>
            <w:noWrap w:val="0"/>
            <w:vAlign w:val="center"/>
          </w:tcPr>
          <w:p w14:paraId="162D6062">
            <w:pPr>
              <w:spacing w:line="360" w:lineRule="auto"/>
              <w:ind w:left="223" w:hanging="222" w:hangingChars="106"/>
              <w:jc w:val="center"/>
              <w:rPr>
                <w:rFonts w:ascii="宋体" w:hAnsi="宋体"/>
                <w:color w:val="000000"/>
              </w:rPr>
            </w:pPr>
            <w:bookmarkStart w:id="64" w:name="_Toc251052188"/>
            <w:r>
              <w:rPr>
                <w:rFonts w:ascii="宋体" w:hAnsi="宋体"/>
                <w:color w:val="000000"/>
              </w:rPr>
              <w:t>职称</w:t>
            </w:r>
            <w:bookmarkEnd w:id="64"/>
          </w:p>
        </w:tc>
        <w:tc>
          <w:tcPr>
            <w:tcW w:w="2454" w:type="pct"/>
            <w:gridSpan w:val="4"/>
            <w:noWrap w:val="0"/>
            <w:vAlign w:val="center"/>
          </w:tcPr>
          <w:p w14:paraId="43626930">
            <w:pPr>
              <w:spacing w:line="360" w:lineRule="auto"/>
              <w:ind w:left="223" w:hanging="222" w:hangingChars="106"/>
              <w:jc w:val="center"/>
              <w:rPr>
                <w:rFonts w:ascii="宋体" w:hAnsi="宋体"/>
                <w:color w:val="000000"/>
              </w:rPr>
            </w:pPr>
            <w:bookmarkStart w:id="65" w:name="_Toc251052189"/>
            <w:r>
              <w:rPr>
                <w:rFonts w:ascii="宋体" w:hAnsi="宋体"/>
                <w:color w:val="000000"/>
              </w:rPr>
              <w:t>执业或职业资格证明</w:t>
            </w:r>
            <w:bookmarkEnd w:id="65"/>
          </w:p>
        </w:tc>
        <w:tc>
          <w:tcPr>
            <w:tcW w:w="1136" w:type="pct"/>
            <w:gridSpan w:val="2"/>
            <w:noWrap w:val="0"/>
            <w:vAlign w:val="center"/>
          </w:tcPr>
          <w:p w14:paraId="294D6876">
            <w:pPr>
              <w:spacing w:line="360" w:lineRule="auto"/>
              <w:ind w:left="223" w:hanging="222" w:hangingChars="106"/>
              <w:jc w:val="center"/>
              <w:rPr>
                <w:rFonts w:ascii="宋体" w:hAnsi="宋体"/>
                <w:color w:val="000000"/>
              </w:rPr>
            </w:pPr>
            <w:bookmarkStart w:id="66" w:name="_Toc251052190"/>
            <w:r>
              <w:rPr>
                <w:rFonts w:ascii="宋体" w:hAnsi="宋体"/>
                <w:color w:val="000000"/>
              </w:rPr>
              <w:t>承担完工</w:t>
            </w:r>
            <w:bookmarkEnd w:id="66"/>
            <w:bookmarkStart w:id="67" w:name="_Toc251052191"/>
            <w:r>
              <w:rPr>
                <w:rFonts w:ascii="宋体" w:hAnsi="宋体"/>
                <w:color w:val="000000"/>
              </w:rPr>
              <w:t>工程情况</w:t>
            </w:r>
            <w:bookmarkEnd w:id="67"/>
          </w:p>
        </w:tc>
      </w:tr>
      <w:tr w14:paraId="0E5C6D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4" w:hRule="atLeast"/>
          <w:jc w:val="center"/>
        </w:trPr>
        <w:tc>
          <w:tcPr>
            <w:tcW w:w="530" w:type="pct"/>
            <w:vMerge w:val="continue"/>
            <w:noWrap w:val="0"/>
            <w:vAlign w:val="center"/>
          </w:tcPr>
          <w:p w14:paraId="7C5858F0">
            <w:pPr>
              <w:spacing w:line="360" w:lineRule="auto"/>
              <w:ind w:left="223" w:hanging="222" w:hangingChars="106"/>
              <w:jc w:val="center"/>
              <w:rPr>
                <w:rFonts w:ascii="宋体" w:hAnsi="宋体"/>
                <w:color w:val="000000"/>
              </w:rPr>
            </w:pPr>
          </w:p>
        </w:tc>
        <w:tc>
          <w:tcPr>
            <w:tcW w:w="442" w:type="pct"/>
            <w:vMerge w:val="continue"/>
            <w:noWrap w:val="0"/>
            <w:vAlign w:val="center"/>
          </w:tcPr>
          <w:p w14:paraId="028791E1">
            <w:pPr>
              <w:spacing w:line="360" w:lineRule="auto"/>
              <w:ind w:left="223" w:hanging="222" w:hangingChars="106"/>
              <w:jc w:val="center"/>
              <w:rPr>
                <w:rFonts w:ascii="宋体" w:hAnsi="宋体"/>
                <w:color w:val="000000"/>
              </w:rPr>
            </w:pPr>
          </w:p>
        </w:tc>
        <w:tc>
          <w:tcPr>
            <w:tcW w:w="436" w:type="pct"/>
            <w:vMerge w:val="continue"/>
            <w:noWrap w:val="0"/>
            <w:vAlign w:val="center"/>
          </w:tcPr>
          <w:p w14:paraId="0DC8E1EB">
            <w:pPr>
              <w:spacing w:line="360" w:lineRule="auto"/>
              <w:ind w:left="223" w:hanging="222" w:hangingChars="106"/>
              <w:jc w:val="center"/>
              <w:rPr>
                <w:rFonts w:ascii="宋体" w:hAnsi="宋体"/>
                <w:color w:val="000000"/>
              </w:rPr>
            </w:pPr>
          </w:p>
        </w:tc>
        <w:tc>
          <w:tcPr>
            <w:tcW w:w="613" w:type="pct"/>
            <w:noWrap w:val="0"/>
            <w:vAlign w:val="center"/>
          </w:tcPr>
          <w:p w14:paraId="3A3C0EF4">
            <w:pPr>
              <w:spacing w:line="360" w:lineRule="auto"/>
              <w:ind w:left="223" w:hanging="222" w:hangingChars="106"/>
              <w:jc w:val="center"/>
              <w:rPr>
                <w:rFonts w:ascii="宋体" w:hAnsi="宋体"/>
                <w:color w:val="000000"/>
              </w:rPr>
            </w:pPr>
            <w:bookmarkStart w:id="68" w:name="_Toc251052192"/>
            <w:r>
              <w:rPr>
                <w:rFonts w:ascii="宋体" w:hAnsi="宋体"/>
                <w:color w:val="000000"/>
              </w:rPr>
              <w:t>证书名称</w:t>
            </w:r>
            <w:bookmarkEnd w:id="68"/>
          </w:p>
        </w:tc>
        <w:tc>
          <w:tcPr>
            <w:tcW w:w="613" w:type="pct"/>
            <w:noWrap w:val="0"/>
            <w:vAlign w:val="center"/>
          </w:tcPr>
          <w:p w14:paraId="785A610E">
            <w:pPr>
              <w:spacing w:line="360" w:lineRule="auto"/>
              <w:ind w:left="223" w:hanging="222" w:hangingChars="106"/>
              <w:jc w:val="center"/>
              <w:rPr>
                <w:rFonts w:ascii="宋体" w:hAnsi="宋体"/>
                <w:color w:val="000000"/>
              </w:rPr>
            </w:pPr>
            <w:bookmarkStart w:id="69" w:name="_Toc251052193"/>
            <w:r>
              <w:rPr>
                <w:rFonts w:ascii="宋体" w:hAnsi="宋体"/>
                <w:color w:val="000000"/>
              </w:rPr>
              <w:t>级别</w:t>
            </w:r>
            <w:bookmarkEnd w:id="69"/>
          </w:p>
        </w:tc>
        <w:tc>
          <w:tcPr>
            <w:tcW w:w="613" w:type="pct"/>
            <w:noWrap w:val="0"/>
            <w:vAlign w:val="center"/>
          </w:tcPr>
          <w:p w14:paraId="1D195C47">
            <w:pPr>
              <w:spacing w:line="360" w:lineRule="auto"/>
              <w:ind w:left="223" w:hanging="222" w:hangingChars="106"/>
              <w:jc w:val="center"/>
              <w:rPr>
                <w:rFonts w:ascii="宋体" w:hAnsi="宋体"/>
                <w:color w:val="000000"/>
              </w:rPr>
            </w:pPr>
            <w:bookmarkStart w:id="70" w:name="_Toc251052194"/>
            <w:r>
              <w:rPr>
                <w:rFonts w:ascii="宋体" w:hAnsi="宋体"/>
                <w:color w:val="000000"/>
              </w:rPr>
              <w:t>证号</w:t>
            </w:r>
            <w:bookmarkEnd w:id="70"/>
          </w:p>
        </w:tc>
        <w:tc>
          <w:tcPr>
            <w:tcW w:w="613" w:type="pct"/>
            <w:noWrap w:val="0"/>
            <w:vAlign w:val="center"/>
          </w:tcPr>
          <w:p w14:paraId="7F0C5488">
            <w:pPr>
              <w:spacing w:line="360" w:lineRule="auto"/>
              <w:ind w:left="223" w:hanging="222" w:hangingChars="106"/>
              <w:jc w:val="center"/>
              <w:rPr>
                <w:rFonts w:ascii="宋体" w:hAnsi="宋体"/>
                <w:color w:val="000000"/>
              </w:rPr>
            </w:pPr>
            <w:bookmarkStart w:id="71" w:name="_Toc251052195"/>
            <w:r>
              <w:rPr>
                <w:rFonts w:ascii="宋体" w:hAnsi="宋体"/>
                <w:color w:val="000000"/>
              </w:rPr>
              <w:t>专业</w:t>
            </w:r>
            <w:bookmarkEnd w:id="71"/>
          </w:p>
        </w:tc>
        <w:tc>
          <w:tcPr>
            <w:tcW w:w="454" w:type="pct"/>
            <w:noWrap w:val="0"/>
            <w:vAlign w:val="center"/>
          </w:tcPr>
          <w:p w14:paraId="1BC30808">
            <w:pPr>
              <w:spacing w:line="360" w:lineRule="auto"/>
              <w:ind w:left="223" w:hanging="222" w:hangingChars="106"/>
              <w:jc w:val="center"/>
              <w:rPr>
                <w:rFonts w:ascii="宋体" w:hAnsi="宋体"/>
                <w:color w:val="000000"/>
              </w:rPr>
            </w:pPr>
            <w:bookmarkStart w:id="72" w:name="_Toc251052197"/>
            <w:r>
              <w:rPr>
                <w:rFonts w:ascii="宋体" w:hAnsi="宋体"/>
                <w:color w:val="000000"/>
              </w:rPr>
              <w:t>项目数</w:t>
            </w:r>
            <w:bookmarkEnd w:id="72"/>
          </w:p>
        </w:tc>
        <w:tc>
          <w:tcPr>
            <w:tcW w:w="682" w:type="pct"/>
            <w:noWrap w:val="0"/>
            <w:vAlign w:val="center"/>
          </w:tcPr>
          <w:p w14:paraId="7883A139">
            <w:pPr>
              <w:spacing w:line="360" w:lineRule="auto"/>
              <w:ind w:left="223" w:hanging="222" w:hangingChars="106"/>
              <w:jc w:val="center"/>
              <w:rPr>
                <w:rFonts w:ascii="宋体" w:hAnsi="宋体"/>
                <w:color w:val="000000"/>
              </w:rPr>
            </w:pPr>
            <w:bookmarkStart w:id="73" w:name="_Toc251052198"/>
            <w:r>
              <w:rPr>
                <w:rFonts w:ascii="宋体" w:hAnsi="宋体"/>
                <w:color w:val="000000"/>
              </w:rPr>
              <w:t>主要项目</w:t>
            </w:r>
          </w:p>
          <w:p w14:paraId="0DE50C0C">
            <w:pPr>
              <w:spacing w:line="360" w:lineRule="auto"/>
              <w:ind w:left="223" w:hanging="222" w:hangingChars="106"/>
              <w:jc w:val="center"/>
              <w:rPr>
                <w:rFonts w:ascii="宋体" w:hAnsi="宋体"/>
                <w:color w:val="000000"/>
              </w:rPr>
            </w:pPr>
            <w:r>
              <w:rPr>
                <w:rFonts w:ascii="宋体" w:hAnsi="宋体"/>
                <w:color w:val="000000"/>
              </w:rPr>
              <w:t>名称</w:t>
            </w:r>
            <w:bookmarkEnd w:id="73"/>
          </w:p>
        </w:tc>
      </w:tr>
      <w:tr w14:paraId="141D72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530" w:type="pct"/>
            <w:noWrap w:val="0"/>
            <w:vAlign w:val="center"/>
          </w:tcPr>
          <w:p w14:paraId="5C6410BB">
            <w:pPr>
              <w:spacing w:line="360" w:lineRule="auto"/>
              <w:ind w:left="223" w:hanging="222" w:hangingChars="106"/>
              <w:jc w:val="center"/>
              <w:rPr>
                <w:rFonts w:ascii="宋体" w:hAnsi="宋体"/>
                <w:color w:val="000000"/>
                <w:szCs w:val="21"/>
              </w:rPr>
            </w:pPr>
            <w:r>
              <w:rPr>
                <w:rFonts w:ascii="宋体" w:hAnsi="宋体"/>
                <w:color w:val="000000"/>
                <w:szCs w:val="21"/>
              </w:rPr>
              <w:t>施工员</w:t>
            </w:r>
          </w:p>
        </w:tc>
        <w:tc>
          <w:tcPr>
            <w:tcW w:w="442" w:type="pct"/>
            <w:noWrap w:val="0"/>
            <w:vAlign w:val="center"/>
          </w:tcPr>
          <w:p w14:paraId="438AF20D">
            <w:pPr>
              <w:spacing w:line="360" w:lineRule="auto"/>
              <w:ind w:left="223" w:hanging="222" w:hangingChars="106"/>
              <w:jc w:val="center"/>
              <w:rPr>
                <w:rFonts w:ascii="宋体" w:hAnsi="宋体"/>
                <w:color w:val="000000"/>
              </w:rPr>
            </w:pPr>
          </w:p>
        </w:tc>
        <w:tc>
          <w:tcPr>
            <w:tcW w:w="436" w:type="pct"/>
            <w:noWrap w:val="0"/>
            <w:vAlign w:val="center"/>
          </w:tcPr>
          <w:p w14:paraId="1EE7B02F">
            <w:pPr>
              <w:spacing w:line="360" w:lineRule="auto"/>
              <w:ind w:left="223" w:hanging="222" w:hangingChars="106"/>
              <w:jc w:val="center"/>
              <w:rPr>
                <w:rFonts w:ascii="宋体" w:hAnsi="宋体"/>
                <w:color w:val="000000"/>
              </w:rPr>
            </w:pPr>
          </w:p>
        </w:tc>
        <w:tc>
          <w:tcPr>
            <w:tcW w:w="613" w:type="pct"/>
            <w:noWrap w:val="0"/>
            <w:vAlign w:val="center"/>
          </w:tcPr>
          <w:p w14:paraId="7618EB22">
            <w:pPr>
              <w:spacing w:line="360" w:lineRule="auto"/>
              <w:ind w:left="223" w:hanging="222" w:hangingChars="106"/>
              <w:jc w:val="center"/>
              <w:rPr>
                <w:rFonts w:ascii="宋体" w:hAnsi="宋体"/>
                <w:color w:val="000000"/>
              </w:rPr>
            </w:pPr>
          </w:p>
        </w:tc>
        <w:tc>
          <w:tcPr>
            <w:tcW w:w="613" w:type="pct"/>
            <w:noWrap w:val="0"/>
            <w:vAlign w:val="center"/>
          </w:tcPr>
          <w:p w14:paraId="4716060C">
            <w:pPr>
              <w:spacing w:line="360" w:lineRule="auto"/>
              <w:ind w:left="223" w:hanging="222" w:hangingChars="106"/>
              <w:jc w:val="center"/>
              <w:rPr>
                <w:rFonts w:ascii="宋体" w:hAnsi="宋体"/>
                <w:color w:val="000000"/>
              </w:rPr>
            </w:pPr>
          </w:p>
        </w:tc>
        <w:tc>
          <w:tcPr>
            <w:tcW w:w="613" w:type="pct"/>
            <w:noWrap w:val="0"/>
            <w:vAlign w:val="center"/>
          </w:tcPr>
          <w:p w14:paraId="4D7C2743">
            <w:pPr>
              <w:spacing w:line="360" w:lineRule="auto"/>
              <w:ind w:left="223" w:hanging="222" w:hangingChars="106"/>
              <w:jc w:val="center"/>
              <w:rPr>
                <w:rFonts w:ascii="宋体" w:hAnsi="宋体"/>
                <w:color w:val="000000"/>
              </w:rPr>
            </w:pPr>
          </w:p>
        </w:tc>
        <w:tc>
          <w:tcPr>
            <w:tcW w:w="613" w:type="pct"/>
            <w:noWrap w:val="0"/>
            <w:vAlign w:val="center"/>
          </w:tcPr>
          <w:p w14:paraId="666972B6">
            <w:pPr>
              <w:spacing w:line="360" w:lineRule="auto"/>
              <w:ind w:left="223" w:hanging="222" w:hangingChars="106"/>
              <w:jc w:val="center"/>
              <w:rPr>
                <w:rFonts w:ascii="宋体" w:hAnsi="宋体"/>
                <w:color w:val="000000"/>
              </w:rPr>
            </w:pPr>
          </w:p>
        </w:tc>
        <w:tc>
          <w:tcPr>
            <w:tcW w:w="454" w:type="pct"/>
            <w:noWrap w:val="0"/>
            <w:vAlign w:val="center"/>
          </w:tcPr>
          <w:p w14:paraId="087BABFC">
            <w:pPr>
              <w:spacing w:line="360" w:lineRule="auto"/>
              <w:ind w:left="223" w:hanging="222" w:hangingChars="106"/>
              <w:jc w:val="center"/>
              <w:rPr>
                <w:rFonts w:ascii="宋体" w:hAnsi="宋体"/>
                <w:color w:val="000000"/>
              </w:rPr>
            </w:pPr>
          </w:p>
        </w:tc>
        <w:tc>
          <w:tcPr>
            <w:tcW w:w="682" w:type="pct"/>
            <w:noWrap w:val="0"/>
            <w:vAlign w:val="center"/>
          </w:tcPr>
          <w:p w14:paraId="52BDAE0C">
            <w:pPr>
              <w:spacing w:line="360" w:lineRule="auto"/>
              <w:ind w:left="223" w:hanging="222" w:hangingChars="106"/>
              <w:jc w:val="center"/>
              <w:rPr>
                <w:rFonts w:ascii="宋体" w:hAnsi="宋体"/>
                <w:color w:val="000000"/>
              </w:rPr>
            </w:pPr>
          </w:p>
        </w:tc>
      </w:tr>
      <w:tr w14:paraId="1656C3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530" w:type="pct"/>
            <w:noWrap w:val="0"/>
            <w:vAlign w:val="center"/>
          </w:tcPr>
          <w:p w14:paraId="3855C18E">
            <w:pPr>
              <w:spacing w:line="360" w:lineRule="auto"/>
              <w:ind w:left="223" w:hanging="222" w:hangingChars="106"/>
              <w:jc w:val="center"/>
              <w:rPr>
                <w:rFonts w:ascii="宋体" w:hAnsi="宋体"/>
                <w:color w:val="000000"/>
                <w:szCs w:val="21"/>
              </w:rPr>
            </w:pPr>
            <w:r>
              <w:rPr>
                <w:rFonts w:ascii="宋体" w:hAnsi="宋体"/>
                <w:color w:val="000000"/>
                <w:szCs w:val="21"/>
              </w:rPr>
              <w:t>质量员</w:t>
            </w:r>
          </w:p>
        </w:tc>
        <w:tc>
          <w:tcPr>
            <w:tcW w:w="442" w:type="pct"/>
            <w:noWrap w:val="0"/>
            <w:vAlign w:val="center"/>
          </w:tcPr>
          <w:p w14:paraId="74A98F7D">
            <w:pPr>
              <w:spacing w:line="360" w:lineRule="auto"/>
              <w:ind w:left="223" w:hanging="222" w:hangingChars="106"/>
              <w:jc w:val="center"/>
              <w:rPr>
                <w:rFonts w:ascii="宋体" w:hAnsi="宋体"/>
                <w:color w:val="000000"/>
              </w:rPr>
            </w:pPr>
          </w:p>
        </w:tc>
        <w:tc>
          <w:tcPr>
            <w:tcW w:w="436" w:type="pct"/>
            <w:noWrap w:val="0"/>
            <w:vAlign w:val="center"/>
          </w:tcPr>
          <w:p w14:paraId="2628E84C">
            <w:pPr>
              <w:spacing w:line="360" w:lineRule="auto"/>
              <w:ind w:left="223" w:hanging="222" w:hangingChars="106"/>
              <w:jc w:val="center"/>
              <w:rPr>
                <w:rFonts w:ascii="宋体" w:hAnsi="宋体"/>
                <w:color w:val="000000"/>
              </w:rPr>
            </w:pPr>
          </w:p>
        </w:tc>
        <w:tc>
          <w:tcPr>
            <w:tcW w:w="613" w:type="pct"/>
            <w:noWrap w:val="0"/>
            <w:vAlign w:val="center"/>
          </w:tcPr>
          <w:p w14:paraId="0692353B">
            <w:pPr>
              <w:spacing w:line="360" w:lineRule="auto"/>
              <w:ind w:left="223" w:hanging="222" w:hangingChars="106"/>
              <w:jc w:val="center"/>
              <w:rPr>
                <w:rFonts w:ascii="宋体" w:hAnsi="宋体"/>
                <w:color w:val="000000"/>
              </w:rPr>
            </w:pPr>
          </w:p>
        </w:tc>
        <w:tc>
          <w:tcPr>
            <w:tcW w:w="613" w:type="pct"/>
            <w:noWrap w:val="0"/>
            <w:vAlign w:val="center"/>
          </w:tcPr>
          <w:p w14:paraId="3355473B">
            <w:pPr>
              <w:spacing w:line="360" w:lineRule="auto"/>
              <w:ind w:left="223" w:hanging="222" w:hangingChars="106"/>
              <w:jc w:val="center"/>
              <w:rPr>
                <w:rFonts w:ascii="宋体" w:hAnsi="宋体"/>
                <w:color w:val="000000"/>
              </w:rPr>
            </w:pPr>
          </w:p>
        </w:tc>
        <w:tc>
          <w:tcPr>
            <w:tcW w:w="613" w:type="pct"/>
            <w:noWrap w:val="0"/>
            <w:vAlign w:val="center"/>
          </w:tcPr>
          <w:p w14:paraId="7B43A63F">
            <w:pPr>
              <w:spacing w:line="360" w:lineRule="auto"/>
              <w:ind w:left="223" w:hanging="222" w:hangingChars="106"/>
              <w:jc w:val="center"/>
              <w:rPr>
                <w:rFonts w:ascii="宋体" w:hAnsi="宋体"/>
                <w:color w:val="000000"/>
              </w:rPr>
            </w:pPr>
          </w:p>
        </w:tc>
        <w:tc>
          <w:tcPr>
            <w:tcW w:w="613" w:type="pct"/>
            <w:noWrap w:val="0"/>
            <w:vAlign w:val="center"/>
          </w:tcPr>
          <w:p w14:paraId="1291D614">
            <w:pPr>
              <w:spacing w:line="360" w:lineRule="auto"/>
              <w:ind w:left="223" w:hanging="222" w:hangingChars="106"/>
              <w:jc w:val="center"/>
              <w:rPr>
                <w:rFonts w:ascii="宋体" w:hAnsi="宋体"/>
                <w:color w:val="000000"/>
              </w:rPr>
            </w:pPr>
          </w:p>
        </w:tc>
        <w:tc>
          <w:tcPr>
            <w:tcW w:w="454" w:type="pct"/>
            <w:noWrap w:val="0"/>
            <w:vAlign w:val="center"/>
          </w:tcPr>
          <w:p w14:paraId="574B1890">
            <w:pPr>
              <w:spacing w:line="360" w:lineRule="auto"/>
              <w:ind w:left="223" w:hanging="222" w:hangingChars="106"/>
              <w:jc w:val="center"/>
              <w:rPr>
                <w:rFonts w:ascii="宋体" w:hAnsi="宋体"/>
                <w:color w:val="000000"/>
              </w:rPr>
            </w:pPr>
          </w:p>
        </w:tc>
        <w:tc>
          <w:tcPr>
            <w:tcW w:w="682" w:type="pct"/>
            <w:noWrap w:val="0"/>
            <w:vAlign w:val="center"/>
          </w:tcPr>
          <w:p w14:paraId="6D407F1F">
            <w:pPr>
              <w:spacing w:line="360" w:lineRule="auto"/>
              <w:ind w:left="223" w:hanging="222" w:hangingChars="106"/>
              <w:jc w:val="center"/>
              <w:rPr>
                <w:rFonts w:ascii="宋体" w:hAnsi="宋体"/>
                <w:color w:val="000000"/>
              </w:rPr>
            </w:pPr>
          </w:p>
        </w:tc>
      </w:tr>
      <w:tr w14:paraId="2157DD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530" w:type="pct"/>
            <w:vMerge w:val="restart"/>
            <w:noWrap w:val="0"/>
            <w:vAlign w:val="center"/>
          </w:tcPr>
          <w:p w14:paraId="3E4307FF">
            <w:pPr>
              <w:spacing w:line="360" w:lineRule="auto"/>
              <w:ind w:left="223" w:hanging="222" w:hangingChars="106"/>
              <w:jc w:val="center"/>
              <w:rPr>
                <w:rFonts w:ascii="宋体" w:hAnsi="宋体"/>
                <w:color w:val="000000"/>
                <w:szCs w:val="21"/>
              </w:rPr>
            </w:pPr>
            <w:r>
              <w:rPr>
                <w:rFonts w:ascii="宋体" w:hAnsi="宋体"/>
                <w:color w:val="000000"/>
                <w:szCs w:val="21"/>
              </w:rPr>
              <w:t>安全员</w:t>
            </w:r>
          </w:p>
        </w:tc>
        <w:tc>
          <w:tcPr>
            <w:tcW w:w="442" w:type="pct"/>
            <w:noWrap w:val="0"/>
            <w:vAlign w:val="center"/>
          </w:tcPr>
          <w:p w14:paraId="77B1C58B">
            <w:pPr>
              <w:spacing w:line="360" w:lineRule="auto"/>
              <w:ind w:left="223" w:hanging="222" w:hangingChars="106"/>
              <w:jc w:val="center"/>
              <w:rPr>
                <w:rFonts w:ascii="宋体" w:hAnsi="宋体"/>
                <w:color w:val="000000"/>
              </w:rPr>
            </w:pPr>
          </w:p>
        </w:tc>
        <w:tc>
          <w:tcPr>
            <w:tcW w:w="436" w:type="pct"/>
            <w:noWrap w:val="0"/>
            <w:vAlign w:val="center"/>
          </w:tcPr>
          <w:p w14:paraId="1935E5A3">
            <w:pPr>
              <w:spacing w:line="360" w:lineRule="auto"/>
              <w:ind w:left="223" w:hanging="222" w:hangingChars="106"/>
              <w:jc w:val="center"/>
              <w:rPr>
                <w:rFonts w:ascii="宋体" w:hAnsi="宋体"/>
                <w:color w:val="000000"/>
              </w:rPr>
            </w:pPr>
          </w:p>
        </w:tc>
        <w:tc>
          <w:tcPr>
            <w:tcW w:w="613" w:type="pct"/>
            <w:noWrap w:val="0"/>
            <w:vAlign w:val="center"/>
          </w:tcPr>
          <w:p w14:paraId="668F69D7">
            <w:pPr>
              <w:spacing w:line="360" w:lineRule="auto"/>
              <w:ind w:left="223" w:hanging="222" w:hangingChars="106"/>
              <w:jc w:val="center"/>
              <w:rPr>
                <w:rFonts w:ascii="宋体" w:hAnsi="宋体"/>
                <w:color w:val="000000"/>
              </w:rPr>
            </w:pPr>
          </w:p>
        </w:tc>
        <w:tc>
          <w:tcPr>
            <w:tcW w:w="613" w:type="pct"/>
            <w:noWrap w:val="0"/>
            <w:vAlign w:val="center"/>
          </w:tcPr>
          <w:p w14:paraId="3CD0CD00">
            <w:pPr>
              <w:spacing w:line="360" w:lineRule="auto"/>
              <w:ind w:left="223" w:hanging="222" w:hangingChars="106"/>
              <w:jc w:val="center"/>
              <w:rPr>
                <w:rFonts w:ascii="宋体" w:hAnsi="宋体"/>
                <w:color w:val="000000"/>
              </w:rPr>
            </w:pPr>
          </w:p>
        </w:tc>
        <w:tc>
          <w:tcPr>
            <w:tcW w:w="613" w:type="pct"/>
            <w:noWrap w:val="0"/>
            <w:vAlign w:val="center"/>
          </w:tcPr>
          <w:p w14:paraId="2720ECE2">
            <w:pPr>
              <w:spacing w:line="360" w:lineRule="auto"/>
              <w:ind w:left="223" w:hanging="222" w:hangingChars="106"/>
              <w:jc w:val="center"/>
              <w:rPr>
                <w:rFonts w:ascii="宋体" w:hAnsi="宋体"/>
                <w:color w:val="000000"/>
              </w:rPr>
            </w:pPr>
          </w:p>
        </w:tc>
        <w:tc>
          <w:tcPr>
            <w:tcW w:w="613" w:type="pct"/>
            <w:noWrap w:val="0"/>
            <w:vAlign w:val="center"/>
          </w:tcPr>
          <w:p w14:paraId="6CDB0C91">
            <w:pPr>
              <w:spacing w:line="360" w:lineRule="auto"/>
              <w:ind w:left="223" w:hanging="222" w:hangingChars="106"/>
              <w:jc w:val="center"/>
              <w:rPr>
                <w:rFonts w:ascii="宋体" w:hAnsi="宋体"/>
                <w:color w:val="000000"/>
              </w:rPr>
            </w:pPr>
          </w:p>
        </w:tc>
        <w:tc>
          <w:tcPr>
            <w:tcW w:w="454" w:type="pct"/>
            <w:noWrap w:val="0"/>
            <w:vAlign w:val="center"/>
          </w:tcPr>
          <w:p w14:paraId="7D13D200">
            <w:pPr>
              <w:spacing w:line="360" w:lineRule="auto"/>
              <w:ind w:left="223" w:hanging="222" w:hangingChars="106"/>
              <w:jc w:val="center"/>
              <w:rPr>
                <w:rFonts w:ascii="宋体" w:hAnsi="宋体"/>
                <w:color w:val="000000"/>
              </w:rPr>
            </w:pPr>
          </w:p>
        </w:tc>
        <w:tc>
          <w:tcPr>
            <w:tcW w:w="682" w:type="pct"/>
            <w:noWrap w:val="0"/>
            <w:vAlign w:val="center"/>
          </w:tcPr>
          <w:p w14:paraId="0E949CE0">
            <w:pPr>
              <w:spacing w:line="360" w:lineRule="auto"/>
              <w:ind w:left="223" w:hanging="222" w:hangingChars="106"/>
              <w:jc w:val="center"/>
              <w:rPr>
                <w:rFonts w:ascii="宋体" w:hAnsi="宋体"/>
                <w:color w:val="000000"/>
              </w:rPr>
            </w:pPr>
          </w:p>
        </w:tc>
      </w:tr>
      <w:tr w14:paraId="75EA69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530" w:type="pct"/>
            <w:vMerge w:val="continue"/>
            <w:noWrap w:val="0"/>
            <w:vAlign w:val="center"/>
          </w:tcPr>
          <w:p w14:paraId="73E1FA93">
            <w:pPr>
              <w:spacing w:line="360" w:lineRule="auto"/>
              <w:ind w:left="223" w:hanging="222" w:hangingChars="106"/>
              <w:jc w:val="center"/>
              <w:rPr>
                <w:rFonts w:ascii="宋体" w:hAnsi="宋体"/>
                <w:color w:val="000000"/>
                <w:szCs w:val="21"/>
              </w:rPr>
            </w:pPr>
          </w:p>
        </w:tc>
        <w:tc>
          <w:tcPr>
            <w:tcW w:w="442" w:type="pct"/>
            <w:noWrap w:val="0"/>
            <w:vAlign w:val="center"/>
          </w:tcPr>
          <w:p w14:paraId="52A4FC65">
            <w:pPr>
              <w:spacing w:line="360" w:lineRule="auto"/>
              <w:ind w:left="223" w:hanging="222" w:hangingChars="106"/>
              <w:jc w:val="center"/>
              <w:rPr>
                <w:rFonts w:ascii="宋体" w:hAnsi="宋体"/>
                <w:color w:val="000000"/>
              </w:rPr>
            </w:pPr>
          </w:p>
        </w:tc>
        <w:tc>
          <w:tcPr>
            <w:tcW w:w="436" w:type="pct"/>
            <w:noWrap w:val="0"/>
            <w:vAlign w:val="center"/>
          </w:tcPr>
          <w:p w14:paraId="047B1F5A">
            <w:pPr>
              <w:spacing w:line="360" w:lineRule="auto"/>
              <w:ind w:left="223" w:hanging="222" w:hangingChars="106"/>
              <w:jc w:val="center"/>
              <w:rPr>
                <w:rFonts w:ascii="宋体" w:hAnsi="宋体"/>
                <w:color w:val="000000"/>
              </w:rPr>
            </w:pPr>
          </w:p>
        </w:tc>
        <w:tc>
          <w:tcPr>
            <w:tcW w:w="613" w:type="pct"/>
            <w:noWrap w:val="0"/>
            <w:vAlign w:val="center"/>
          </w:tcPr>
          <w:p w14:paraId="451B6C03">
            <w:pPr>
              <w:spacing w:line="360" w:lineRule="auto"/>
              <w:ind w:left="223" w:hanging="222" w:hangingChars="106"/>
              <w:jc w:val="center"/>
              <w:rPr>
                <w:rFonts w:ascii="宋体" w:hAnsi="宋体"/>
                <w:color w:val="000000"/>
              </w:rPr>
            </w:pPr>
          </w:p>
        </w:tc>
        <w:tc>
          <w:tcPr>
            <w:tcW w:w="613" w:type="pct"/>
            <w:noWrap w:val="0"/>
            <w:vAlign w:val="center"/>
          </w:tcPr>
          <w:p w14:paraId="0A68D039">
            <w:pPr>
              <w:spacing w:line="360" w:lineRule="auto"/>
              <w:ind w:left="223" w:hanging="222" w:hangingChars="106"/>
              <w:jc w:val="center"/>
              <w:rPr>
                <w:rFonts w:ascii="宋体" w:hAnsi="宋体"/>
                <w:color w:val="000000"/>
              </w:rPr>
            </w:pPr>
          </w:p>
        </w:tc>
        <w:tc>
          <w:tcPr>
            <w:tcW w:w="613" w:type="pct"/>
            <w:noWrap w:val="0"/>
            <w:vAlign w:val="center"/>
          </w:tcPr>
          <w:p w14:paraId="02FEE238">
            <w:pPr>
              <w:spacing w:line="360" w:lineRule="auto"/>
              <w:ind w:left="223" w:hanging="222" w:hangingChars="106"/>
              <w:jc w:val="center"/>
              <w:rPr>
                <w:rFonts w:ascii="宋体" w:hAnsi="宋体"/>
                <w:color w:val="000000"/>
              </w:rPr>
            </w:pPr>
          </w:p>
        </w:tc>
        <w:tc>
          <w:tcPr>
            <w:tcW w:w="613" w:type="pct"/>
            <w:noWrap w:val="0"/>
            <w:vAlign w:val="center"/>
          </w:tcPr>
          <w:p w14:paraId="23BD30EA">
            <w:pPr>
              <w:spacing w:line="360" w:lineRule="auto"/>
              <w:ind w:left="223" w:hanging="222" w:hangingChars="106"/>
              <w:jc w:val="center"/>
              <w:rPr>
                <w:rFonts w:ascii="宋体" w:hAnsi="宋体"/>
                <w:color w:val="000000"/>
              </w:rPr>
            </w:pPr>
          </w:p>
        </w:tc>
        <w:tc>
          <w:tcPr>
            <w:tcW w:w="454" w:type="pct"/>
            <w:noWrap w:val="0"/>
            <w:vAlign w:val="center"/>
          </w:tcPr>
          <w:p w14:paraId="5924D5C8">
            <w:pPr>
              <w:spacing w:line="360" w:lineRule="auto"/>
              <w:ind w:left="223" w:hanging="222" w:hangingChars="106"/>
              <w:jc w:val="center"/>
              <w:rPr>
                <w:rFonts w:ascii="宋体" w:hAnsi="宋体"/>
                <w:color w:val="000000"/>
              </w:rPr>
            </w:pPr>
          </w:p>
        </w:tc>
        <w:tc>
          <w:tcPr>
            <w:tcW w:w="682" w:type="pct"/>
            <w:noWrap w:val="0"/>
            <w:vAlign w:val="center"/>
          </w:tcPr>
          <w:p w14:paraId="33D30A76">
            <w:pPr>
              <w:spacing w:line="360" w:lineRule="auto"/>
              <w:ind w:left="223" w:hanging="222" w:hangingChars="106"/>
              <w:jc w:val="center"/>
              <w:rPr>
                <w:rFonts w:ascii="宋体" w:hAnsi="宋体"/>
                <w:color w:val="000000"/>
              </w:rPr>
            </w:pPr>
          </w:p>
        </w:tc>
      </w:tr>
      <w:tr w14:paraId="098A0D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530" w:type="pct"/>
            <w:vMerge w:val="continue"/>
            <w:noWrap w:val="0"/>
            <w:vAlign w:val="center"/>
          </w:tcPr>
          <w:p w14:paraId="5BD42F08">
            <w:pPr>
              <w:spacing w:line="360" w:lineRule="auto"/>
              <w:ind w:left="223" w:hanging="222" w:hangingChars="106"/>
              <w:jc w:val="center"/>
              <w:rPr>
                <w:rFonts w:ascii="宋体" w:hAnsi="宋体"/>
                <w:color w:val="000000"/>
                <w:szCs w:val="21"/>
              </w:rPr>
            </w:pPr>
          </w:p>
        </w:tc>
        <w:tc>
          <w:tcPr>
            <w:tcW w:w="442" w:type="pct"/>
            <w:noWrap w:val="0"/>
            <w:vAlign w:val="center"/>
          </w:tcPr>
          <w:p w14:paraId="4BC01100">
            <w:pPr>
              <w:spacing w:line="360" w:lineRule="auto"/>
              <w:ind w:left="223" w:hanging="222" w:hangingChars="106"/>
              <w:jc w:val="center"/>
              <w:rPr>
                <w:rFonts w:ascii="宋体" w:hAnsi="宋体"/>
                <w:color w:val="000000"/>
              </w:rPr>
            </w:pPr>
          </w:p>
        </w:tc>
        <w:tc>
          <w:tcPr>
            <w:tcW w:w="436" w:type="pct"/>
            <w:noWrap w:val="0"/>
            <w:vAlign w:val="center"/>
          </w:tcPr>
          <w:p w14:paraId="6CA353A4">
            <w:pPr>
              <w:spacing w:line="360" w:lineRule="auto"/>
              <w:ind w:left="223" w:hanging="222" w:hangingChars="106"/>
              <w:jc w:val="center"/>
              <w:rPr>
                <w:rFonts w:ascii="宋体" w:hAnsi="宋体"/>
                <w:color w:val="000000"/>
              </w:rPr>
            </w:pPr>
          </w:p>
        </w:tc>
        <w:tc>
          <w:tcPr>
            <w:tcW w:w="613" w:type="pct"/>
            <w:noWrap w:val="0"/>
            <w:vAlign w:val="center"/>
          </w:tcPr>
          <w:p w14:paraId="7F0EF7EA">
            <w:pPr>
              <w:spacing w:line="360" w:lineRule="auto"/>
              <w:ind w:left="223" w:hanging="222" w:hangingChars="106"/>
              <w:jc w:val="center"/>
              <w:rPr>
                <w:rFonts w:ascii="宋体" w:hAnsi="宋体"/>
                <w:color w:val="000000"/>
              </w:rPr>
            </w:pPr>
          </w:p>
        </w:tc>
        <w:tc>
          <w:tcPr>
            <w:tcW w:w="613" w:type="pct"/>
            <w:noWrap w:val="0"/>
            <w:vAlign w:val="center"/>
          </w:tcPr>
          <w:p w14:paraId="5562FD3E">
            <w:pPr>
              <w:spacing w:line="360" w:lineRule="auto"/>
              <w:ind w:left="223" w:hanging="222" w:hangingChars="106"/>
              <w:jc w:val="center"/>
              <w:rPr>
                <w:rFonts w:ascii="宋体" w:hAnsi="宋体"/>
                <w:color w:val="000000"/>
              </w:rPr>
            </w:pPr>
          </w:p>
        </w:tc>
        <w:tc>
          <w:tcPr>
            <w:tcW w:w="613" w:type="pct"/>
            <w:noWrap w:val="0"/>
            <w:vAlign w:val="center"/>
          </w:tcPr>
          <w:p w14:paraId="7215EEFF">
            <w:pPr>
              <w:spacing w:line="360" w:lineRule="auto"/>
              <w:ind w:left="223" w:hanging="222" w:hangingChars="106"/>
              <w:jc w:val="center"/>
              <w:rPr>
                <w:rFonts w:ascii="宋体" w:hAnsi="宋体"/>
                <w:color w:val="000000"/>
              </w:rPr>
            </w:pPr>
          </w:p>
        </w:tc>
        <w:tc>
          <w:tcPr>
            <w:tcW w:w="613" w:type="pct"/>
            <w:noWrap w:val="0"/>
            <w:vAlign w:val="center"/>
          </w:tcPr>
          <w:p w14:paraId="041F5B48">
            <w:pPr>
              <w:spacing w:line="360" w:lineRule="auto"/>
              <w:ind w:left="223" w:hanging="222" w:hangingChars="106"/>
              <w:jc w:val="center"/>
              <w:rPr>
                <w:rFonts w:ascii="宋体" w:hAnsi="宋体"/>
                <w:color w:val="000000"/>
              </w:rPr>
            </w:pPr>
          </w:p>
        </w:tc>
        <w:tc>
          <w:tcPr>
            <w:tcW w:w="454" w:type="pct"/>
            <w:noWrap w:val="0"/>
            <w:vAlign w:val="center"/>
          </w:tcPr>
          <w:p w14:paraId="0E42F325">
            <w:pPr>
              <w:spacing w:line="360" w:lineRule="auto"/>
              <w:ind w:left="223" w:hanging="222" w:hangingChars="106"/>
              <w:jc w:val="center"/>
              <w:rPr>
                <w:rFonts w:ascii="宋体" w:hAnsi="宋体"/>
                <w:color w:val="000000"/>
              </w:rPr>
            </w:pPr>
          </w:p>
        </w:tc>
        <w:tc>
          <w:tcPr>
            <w:tcW w:w="682" w:type="pct"/>
            <w:noWrap w:val="0"/>
            <w:vAlign w:val="center"/>
          </w:tcPr>
          <w:p w14:paraId="2193BA0C">
            <w:pPr>
              <w:spacing w:line="360" w:lineRule="auto"/>
              <w:ind w:left="223" w:hanging="222" w:hangingChars="106"/>
              <w:jc w:val="center"/>
              <w:rPr>
                <w:rFonts w:ascii="宋体" w:hAnsi="宋体"/>
                <w:color w:val="000000"/>
              </w:rPr>
            </w:pPr>
          </w:p>
        </w:tc>
      </w:tr>
      <w:tr w14:paraId="2F59F2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530" w:type="pct"/>
            <w:noWrap w:val="0"/>
            <w:vAlign w:val="center"/>
          </w:tcPr>
          <w:p w14:paraId="2CBD75BF">
            <w:pPr>
              <w:spacing w:line="360" w:lineRule="auto"/>
              <w:ind w:left="223" w:hanging="222" w:hangingChars="106"/>
              <w:jc w:val="center"/>
              <w:rPr>
                <w:rFonts w:ascii="宋体" w:hAnsi="宋体"/>
                <w:color w:val="000000"/>
                <w:szCs w:val="21"/>
              </w:rPr>
            </w:pPr>
            <w:r>
              <w:rPr>
                <w:rFonts w:ascii="宋体" w:hAnsi="宋体"/>
                <w:color w:val="000000"/>
                <w:szCs w:val="21"/>
              </w:rPr>
              <w:t>材料员</w:t>
            </w:r>
          </w:p>
        </w:tc>
        <w:tc>
          <w:tcPr>
            <w:tcW w:w="442" w:type="pct"/>
            <w:noWrap w:val="0"/>
            <w:vAlign w:val="center"/>
          </w:tcPr>
          <w:p w14:paraId="4C21B2CA">
            <w:pPr>
              <w:spacing w:line="360" w:lineRule="auto"/>
              <w:ind w:left="223" w:hanging="222" w:hangingChars="106"/>
              <w:jc w:val="center"/>
              <w:rPr>
                <w:rFonts w:ascii="宋体" w:hAnsi="宋体"/>
                <w:color w:val="000000"/>
              </w:rPr>
            </w:pPr>
          </w:p>
        </w:tc>
        <w:tc>
          <w:tcPr>
            <w:tcW w:w="436" w:type="pct"/>
            <w:noWrap w:val="0"/>
            <w:vAlign w:val="center"/>
          </w:tcPr>
          <w:p w14:paraId="0F73B1F9">
            <w:pPr>
              <w:spacing w:line="360" w:lineRule="auto"/>
              <w:ind w:left="223" w:hanging="222" w:hangingChars="106"/>
              <w:jc w:val="center"/>
              <w:rPr>
                <w:rFonts w:ascii="宋体" w:hAnsi="宋体"/>
                <w:color w:val="000000"/>
              </w:rPr>
            </w:pPr>
          </w:p>
        </w:tc>
        <w:tc>
          <w:tcPr>
            <w:tcW w:w="613" w:type="pct"/>
            <w:noWrap w:val="0"/>
            <w:vAlign w:val="center"/>
          </w:tcPr>
          <w:p w14:paraId="014949EF">
            <w:pPr>
              <w:spacing w:line="360" w:lineRule="auto"/>
              <w:ind w:left="223" w:hanging="222" w:hangingChars="106"/>
              <w:jc w:val="center"/>
              <w:rPr>
                <w:rFonts w:ascii="宋体" w:hAnsi="宋体"/>
                <w:color w:val="000000"/>
              </w:rPr>
            </w:pPr>
          </w:p>
        </w:tc>
        <w:tc>
          <w:tcPr>
            <w:tcW w:w="613" w:type="pct"/>
            <w:noWrap w:val="0"/>
            <w:vAlign w:val="center"/>
          </w:tcPr>
          <w:p w14:paraId="72C1E5B7">
            <w:pPr>
              <w:spacing w:line="360" w:lineRule="auto"/>
              <w:ind w:left="223" w:hanging="222" w:hangingChars="106"/>
              <w:jc w:val="center"/>
              <w:rPr>
                <w:rFonts w:ascii="宋体" w:hAnsi="宋体"/>
                <w:color w:val="000000"/>
              </w:rPr>
            </w:pPr>
          </w:p>
        </w:tc>
        <w:tc>
          <w:tcPr>
            <w:tcW w:w="613" w:type="pct"/>
            <w:noWrap w:val="0"/>
            <w:vAlign w:val="center"/>
          </w:tcPr>
          <w:p w14:paraId="447D92BC">
            <w:pPr>
              <w:spacing w:line="360" w:lineRule="auto"/>
              <w:ind w:left="223" w:hanging="222" w:hangingChars="106"/>
              <w:jc w:val="center"/>
              <w:rPr>
                <w:rFonts w:ascii="宋体" w:hAnsi="宋体"/>
                <w:color w:val="000000"/>
              </w:rPr>
            </w:pPr>
          </w:p>
        </w:tc>
        <w:tc>
          <w:tcPr>
            <w:tcW w:w="613" w:type="pct"/>
            <w:noWrap w:val="0"/>
            <w:vAlign w:val="center"/>
          </w:tcPr>
          <w:p w14:paraId="5BC8DBA6">
            <w:pPr>
              <w:spacing w:line="360" w:lineRule="auto"/>
              <w:ind w:left="223" w:hanging="222" w:hangingChars="106"/>
              <w:jc w:val="center"/>
              <w:rPr>
                <w:rFonts w:ascii="宋体" w:hAnsi="宋体"/>
                <w:color w:val="000000"/>
              </w:rPr>
            </w:pPr>
          </w:p>
        </w:tc>
        <w:tc>
          <w:tcPr>
            <w:tcW w:w="454" w:type="pct"/>
            <w:noWrap w:val="0"/>
            <w:vAlign w:val="center"/>
          </w:tcPr>
          <w:p w14:paraId="25F85C17">
            <w:pPr>
              <w:spacing w:line="360" w:lineRule="auto"/>
              <w:ind w:left="223" w:hanging="222" w:hangingChars="106"/>
              <w:jc w:val="center"/>
              <w:rPr>
                <w:rFonts w:ascii="宋体" w:hAnsi="宋体"/>
                <w:color w:val="000000"/>
              </w:rPr>
            </w:pPr>
          </w:p>
        </w:tc>
        <w:tc>
          <w:tcPr>
            <w:tcW w:w="682" w:type="pct"/>
            <w:noWrap w:val="0"/>
            <w:vAlign w:val="center"/>
          </w:tcPr>
          <w:p w14:paraId="27F6C878">
            <w:pPr>
              <w:spacing w:line="360" w:lineRule="auto"/>
              <w:ind w:left="223" w:hanging="222" w:hangingChars="106"/>
              <w:jc w:val="center"/>
              <w:rPr>
                <w:rFonts w:ascii="宋体" w:hAnsi="宋体"/>
                <w:color w:val="000000"/>
              </w:rPr>
            </w:pPr>
          </w:p>
        </w:tc>
      </w:tr>
      <w:tr w14:paraId="35A40B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530" w:type="pct"/>
            <w:noWrap w:val="0"/>
            <w:vAlign w:val="center"/>
          </w:tcPr>
          <w:p w14:paraId="604FA870">
            <w:pPr>
              <w:spacing w:line="360" w:lineRule="auto"/>
              <w:ind w:left="223" w:hanging="222" w:hangingChars="106"/>
              <w:jc w:val="center"/>
              <w:rPr>
                <w:rFonts w:hint="default" w:ascii="宋体" w:hAnsi="宋体" w:eastAsia="宋体"/>
                <w:color w:val="000000"/>
                <w:szCs w:val="21"/>
                <w:lang w:val="en-US" w:eastAsia="zh-CN"/>
              </w:rPr>
            </w:pPr>
            <w:r>
              <w:rPr>
                <w:rFonts w:hint="eastAsia" w:ascii="宋体" w:hAnsi="宋体"/>
                <w:color w:val="000000"/>
                <w:szCs w:val="21"/>
                <w:lang w:val="en-US" w:eastAsia="zh-CN"/>
              </w:rPr>
              <w:t>造价员</w:t>
            </w:r>
          </w:p>
        </w:tc>
        <w:tc>
          <w:tcPr>
            <w:tcW w:w="442" w:type="pct"/>
            <w:noWrap w:val="0"/>
            <w:vAlign w:val="center"/>
          </w:tcPr>
          <w:p w14:paraId="05FFC930">
            <w:pPr>
              <w:spacing w:line="360" w:lineRule="auto"/>
              <w:ind w:left="223" w:hanging="222" w:hangingChars="106"/>
              <w:jc w:val="center"/>
              <w:rPr>
                <w:rFonts w:ascii="宋体" w:hAnsi="宋体"/>
                <w:color w:val="000000"/>
              </w:rPr>
            </w:pPr>
          </w:p>
        </w:tc>
        <w:tc>
          <w:tcPr>
            <w:tcW w:w="436" w:type="pct"/>
            <w:noWrap w:val="0"/>
            <w:vAlign w:val="center"/>
          </w:tcPr>
          <w:p w14:paraId="2B1D3323">
            <w:pPr>
              <w:spacing w:line="360" w:lineRule="auto"/>
              <w:ind w:left="223" w:hanging="222" w:hangingChars="106"/>
              <w:jc w:val="center"/>
              <w:rPr>
                <w:rFonts w:ascii="宋体" w:hAnsi="宋体"/>
                <w:color w:val="000000"/>
              </w:rPr>
            </w:pPr>
          </w:p>
        </w:tc>
        <w:tc>
          <w:tcPr>
            <w:tcW w:w="613" w:type="pct"/>
            <w:noWrap w:val="0"/>
            <w:vAlign w:val="center"/>
          </w:tcPr>
          <w:p w14:paraId="1911912E">
            <w:pPr>
              <w:spacing w:line="360" w:lineRule="auto"/>
              <w:ind w:left="223" w:hanging="222" w:hangingChars="106"/>
              <w:jc w:val="center"/>
              <w:rPr>
                <w:rFonts w:ascii="宋体" w:hAnsi="宋体"/>
                <w:color w:val="000000"/>
              </w:rPr>
            </w:pPr>
          </w:p>
        </w:tc>
        <w:tc>
          <w:tcPr>
            <w:tcW w:w="613" w:type="pct"/>
            <w:noWrap w:val="0"/>
            <w:vAlign w:val="center"/>
          </w:tcPr>
          <w:p w14:paraId="20FF3FE3">
            <w:pPr>
              <w:spacing w:line="360" w:lineRule="auto"/>
              <w:ind w:left="223" w:hanging="222" w:hangingChars="106"/>
              <w:jc w:val="center"/>
              <w:rPr>
                <w:rFonts w:ascii="宋体" w:hAnsi="宋体"/>
                <w:color w:val="000000"/>
              </w:rPr>
            </w:pPr>
          </w:p>
        </w:tc>
        <w:tc>
          <w:tcPr>
            <w:tcW w:w="613" w:type="pct"/>
            <w:noWrap w:val="0"/>
            <w:vAlign w:val="center"/>
          </w:tcPr>
          <w:p w14:paraId="3148A3FA">
            <w:pPr>
              <w:spacing w:line="360" w:lineRule="auto"/>
              <w:ind w:left="223" w:hanging="222" w:hangingChars="106"/>
              <w:jc w:val="center"/>
              <w:rPr>
                <w:rFonts w:ascii="宋体" w:hAnsi="宋体"/>
                <w:color w:val="000000"/>
              </w:rPr>
            </w:pPr>
          </w:p>
        </w:tc>
        <w:tc>
          <w:tcPr>
            <w:tcW w:w="613" w:type="pct"/>
            <w:noWrap w:val="0"/>
            <w:vAlign w:val="center"/>
          </w:tcPr>
          <w:p w14:paraId="41F2E947">
            <w:pPr>
              <w:spacing w:line="360" w:lineRule="auto"/>
              <w:ind w:left="223" w:hanging="222" w:hangingChars="106"/>
              <w:jc w:val="center"/>
              <w:rPr>
                <w:rFonts w:ascii="宋体" w:hAnsi="宋体"/>
                <w:color w:val="000000"/>
              </w:rPr>
            </w:pPr>
          </w:p>
        </w:tc>
        <w:tc>
          <w:tcPr>
            <w:tcW w:w="454" w:type="pct"/>
            <w:noWrap w:val="0"/>
            <w:vAlign w:val="center"/>
          </w:tcPr>
          <w:p w14:paraId="0AC4783E">
            <w:pPr>
              <w:spacing w:line="360" w:lineRule="auto"/>
              <w:ind w:left="223" w:hanging="222" w:hangingChars="106"/>
              <w:jc w:val="center"/>
              <w:rPr>
                <w:rFonts w:ascii="宋体" w:hAnsi="宋体"/>
                <w:color w:val="000000"/>
              </w:rPr>
            </w:pPr>
          </w:p>
        </w:tc>
        <w:tc>
          <w:tcPr>
            <w:tcW w:w="682" w:type="pct"/>
            <w:noWrap w:val="0"/>
            <w:vAlign w:val="center"/>
          </w:tcPr>
          <w:p w14:paraId="6891EC6B">
            <w:pPr>
              <w:spacing w:line="360" w:lineRule="auto"/>
              <w:ind w:left="223" w:hanging="222" w:hangingChars="106"/>
              <w:jc w:val="center"/>
              <w:rPr>
                <w:rFonts w:ascii="宋体" w:hAnsi="宋体"/>
                <w:color w:val="000000"/>
              </w:rPr>
            </w:pPr>
          </w:p>
        </w:tc>
      </w:tr>
      <w:tr w14:paraId="135028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530" w:type="pct"/>
            <w:noWrap w:val="0"/>
            <w:vAlign w:val="center"/>
          </w:tcPr>
          <w:p w14:paraId="0E883238">
            <w:pPr>
              <w:spacing w:line="360" w:lineRule="auto"/>
              <w:ind w:left="223" w:hanging="222" w:hangingChars="106"/>
              <w:jc w:val="center"/>
              <w:rPr>
                <w:rFonts w:ascii="宋体" w:hAnsi="宋体"/>
                <w:color w:val="000000"/>
              </w:rPr>
            </w:pPr>
            <w:r>
              <w:rPr>
                <w:rFonts w:ascii="宋体" w:hAnsi="宋体"/>
                <w:color w:val="000000"/>
              </w:rPr>
              <w:t>……</w:t>
            </w:r>
          </w:p>
        </w:tc>
        <w:tc>
          <w:tcPr>
            <w:tcW w:w="442" w:type="pct"/>
            <w:noWrap w:val="0"/>
            <w:vAlign w:val="center"/>
          </w:tcPr>
          <w:p w14:paraId="0238E3E1">
            <w:pPr>
              <w:spacing w:line="360" w:lineRule="auto"/>
              <w:ind w:left="223" w:hanging="222" w:hangingChars="106"/>
              <w:jc w:val="center"/>
              <w:rPr>
                <w:rFonts w:ascii="宋体" w:hAnsi="宋体"/>
                <w:color w:val="000000"/>
              </w:rPr>
            </w:pPr>
          </w:p>
        </w:tc>
        <w:tc>
          <w:tcPr>
            <w:tcW w:w="436" w:type="pct"/>
            <w:noWrap w:val="0"/>
            <w:vAlign w:val="center"/>
          </w:tcPr>
          <w:p w14:paraId="45550CF5">
            <w:pPr>
              <w:spacing w:line="360" w:lineRule="auto"/>
              <w:ind w:left="223" w:hanging="222" w:hangingChars="106"/>
              <w:jc w:val="center"/>
              <w:rPr>
                <w:rFonts w:ascii="宋体" w:hAnsi="宋体"/>
                <w:color w:val="000000"/>
              </w:rPr>
            </w:pPr>
          </w:p>
        </w:tc>
        <w:tc>
          <w:tcPr>
            <w:tcW w:w="613" w:type="pct"/>
            <w:noWrap w:val="0"/>
            <w:vAlign w:val="center"/>
          </w:tcPr>
          <w:p w14:paraId="4B041359">
            <w:pPr>
              <w:spacing w:line="360" w:lineRule="auto"/>
              <w:ind w:left="223" w:hanging="222" w:hangingChars="106"/>
              <w:jc w:val="center"/>
              <w:rPr>
                <w:rFonts w:ascii="宋体" w:hAnsi="宋体"/>
                <w:color w:val="000000"/>
              </w:rPr>
            </w:pPr>
          </w:p>
        </w:tc>
        <w:tc>
          <w:tcPr>
            <w:tcW w:w="613" w:type="pct"/>
            <w:noWrap w:val="0"/>
            <w:vAlign w:val="center"/>
          </w:tcPr>
          <w:p w14:paraId="50C7A382">
            <w:pPr>
              <w:spacing w:line="360" w:lineRule="auto"/>
              <w:ind w:left="223" w:hanging="222" w:hangingChars="106"/>
              <w:jc w:val="center"/>
              <w:rPr>
                <w:rFonts w:ascii="宋体" w:hAnsi="宋体"/>
                <w:color w:val="000000"/>
              </w:rPr>
            </w:pPr>
          </w:p>
        </w:tc>
        <w:tc>
          <w:tcPr>
            <w:tcW w:w="613" w:type="pct"/>
            <w:noWrap w:val="0"/>
            <w:vAlign w:val="center"/>
          </w:tcPr>
          <w:p w14:paraId="3E0DCDDF">
            <w:pPr>
              <w:spacing w:line="360" w:lineRule="auto"/>
              <w:ind w:left="223" w:hanging="222" w:hangingChars="106"/>
              <w:jc w:val="center"/>
              <w:rPr>
                <w:rFonts w:ascii="宋体" w:hAnsi="宋体"/>
                <w:color w:val="000000"/>
              </w:rPr>
            </w:pPr>
          </w:p>
        </w:tc>
        <w:tc>
          <w:tcPr>
            <w:tcW w:w="613" w:type="pct"/>
            <w:noWrap w:val="0"/>
            <w:vAlign w:val="center"/>
          </w:tcPr>
          <w:p w14:paraId="03AFC2B2">
            <w:pPr>
              <w:spacing w:line="360" w:lineRule="auto"/>
              <w:ind w:left="223" w:hanging="222" w:hangingChars="106"/>
              <w:jc w:val="center"/>
              <w:rPr>
                <w:rFonts w:ascii="宋体" w:hAnsi="宋体"/>
                <w:color w:val="000000"/>
              </w:rPr>
            </w:pPr>
          </w:p>
        </w:tc>
        <w:tc>
          <w:tcPr>
            <w:tcW w:w="454" w:type="pct"/>
            <w:noWrap w:val="0"/>
            <w:vAlign w:val="center"/>
          </w:tcPr>
          <w:p w14:paraId="5A9914C3">
            <w:pPr>
              <w:spacing w:line="360" w:lineRule="auto"/>
              <w:ind w:left="223" w:hanging="222" w:hangingChars="106"/>
              <w:jc w:val="center"/>
              <w:rPr>
                <w:rFonts w:ascii="宋体" w:hAnsi="宋体"/>
                <w:color w:val="000000"/>
              </w:rPr>
            </w:pPr>
          </w:p>
        </w:tc>
        <w:tc>
          <w:tcPr>
            <w:tcW w:w="682" w:type="pct"/>
            <w:noWrap w:val="0"/>
            <w:vAlign w:val="center"/>
          </w:tcPr>
          <w:p w14:paraId="426DB576">
            <w:pPr>
              <w:spacing w:line="360" w:lineRule="auto"/>
              <w:ind w:left="223" w:hanging="222" w:hangingChars="106"/>
              <w:jc w:val="center"/>
              <w:rPr>
                <w:rFonts w:ascii="宋体" w:hAnsi="宋体"/>
                <w:color w:val="000000"/>
              </w:rPr>
            </w:pPr>
          </w:p>
        </w:tc>
      </w:tr>
      <w:tr w14:paraId="37CB66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9" w:hRule="atLeast"/>
          <w:jc w:val="center"/>
        </w:trPr>
        <w:tc>
          <w:tcPr>
            <w:tcW w:w="5000" w:type="pct"/>
            <w:gridSpan w:val="9"/>
            <w:noWrap w:val="0"/>
            <w:vAlign w:val="center"/>
          </w:tcPr>
          <w:p w14:paraId="3AF2AEB9">
            <w:pPr>
              <w:spacing w:line="360" w:lineRule="auto"/>
              <w:rPr>
                <w:rFonts w:ascii="宋体" w:hAnsi="宋体"/>
                <w:color w:val="000000"/>
                <w:szCs w:val="21"/>
              </w:rPr>
            </w:pPr>
            <w:bookmarkStart w:id="74" w:name="_Toc251052199"/>
            <w:r>
              <w:rPr>
                <w:rFonts w:ascii="宋体" w:hAnsi="宋体"/>
                <w:color w:val="000000"/>
                <w:szCs w:val="21"/>
              </w:rPr>
              <w:t>一旦我单位成交，将实行项目经理负责制，我方保证并配备上述项目管理机构。上述填报内容真实，若不真实，愿按有关规定接受处理。项目管理班子机构设置、职责分工等情况另附资料说明。</w:t>
            </w:r>
            <w:bookmarkEnd w:id="74"/>
          </w:p>
        </w:tc>
      </w:tr>
    </w:tbl>
    <w:p w14:paraId="6A2F1075">
      <w:pPr>
        <w:tabs>
          <w:tab w:val="left" w:pos="0"/>
        </w:tabs>
        <w:spacing w:line="360" w:lineRule="auto"/>
        <w:ind w:right="-210"/>
        <w:rPr>
          <w:rFonts w:ascii="宋体" w:hAnsi="宋体"/>
          <w:color w:val="000000"/>
        </w:rPr>
      </w:pPr>
    </w:p>
    <w:p w14:paraId="14B8B51C">
      <w:pPr>
        <w:pStyle w:val="11"/>
        <w:rPr>
          <w:color w:val="000000"/>
        </w:rPr>
      </w:pPr>
      <w:r>
        <w:rPr>
          <w:color w:val="000000"/>
        </w:rPr>
        <w:t>【备注：附以上各岗位人员资格证件等相关证明材料复印件，以及供应商认为需要增加的其他证明材料复印件，以上复印件均须加盖供应商单位公章。】</w:t>
      </w:r>
    </w:p>
    <w:p w14:paraId="3D780757">
      <w:pPr>
        <w:spacing w:line="360" w:lineRule="auto"/>
        <w:rPr>
          <w:rFonts w:ascii="宋体" w:hAnsi="宋体" w:eastAsia="楷体_GB2312"/>
          <w:color w:val="000000"/>
        </w:rPr>
      </w:pPr>
    </w:p>
    <w:p w14:paraId="62A7889B">
      <w:pPr>
        <w:tabs>
          <w:tab w:val="left" w:pos="0"/>
        </w:tabs>
        <w:spacing w:line="360" w:lineRule="auto"/>
        <w:ind w:right="-210"/>
        <w:rPr>
          <w:rFonts w:ascii="宋体" w:hAnsi="宋体"/>
          <w:color w:val="000000"/>
        </w:rPr>
      </w:pPr>
    </w:p>
    <w:p w14:paraId="78DEBCCF">
      <w:pPr>
        <w:tabs>
          <w:tab w:val="left" w:pos="0"/>
        </w:tabs>
        <w:spacing w:line="360" w:lineRule="auto"/>
        <w:ind w:right="-210"/>
        <w:rPr>
          <w:rFonts w:ascii="宋体" w:hAnsi="宋体"/>
          <w:color w:val="000000"/>
        </w:rPr>
      </w:pPr>
    </w:p>
    <w:p w14:paraId="6699FA4B">
      <w:pPr>
        <w:tabs>
          <w:tab w:val="left" w:pos="0"/>
        </w:tabs>
        <w:spacing w:line="360" w:lineRule="auto"/>
        <w:ind w:right="-210"/>
        <w:rPr>
          <w:rFonts w:ascii="宋体" w:hAnsi="宋体"/>
          <w:color w:val="000000"/>
        </w:rPr>
        <w:sectPr>
          <w:pgSz w:w="11907" w:h="16840"/>
          <w:pgMar w:top="1440" w:right="1440" w:bottom="1440" w:left="1797" w:header="851" w:footer="851" w:gutter="0"/>
          <w:cols w:space="720" w:num="1"/>
          <w:docGrid w:linePitch="312" w:charSpace="0"/>
        </w:sectPr>
      </w:pPr>
    </w:p>
    <w:p w14:paraId="7A38CB53">
      <w:pPr>
        <w:pStyle w:val="3"/>
        <w:numPr>
          <w:ilvl w:val="0"/>
          <w:numId w:val="64"/>
        </w:numPr>
        <w:topLinePunct w:val="0"/>
        <w:ind w:left="0" w:leftChars="0" w:firstLine="482" w:firstLineChars="0"/>
        <w:rPr>
          <w:b/>
          <w:u w:val="single"/>
        </w:rPr>
      </w:pPr>
      <w:bookmarkStart w:id="75" w:name="_Toc6413137"/>
      <w:bookmarkStart w:id="76" w:name="_Toc172364026"/>
      <w:bookmarkStart w:id="77" w:name="_Toc153274948"/>
      <w:bookmarkStart w:id="78" w:name="_Toc173579006"/>
      <w:bookmarkStart w:id="79" w:name="_Toc389065364"/>
      <w:bookmarkStart w:id="80" w:name="_Toc251052200"/>
      <w:bookmarkStart w:id="81" w:name="_Toc6848"/>
      <w:r>
        <w:t>项目经理（注册建造师）简历表</w:t>
      </w:r>
      <w:bookmarkEnd w:id="75"/>
      <w:bookmarkEnd w:id="76"/>
      <w:bookmarkEnd w:id="77"/>
      <w:bookmarkEnd w:id="78"/>
      <w:bookmarkEnd w:id="79"/>
      <w:bookmarkEnd w:id="80"/>
      <w:bookmarkEnd w:id="81"/>
    </w:p>
    <w:p w14:paraId="0598229A">
      <w:pPr>
        <w:pStyle w:val="33"/>
        <w:spacing w:line="360" w:lineRule="auto"/>
        <w:rPr>
          <w:rFonts w:ascii="宋体" w:hAnsi="宋体"/>
          <w:color w:val="000000"/>
          <w:u w:val="single"/>
        </w:rPr>
      </w:pPr>
    </w:p>
    <w:tbl>
      <w:tblPr>
        <w:tblStyle w:val="22"/>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77"/>
        <w:gridCol w:w="462"/>
        <w:gridCol w:w="1539"/>
        <w:gridCol w:w="327"/>
        <w:gridCol w:w="1212"/>
        <w:gridCol w:w="671"/>
        <w:gridCol w:w="868"/>
        <w:gridCol w:w="708"/>
        <w:gridCol w:w="832"/>
        <w:gridCol w:w="270"/>
        <w:gridCol w:w="1273"/>
      </w:tblGrid>
      <w:tr w14:paraId="338DBB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83" w:type="pct"/>
            <w:noWrap w:val="0"/>
            <w:vAlign w:val="center"/>
          </w:tcPr>
          <w:p w14:paraId="7B886801">
            <w:pPr>
              <w:spacing w:line="360" w:lineRule="auto"/>
              <w:jc w:val="center"/>
              <w:rPr>
                <w:rFonts w:ascii="宋体" w:hAnsi="宋体"/>
                <w:color w:val="000000"/>
              </w:rPr>
            </w:pPr>
            <w:r>
              <w:rPr>
                <w:rFonts w:ascii="宋体" w:hAnsi="宋体"/>
                <w:color w:val="000000"/>
              </w:rPr>
              <w:t>姓名</w:t>
            </w:r>
          </w:p>
        </w:tc>
        <w:tc>
          <w:tcPr>
            <w:tcW w:w="1260" w:type="pct"/>
            <w:gridSpan w:val="3"/>
            <w:noWrap w:val="0"/>
            <w:vAlign w:val="center"/>
          </w:tcPr>
          <w:p w14:paraId="539DF73D">
            <w:pPr>
              <w:spacing w:line="360" w:lineRule="auto"/>
              <w:jc w:val="center"/>
              <w:rPr>
                <w:rFonts w:ascii="宋体" w:hAnsi="宋体"/>
                <w:color w:val="000000"/>
              </w:rPr>
            </w:pPr>
          </w:p>
        </w:tc>
        <w:tc>
          <w:tcPr>
            <w:tcW w:w="1019" w:type="pct"/>
            <w:gridSpan w:val="2"/>
            <w:noWrap w:val="0"/>
            <w:vAlign w:val="center"/>
          </w:tcPr>
          <w:p w14:paraId="4AC6E2C5">
            <w:pPr>
              <w:spacing w:line="360" w:lineRule="auto"/>
              <w:jc w:val="center"/>
              <w:rPr>
                <w:rFonts w:ascii="宋体" w:hAnsi="宋体"/>
                <w:color w:val="000000"/>
              </w:rPr>
            </w:pPr>
            <w:r>
              <w:rPr>
                <w:rFonts w:ascii="宋体" w:hAnsi="宋体"/>
                <w:color w:val="000000"/>
              </w:rPr>
              <w:t>性别</w:t>
            </w:r>
          </w:p>
        </w:tc>
        <w:tc>
          <w:tcPr>
            <w:tcW w:w="853" w:type="pct"/>
            <w:gridSpan w:val="2"/>
            <w:noWrap w:val="0"/>
            <w:vAlign w:val="center"/>
          </w:tcPr>
          <w:p w14:paraId="2D7C95C6">
            <w:pPr>
              <w:spacing w:line="360" w:lineRule="auto"/>
              <w:jc w:val="center"/>
              <w:rPr>
                <w:rFonts w:ascii="宋体" w:hAnsi="宋体"/>
                <w:color w:val="000000"/>
              </w:rPr>
            </w:pPr>
          </w:p>
        </w:tc>
        <w:tc>
          <w:tcPr>
            <w:tcW w:w="596" w:type="pct"/>
            <w:gridSpan w:val="2"/>
            <w:noWrap w:val="0"/>
            <w:vAlign w:val="center"/>
          </w:tcPr>
          <w:p w14:paraId="1C540BF5">
            <w:pPr>
              <w:spacing w:line="360" w:lineRule="auto"/>
              <w:jc w:val="center"/>
              <w:rPr>
                <w:rFonts w:ascii="宋体" w:hAnsi="宋体"/>
                <w:color w:val="000000"/>
              </w:rPr>
            </w:pPr>
            <w:r>
              <w:rPr>
                <w:rFonts w:ascii="宋体" w:hAnsi="宋体"/>
                <w:color w:val="000000"/>
              </w:rPr>
              <w:t>年龄</w:t>
            </w:r>
          </w:p>
        </w:tc>
        <w:tc>
          <w:tcPr>
            <w:tcW w:w="687" w:type="pct"/>
            <w:noWrap w:val="0"/>
            <w:vAlign w:val="center"/>
          </w:tcPr>
          <w:p w14:paraId="1B494299">
            <w:pPr>
              <w:spacing w:line="360" w:lineRule="auto"/>
              <w:jc w:val="center"/>
              <w:rPr>
                <w:rFonts w:ascii="宋体" w:hAnsi="宋体"/>
                <w:color w:val="000000"/>
              </w:rPr>
            </w:pPr>
          </w:p>
        </w:tc>
      </w:tr>
      <w:tr w14:paraId="7156F4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583" w:type="pct"/>
            <w:noWrap w:val="0"/>
            <w:vAlign w:val="center"/>
          </w:tcPr>
          <w:p w14:paraId="5A766015">
            <w:pPr>
              <w:spacing w:line="360" w:lineRule="auto"/>
              <w:jc w:val="center"/>
              <w:rPr>
                <w:rFonts w:ascii="宋体" w:hAnsi="宋体"/>
                <w:color w:val="000000"/>
              </w:rPr>
            </w:pPr>
            <w:r>
              <w:rPr>
                <w:rFonts w:ascii="宋体" w:hAnsi="宋体"/>
                <w:color w:val="000000"/>
              </w:rPr>
              <w:t>职务</w:t>
            </w:r>
          </w:p>
        </w:tc>
        <w:tc>
          <w:tcPr>
            <w:tcW w:w="1260" w:type="pct"/>
            <w:gridSpan w:val="3"/>
            <w:noWrap w:val="0"/>
            <w:vAlign w:val="center"/>
          </w:tcPr>
          <w:p w14:paraId="7E051E66">
            <w:pPr>
              <w:spacing w:line="360" w:lineRule="auto"/>
              <w:jc w:val="center"/>
              <w:rPr>
                <w:rFonts w:ascii="宋体" w:hAnsi="宋体"/>
                <w:color w:val="000000"/>
              </w:rPr>
            </w:pPr>
          </w:p>
        </w:tc>
        <w:tc>
          <w:tcPr>
            <w:tcW w:w="1019" w:type="pct"/>
            <w:gridSpan w:val="2"/>
            <w:noWrap w:val="0"/>
            <w:vAlign w:val="center"/>
          </w:tcPr>
          <w:p w14:paraId="461E6F6A">
            <w:pPr>
              <w:spacing w:line="360" w:lineRule="auto"/>
              <w:jc w:val="center"/>
              <w:rPr>
                <w:rFonts w:ascii="宋体" w:hAnsi="宋体"/>
                <w:color w:val="000000"/>
              </w:rPr>
            </w:pPr>
            <w:r>
              <w:rPr>
                <w:rFonts w:ascii="宋体" w:hAnsi="宋体"/>
                <w:color w:val="000000"/>
              </w:rPr>
              <w:t>职称</w:t>
            </w:r>
          </w:p>
        </w:tc>
        <w:tc>
          <w:tcPr>
            <w:tcW w:w="853" w:type="pct"/>
            <w:gridSpan w:val="2"/>
            <w:noWrap w:val="0"/>
            <w:vAlign w:val="center"/>
          </w:tcPr>
          <w:p w14:paraId="4F4F9FD2">
            <w:pPr>
              <w:spacing w:line="360" w:lineRule="auto"/>
              <w:jc w:val="center"/>
              <w:rPr>
                <w:rFonts w:ascii="宋体" w:hAnsi="宋体"/>
                <w:color w:val="000000"/>
              </w:rPr>
            </w:pPr>
          </w:p>
        </w:tc>
        <w:tc>
          <w:tcPr>
            <w:tcW w:w="596" w:type="pct"/>
            <w:gridSpan w:val="2"/>
            <w:noWrap w:val="0"/>
            <w:vAlign w:val="center"/>
          </w:tcPr>
          <w:p w14:paraId="31A9B4F0">
            <w:pPr>
              <w:spacing w:line="360" w:lineRule="auto"/>
              <w:jc w:val="center"/>
              <w:rPr>
                <w:rFonts w:ascii="宋体" w:hAnsi="宋体"/>
                <w:color w:val="000000"/>
              </w:rPr>
            </w:pPr>
            <w:r>
              <w:rPr>
                <w:rFonts w:ascii="宋体" w:hAnsi="宋体"/>
                <w:color w:val="000000"/>
              </w:rPr>
              <w:t>学历</w:t>
            </w:r>
          </w:p>
        </w:tc>
        <w:tc>
          <w:tcPr>
            <w:tcW w:w="687" w:type="pct"/>
            <w:noWrap w:val="0"/>
            <w:vAlign w:val="center"/>
          </w:tcPr>
          <w:p w14:paraId="275510E6">
            <w:pPr>
              <w:spacing w:line="360" w:lineRule="auto"/>
              <w:jc w:val="center"/>
              <w:rPr>
                <w:rFonts w:ascii="宋体" w:hAnsi="宋体"/>
                <w:color w:val="000000"/>
              </w:rPr>
            </w:pPr>
          </w:p>
        </w:tc>
      </w:tr>
      <w:tr w14:paraId="698A40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843" w:type="pct"/>
            <w:gridSpan w:val="4"/>
            <w:noWrap w:val="0"/>
            <w:vAlign w:val="center"/>
          </w:tcPr>
          <w:p w14:paraId="5AC9D9E2">
            <w:pPr>
              <w:spacing w:line="360" w:lineRule="auto"/>
              <w:jc w:val="center"/>
              <w:rPr>
                <w:rFonts w:ascii="宋体" w:hAnsi="宋体"/>
                <w:color w:val="000000"/>
              </w:rPr>
            </w:pPr>
            <w:r>
              <w:rPr>
                <w:rFonts w:ascii="宋体" w:hAnsi="宋体"/>
                <w:color w:val="000000"/>
              </w:rPr>
              <w:t>参加工作时间</w:t>
            </w:r>
          </w:p>
        </w:tc>
        <w:tc>
          <w:tcPr>
            <w:tcW w:w="1019" w:type="pct"/>
            <w:gridSpan w:val="2"/>
            <w:noWrap w:val="0"/>
            <w:vAlign w:val="center"/>
          </w:tcPr>
          <w:p w14:paraId="32705CAA">
            <w:pPr>
              <w:spacing w:line="360" w:lineRule="auto"/>
              <w:jc w:val="center"/>
              <w:rPr>
                <w:rFonts w:ascii="宋体" w:hAnsi="宋体"/>
                <w:color w:val="000000"/>
              </w:rPr>
            </w:pPr>
          </w:p>
        </w:tc>
        <w:tc>
          <w:tcPr>
            <w:tcW w:w="1449" w:type="pct"/>
            <w:gridSpan w:val="4"/>
            <w:noWrap w:val="0"/>
            <w:vAlign w:val="center"/>
          </w:tcPr>
          <w:p w14:paraId="6467D7BE">
            <w:pPr>
              <w:spacing w:line="360" w:lineRule="auto"/>
              <w:jc w:val="center"/>
              <w:rPr>
                <w:rFonts w:ascii="宋体" w:hAnsi="宋体"/>
                <w:color w:val="000000"/>
              </w:rPr>
            </w:pPr>
            <w:r>
              <w:rPr>
                <w:rFonts w:ascii="宋体" w:hAnsi="宋体"/>
                <w:color w:val="000000"/>
              </w:rPr>
              <w:t>担任项目经理年限</w:t>
            </w:r>
          </w:p>
        </w:tc>
        <w:tc>
          <w:tcPr>
            <w:tcW w:w="687" w:type="pct"/>
            <w:noWrap w:val="0"/>
            <w:vAlign w:val="center"/>
          </w:tcPr>
          <w:p w14:paraId="13C590DC">
            <w:pPr>
              <w:spacing w:line="360" w:lineRule="auto"/>
              <w:jc w:val="center"/>
              <w:rPr>
                <w:rFonts w:ascii="宋体" w:hAnsi="宋体"/>
                <w:color w:val="000000"/>
              </w:rPr>
            </w:pPr>
          </w:p>
        </w:tc>
      </w:tr>
      <w:tr w14:paraId="6C48D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8" w:hRule="atLeast"/>
          <w:jc w:val="center"/>
        </w:trPr>
        <w:tc>
          <w:tcPr>
            <w:tcW w:w="1843" w:type="pct"/>
            <w:gridSpan w:val="4"/>
            <w:noWrap w:val="0"/>
            <w:vAlign w:val="center"/>
          </w:tcPr>
          <w:p w14:paraId="096664F8">
            <w:pPr>
              <w:spacing w:line="360" w:lineRule="auto"/>
              <w:jc w:val="center"/>
              <w:rPr>
                <w:rFonts w:ascii="宋体" w:hAnsi="宋体"/>
                <w:color w:val="000000"/>
              </w:rPr>
            </w:pPr>
            <w:r>
              <w:rPr>
                <w:rFonts w:hint="eastAsia" w:ascii="宋体" w:hAnsi="宋体"/>
                <w:color w:val="000000"/>
              </w:rPr>
              <w:t>建造师注册</w:t>
            </w:r>
            <w:r>
              <w:rPr>
                <w:rFonts w:ascii="宋体" w:hAnsi="宋体"/>
                <w:color w:val="000000"/>
              </w:rPr>
              <w:t>编号</w:t>
            </w:r>
          </w:p>
        </w:tc>
        <w:tc>
          <w:tcPr>
            <w:tcW w:w="3156" w:type="pct"/>
            <w:gridSpan w:val="7"/>
            <w:noWrap w:val="0"/>
            <w:vAlign w:val="center"/>
          </w:tcPr>
          <w:p w14:paraId="26495E9D">
            <w:pPr>
              <w:spacing w:line="360" w:lineRule="auto"/>
              <w:jc w:val="center"/>
              <w:rPr>
                <w:rFonts w:ascii="宋体" w:hAnsi="宋体"/>
                <w:color w:val="000000"/>
              </w:rPr>
            </w:pPr>
          </w:p>
        </w:tc>
      </w:tr>
      <w:tr w14:paraId="60C71D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5000" w:type="pct"/>
            <w:gridSpan w:val="11"/>
            <w:noWrap w:val="0"/>
            <w:vAlign w:val="center"/>
          </w:tcPr>
          <w:p w14:paraId="16D1FFA4">
            <w:pPr>
              <w:spacing w:line="360" w:lineRule="auto"/>
              <w:jc w:val="center"/>
              <w:rPr>
                <w:rFonts w:ascii="宋体" w:hAnsi="宋体"/>
                <w:color w:val="000000"/>
              </w:rPr>
            </w:pPr>
            <w:r>
              <w:rPr>
                <w:rFonts w:ascii="宋体" w:hAnsi="宋体"/>
                <w:color w:val="000000"/>
              </w:rPr>
              <w:t>在建和已完工程项目情况</w:t>
            </w:r>
          </w:p>
        </w:tc>
      </w:tr>
      <w:tr w14:paraId="60FBC9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833" w:type="pct"/>
            <w:gridSpan w:val="2"/>
            <w:noWrap w:val="0"/>
            <w:vAlign w:val="center"/>
          </w:tcPr>
          <w:p w14:paraId="023CC02A">
            <w:pPr>
              <w:spacing w:line="360" w:lineRule="auto"/>
              <w:jc w:val="center"/>
              <w:rPr>
                <w:rFonts w:ascii="宋体" w:hAnsi="宋体"/>
                <w:color w:val="000000"/>
              </w:rPr>
            </w:pPr>
            <w:r>
              <w:rPr>
                <w:rFonts w:ascii="宋体" w:hAnsi="宋体"/>
                <w:color w:val="000000"/>
              </w:rPr>
              <w:t>建设单位</w:t>
            </w:r>
          </w:p>
        </w:tc>
        <w:tc>
          <w:tcPr>
            <w:tcW w:w="833" w:type="pct"/>
            <w:noWrap w:val="0"/>
            <w:vAlign w:val="center"/>
          </w:tcPr>
          <w:p w14:paraId="7EF8D3B5">
            <w:pPr>
              <w:spacing w:line="360" w:lineRule="auto"/>
              <w:jc w:val="center"/>
              <w:rPr>
                <w:rFonts w:ascii="宋体" w:hAnsi="宋体"/>
                <w:color w:val="000000"/>
              </w:rPr>
            </w:pPr>
            <w:r>
              <w:rPr>
                <w:rFonts w:ascii="宋体" w:hAnsi="宋体"/>
                <w:color w:val="000000"/>
              </w:rPr>
              <w:t>项目名称</w:t>
            </w:r>
          </w:p>
        </w:tc>
        <w:tc>
          <w:tcPr>
            <w:tcW w:w="833" w:type="pct"/>
            <w:gridSpan w:val="2"/>
            <w:noWrap w:val="0"/>
            <w:vAlign w:val="center"/>
          </w:tcPr>
          <w:p w14:paraId="2E5301E7">
            <w:pPr>
              <w:spacing w:line="360" w:lineRule="auto"/>
              <w:jc w:val="center"/>
              <w:rPr>
                <w:rFonts w:ascii="宋体" w:hAnsi="宋体"/>
                <w:color w:val="000000"/>
              </w:rPr>
            </w:pPr>
            <w:r>
              <w:rPr>
                <w:rFonts w:ascii="宋体" w:hAnsi="宋体"/>
                <w:color w:val="000000"/>
              </w:rPr>
              <w:t>建设规模</w:t>
            </w:r>
          </w:p>
        </w:tc>
        <w:tc>
          <w:tcPr>
            <w:tcW w:w="833" w:type="pct"/>
            <w:gridSpan w:val="2"/>
            <w:noWrap w:val="0"/>
            <w:vAlign w:val="center"/>
          </w:tcPr>
          <w:p w14:paraId="4735E970">
            <w:pPr>
              <w:spacing w:line="360" w:lineRule="auto"/>
              <w:jc w:val="center"/>
              <w:rPr>
                <w:rFonts w:ascii="宋体" w:hAnsi="宋体"/>
                <w:color w:val="000000"/>
              </w:rPr>
            </w:pPr>
            <w:r>
              <w:rPr>
                <w:rFonts w:ascii="宋体" w:hAnsi="宋体"/>
                <w:color w:val="000000"/>
              </w:rPr>
              <w:t>开、竣工日期</w:t>
            </w:r>
          </w:p>
        </w:tc>
        <w:tc>
          <w:tcPr>
            <w:tcW w:w="833" w:type="pct"/>
            <w:gridSpan w:val="2"/>
            <w:noWrap w:val="0"/>
            <w:vAlign w:val="center"/>
          </w:tcPr>
          <w:p w14:paraId="2C10053B">
            <w:pPr>
              <w:spacing w:line="360" w:lineRule="auto"/>
              <w:jc w:val="center"/>
              <w:rPr>
                <w:rFonts w:ascii="宋体" w:hAnsi="宋体"/>
                <w:color w:val="000000"/>
              </w:rPr>
            </w:pPr>
            <w:r>
              <w:rPr>
                <w:rFonts w:ascii="宋体" w:hAnsi="宋体"/>
                <w:color w:val="000000"/>
              </w:rPr>
              <w:t>在建或已完</w:t>
            </w:r>
          </w:p>
        </w:tc>
        <w:tc>
          <w:tcPr>
            <w:tcW w:w="833" w:type="pct"/>
            <w:gridSpan w:val="2"/>
            <w:noWrap w:val="0"/>
            <w:vAlign w:val="center"/>
          </w:tcPr>
          <w:p w14:paraId="1DDAE66B">
            <w:pPr>
              <w:spacing w:line="360" w:lineRule="auto"/>
              <w:jc w:val="center"/>
              <w:rPr>
                <w:rFonts w:ascii="宋体" w:hAnsi="宋体"/>
                <w:color w:val="000000"/>
              </w:rPr>
            </w:pPr>
            <w:r>
              <w:rPr>
                <w:rFonts w:ascii="宋体" w:hAnsi="宋体"/>
                <w:color w:val="000000"/>
              </w:rPr>
              <w:t>工程质量</w:t>
            </w:r>
          </w:p>
        </w:tc>
      </w:tr>
      <w:tr w14:paraId="0B1279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833" w:type="pct"/>
            <w:gridSpan w:val="2"/>
            <w:noWrap w:val="0"/>
            <w:vAlign w:val="center"/>
          </w:tcPr>
          <w:p w14:paraId="1E3A6C75">
            <w:pPr>
              <w:spacing w:line="360" w:lineRule="auto"/>
              <w:jc w:val="center"/>
              <w:rPr>
                <w:rFonts w:ascii="宋体" w:hAnsi="宋体"/>
                <w:color w:val="000000"/>
              </w:rPr>
            </w:pPr>
          </w:p>
        </w:tc>
        <w:tc>
          <w:tcPr>
            <w:tcW w:w="833" w:type="pct"/>
            <w:noWrap w:val="0"/>
            <w:vAlign w:val="center"/>
          </w:tcPr>
          <w:p w14:paraId="3C3EFA64">
            <w:pPr>
              <w:spacing w:line="360" w:lineRule="auto"/>
              <w:jc w:val="center"/>
              <w:rPr>
                <w:rFonts w:ascii="宋体" w:hAnsi="宋体"/>
                <w:color w:val="000000"/>
              </w:rPr>
            </w:pPr>
          </w:p>
        </w:tc>
        <w:tc>
          <w:tcPr>
            <w:tcW w:w="833" w:type="pct"/>
            <w:gridSpan w:val="2"/>
            <w:noWrap w:val="0"/>
            <w:vAlign w:val="center"/>
          </w:tcPr>
          <w:p w14:paraId="5EB4C0D5">
            <w:pPr>
              <w:spacing w:line="360" w:lineRule="auto"/>
              <w:jc w:val="center"/>
              <w:rPr>
                <w:rFonts w:ascii="宋体" w:hAnsi="宋体"/>
                <w:color w:val="000000"/>
              </w:rPr>
            </w:pPr>
          </w:p>
        </w:tc>
        <w:tc>
          <w:tcPr>
            <w:tcW w:w="833" w:type="pct"/>
            <w:gridSpan w:val="2"/>
            <w:noWrap w:val="0"/>
            <w:vAlign w:val="center"/>
          </w:tcPr>
          <w:p w14:paraId="39A08E37">
            <w:pPr>
              <w:spacing w:line="360" w:lineRule="auto"/>
              <w:jc w:val="center"/>
              <w:rPr>
                <w:rFonts w:ascii="宋体" w:hAnsi="宋体"/>
                <w:color w:val="000000"/>
              </w:rPr>
            </w:pPr>
          </w:p>
        </w:tc>
        <w:tc>
          <w:tcPr>
            <w:tcW w:w="833" w:type="pct"/>
            <w:gridSpan w:val="2"/>
            <w:noWrap w:val="0"/>
            <w:vAlign w:val="center"/>
          </w:tcPr>
          <w:p w14:paraId="2A0002D0">
            <w:pPr>
              <w:spacing w:line="360" w:lineRule="auto"/>
              <w:jc w:val="center"/>
              <w:rPr>
                <w:rFonts w:ascii="宋体" w:hAnsi="宋体"/>
                <w:color w:val="000000"/>
              </w:rPr>
            </w:pPr>
          </w:p>
        </w:tc>
        <w:tc>
          <w:tcPr>
            <w:tcW w:w="833" w:type="pct"/>
            <w:gridSpan w:val="2"/>
            <w:noWrap w:val="0"/>
            <w:vAlign w:val="center"/>
          </w:tcPr>
          <w:p w14:paraId="29739E39">
            <w:pPr>
              <w:spacing w:line="360" w:lineRule="auto"/>
              <w:jc w:val="center"/>
              <w:rPr>
                <w:rFonts w:ascii="宋体" w:hAnsi="宋体"/>
                <w:color w:val="000000"/>
              </w:rPr>
            </w:pPr>
          </w:p>
        </w:tc>
      </w:tr>
      <w:tr w14:paraId="357879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833" w:type="pct"/>
            <w:gridSpan w:val="2"/>
            <w:noWrap w:val="0"/>
            <w:vAlign w:val="center"/>
          </w:tcPr>
          <w:p w14:paraId="59803A48">
            <w:pPr>
              <w:spacing w:line="360" w:lineRule="auto"/>
              <w:jc w:val="center"/>
              <w:rPr>
                <w:rFonts w:ascii="宋体" w:hAnsi="宋体"/>
                <w:color w:val="000000"/>
              </w:rPr>
            </w:pPr>
          </w:p>
        </w:tc>
        <w:tc>
          <w:tcPr>
            <w:tcW w:w="833" w:type="pct"/>
            <w:noWrap w:val="0"/>
            <w:vAlign w:val="center"/>
          </w:tcPr>
          <w:p w14:paraId="4C260D1D">
            <w:pPr>
              <w:spacing w:line="360" w:lineRule="auto"/>
              <w:jc w:val="center"/>
              <w:rPr>
                <w:rFonts w:ascii="宋体" w:hAnsi="宋体"/>
                <w:color w:val="000000"/>
              </w:rPr>
            </w:pPr>
          </w:p>
        </w:tc>
        <w:tc>
          <w:tcPr>
            <w:tcW w:w="833" w:type="pct"/>
            <w:gridSpan w:val="2"/>
            <w:noWrap w:val="0"/>
            <w:vAlign w:val="center"/>
          </w:tcPr>
          <w:p w14:paraId="4653DBAA">
            <w:pPr>
              <w:spacing w:line="360" w:lineRule="auto"/>
              <w:jc w:val="center"/>
              <w:rPr>
                <w:rFonts w:ascii="宋体" w:hAnsi="宋体"/>
                <w:color w:val="000000"/>
              </w:rPr>
            </w:pPr>
          </w:p>
        </w:tc>
        <w:tc>
          <w:tcPr>
            <w:tcW w:w="833" w:type="pct"/>
            <w:gridSpan w:val="2"/>
            <w:noWrap w:val="0"/>
            <w:vAlign w:val="center"/>
          </w:tcPr>
          <w:p w14:paraId="22DD7A89">
            <w:pPr>
              <w:spacing w:line="360" w:lineRule="auto"/>
              <w:jc w:val="center"/>
              <w:rPr>
                <w:rFonts w:ascii="宋体" w:hAnsi="宋体"/>
                <w:color w:val="000000"/>
              </w:rPr>
            </w:pPr>
          </w:p>
        </w:tc>
        <w:tc>
          <w:tcPr>
            <w:tcW w:w="833" w:type="pct"/>
            <w:gridSpan w:val="2"/>
            <w:noWrap w:val="0"/>
            <w:vAlign w:val="center"/>
          </w:tcPr>
          <w:p w14:paraId="4D5EFCE5">
            <w:pPr>
              <w:spacing w:line="360" w:lineRule="auto"/>
              <w:jc w:val="center"/>
              <w:rPr>
                <w:rFonts w:ascii="宋体" w:hAnsi="宋体"/>
                <w:color w:val="000000"/>
              </w:rPr>
            </w:pPr>
          </w:p>
        </w:tc>
        <w:tc>
          <w:tcPr>
            <w:tcW w:w="833" w:type="pct"/>
            <w:gridSpan w:val="2"/>
            <w:noWrap w:val="0"/>
            <w:vAlign w:val="center"/>
          </w:tcPr>
          <w:p w14:paraId="0EB18698">
            <w:pPr>
              <w:spacing w:line="360" w:lineRule="auto"/>
              <w:jc w:val="center"/>
              <w:rPr>
                <w:rFonts w:ascii="宋体" w:hAnsi="宋体"/>
                <w:color w:val="000000"/>
              </w:rPr>
            </w:pPr>
          </w:p>
        </w:tc>
      </w:tr>
      <w:tr w14:paraId="100089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833" w:type="pct"/>
            <w:gridSpan w:val="2"/>
            <w:noWrap w:val="0"/>
            <w:vAlign w:val="center"/>
          </w:tcPr>
          <w:p w14:paraId="66BA3C1D">
            <w:pPr>
              <w:spacing w:line="360" w:lineRule="auto"/>
              <w:jc w:val="center"/>
              <w:rPr>
                <w:rFonts w:ascii="宋体" w:hAnsi="宋体"/>
                <w:color w:val="000000"/>
              </w:rPr>
            </w:pPr>
          </w:p>
        </w:tc>
        <w:tc>
          <w:tcPr>
            <w:tcW w:w="833" w:type="pct"/>
            <w:noWrap w:val="0"/>
            <w:vAlign w:val="center"/>
          </w:tcPr>
          <w:p w14:paraId="45E3F4D7">
            <w:pPr>
              <w:spacing w:line="360" w:lineRule="auto"/>
              <w:jc w:val="center"/>
              <w:rPr>
                <w:rFonts w:ascii="宋体" w:hAnsi="宋体"/>
                <w:color w:val="000000"/>
              </w:rPr>
            </w:pPr>
          </w:p>
        </w:tc>
        <w:tc>
          <w:tcPr>
            <w:tcW w:w="833" w:type="pct"/>
            <w:gridSpan w:val="2"/>
            <w:noWrap w:val="0"/>
            <w:vAlign w:val="center"/>
          </w:tcPr>
          <w:p w14:paraId="6237DA80">
            <w:pPr>
              <w:spacing w:line="360" w:lineRule="auto"/>
              <w:jc w:val="center"/>
              <w:rPr>
                <w:rFonts w:ascii="宋体" w:hAnsi="宋体"/>
                <w:color w:val="000000"/>
              </w:rPr>
            </w:pPr>
          </w:p>
        </w:tc>
        <w:tc>
          <w:tcPr>
            <w:tcW w:w="833" w:type="pct"/>
            <w:gridSpan w:val="2"/>
            <w:noWrap w:val="0"/>
            <w:vAlign w:val="center"/>
          </w:tcPr>
          <w:p w14:paraId="28F57F41">
            <w:pPr>
              <w:spacing w:line="360" w:lineRule="auto"/>
              <w:jc w:val="center"/>
              <w:rPr>
                <w:rFonts w:ascii="宋体" w:hAnsi="宋体"/>
                <w:color w:val="000000"/>
              </w:rPr>
            </w:pPr>
          </w:p>
        </w:tc>
        <w:tc>
          <w:tcPr>
            <w:tcW w:w="833" w:type="pct"/>
            <w:gridSpan w:val="2"/>
            <w:noWrap w:val="0"/>
            <w:vAlign w:val="center"/>
          </w:tcPr>
          <w:p w14:paraId="4104A396">
            <w:pPr>
              <w:spacing w:line="360" w:lineRule="auto"/>
              <w:jc w:val="center"/>
              <w:rPr>
                <w:rFonts w:ascii="宋体" w:hAnsi="宋体"/>
                <w:color w:val="000000"/>
              </w:rPr>
            </w:pPr>
          </w:p>
        </w:tc>
        <w:tc>
          <w:tcPr>
            <w:tcW w:w="833" w:type="pct"/>
            <w:gridSpan w:val="2"/>
            <w:noWrap w:val="0"/>
            <w:vAlign w:val="center"/>
          </w:tcPr>
          <w:p w14:paraId="51FD0D3B">
            <w:pPr>
              <w:spacing w:line="360" w:lineRule="auto"/>
              <w:jc w:val="center"/>
              <w:rPr>
                <w:rFonts w:ascii="宋体" w:hAnsi="宋体"/>
                <w:color w:val="000000"/>
              </w:rPr>
            </w:pPr>
          </w:p>
        </w:tc>
      </w:tr>
      <w:tr w14:paraId="332572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833" w:type="pct"/>
            <w:gridSpan w:val="2"/>
            <w:noWrap w:val="0"/>
            <w:vAlign w:val="center"/>
          </w:tcPr>
          <w:p w14:paraId="315B02CD">
            <w:pPr>
              <w:spacing w:line="360" w:lineRule="auto"/>
              <w:jc w:val="center"/>
              <w:rPr>
                <w:rFonts w:ascii="宋体" w:hAnsi="宋体"/>
                <w:color w:val="000000"/>
              </w:rPr>
            </w:pPr>
          </w:p>
        </w:tc>
        <w:tc>
          <w:tcPr>
            <w:tcW w:w="833" w:type="pct"/>
            <w:noWrap w:val="0"/>
            <w:vAlign w:val="center"/>
          </w:tcPr>
          <w:p w14:paraId="71BC2DC7">
            <w:pPr>
              <w:spacing w:line="360" w:lineRule="auto"/>
              <w:jc w:val="center"/>
              <w:rPr>
                <w:rFonts w:ascii="宋体" w:hAnsi="宋体"/>
                <w:color w:val="000000"/>
              </w:rPr>
            </w:pPr>
          </w:p>
        </w:tc>
        <w:tc>
          <w:tcPr>
            <w:tcW w:w="833" w:type="pct"/>
            <w:gridSpan w:val="2"/>
            <w:noWrap w:val="0"/>
            <w:vAlign w:val="center"/>
          </w:tcPr>
          <w:p w14:paraId="2D49AC1B">
            <w:pPr>
              <w:spacing w:line="360" w:lineRule="auto"/>
              <w:jc w:val="center"/>
              <w:rPr>
                <w:rFonts w:ascii="宋体" w:hAnsi="宋体"/>
                <w:color w:val="000000"/>
              </w:rPr>
            </w:pPr>
          </w:p>
        </w:tc>
        <w:tc>
          <w:tcPr>
            <w:tcW w:w="833" w:type="pct"/>
            <w:gridSpan w:val="2"/>
            <w:noWrap w:val="0"/>
            <w:vAlign w:val="center"/>
          </w:tcPr>
          <w:p w14:paraId="07E7162A">
            <w:pPr>
              <w:spacing w:line="360" w:lineRule="auto"/>
              <w:jc w:val="center"/>
              <w:rPr>
                <w:rFonts w:ascii="宋体" w:hAnsi="宋体"/>
                <w:color w:val="000000"/>
              </w:rPr>
            </w:pPr>
          </w:p>
        </w:tc>
        <w:tc>
          <w:tcPr>
            <w:tcW w:w="833" w:type="pct"/>
            <w:gridSpan w:val="2"/>
            <w:noWrap w:val="0"/>
            <w:vAlign w:val="center"/>
          </w:tcPr>
          <w:p w14:paraId="14C3A430">
            <w:pPr>
              <w:spacing w:line="360" w:lineRule="auto"/>
              <w:jc w:val="center"/>
              <w:rPr>
                <w:rFonts w:ascii="宋体" w:hAnsi="宋体"/>
                <w:color w:val="000000"/>
              </w:rPr>
            </w:pPr>
          </w:p>
        </w:tc>
        <w:tc>
          <w:tcPr>
            <w:tcW w:w="833" w:type="pct"/>
            <w:gridSpan w:val="2"/>
            <w:noWrap w:val="0"/>
            <w:vAlign w:val="center"/>
          </w:tcPr>
          <w:p w14:paraId="5A5F666A">
            <w:pPr>
              <w:spacing w:line="360" w:lineRule="auto"/>
              <w:jc w:val="center"/>
              <w:rPr>
                <w:rFonts w:ascii="宋体" w:hAnsi="宋体"/>
                <w:color w:val="000000"/>
              </w:rPr>
            </w:pPr>
          </w:p>
        </w:tc>
      </w:tr>
    </w:tbl>
    <w:p w14:paraId="70F20FCB">
      <w:pPr>
        <w:spacing w:line="360" w:lineRule="auto"/>
        <w:rPr>
          <w:rFonts w:ascii="宋体" w:hAnsi="宋体"/>
          <w:color w:val="000000"/>
          <w:szCs w:val="21"/>
        </w:rPr>
      </w:pPr>
    </w:p>
    <w:p w14:paraId="094E45B4">
      <w:pPr>
        <w:pStyle w:val="11"/>
        <w:rPr>
          <w:color w:val="auto"/>
          <w:highlight w:val="none"/>
        </w:rPr>
      </w:pPr>
      <w:r>
        <w:rPr>
          <w:color w:val="auto"/>
          <w:highlight w:val="none"/>
        </w:rPr>
        <w:t>备注：附项目经理注册建造师注册证书、职称证书、安全生产考核合格证书（B证）、中华人民共和国注册安全工程师执业证书（如有）和已完工程中标通知书（如有）、工程合同协议书（如有）、工程竣工验收（如有）证明材料复印件，以及供应商认为需要增加的其他证明材料复印件，以上复印件均须加盖供应商单位公章。</w:t>
      </w:r>
    </w:p>
    <w:p w14:paraId="2B02DD95">
      <w:pPr>
        <w:spacing w:line="360" w:lineRule="auto"/>
        <w:rPr>
          <w:rFonts w:hint="eastAsia" w:ascii="宋体" w:hAnsi="宋体"/>
          <w:b/>
          <w:color w:val="auto"/>
          <w:sz w:val="24"/>
          <w:highlight w:val="none"/>
        </w:rPr>
        <w:sectPr>
          <w:footerReference r:id="rId7" w:type="default"/>
          <w:footerReference r:id="rId8" w:type="even"/>
          <w:pgSz w:w="11907" w:h="16840"/>
          <w:pgMar w:top="1797" w:right="1440" w:bottom="1440" w:left="1440" w:header="851" w:footer="851" w:gutter="0"/>
          <w:cols w:space="720" w:num="1"/>
        </w:sectPr>
      </w:pPr>
    </w:p>
    <w:p w14:paraId="616890BF">
      <w:pPr>
        <w:pStyle w:val="11"/>
        <w:kinsoku w:val="0"/>
        <w:overflowPunct w:val="0"/>
        <w:spacing w:line="360" w:lineRule="auto"/>
        <w:ind w:right="102"/>
        <w:rPr>
          <w:rFonts w:hint="eastAsia" w:ascii="宋体" w:hAnsi="宋体"/>
          <w:b/>
          <w:color w:val="000000"/>
          <w:sz w:val="24"/>
        </w:rPr>
      </w:pPr>
    </w:p>
    <w:p w14:paraId="68BAD51B">
      <w:pPr>
        <w:pStyle w:val="2"/>
        <w:numPr>
          <w:ilvl w:val="0"/>
          <w:numId w:val="62"/>
        </w:numPr>
        <w:ind w:left="0" w:leftChars="0" w:firstLine="480" w:firstLineChars="0"/>
      </w:pPr>
      <w:r>
        <w:t>按本竞争性磋商文件规定提交的其它资料</w:t>
      </w:r>
    </w:p>
    <w:p w14:paraId="166B5ABE">
      <w:pPr>
        <w:pStyle w:val="11"/>
        <w:numPr>
          <w:ilvl w:val="4"/>
          <w:numId w:val="65"/>
        </w:numPr>
        <w:ind w:left="110"/>
        <w:rPr>
          <w:color w:val="000000"/>
        </w:rPr>
      </w:pPr>
      <w:r>
        <w:rPr>
          <w:color w:val="000000"/>
        </w:rPr>
        <w:br w:type="page"/>
      </w:r>
      <w:bookmarkStart w:id="82" w:name="_Toc19527_WPSOffice_Level1"/>
      <w:r>
        <w:rPr>
          <w:b/>
          <w:bCs/>
          <w:color w:val="000000"/>
        </w:rPr>
        <w:t>（封面）</w:t>
      </w:r>
      <w:bookmarkEnd w:id="82"/>
    </w:p>
    <w:p w14:paraId="17744F5A">
      <w:pPr>
        <w:kinsoku w:val="0"/>
        <w:overflowPunct w:val="0"/>
        <w:spacing w:line="200" w:lineRule="exact"/>
        <w:rPr>
          <w:color w:val="000000"/>
          <w:sz w:val="20"/>
        </w:rPr>
      </w:pPr>
    </w:p>
    <w:p w14:paraId="171CE921">
      <w:pPr>
        <w:kinsoku w:val="0"/>
        <w:overflowPunct w:val="0"/>
        <w:spacing w:line="200" w:lineRule="exact"/>
        <w:rPr>
          <w:color w:val="000000"/>
          <w:sz w:val="20"/>
        </w:rPr>
      </w:pPr>
    </w:p>
    <w:p w14:paraId="56DFF75F">
      <w:pPr>
        <w:kinsoku w:val="0"/>
        <w:overflowPunct w:val="0"/>
        <w:spacing w:line="200" w:lineRule="exact"/>
        <w:rPr>
          <w:color w:val="000000"/>
          <w:sz w:val="20"/>
        </w:rPr>
      </w:pPr>
    </w:p>
    <w:p w14:paraId="7E35F969">
      <w:pPr>
        <w:kinsoku w:val="0"/>
        <w:overflowPunct w:val="0"/>
        <w:spacing w:line="200" w:lineRule="exact"/>
        <w:rPr>
          <w:color w:val="000000"/>
          <w:sz w:val="20"/>
        </w:rPr>
      </w:pPr>
    </w:p>
    <w:p w14:paraId="694DB21A">
      <w:pPr>
        <w:kinsoku w:val="0"/>
        <w:overflowPunct w:val="0"/>
        <w:spacing w:line="200" w:lineRule="exact"/>
        <w:rPr>
          <w:color w:val="000000"/>
          <w:sz w:val="20"/>
        </w:rPr>
      </w:pPr>
    </w:p>
    <w:p w14:paraId="3C5DD10A">
      <w:pPr>
        <w:kinsoku w:val="0"/>
        <w:overflowPunct w:val="0"/>
        <w:spacing w:line="200" w:lineRule="exact"/>
        <w:rPr>
          <w:color w:val="000000"/>
          <w:sz w:val="20"/>
        </w:rPr>
      </w:pPr>
    </w:p>
    <w:p w14:paraId="41E5B675">
      <w:pPr>
        <w:kinsoku w:val="0"/>
        <w:overflowPunct w:val="0"/>
        <w:spacing w:line="200" w:lineRule="exact"/>
        <w:rPr>
          <w:color w:val="000000"/>
          <w:sz w:val="20"/>
        </w:rPr>
      </w:pPr>
    </w:p>
    <w:p w14:paraId="1307888F">
      <w:pPr>
        <w:kinsoku w:val="0"/>
        <w:overflowPunct w:val="0"/>
        <w:spacing w:line="200" w:lineRule="exact"/>
        <w:rPr>
          <w:color w:val="000000"/>
          <w:sz w:val="20"/>
        </w:rPr>
      </w:pPr>
    </w:p>
    <w:p w14:paraId="69D28B64">
      <w:pPr>
        <w:kinsoku w:val="0"/>
        <w:overflowPunct w:val="0"/>
        <w:spacing w:before="10" w:line="280" w:lineRule="exact"/>
        <w:rPr>
          <w:color w:val="000000"/>
          <w:sz w:val="28"/>
        </w:rPr>
      </w:pPr>
    </w:p>
    <w:p w14:paraId="72E39718">
      <w:pPr>
        <w:kinsoku w:val="0"/>
        <w:overflowPunct w:val="0"/>
        <w:spacing w:line="820" w:lineRule="exact"/>
        <w:ind w:left="188"/>
        <w:jc w:val="center"/>
        <w:rPr>
          <w:rFonts w:hint="eastAsia" w:ascii="宋体" w:hAnsi="宋体"/>
          <w:color w:val="000000"/>
          <w:sz w:val="50"/>
          <w:szCs w:val="50"/>
        </w:rPr>
      </w:pPr>
      <w:bookmarkStart w:id="83" w:name="_Toc27563_WPSOffice_Level1"/>
      <w:r>
        <w:rPr>
          <w:rFonts w:hint="eastAsia" w:ascii="宋体" w:hAnsi="宋体"/>
          <w:color w:val="000000"/>
          <w:sz w:val="50"/>
          <w:szCs w:val="50"/>
        </w:rPr>
        <w:t>二</w:t>
      </w:r>
      <w:r>
        <w:rPr>
          <w:rFonts w:hint="eastAsia" w:ascii="宋体" w:hAnsi="宋体"/>
          <w:color w:val="000000"/>
          <w:spacing w:val="4"/>
          <w:sz w:val="50"/>
          <w:szCs w:val="50"/>
        </w:rPr>
        <w:t xml:space="preserve"> </w:t>
      </w:r>
      <w:r>
        <w:rPr>
          <w:rFonts w:hint="eastAsia" w:ascii="宋体" w:hAnsi="宋体"/>
          <w:color w:val="000000"/>
          <w:sz w:val="50"/>
          <w:szCs w:val="50"/>
        </w:rPr>
        <w:t>次</w:t>
      </w:r>
      <w:r>
        <w:rPr>
          <w:rFonts w:hint="eastAsia" w:ascii="宋体" w:hAnsi="宋体"/>
          <w:color w:val="000000"/>
          <w:spacing w:val="2"/>
          <w:sz w:val="50"/>
          <w:szCs w:val="50"/>
        </w:rPr>
        <w:t xml:space="preserve"> </w:t>
      </w:r>
      <w:r>
        <w:rPr>
          <w:rFonts w:hint="eastAsia" w:ascii="宋体" w:hAnsi="宋体"/>
          <w:color w:val="000000"/>
          <w:sz w:val="50"/>
          <w:szCs w:val="50"/>
        </w:rPr>
        <w:t>报</w:t>
      </w:r>
      <w:r>
        <w:rPr>
          <w:rFonts w:hint="eastAsia" w:ascii="宋体" w:hAnsi="宋体"/>
          <w:color w:val="000000"/>
          <w:spacing w:val="4"/>
          <w:sz w:val="50"/>
          <w:szCs w:val="50"/>
        </w:rPr>
        <w:t xml:space="preserve"> </w:t>
      </w:r>
      <w:r>
        <w:rPr>
          <w:rFonts w:hint="eastAsia" w:ascii="宋体" w:hAnsi="宋体"/>
          <w:color w:val="000000"/>
          <w:sz w:val="50"/>
          <w:szCs w:val="50"/>
        </w:rPr>
        <w:t>价</w:t>
      </w:r>
      <w:r>
        <w:rPr>
          <w:rFonts w:hint="eastAsia" w:ascii="宋体" w:hAnsi="宋体"/>
          <w:color w:val="000000"/>
          <w:spacing w:val="4"/>
          <w:sz w:val="50"/>
          <w:szCs w:val="50"/>
        </w:rPr>
        <w:t xml:space="preserve"> </w:t>
      </w:r>
      <w:r>
        <w:rPr>
          <w:rFonts w:hint="eastAsia" w:ascii="宋体" w:hAnsi="宋体"/>
          <w:color w:val="000000"/>
          <w:sz w:val="50"/>
          <w:szCs w:val="50"/>
        </w:rPr>
        <w:t>文</w:t>
      </w:r>
      <w:r>
        <w:rPr>
          <w:rFonts w:hint="eastAsia" w:ascii="宋体" w:hAnsi="宋体"/>
          <w:color w:val="000000"/>
          <w:spacing w:val="4"/>
          <w:sz w:val="50"/>
          <w:szCs w:val="50"/>
        </w:rPr>
        <w:t xml:space="preserve"> </w:t>
      </w:r>
      <w:r>
        <w:rPr>
          <w:rFonts w:hint="eastAsia" w:ascii="宋体" w:hAnsi="宋体"/>
          <w:color w:val="000000"/>
          <w:sz w:val="50"/>
          <w:szCs w:val="50"/>
        </w:rPr>
        <w:t>件</w:t>
      </w:r>
      <w:bookmarkEnd w:id="83"/>
    </w:p>
    <w:p w14:paraId="230E3281">
      <w:pPr>
        <w:kinsoku w:val="0"/>
        <w:overflowPunct w:val="0"/>
        <w:spacing w:before="7" w:line="140" w:lineRule="exact"/>
        <w:rPr>
          <w:color w:val="000000"/>
          <w:sz w:val="14"/>
        </w:rPr>
      </w:pPr>
    </w:p>
    <w:p w14:paraId="4FB82A9C">
      <w:pPr>
        <w:kinsoku w:val="0"/>
        <w:overflowPunct w:val="0"/>
        <w:spacing w:line="200" w:lineRule="exact"/>
        <w:rPr>
          <w:color w:val="000000"/>
          <w:sz w:val="20"/>
        </w:rPr>
      </w:pPr>
    </w:p>
    <w:p w14:paraId="5D00723E">
      <w:pPr>
        <w:kinsoku w:val="0"/>
        <w:overflowPunct w:val="0"/>
        <w:spacing w:line="200" w:lineRule="exact"/>
        <w:rPr>
          <w:color w:val="000000"/>
          <w:sz w:val="20"/>
        </w:rPr>
      </w:pPr>
    </w:p>
    <w:p w14:paraId="173B8A69">
      <w:pPr>
        <w:kinsoku w:val="0"/>
        <w:overflowPunct w:val="0"/>
        <w:spacing w:line="200" w:lineRule="exact"/>
        <w:rPr>
          <w:color w:val="000000"/>
          <w:sz w:val="20"/>
        </w:rPr>
      </w:pPr>
    </w:p>
    <w:p w14:paraId="7E87C7A7">
      <w:pPr>
        <w:kinsoku w:val="0"/>
        <w:overflowPunct w:val="0"/>
        <w:spacing w:line="200" w:lineRule="exact"/>
        <w:rPr>
          <w:color w:val="000000"/>
          <w:sz w:val="20"/>
        </w:rPr>
      </w:pPr>
    </w:p>
    <w:p w14:paraId="56F8B9A0">
      <w:pPr>
        <w:kinsoku w:val="0"/>
        <w:overflowPunct w:val="0"/>
        <w:spacing w:line="200" w:lineRule="exact"/>
        <w:rPr>
          <w:color w:val="000000"/>
          <w:sz w:val="20"/>
        </w:rPr>
      </w:pPr>
    </w:p>
    <w:p w14:paraId="0F66C32C">
      <w:pPr>
        <w:kinsoku w:val="0"/>
        <w:overflowPunct w:val="0"/>
        <w:spacing w:line="200" w:lineRule="exact"/>
        <w:rPr>
          <w:color w:val="000000"/>
          <w:sz w:val="20"/>
        </w:rPr>
      </w:pPr>
    </w:p>
    <w:p w14:paraId="449E6CBF">
      <w:pPr>
        <w:kinsoku w:val="0"/>
        <w:overflowPunct w:val="0"/>
        <w:spacing w:line="200" w:lineRule="exact"/>
        <w:rPr>
          <w:color w:val="000000"/>
          <w:sz w:val="20"/>
        </w:rPr>
      </w:pPr>
    </w:p>
    <w:p w14:paraId="772F5FAE">
      <w:pPr>
        <w:kinsoku w:val="0"/>
        <w:overflowPunct w:val="0"/>
        <w:spacing w:line="200" w:lineRule="exact"/>
        <w:rPr>
          <w:color w:val="000000"/>
          <w:sz w:val="20"/>
        </w:rPr>
      </w:pPr>
    </w:p>
    <w:p w14:paraId="125BE628">
      <w:pPr>
        <w:kinsoku w:val="0"/>
        <w:overflowPunct w:val="0"/>
        <w:spacing w:line="200" w:lineRule="exact"/>
        <w:rPr>
          <w:color w:val="000000"/>
          <w:sz w:val="20"/>
        </w:rPr>
      </w:pPr>
    </w:p>
    <w:p w14:paraId="3DF033B0">
      <w:pPr>
        <w:keepNext w:val="0"/>
        <w:keepLines w:val="0"/>
        <w:widowControl w:val="0"/>
        <w:kinsoku w:val="0"/>
        <w:overflowPunct w:val="0"/>
        <w:spacing w:beforeLines="0" w:beforeAutospacing="0" w:after="120" w:afterLines="0" w:afterAutospacing="0" w:line="499" w:lineRule="auto"/>
        <w:ind w:right="3325"/>
        <w:jc w:val="left"/>
        <w:outlineLvl w:val="9"/>
        <w:rPr>
          <w:rFonts w:hint="eastAsia"/>
          <w:b/>
          <w:bCs/>
          <w:color w:val="000000"/>
          <w:sz w:val="28"/>
          <w:u w:val="single"/>
        </w:rPr>
      </w:pPr>
      <w:bookmarkStart w:id="84" w:name="_Toc9810_WPSOffice_Level1"/>
      <w:r>
        <w:rPr>
          <w:rFonts w:hint="eastAsia" w:ascii="Times New Roman" w:hAnsi="Times New Roman" w:eastAsia="宋体" w:cs="Times New Roman"/>
          <w:color w:val="000000"/>
          <w:sz w:val="24"/>
        </w:rPr>
        <w:t xml:space="preserve">        </w:t>
      </w:r>
      <w:r>
        <w:rPr>
          <w:rFonts w:hint="eastAsia" w:cs="Times New Roman"/>
          <w:color w:val="000000"/>
          <w:sz w:val="24"/>
          <w:lang w:val="en-US" w:eastAsia="zh-CN"/>
        </w:rPr>
        <w:t xml:space="preserve">  </w:t>
      </w:r>
      <w:r>
        <w:rPr>
          <w:rFonts w:hint="eastAsia" w:ascii="Times New Roman" w:hAnsi="Times New Roman" w:eastAsia="宋体" w:cs="Times New Roman"/>
          <w:color w:val="000000"/>
          <w:sz w:val="24"/>
        </w:rPr>
        <w:t xml:space="preserve"> </w:t>
      </w:r>
      <w:r>
        <w:rPr>
          <w:rFonts w:hint="eastAsia" w:ascii="Times New Roman" w:hAnsi="Times New Roman" w:eastAsia="宋体" w:cs="Times New Roman"/>
          <w:b/>
          <w:bCs/>
          <w:color w:val="000000"/>
          <w:sz w:val="24"/>
        </w:rPr>
        <w:t>工</w:t>
      </w:r>
      <w:r>
        <w:rPr>
          <w:rFonts w:hint="eastAsia" w:ascii="Times New Roman" w:hAnsi="Times New Roman" w:eastAsia="宋体" w:cs="Times New Roman"/>
          <w:b/>
          <w:bCs/>
          <w:color w:val="000000"/>
          <w:spacing w:val="2"/>
          <w:sz w:val="24"/>
        </w:rPr>
        <w:t>程</w:t>
      </w:r>
      <w:r>
        <w:rPr>
          <w:rFonts w:hint="eastAsia" w:ascii="Times New Roman" w:hAnsi="Times New Roman" w:eastAsia="宋体" w:cs="Times New Roman"/>
          <w:b/>
          <w:bCs/>
          <w:color w:val="000000"/>
          <w:sz w:val="24"/>
        </w:rPr>
        <w:t>名</w:t>
      </w:r>
      <w:r>
        <w:rPr>
          <w:rFonts w:hint="eastAsia" w:ascii="Times New Roman" w:hAnsi="Times New Roman" w:eastAsia="宋体" w:cs="Times New Roman"/>
          <w:b/>
          <w:bCs/>
          <w:color w:val="000000"/>
          <w:spacing w:val="2"/>
          <w:sz w:val="24"/>
        </w:rPr>
        <w:t>称</w:t>
      </w:r>
      <w:r>
        <w:rPr>
          <w:rFonts w:hint="eastAsia" w:ascii="Times New Roman" w:hAnsi="Times New Roman" w:eastAsia="宋体" w:cs="Times New Roman"/>
          <w:b/>
          <w:bCs/>
          <w:color w:val="000000"/>
          <w:sz w:val="24"/>
        </w:rPr>
        <w:t>：</w:t>
      </w:r>
      <w:r>
        <w:rPr>
          <w:rFonts w:hint="eastAsia"/>
          <w:b/>
          <w:bCs/>
          <w:color w:val="000000"/>
          <w:sz w:val="28"/>
          <w:u w:val="single"/>
        </w:rPr>
        <w:t xml:space="preserve">                            </w:t>
      </w:r>
    </w:p>
    <w:p w14:paraId="1038C5C6">
      <w:pPr>
        <w:keepNext w:val="0"/>
        <w:keepLines w:val="0"/>
        <w:widowControl w:val="0"/>
        <w:kinsoku w:val="0"/>
        <w:overflowPunct w:val="0"/>
        <w:spacing w:beforeLines="0" w:beforeAutospacing="0" w:after="120" w:afterLines="0" w:afterAutospacing="0" w:line="499" w:lineRule="auto"/>
        <w:ind w:right="3325"/>
        <w:jc w:val="left"/>
        <w:outlineLvl w:val="9"/>
        <w:rPr>
          <w:rFonts w:hint="eastAsia"/>
          <w:b/>
          <w:bCs/>
          <w:color w:val="000000"/>
          <w:sz w:val="28"/>
          <w:u w:val="single"/>
        </w:rPr>
      </w:pPr>
      <w:r>
        <w:rPr>
          <w:rFonts w:hint="eastAsia" w:ascii="Times New Roman" w:hAnsi="Times New Roman" w:eastAsia="宋体" w:cs="Times New Roman"/>
          <w:b/>
          <w:bCs/>
          <w:color w:val="000000"/>
          <w:sz w:val="24"/>
        </w:rPr>
        <w:t xml:space="preserve">         </w:t>
      </w:r>
      <w:r>
        <w:rPr>
          <w:rFonts w:hint="eastAsia" w:cs="Times New Roman"/>
          <w:b/>
          <w:bCs/>
          <w:color w:val="000000"/>
          <w:sz w:val="24"/>
          <w:lang w:val="en-US" w:eastAsia="zh-CN"/>
        </w:rPr>
        <w:t xml:space="preserve">  </w:t>
      </w:r>
      <w:r>
        <w:rPr>
          <w:rFonts w:hint="eastAsia" w:ascii="Times New Roman" w:hAnsi="Times New Roman" w:eastAsia="宋体" w:cs="Times New Roman"/>
          <w:b/>
          <w:bCs/>
          <w:color w:val="000000"/>
          <w:sz w:val="24"/>
        </w:rPr>
        <w:t>项</w:t>
      </w:r>
      <w:r>
        <w:rPr>
          <w:rFonts w:hint="eastAsia" w:ascii="Times New Roman" w:hAnsi="Times New Roman" w:eastAsia="宋体" w:cs="Times New Roman"/>
          <w:b/>
          <w:bCs/>
          <w:color w:val="000000"/>
          <w:spacing w:val="2"/>
          <w:sz w:val="24"/>
        </w:rPr>
        <w:t>目</w:t>
      </w:r>
      <w:r>
        <w:rPr>
          <w:rFonts w:hint="eastAsia" w:ascii="Times New Roman" w:hAnsi="Times New Roman" w:eastAsia="宋体" w:cs="Times New Roman"/>
          <w:b/>
          <w:bCs/>
          <w:color w:val="000000"/>
          <w:sz w:val="24"/>
        </w:rPr>
        <w:t>编</w:t>
      </w:r>
      <w:r>
        <w:rPr>
          <w:rFonts w:hint="eastAsia" w:ascii="Times New Roman" w:hAnsi="Times New Roman" w:eastAsia="宋体" w:cs="Times New Roman"/>
          <w:b/>
          <w:bCs/>
          <w:color w:val="000000"/>
          <w:spacing w:val="2"/>
          <w:sz w:val="24"/>
        </w:rPr>
        <w:t>号</w:t>
      </w:r>
      <w:r>
        <w:rPr>
          <w:rFonts w:hint="eastAsia" w:ascii="Times New Roman" w:hAnsi="Times New Roman" w:eastAsia="宋体" w:cs="Times New Roman"/>
          <w:b/>
          <w:bCs/>
          <w:color w:val="000000"/>
          <w:sz w:val="24"/>
        </w:rPr>
        <w:t>：</w:t>
      </w:r>
      <w:r>
        <w:rPr>
          <w:rFonts w:hint="eastAsia"/>
          <w:b/>
          <w:bCs/>
          <w:color w:val="000000"/>
          <w:sz w:val="28"/>
          <w:u w:val="single"/>
        </w:rPr>
        <w:t xml:space="preserve">                            </w:t>
      </w:r>
    </w:p>
    <w:p w14:paraId="43E4F957">
      <w:pPr>
        <w:keepNext w:val="0"/>
        <w:keepLines w:val="0"/>
        <w:widowControl w:val="0"/>
        <w:kinsoku w:val="0"/>
        <w:overflowPunct w:val="0"/>
        <w:spacing w:beforeLines="0" w:beforeAutospacing="0" w:after="120" w:afterLines="0" w:afterAutospacing="0" w:line="499" w:lineRule="auto"/>
        <w:ind w:right="3325"/>
        <w:jc w:val="left"/>
        <w:outlineLvl w:val="9"/>
        <w:rPr>
          <w:rFonts w:hint="eastAsia"/>
          <w:b/>
          <w:bCs/>
          <w:color w:val="000000"/>
          <w:sz w:val="28"/>
          <w:u w:val="single"/>
        </w:rPr>
      </w:pPr>
      <w:r>
        <w:rPr>
          <w:rFonts w:hint="eastAsia" w:ascii="Times New Roman" w:hAnsi="Times New Roman" w:eastAsia="宋体" w:cs="Times New Roman"/>
          <w:b/>
          <w:bCs/>
          <w:color w:val="000000"/>
          <w:sz w:val="24"/>
        </w:rPr>
        <w:t xml:space="preserve">         </w:t>
      </w:r>
      <w:r>
        <w:rPr>
          <w:rFonts w:hint="eastAsia" w:cs="Times New Roman"/>
          <w:b/>
          <w:bCs/>
          <w:color w:val="000000"/>
          <w:sz w:val="24"/>
          <w:lang w:val="en-US" w:eastAsia="zh-CN"/>
        </w:rPr>
        <w:t xml:space="preserve">  </w:t>
      </w:r>
      <w:r>
        <w:rPr>
          <w:rFonts w:hint="eastAsia" w:ascii="Times New Roman" w:hAnsi="Times New Roman" w:eastAsia="宋体" w:cs="Times New Roman"/>
          <w:b/>
          <w:bCs/>
          <w:color w:val="000000"/>
          <w:sz w:val="24"/>
        </w:rPr>
        <w:t>供应商</w:t>
      </w:r>
      <w:r>
        <w:rPr>
          <w:rFonts w:hint="eastAsia" w:ascii="Times New Roman" w:hAnsi="Times New Roman" w:eastAsia="宋体" w:cs="Times New Roman"/>
          <w:b/>
          <w:bCs/>
          <w:color w:val="000000"/>
          <w:spacing w:val="2"/>
          <w:sz w:val="24"/>
        </w:rPr>
        <w:t>名</w:t>
      </w:r>
      <w:r>
        <w:rPr>
          <w:rFonts w:hint="eastAsia" w:ascii="Times New Roman" w:hAnsi="Times New Roman" w:eastAsia="宋体" w:cs="Times New Roman"/>
          <w:b/>
          <w:bCs/>
          <w:color w:val="000000"/>
          <w:sz w:val="24"/>
        </w:rPr>
        <w:t>称：</w:t>
      </w:r>
      <w:bookmarkEnd w:id="84"/>
      <w:r>
        <w:rPr>
          <w:rFonts w:hint="eastAsia"/>
          <w:b/>
          <w:bCs/>
          <w:color w:val="000000"/>
          <w:sz w:val="28"/>
          <w:u w:val="single"/>
        </w:rPr>
        <w:t xml:space="preserve">                           </w:t>
      </w:r>
    </w:p>
    <w:p w14:paraId="4C2C90E1">
      <w:pPr>
        <w:keepNext w:val="0"/>
        <w:keepLines w:val="0"/>
        <w:widowControl w:val="0"/>
        <w:kinsoku w:val="0"/>
        <w:overflowPunct w:val="0"/>
        <w:spacing w:beforeLines="0" w:beforeAutospacing="0" w:after="120" w:afterLines="0" w:afterAutospacing="0" w:line="499" w:lineRule="auto"/>
        <w:ind w:right="3325"/>
        <w:jc w:val="left"/>
        <w:outlineLvl w:val="9"/>
        <w:rPr>
          <w:rFonts w:hint="eastAsia"/>
          <w:b/>
          <w:bCs/>
          <w:color w:val="000000"/>
          <w:sz w:val="28"/>
          <w:u w:val="single"/>
          <w:lang w:val="en-US" w:eastAsia="zh-CN"/>
        </w:rPr>
      </w:pPr>
      <w:r>
        <w:rPr>
          <w:rFonts w:hint="eastAsia" w:ascii="Times New Roman" w:hAnsi="Times New Roman" w:eastAsia="宋体" w:cs="Times New Roman"/>
          <w:b/>
          <w:bCs/>
          <w:color w:val="000000"/>
          <w:sz w:val="24"/>
          <w:u w:val="none"/>
          <w:lang w:val="en-US" w:eastAsia="zh-CN"/>
        </w:rPr>
        <w:t xml:space="preserve">           分    标：</w:t>
      </w:r>
      <w:r>
        <w:rPr>
          <w:rFonts w:hint="eastAsia"/>
          <w:b/>
          <w:bCs/>
          <w:color w:val="000000"/>
          <w:sz w:val="28"/>
          <w:u w:val="single"/>
          <w:lang w:val="en-US" w:eastAsia="zh-CN"/>
        </w:rPr>
        <w:t xml:space="preserve">              </w:t>
      </w:r>
    </w:p>
    <w:p w14:paraId="5F57A0AD">
      <w:pPr>
        <w:kinsoku w:val="0"/>
        <w:overflowPunct w:val="0"/>
        <w:spacing w:before="3" w:line="150" w:lineRule="exact"/>
        <w:rPr>
          <w:b/>
          <w:bCs/>
          <w:color w:val="000000"/>
          <w:sz w:val="15"/>
        </w:rPr>
      </w:pPr>
    </w:p>
    <w:p w14:paraId="6ED2C7D4">
      <w:pPr>
        <w:kinsoku w:val="0"/>
        <w:overflowPunct w:val="0"/>
        <w:spacing w:line="499" w:lineRule="auto"/>
        <w:ind w:left="1276" w:right="3325"/>
        <w:rPr>
          <w:rFonts w:hint="eastAsia" w:ascii="宋体" w:hAnsi="宋体"/>
          <w:b/>
          <w:bCs/>
          <w:color w:val="000000"/>
          <w:sz w:val="30"/>
          <w:u w:val="single"/>
        </w:rPr>
      </w:pPr>
      <w:bookmarkStart w:id="85" w:name="_Toc26327_WPSOffice_Level1"/>
      <w:r>
        <w:rPr>
          <w:rFonts w:hint="eastAsia" w:ascii="宋体" w:hAnsi="宋体"/>
          <w:b/>
          <w:bCs/>
          <w:color w:val="000000"/>
          <w:sz w:val="30"/>
        </w:rPr>
        <w:t>法</w:t>
      </w:r>
      <w:r>
        <w:rPr>
          <w:rFonts w:hint="eastAsia" w:ascii="宋体" w:hAnsi="宋体"/>
          <w:b/>
          <w:bCs/>
          <w:color w:val="000000"/>
          <w:spacing w:val="2"/>
          <w:sz w:val="30"/>
        </w:rPr>
        <w:t>定</w:t>
      </w:r>
      <w:r>
        <w:rPr>
          <w:rFonts w:hint="eastAsia" w:ascii="宋体" w:hAnsi="宋体"/>
          <w:b/>
          <w:bCs/>
          <w:color w:val="000000"/>
          <w:sz w:val="30"/>
        </w:rPr>
        <w:t>代</w:t>
      </w:r>
      <w:r>
        <w:rPr>
          <w:rFonts w:hint="eastAsia" w:ascii="宋体" w:hAnsi="宋体"/>
          <w:b/>
          <w:bCs/>
          <w:color w:val="000000"/>
          <w:spacing w:val="2"/>
          <w:sz w:val="30"/>
        </w:rPr>
        <w:t>表</w:t>
      </w:r>
      <w:r>
        <w:rPr>
          <w:rFonts w:hint="eastAsia" w:ascii="宋体" w:hAnsi="宋体"/>
          <w:b/>
          <w:bCs/>
          <w:color w:val="000000"/>
          <w:sz w:val="30"/>
        </w:rPr>
        <w:t>人</w:t>
      </w:r>
      <w:r>
        <w:rPr>
          <w:rFonts w:hint="eastAsia" w:ascii="宋体" w:hAnsi="宋体"/>
          <w:b/>
          <w:bCs/>
          <w:color w:val="000000"/>
          <w:spacing w:val="2"/>
          <w:sz w:val="30"/>
        </w:rPr>
        <w:t>或</w:t>
      </w:r>
      <w:r>
        <w:rPr>
          <w:rFonts w:hint="eastAsia" w:ascii="宋体" w:hAnsi="宋体"/>
          <w:b/>
          <w:bCs/>
          <w:color w:val="000000"/>
          <w:sz w:val="30"/>
        </w:rPr>
        <w:t>授</w:t>
      </w:r>
      <w:r>
        <w:rPr>
          <w:rFonts w:hint="eastAsia" w:ascii="宋体" w:hAnsi="宋体"/>
          <w:b/>
          <w:bCs/>
          <w:color w:val="000000"/>
          <w:spacing w:val="2"/>
          <w:sz w:val="30"/>
        </w:rPr>
        <w:t>权</w:t>
      </w:r>
      <w:r>
        <w:rPr>
          <w:rFonts w:hint="eastAsia" w:ascii="宋体" w:hAnsi="宋体"/>
          <w:b/>
          <w:bCs/>
          <w:color w:val="000000"/>
          <w:sz w:val="30"/>
        </w:rPr>
        <w:t>委</w:t>
      </w:r>
      <w:r>
        <w:rPr>
          <w:rFonts w:hint="eastAsia" w:ascii="宋体" w:hAnsi="宋体"/>
          <w:b/>
          <w:bCs/>
          <w:color w:val="000000"/>
          <w:spacing w:val="2"/>
          <w:sz w:val="30"/>
        </w:rPr>
        <w:t>托</w:t>
      </w:r>
      <w:r>
        <w:rPr>
          <w:rFonts w:hint="eastAsia" w:ascii="宋体" w:hAnsi="宋体"/>
          <w:b/>
          <w:bCs/>
          <w:color w:val="000000"/>
          <w:sz w:val="30"/>
        </w:rPr>
        <w:t>代</w:t>
      </w:r>
      <w:r>
        <w:rPr>
          <w:rFonts w:hint="eastAsia" w:ascii="宋体" w:hAnsi="宋体"/>
          <w:b/>
          <w:bCs/>
          <w:color w:val="000000"/>
          <w:spacing w:val="2"/>
          <w:sz w:val="30"/>
        </w:rPr>
        <w:t>理</w:t>
      </w:r>
      <w:r>
        <w:rPr>
          <w:rFonts w:hint="eastAsia" w:ascii="宋体" w:hAnsi="宋体"/>
          <w:b/>
          <w:bCs/>
          <w:color w:val="000000"/>
          <w:sz w:val="30"/>
        </w:rPr>
        <w:t xml:space="preserve">人： </w:t>
      </w:r>
      <w:r>
        <w:rPr>
          <w:rFonts w:hint="eastAsia"/>
          <w:b/>
          <w:bCs/>
          <w:color w:val="000000"/>
          <w:sz w:val="28"/>
          <w:u w:val="single"/>
        </w:rPr>
        <w:t xml:space="preserve">             </w:t>
      </w:r>
    </w:p>
    <w:p w14:paraId="4FFA2AC4">
      <w:pPr>
        <w:kinsoku w:val="0"/>
        <w:overflowPunct w:val="0"/>
        <w:spacing w:line="499" w:lineRule="auto"/>
        <w:ind w:left="1276" w:right="3325"/>
        <w:rPr>
          <w:rFonts w:hint="eastAsia"/>
          <w:b/>
          <w:bCs/>
          <w:color w:val="000000"/>
          <w:sz w:val="28"/>
          <w:u w:val="single"/>
        </w:rPr>
      </w:pPr>
      <w:r>
        <w:rPr>
          <w:rFonts w:hint="eastAsia"/>
          <w:b/>
          <w:bCs/>
          <w:color w:val="000000"/>
          <w:sz w:val="30"/>
        </w:rPr>
        <w:t>供应商</w:t>
      </w:r>
      <w:r>
        <w:rPr>
          <w:rFonts w:hint="eastAsia" w:ascii="宋体" w:hAnsi="宋体"/>
          <w:b/>
          <w:bCs/>
          <w:color w:val="000000"/>
          <w:spacing w:val="2"/>
          <w:sz w:val="30"/>
        </w:rPr>
        <w:t>地</w:t>
      </w:r>
      <w:r>
        <w:rPr>
          <w:rFonts w:hint="eastAsia" w:ascii="宋体" w:hAnsi="宋体"/>
          <w:b/>
          <w:bCs/>
          <w:color w:val="000000"/>
          <w:sz w:val="30"/>
        </w:rPr>
        <w:t>址：</w:t>
      </w:r>
      <w:bookmarkEnd w:id="85"/>
      <w:r>
        <w:rPr>
          <w:rFonts w:hint="eastAsia"/>
          <w:b/>
          <w:bCs/>
          <w:color w:val="000000"/>
          <w:sz w:val="28"/>
          <w:u w:val="single"/>
        </w:rPr>
        <w:t xml:space="preserve">                            </w:t>
      </w:r>
    </w:p>
    <w:p w14:paraId="08D579B0">
      <w:pPr>
        <w:kinsoku w:val="0"/>
        <w:overflowPunct w:val="0"/>
        <w:spacing w:before="16" w:line="280" w:lineRule="exact"/>
        <w:rPr>
          <w:color w:val="000000"/>
          <w:sz w:val="28"/>
        </w:rPr>
      </w:pPr>
    </w:p>
    <w:p w14:paraId="2680643E">
      <w:pPr>
        <w:tabs>
          <w:tab w:val="left" w:pos="1234"/>
          <w:tab w:val="left" w:pos="2737"/>
          <w:tab w:val="left" w:pos="3488"/>
          <w:tab w:val="left" w:pos="4239"/>
        </w:tabs>
        <w:kinsoku w:val="0"/>
        <w:overflowPunct w:val="0"/>
        <w:ind w:left="183"/>
        <w:jc w:val="center"/>
        <w:rPr>
          <w:rFonts w:hint="eastAsia" w:ascii="宋体" w:hAnsi="宋体"/>
          <w:color w:val="000000"/>
          <w:sz w:val="30"/>
        </w:rPr>
      </w:pPr>
      <w:r>
        <w:rPr>
          <w:rFonts w:hint="eastAsia" w:ascii="宋体" w:hAnsi="宋体"/>
          <w:color w:val="000000"/>
          <w:sz w:val="30"/>
        </w:rPr>
        <w:t>日</w:t>
      </w:r>
      <w:r>
        <w:rPr>
          <w:rFonts w:hint="eastAsia" w:ascii="宋体" w:hAnsi="宋体"/>
          <w:color w:val="000000"/>
          <w:sz w:val="30"/>
        </w:rPr>
        <w:tab/>
      </w:r>
      <w:r>
        <w:rPr>
          <w:rFonts w:hint="eastAsia" w:ascii="宋体" w:hAnsi="宋体"/>
          <w:color w:val="000000"/>
          <w:sz w:val="30"/>
        </w:rPr>
        <w:t>期：</w:t>
      </w:r>
      <w:r>
        <w:rPr>
          <w:rFonts w:hint="eastAsia" w:ascii="宋体" w:hAnsi="宋体"/>
          <w:color w:val="000000"/>
          <w:sz w:val="30"/>
        </w:rPr>
        <w:tab/>
      </w:r>
      <w:r>
        <w:rPr>
          <w:rFonts w:hint="eastAsia" w:ascii="宋体" w:hAnsi="宋体"/>
          <w:color w:val="000000"/>
          <w:sz w:val="30"/>
        </w:rPr>
        <w:t>年</w:t>
      </w:r>
      <w:r>
        <w:rPr>
          <w:rFonts w:hint="eastAsia" w:ascii="宋体" w:hAnsi="宋体"/>
          <w:color w:val="000000"/>
          <w:sz w:val="30"/>
        </w:rPr>
        <w:tab/>
      </w:r>
      <w:r>
        <w:rPr>
          <w:rFonts w:hint="eastAsia" w:ascii="宋体" w:hAnsi="宋体"/>
          <w:color w:val="000000"/>
          <w:sz w:val="30"/>
        </w:rPr>
        <w:t>月</w:t>
      </w:r>
      <w:r>
        <w:rPr>
          <w:rFonts w:hint="eastAsia" w:ascii="宋体" w:hAnsi="宋体"/>
          <w:color w:val="000000"/>
          <w:sz w:val="30"/>
        </w:rPr>
        <w:tab/>
      </w:r>
      <w:r>
        <w:rPr>
          <w:rFonts w:hint="eastAsia" w:ascii="宋体" w:hAnsi="宋体"/>
          <w:color w:val="000000"/>
          <w:sz w:val="30"/>
        </w:rPr>
        <w:t>日</w:t>
      </w:r>
    </w:p>
    <w:p w14:paraId="0214FB17">
      <w:pPr>
        <w:tabs>
          <w:tab w:val="left" w:pos="1234"/>
          <w:tab w:val="left" w:pos="2737"/>
          <w:tab w:val="left" w:pos="3488"/>
          <w:tab w:val="left" w:pos="4239"/>
        </w:tabs>
        <w:kinsoku w:val="0"/>
        <w:overflowPunct w:val="0"/>
        <w:ind w:left="183"/>
        <w:jc w:val="center"/>
        <w:rPr>
          <w:rFonts w:hint="eastAsia" w:ascii="宋体" w:hAnsi="宋体"/>
          <w:color w:val="000000"/>
          <w:sz w:val="30"/>
        </w:rPr>
        <w:sectPr>
          <w:pgSz w:w="11906" w:h="16840"/>
          <w:pgMar w:top="1040" w:right="980" w:bottom="980" w:left="1080" w:header="858" w:footer="791" w:gutter="0"/>
          <w:lnNumType w:countBy="0" w:distance="360"/>
          <w:cols w:space="720" w:num="1"/>
        </w:sectPr>
      </w:pPr>
    </w:p>
    <w:p w14:paraId="5414B183">
      <w:pPr>
        <w:pStyle w:val="41"/>
      </w:pPr>
      <w:r>
        <w:t>目</w:t>
      </w:r>
      <w:r>
        <w:tab/>
      </w:r>
      <w:r>
        <w:t>录</w:t>
      </w:r>
    </w:p>
    <w:p w14:paraId="0FDB73E7">
      <w:pPr>
        <w:kinsoku w:val="0"/>
        <w:overflowPunct w:val="0"/>
        <w:spacing w:before="4" w:line="130" w:lineRule="exact"/>
        <w:rPr>
          <w:color w:val="000000"/>
          <w:sz w:val="13"/>
        </w:rPr>
      </w:pPr>
    </w:p>
    <w:p w14:paraId="16F60738">
      <w:pPr>
        <w:kinsoku w:val="0"/>
        <w:overflowPunct w:val="0"/>
        <w:spacing w:line="200" w:lineRule="exact"/>
        <w:rPr>
          <w:color w:val="000000"/>
          <w:sz w:val="20"/>
        </w:rPr>
      </w:pPr>
    </w:p>
    <w:p w14:paraId="74369347">
      <w:pPr>
        <w:kinsoku w:val="0"/>
        <w:overflowPunct w:val="0"/>
        <w:spacing w:line="200" w:lineRule="exact"/>
        <w:rPr>
          <w:color w:val="000000"/>
          <w:sz w:val="20"/>
        </w:rPr>
      </w:pPr>
    </w:p>
    <w:p w14:paraId="42297024">
      <w:pPr>
        <w:kinsoku w:val="0"/>
        <w:overflowPunct w:val="0"/>
        <w:spacing w:line="200" w:lineRule="exact"/>
        <w:rPr>
          <w:color w:val="000000"/>
          <w:sz w:val="20"/>
        </w:rPr>
      </w:pPr>
    </w:p>
    <w:p w14:paraId="744A0266">
      <w:pPr>
        <w:pStyle w:val="11"/>
        <w:rPr>
          <w:color w:val="000000"/>
        </w:rPr>
      </w:pPr>
      <w:r>
        <w:rPr>
          <w:color w:val="000000"/>
        </w:rPr>
        <w:t>二次性报价期间递交：（以下材料，必须提供，复印件加盖公章，否则磋商无效）（如投标人在二次报价时，总报价不做改变，则无需再次提供二次报价已标价工程量清单）</w:t>
      </w:r>
    </w:p>
    <w:p w14:paraId="286F8762">
      <w:pPr>
        <w:pStyle w:val="11"/>
        <w:numPr>
          <w:ilvl w:val="0"/>
          <w:numId w:val="66"/>
        </w:numPr>
        <w:ind w:left="0" w:leftChars="0" w:firstLine="480" w:firstLineChars="0"/>
        <w:rPr>
          <w:b w:val="0"/>
          <w:color w:val="000000"/>
        </w:rPr>
      </w:pPr>
      <w:bookmarkStart w:id="86" w:name="_Toc25353_WPSOffice_Level1"/>
      <w:r>
        <w:rPr>
          <w:color w:val="000000"/>
        </w:rPr>
        <w:t>二次报价磋商报价函；</w:t>
      </w:r>
      <w:bookmarkEnd w:id="86"/>
    </w:p>
    <w:p w14:paraId="17BDD0B5">
      <w:pPr>
        <w:pStyle w:val="11"/>
        <w:numPr>
          <w:ilvl w:val="0"/>
          <w:numId w:val="66"/>
        </w:numPr>
        <w:ind w:left="0" w:leftChars="0" w:firstLine="480" w:firstLineChars="0"/>
        <w:rPr>
          <w:b w:val="0"/>
          <w:color w:val="000000"/>
        </w:rPr>
      </w:pPr>
      <w:bookmarkStart w:id="87" w:name="_Toc18335_WPSOffice_Level1"/>
      <w:r>
        <w:rPr>
          <w:color w:val="000000"/>
        </w:rPr>
        <w:t>二次报价已标价的工程量清单。</w:t>
      </w:r>
      <w:bookmarkEnd w:id="87"/>
    </w:p>
    <w:p w14:paraId="2200462D">
      <w:pPr>
        <w:pStyle w:val="11"/>
        <w:kinsoku w:val="0"/>
        <w:overflowPunct w:val="0"/>
        <w:spacing w:line="310" w:lineRule="auto"/>
        <w:ind w:firstLine="420"/>
        <w:rPr>
          <w:color w:val="000000"/>
          <w:spacing w:val="-1"/>
          <w:szCs w:val="22"/>
        </w:rPr>
        <w:sectPr>
          <w:pgSz w:w="11906" w:h="16840"/>
          <w:pgMar w:top="1040" w:right="780" w:bottom="980" w:left="1080" w:header="858" w:footer="791" w:gutter="0"/>
          <w:lnNumType w:countBy="0" w:distance="360"/>
          <w:cols w:space="720" w:num="1"/>
        </w:sectPr>
      </w:pPr>
    </w:p>
    <w:p w14:paraId="1BA1BBAB">
      <w:pPr>
        <w:pStyle w:val="42"/>
        <w:numPr>
          <w:ilvl w:val="0"/>
          <w:numId w:val="67"/>
        </w:numPr>
        <w:topLinePunct w:val="0"/>
        <w:ind w:left="0" w:leftChars="0" w:firstLine="0" w:firstLineChars="0"/>
        <w:outlineLvl w:val="0"/>
        <w:rPr>
          <w:b w:val="0"/>
        </w:rPr>
      </w:pPr>
      <w:bookmarkStart w:id="88" w:name="_Toc3397"/>
      <w:bookmarkStart w:id="89" w:name="_Toc1573"/>
      <w:r>
        <w:t>二次报价竞争性磋商报价函</w:t>
      </w:r>
      <w:bookmarkEnd w:id="88"/>
      <w:bookmarkEnd w:id="89"/>
    </w:p>
    <w:p w14:paraId="76FBA2D6">
      <w:pPr>
        <w:kinsoku w:val="0"/>
        <w:overflowPunct w:val="0"/>
        <w:spacing w:before="8" w:line="170" w:lineRule="exact"/>
        <w:rPr>
          <w:color w:val="000000"/>
          <w:sz w:val="17"/>
        </w:rPr>
      </w:pPr>
    </w:p>
    <w:p w14:paraId="7D643A1E">
      <w:pPr>
        <w:pStyle w:val="11"/>
        <w:ind w:firstLine="0" w:firstLineChars="0"/>
        <w:rPr>
          <w:color w:val="000000"/>
        </w:rPr>
      </w:pPr>
      <w:r>
        <w:rPr>
          <w:color w:val="000000"/>
        </w:rPr>
        <w:t xml:space="preserve">致 </w:t>
      </w:r>
      <w:r>
        <w:rPr>
          <w:color w:val="000000"/>
          <w:u w:val="single"/>
        </w:rPr>
        <w:t>（采购人）</w:t>
      </w:r>
      <w:r>
        <w:rPr>
          <w:color w:val="000000"/>
          <w:u w:val="single"/>
        </w:rPr>
        <w:tab/>
      </w:r>
      <w:r>
        <w:rPr>
          <w:color w:val="000000"/>
        </w:rPr>
        <w:t>：</w:t>
      </w:r>
    </w:p>
    <w:p w14:paraId="1BF9A998">
      <w:pPr>
        <w:kinsoku w:val="0"/>
        <w:overflowPunct w:val="0"/>
        <w:spacing w:before="9" w:line="120" w:lineRule="exact"/>
        <w:rPr>
          <w:color w:val="000000"/>
          <w:sz w:val="12"/>
        </w:rPr>
      </w:pPr>
    </w:p>
    <w:p w14:paraId="0A601422">
      <w:pPr>
        <w:pStyle w:val="11"/>
        <w:numPr>
          <w:ilvl w:val="0"/>
          <w:numId w:val="68"/>
        </w:numPr>
        <w:ind w:left="0" w:leftChars="0" w:firstLine="480" w:firstLineChars="0"/>
        <w:rPr>
          <w:b w:val="0"/>
          <w:color w:val="000000"/>
        </w:rPr>
      </w:pPr>
      <w:r>
        <w:rPr>
          <w:color w:val="000000"/>
        </w:rPr>
        <w:t>我公司根据收到并研究了</w:t>
      </w:r>
      <w:r>
        <w:rPr>
          <w:color w:val="000000"/>
          <w:u w:val="single"/>
        </w:rPr>
        <w:tab/>
      </w:r>
      <w:r>
        <w:rPr>
          <w:color w:val="000000"/>
        </w:rPr>
        <w:t>工程（项目编号：</w:t>
      </w:r>
      <w:r>
        <w:rPr>
          <w:color w:val="000000"/>
          <w:u w:val="single"/>
        </w:rPr>
        <w:tab/>
      </w:r>
      <w:r>
        <w:rPr>
          <w:color w:val="000000"/>
        </w:rPr>
        <w:t>）的竞争性磋商文件，愿意按竞争性磋商文件规定的内容承担该工程的施工任务，严格执行供应商所承诺的责任和义务。</w:t>
      </w:r>
    </w:p>
    <w:p w14:paraId="61B63760">
      <w:pPr>
        <w:pStyle w:val="11"/>
        <w:numPr>
          <w:ilvl w:val="0"/>
          <w:numId w:val="68"/>
        </w:numPr>
        <w:ind w:left="0" w:leftChars="0" w:firstLine="480" w:firstLineChars="0"/>
        <w:rPr>
          <w:b w:val="0"/>
          <w:color w:val="000000"/>
        </w:rPr>
      </w:pPr>
      <w:r>
        <w:rPr>
          <w:color w:val="000000"/>
        </w:rPr>
        <w:t>我单位经考察现场和研究上述工程竞争性磋商文件的供应商须知、合同条件、工程建设标准、图纸及其他有关文件后，我方愿以人民币</w:t>
      </w:r>
      <w:r>
        <w:rPr>
          <w:color w:val="000000"/>
          <w:u w:val="single"/>
        </w:rPr>
        <w:t>（大写）</w:t>
      </w:r>
      <w:r>
        <w:rPr>
          <w:color w:val="000000"/>
          <w:u w:val="single"/>
        </w:rPr>
        <w:tab/>
      </w:r>
      <w:r>
        <w:rPr>
          <w:color w:val="000000"/>
        </w:rPr>
        <w:t>（小写）</w:t>
      </w:r>
      <w:r>
        <w:rPr>
          <w:color w:val="000000"/>
          <w:u w:val="single"/>
        </w:rPr>
        <w:t>￥</w:t>
      </w:r>
      <w:r>
        <w:rPr>
          <w:color w:val="000000"/>
          <w:u w:val="single"/>
        </w:rPr>
        <w:tab/>
      </w:r>
      <w:r>
        <w:rPr>
          <w:color w:val="000000"/>
        </w:rPr>
        <w:t>的总价作为最终报价，按施工图的设 计要求承包本招标范围内全部工程的施工、竣工和保修。</w:t>
      </w:r>
    </w:p>
    <w:p w14:paraId="264A907C">
      <w:pPr>
        <w:pStyle w:val="11"/>
        <w:numPr>
          <w:ilvl w:val="0"/>
          <w:numId w:val="68"/>
        </w:numPr>
        <w:ind w:left="0" w:leftChars="0" w:firstLine="480" w:firstLineChars="0"/>
        <w:rPr>
          <w:b w:val="0"/>
          <w:color w:val="000000"/>
        </w:rPr>
      </w:pPr>
      <w:r>
        <w:rPr>
          <w:color w:val="000000"/>
        </w:rPr>
        <w:t xml:space="preserve">一旦我方成交，我方保证按合同书中规定的工期 </w:t>
      </w:r>
      <w:r>
        <w:rPr>
          <w:color w:val="000000"/>
          <w:u w:val="single"/>
        </w:rPr>
        <w:t xml:space="preserve">    </w:t>
      </w:r>
      <w:r>
        <w:rPr>
          <w:color w:val="000000"/>
        </w:rPr>
        <w:t>日历天内完成并移交全部工程，并保证工程质量</w:t>
      </w:r>
      <w:r>
        <w:rPr>
          <w:color w:val="000000"/>
          <w:u w:val="single"/>
        </w:rPr>
        <w:tab/>
      </w:r>
      <w:r>
        <w:rPr>
          <w:color w:val="000000"/>
          <w:u w:val="single"/>
        </w:rPr>
        <w:t xml:space="preserve">       </w:t>
      </w:r>
      <w:r>
        <w:rPr>
          <w:color w:val="000000"/>
        </w:rPr>
        <w:t>。</w:t>
      </w:r>
    </w:p>
    <w:p w14:paraId="147EEE0C">
      <w:pPr>
        <w:pStyle w:val="11"/>
        <w:numPr>
          <w:ilvl w:val="0"/>
          <w:numId w:val="68"/>
        </w:numPr>
        <w:ind w:left="0" w:leftChars="0" w:firstLine="480" w:firstLineChars="0"/>
        <w:rPr>
          <w:b w:val="0"/>
          <w:color w:val="000000"/>
        </w:rPr>
      </w:pPr>
      <w:r>
        <w:rPr>
          <w:color w:val="000000"/>
        </w:rPr>
        <w:t>我方同意所递交的响应文件在“磋商供应商须知”第 13 条规定的响应有效期内有效，在此期间内我方的磋商有可能成交，我方将受此约束。</w:t>
      </w:r>
    </w:p>
    <w:p w14:paraId="60B95A3E">
      <w:pPr>
        <w:pStyle w:val="11"/>
        <w:numPr>
          <w:ilvl w:val="0"/>
          <w:numId w:val="68"/>
        </w:numPr>
        <w:ind w:left="0" w:leftChars="0" w:firstLine="480" w:firstLineChars="0"/>
        <w:rPr>
          <w:b w:val="0"/>
          <w:color w:val="000000"/>
        </w:rPr>
      </w:pPr>
      <w:r>
        <w:rPr>
          <w:color w:val="000000"/>
        </w:rPr>
        <w:t>一旦成交，我公司保证按照竞争性磋商文件的要求和与采购人签订的工程施工合同，成立本工程的 项目部，按响应文件拟订的建造师和专业技术人员进驻施工现场实施施工合同。</w:t>
      </w:r>
    </w:p>
    <w:p w14:paraId="0F7CD0E4">
      <w:pPr>
        <w:pStyle w:val="11"/>
        <w:numPr>
          <w:ilvl w:val="0"/>
          <w:numId w:val="68"/>
        </w:numPr>
        <w:ind w:left="0" w:leftChars="0" w:firstLine="480" w:firstLineChars="0"/>
        <w:rPr>
          <w:b w:val="0"/>
          <w:color w:val="000000"/>
        </w:rPr>
      </w:pPr>
      <w:r>
        <w:rPr>
          <w:color w:val="000000"/>
        </w:rPr>
        <w:t>我公司同意从响应之日起至施工合同终止之日止，遵守本响应文件，在此期间，本响应文件一直对我公司具有约束力。同时，在制定和执行正式合同之前，除非另外达成协议并生效，本响应文件连同采购代理机构发出的成交通知书，应构成我们之间有约束力的合同。</w:t>
      </w:r>
    </w:p>
    <w:p w14:paraId="73E9E062">
      <w:pPr>
        <w:kinsoku w:val="0"/>
        <w:overflowPunct w:val="0"/>
        <w:spacing w:before="2" w:line="120" w:lineRule="exact"/>
        <w:rPr>
          <w:color w:val="000000"/>
          <w:sz w:val="12"/>
        </w:rPr>
      </w:pPr>
    </w:p>
    <w:p w14:paraId="19493B92">
      <w:pPr>
        <w:kinsoku w:val="0"/>
        <w:overflowPunct w:val="0"/>
        <w:spacing w:line="200" w:lineRule="exact"/>
        <w:rPr>
          <w:color w:val="000000"/>
          <w:sz w:val="20"/>
        </w:rPr>
      </w:pPr>
    </w:p>
    <w:p w14:paraId="54D0FC65">
      <w:pPr>
        <w:kinsoku w:val="0"/>
        <w:overflowPunct w:val="0"/>
        <w:spacing w:line="200" w:lineRule="exact"/>
        <w:rPr>
          <w:color w:val="000000"/>
          <w:sz w:val="20"/>
        </w:rPr>
      </w:pPr>
    </w:p>
    <w:p w14:paraId="4FA0D02A">
      <w:pPr>
        <w:kinsoku w:val="0"/>
        <w:overflowPunct w:val="0"/>
        <w:spacing w:line="360" w:lineRule="auto"/>
        <w:rPr>
          <w:color w:val="000000"/>
          <w:sz w:val="20"/>
        </w:rPr>
      </w:pPr>
    </w:p>
    <w:p w14:paraId="310EEFCA">
      <w:pPr>
        <w:pStyle w:val="11"/>
        <w:tabs>
          <w:tab w:val="left" w:pos="3470"/>
        </w:tabs>
        <w:kinsoku w:val="0"/>
        <w:overflowPunct w:val="0"/>
        <w:spacing w:line="360" w:lineRule="auto"/>
        <w:rPr>
          <w:rFonts w:ascii="Times New Roman" w:hAnsi="Times New Roman" w:eastAsia="宋体" w:cs="Times New Roman"/>
          <w:color w:val="000000"/>
          <w:sz w:val="24"/>
        </w:rPr>
      </w:pPr>
      <w:r>
        <w:rPr>
          <w:rFonts w:ascii="Times New Roman" w:hAnsi="Times New Roman" w:eastAsia="宋体" w:cs="Times New Roman"/>
          <w:color w:val="000000"/>
          <w:spacing w:val="-1"/>
          <w:sz w:val="24"/>
        </w:rPr>
        <w:t>供应商</w:t>
      </w:r>
      <w:r>
        <w:rPr>
          <w:rFonts w:ascii="Times New Roman" w:hAnsi="Times New Roman" w:eastAsia="宋体" w:cs="Times New Roman"/>
          <w:color w:val="000000"/>
          <w:spacing w:val="2"/>
          <w:sz w:val="24"/>
        </w:rPr>
        <w:t>：</w:t>
      </w:r>
      <w:r>
        <w:rPr>
          <w:rFonts w:ascii="Times New Roman" w:hAnsi="Times New Roman" w:eastAsia="宋体" w:cs="Times New Roman"/>
          <w:color w:val="000000"/>
          <w:spacing w:val="-1"/>
          <w:sz w:val="24"/>
        </w:rPr>
        <w:t>（</w:t>
      </w:r>
      <w:r>
        <w:rPr>
          <w:rFonts w:ascii="Times New Roman" w:hAnsi="Times New Roman" w:eastAsia="宋体" w:cs="Times New Roman"/>
          <w:color w:val="000000"/>
          <w:spacing w:val="2"/>
          <w:sz w:val="24"/>
        </w:rPr>
        <w:t>盖</w:t>
      </w:r>
      <w:r>
        <w:rPr>
          <w:rFonts w:ascii="Times New Roman" w:hAnsi="Times New Roman" w:eastAsia="宋体" w:cs="Times New Roman"/>
          <w:color w:val="000000"/>
          <w:spacing w:val="-1"/>
          <w:sz w:val="24"/>
        </w:rPr>
        <w:t>章</w:t>
      </w:r>
      <w:r>
        <w:rPr>
          <w:rFonts w:ascii="Times New Roman" w:hAnsi="Times New Roman" w:eastAsia="宋体" w:cs="Times New Roman"/>
          <w:color w:val="000000"/>
          <w:sz w:val="24"/>
        </w:rPr>
        <w:t>）</w:t>
      </w:r>
      <w:r>
        <w:rPr>
          <w:rFonts w:ascii="Times New Roman" w:hAnsi="Times New Roman" w:eastAsia="宋体" w:cs="Times New Roman"/>
          <w:color w:val="000000"/>
          <w:sz w:val="24"/>
        </w:rPr>
        <w:tab/>
      </w:r>
    </w:p>
    <w:p w14:paraId="587AE24E">
      <w:pPr>
        <w:pStyle w:val="11"/>
        <w:tabs>
          <w:tab w:val="left" w:pos="3470"/>
        </w:tabs>
        <w:kinsoku w:val="0"/>
        <w:overflowPunct w:val="0"/>
        <w:spacing w:line="360" w:lineRule="auto"/>
        <w:rPr>
          <w:rFonts w:ascii="Times New Roman" w:hAnsi="Times New Roman" w:eastAsia="宋体" w:cs="Times New Roman"/>
          <w:color w:val="000000"/>
          <w:sz w:val="24"/>
        </w:rPr>
      </w:pPr>
      <w:r>
        <w:rPr>
          <w:rFonts w:ascii="Times New Roman" w:hAnsi="Times New Roman" w:eastAsia="宋体" w:cs="Times New Roman"/>
          <w:color w:val="000000"/>
          <w:spacing w:val="-1"/>
          <w:sz w:val="24"/>
        </w:rPr>
        <w:t>法</w:t>
      </w:r>
      <w:r>
        <w:rPr>
          <w:rFonts w:ascii="Times New Roman" w:hAnsi="Times New Roman" w:eastAsia="宋体" w:cs="Times New Roman"/>
          <w:color w:val="000000"/>
          <w:spacing w:val="2"/>
          <w:sz w:val="24"/>
        </w:rPr>
        <w:t>定</w:t>
      </w:r>
      <w:r>
        <w:rPr>
          <w:rFonts w:ascii="Times New Roman" w:hAnsi="Times New Roman" w:eastAsia="宋体" w:cs="Times New Roman"/>
          <w:color w:val="000000"/>
          <w:spacing w:val="-1"/>
          <w:sz w:val="24"/>
        </w:rPr>
        <w:t>代</w:t>
      </w:r>
      <w:r>
        <w:rPr>
          <w:rFonts w:ascii="Times New Roman" w:hAnsi="Times New Roman" w:eastAsia="宋体" w:cs="Times New Roman"/>
          <w:color w:val="000000"/>
          <w:spacing w:val="2"/>
          <w:sz w:val="24"/>
        </w:rPr>
        <w:t>表</w:t>
      </w:r>
      <w:r>
        <w:rPr>
          <w:rFonts w:ascii="Times New Roman" w:hAnsi="Times New Roman" w:eastAsia="宋体" w:cs="Times New Roman"/>
          <w:color w:val="000000"/>
          <w:spacing w:val="-1"/>
          <w:sz w:val="24"/>
        </w:rPr>
        <w:t>人</w:t>
      </w:r>
      <w:r>
        <w:rPr>
          <w:rFonts w:ascii="Times New Roman" w:hAnsi="Times New Roman" w:eastAsia="宋体" w:cs="Times New Roman"/>
          <w:color w:val="000000"/>
          <w:spacing w:val="2"/>
          <w:sz w:val="24"/>
        </w:rPr>
        <w:t>或</w:t>
      </w:r>
      <w:r>
        <w:rPr>
          <w:rFonts w:ascii="Times New Roman" w:hAnsi="Times New Roman" w:eastAsia="宋体" w:cs="Times New Roman"/>
          <w:color w:val="000000"/>
          <w:spacing w:val="-1"/>
          <w:sz w:val="24"/>
        </w:rPr>
        <w:t>其</w:t>
      </w:r>
      <w:r>
        <w:rPr>
          <w:rFonts w:ascii="Times New Roman" w:hAnsi="Times New Roman" w:eastAsia="宋体" w:cs="Times New Roman"/>
          <w:color w:val="000000"/>
          <w:spacing w:val="2"/>
          <w:sz w:val="24"/>
        </w:rPr>
        <w:t>委</w:t>
      </w:r>
      <w:r>
        <w:rPr>
          <w:rFonts w:ascii="Times New Roman" w:hAnsi="Times New Roman" w:eastAsia="宋体" w:cs="Times New Roman"/>
          <w:color w:val="000000"/>
          <w:spacing w:val="-1"/>
          <w:sz w:val="24"/>
        </w:rPr>
        <w:t>托</w:t>
      </w:r>
      <w:r>
        <w:rPr>
          <w:rFonts w:ascii="Times New Roman" w:hAnsi="Times New Roman" w:eastAsia="宋体" w:cs="Times New Roman"/>
          <w:color w:val="000000"/>
          <w:spacing w:val="2"/>
          <w:sz w:val="24"/>
        </w:rPr>
        <w:t>代</w:t>
      </w:r>
      <w:r>
        <w:rPr>
          <w:rFonts w:ascii="Times New Roman" w:hAnsi="Times New Roman" w:eastAsia="宋体" w:cs="Times New Roman"/>
          <w:color w:val="000000"/>
          <w:spacing w:val="-1"/>
          <w:sz w:val="24"/>
        </w:rPr>
        <w:t>理</w:t>
      </w:r>
      <w:r>
        <w:rPr>
          <w:rFonts w:ascii="Times New Roman" w:hAnsi="Times New Roman" w:eastAsia="宋体" w:cs="Times New Roman"/>
          <w:color w:val="000000"/>
          <w:spacing w:val="2"/>
          <w:sz w:val="24"/>
        </w:rPr>
        <w:t>人</w:t>
      </w:r>
      <w:r>
        <w:rPr>
          <w:rFonts w:ascii="Times New Roman" w:hAnsi="Times New Roman" w:eastAsia="宋体" w:cs="Times New Roman"/>
          <w:color w:val="000000"/>
          <w:spacing w:val="-1"/>
          <w:sz w:val="24"/>
        </w:rPr>
        <w:t>：</w:t>
      </w:r>
      <w:r>
        <w:rPr>
          <w:rFonts w:ascii="Times New Roman" w:hAnsi="Times New Roman" w:eastAsia="宋体" w:cs="Times New Roman"/>
          <w:color w:val="000000"/>
          <w:spacing w:val="2"/>
          <w:sz w:val="24"/>
        </w:rPr>
        <w:t>（</w:t>
      </w:r>
      <w:r>
        <w:rPr>
          <w:rFonts w:ascii="Times New Roman" w:hAnsi="Times New Roman" w:eastAsia="宋体" w:cs="Times New Roman"/>
          <w:color w:val="000000"/>
          <w:spacing w:val="-1"/>
          <w:sz w:val="24"/>
        </w:rPr>
        <w:t>签</w:t>
      </w:r>
      <w:r>
        <w:rPr>
          <w:rFonts w:ascii="Times New Roman" w:hAnsi="Times New Roman" w:eastAsia="宋体" w:cs="Times New Roman"/>
          <w:color w:val="000000"/>
          <w:spacing w:val="2"/>
          <w:sz w:val="24"/>
        </w:rPr>
        <w:t>字</w:t>
      </w:r>
      <w:r>
        <w:rPr>
          <w:rFonts w:ascii="Times New Roman" w:hAnsi="Times New Roman" w:eastAsia="宋体" w:cs="Times New Roman"/>
          <w:color w:val="000000"/>
          <w:spacing w:val="-1"/>
          <w:sz w:val="24"/>
        </w:rPr>
        <w:t>、</w:t>
      </w:r>
      <w:r>
        <w:rPr>
          <w:rFonts w:ascii="Times New Roman" w:hAnsi="Times New Roman" w:eastAsia="宋体" w:cs="Times New Roman"/>
          <w:color w:val="000000"/>
          <w:spacing w:val="2"/>
          <w:sz w:val="24"/>
        </w:rPr>
        <w:t>盖</w:t>
      </w:r>
      <w:r>
        <w:rPr>
          <w:rFonts w:ascii="Times New Roman" w:hAnsi="Times New Roman" w:eastAsia="宋体" w:cs="Times New Roman"/>
          <w:color w:val="000000"/>
          <w:spacing w:val="-1"/>
          <w:sz w:val="24"/>
        </w:rPr>
        <w:t>章</w:t>
      </w:r>
      <w:r>
        <w:rPr>
          <w:rFonts w:ascii="Times New Roman" w:hAnsi="Times New Roman" w:eastAsia="宋体" w:cs="Times New Roman"/>
          <w:color w:val="000000"/>
          <w:sz w:val="24"/>
        </w:rPr>
        <w:t>）</w:t>
      </w:r>
    </w:p>
    <w:p w14:paraId="7D3591E1">
      <w:pPr>
        <w:pStyle w:val="11"/>
        <w:tabs>
          <w:tab w:val="left" w:pos="3470"/>
        </w:tabs>
        <w:kinsoku w:val="0"/>
        <w:overflowPunct w:val="0"/>
        <w:spacing w:line="360" w:lineRule="auto"/>
        <w:rPr>
          <w:rFonts w:ascii="Times New Roman" w:hAnsi="Times New Roman" w:eastAsia="宋体" w:cs="Times New Roman"/>
          <w:color w:val="000000"/>
          <w:sz w:val="24"/>
        </w:rPr>
      </w:pPr>
      <w:r>
        <w:rPr>
          <w:rFonts w:ascii="Times New Roman" w:hAnsi="Times New Roman" w:eastAsia="宋体" w:cs="Times New Roman"/>
          <w:color w:val="000000"/>
          <w:spacing w:val="-1"/>
          <w:sz w:val="24"/>
        </w:rPr>
        <w:t>地</w:t>
      </w:r>
      <w:r>
        <w:rPr>
          <w:rFonts w:ascii="Times New Roman" w:hAnsi="Times New Roman" w:eastAsia="宋体" w:cs="Times New Roman"/>
          <w:color w:val="000000"/>
          <w:spacing w:val="2"/>
          <w:sz w:val="24"/>
        </w:rPr>
        <w:t>址</w:t>
      </w:r>
      <w:r>
        <w:rPr>
          <w:rFonts w:ascii="Times New Roman" w:hAnsi="Times New Roman" w:eastAsia="宋体" w:cs="Times New Roman"/>
          <w:color w:val="000000"/>
          <w:sz w:val="24"/>
        </w:rPr>
        <w:t>：</w:t>
      </w:r>
      <w:r>
        <w:rPr>
          <w:rFonts w:ascii="Times New Roman" w:hAnsi="Times New Roman" w:eastAsia="宋体" w:cs="Times New Roman"/>
          <w:color w:val="000000"/>
          <w:sz w:val="24"/>
        </w:rPr>
        <w:tab/>
      </w:r>
    </w:p>
    <w:p w14:paraId="75223B3E">
      <w:pPr>
        <w:pStyle w:val="11"/>
        <w:tabs>
          <w:tab w:val="left" w:pos="3470"/>
        </w:tabs>
        <w:kinsoku w:val="0"/>
        <w:overflowPunct w:val="0"/>
        <w:spacing w:line="360" w:lineRule="auto"/>
        <w:rPr>
          <w:rFonts w:ascii="Times New Roman" w:hAnsi="Times New Roman" w:eastAsia="宋体" w:cs="Times New Roman"/>
          <w:color w:val="000000"/>
          <w:sz w:val="24"/>
        </w:rPr>
      </w:pPr>
      <w:r>
        <w:rPr>
          <w:rFonts w:ascii="Times New Roman" w:hAnsi="Times New Roman" w:eastAsia="宋体" w:cs="Times New Roman"/>
          <w:color w:val="000000"/>
          <w:spacing w:val="-1"/>
          <w:sz w:val="24"/>
        </w:rPr>
        <w:t>邮</w:t>
      </w:r>
      <w:r>
        <w:rPr>
          <w:rFonts w:ascii="Times New Roman" w:hAnsi="Times New Roman" w:eastAsia="宋体" w:cs="Times New Roman"/>
          <w:color w:val="000000"/>
          <w:spacing w:val="2"/>
          <w:sz w:val="24"/>
        </w:rPr>
        <w:t>政</w:t>
      </w:r>
      <w:r>
        <w:rPr>
          <w:rFonts w:ascii="Times New Roman" w:hAnsi="Times New Roman" w:eastAsia="宋体" w:cs="Times New Roman"/>
          <w:color w:val="000000"/>
          <w:spacing w:val="-1"/>
          <w:sz w:val="24"/>
        </w:rPr>
        <w:t>编</w:t>
      </w:r>
      <w:r>
        <w:rPr>
          <w:rFonts w:ascii="Times New Roman" w:hAnsi="Times New Roman" w:eastAsia="宋体" w:cs="Times New Roman"/>
          <w:color w:val="000000"/>
          <w:spacing w:val="2"/>
          <w:sz w:val="24"/>
        </w:rPr>
        <w:t>码</w:t>
      </w:r>
      <w:r>
        <w:rPr>
          <w:rFonts w:ascii="Times New Roman" w:hAnsi="Times New Roman" w:eastAsia="宋体" w:cs="Times New Roman"/>
          <w:color w:val="000000"/>
          <w:sz w:val="24"/>
        </w:rPr>
        <w:t>：</w:t>
      </w:r>
    </w:p>
    <w:p w14:paraId="6E9C37EE">
      <w:pPr>
        <w:pStyle w:val="11"/>
        <w:kinsoku w:val="0"/>
        <w:overflowPunct w:val="0"/>
        <w:spacing w:line="360" w:lineRule="auto"/>
        <w:rPr>
          <w:rFonts w:ascii="Times New Roman" w:hAnsi="Times New Roman" w:eastAsia="宋体" w:cs="Times New Roman"/>
          <w:color w:val="000000"/>
          <w:sz w:val="24"/>
        </w:rPr>
      </w:pPr>
      <w:r>
        <w:rPr>
          <w:rFonts w:ascii="Times New Roman" w:hAnsi="Times New Roman" w:eastAsia="宋体" w:cs="Times New Roman"/>
          <w:color w:val="000000"/>
          <w:spacing w:val="-1"/>
          <w:sz w:val="24"/>
        </w:rPr>
        <w:t>电</w:t>
      </w:r>
      <w:r>
        <w:rPr>
          <w:rFonts w:ascii="Times New Roman" w:hAnsi="Times New Roman" w:eastAsia="宋体" w:cs="Times New Roman"/>
          <w:color w:val="000000"/>
          <w:spacing w:val="2"/>
          <w:sz w:val="24"/>
        </w:rPr>
        <w:t>话</w:t>
      </w:r>
      <w:r>
        <w:rPr>
          <w:rFonts w:ascii="Times New Roman" w:hAnsi="Times New Roman" w:eastAsia="宋体" w:cs="Times New Roman"/>
          <w:color w:val="000000"/>
          <w:sz w:val="24"/>
        </w:rPr>
        <w:t>：</w:t>
      </w:r>
    </w:p>
    <w:p w14:paraId="189F8C22">
      <w:pPr>
        <w:pStyle w:val="11"/>
        <w:tabs>
          <w:tab w:val="left" w:pos="3470"/>
        </w:tabs>
        <w:kinsoku w:val="0"/>
        <w:overflowPunct w:val="0"/>
        <w:spacing w:line="360" w:lineRule="auto"/>
        <w:ind w:right="5506"/>
        <w:rPr>
          <w:rFonts w:ascii="Times New Roman" w:hAnsi="Times New Roman" w:eastAsia="宋体" w:cs="Times New Roman"/>
          <w:color w:val="000000"/>
          <w:sz w:val="24"/>
        </w:rPr>
      </w:pPr>
      <w:r>
        <w:rPr>
          <w:rFonts w:ascii="Times New Roman" w:hAnsi="Times New Roman" w:eastAsia="宋体" w:cs="Times New Roman"/>
          <w:color w:val="000000"/>
          <w:spacing w:val="-1"/>
          <w:sz w:val="24"/>
        </w:rPr>
        <w:t>开</w:t>
      </w:r>
      <w:r>
        <w:rPr>
          <w:rFonts w:ascii="Times New Roman" w:hAnsi="Times New Roman" w:eastAsia="宋体" w:cs="Times New Roman"/>
          <w:color w:val="000000"/>
          <w:spacing w:val="2"/>
          <w:sz w:val="24"/>
        </w:rPr>
        <w:t>户</w:t>
      </w:r>
      <w:r>
        <w:rPr>
          <w:rFonts w:ascii="Times New Roman" w:hAnsi="Times New Roman" w:eastAsia="宋体" w:cs="Times New Roman"/>
          <w:color w:val="000000"/>
          <w:spacing w:val="-1"/>
          <w:sz w:val="24"/>
        </w:rPr>
        <w:t>银</w:t>
      </w:r>
      <w:r>
        <w:rPr>
          <w:rFonts w:ascii="Times New Roman" w:hAnsi="Times New Roman" w:eastAsia="宋体" w:cs="Times New Roman"/>
          <w:color w:val="000000"/>
          <w:spacing w:val="2"/>
          <w:sz w:val="24"/>
        </w:rPr>
        <w:t>行</w:t>
      </w:r>
      <w:r>
        <w:rPr>
          <w:rFonts w:ascii="Times New Roman" w:hAnsi="Times New Roman" w:eastAsia="宋体" w:cs="Times New Roman"/>
          <w:color w:val="000000"/>
          <w:spacing w:val="-1"/>
          <w:sz w:val="24"/>
        </w:rPr>
        <w:t>名</w:t>
      </w:r>
      <w:r>
        <w:rPr>
          <w:rFonts w:ascii="Times New Roman" w:hAnsi="Times New Roman" w:eastAsia="宋体" w:cs="Times New Roman"/>
          <w:color w:val="000000"/>
          <w:spacing w:val="2"/>
          <w:sz w:val="24"/>
        </w:rPr>
        <w:t>称</w:t>
      </w:r>
      <w:r>
        <w:rPr>
          <w:rFonts w:ascii="Times New Roman" w:hAnsi="Times New Roman" w:eastAsia="宋体" w:cs="Times New Roman"/>
          <w:color w:val="000000"/>
          <w:sz w:val="24"/>
        </w:rPr>
        <w:t>：</w:t>
      </w:r>
      <w:r>
        <w:rPr>
          <w:rFonts w:ascii="Times New Roman" w:hAnsi="Times New Roman" w:eastAsia="宋体" w:cs="Times New Roman"/>
          <w:color w:val="000000"/>
          <w:sz w:val="24"/>
        </w:rPr>
        <w:tab/>
      </w:r>
    </w:p>
    <w:p w14:paraId="7A237D1E">
      <w:pPr>
        <w:pStyle w:val="11"/>
        <w:tabs>
          <w:tab w:val="left" w:pos="3470"/>
        </w:tabs>
        <w:kinsoku w:val="0"/>
        <w:overflowPunct w:val="0"/>
        <w:spacing w:line="360" w:lineRule="auto"/>
        <w:ind w:right="5506"/>
        <w:rPr>
          <w:rFonts w:ascii="Times New Roman" w:hAnsi="Times New Roman" w:eastAsia="宋体" w:cs="Times New Roman"/>
          <w:color w:val="000000"/>
          <w:spacing w:val="-1"/>
          <w:sz w:val="24"/>
          <w:szCs w:val="22"/>
        </w:rPr>
      </w:pPr>
      <w:r>
        <w:rPr>
          <w:rFonts w:ascii="Times New Roman" w:hAnsi="Times New Roman" w:eastAsia="宋体" w:cs="Times New Roman"/>
          <w:color w:val="000000"/>
          <w:spacing w:val="-1"/>
          <w:sz w:val="24"/>
          <w:szCs w:val="22"/>
        </w:rPr>
        <w:t>银行帐号：</w:t>
      </w:r>
    </w:p>
    <w:p w14:paraId="2A3F36D6">
      <w:pPr>
        <w:pStyle w:val="11"/>
        <w:tabs>
          <w:tab w:val="left" w:pos="3470"/>
        </w:tabs>
        <w:kinsoku w:val="0"/>
        <w:overflowPunct w:val="0"/>
        <w:spacing w:line="360" w:lineRule="auto"/>
        <w:ind w:right="5506"/>
        <w:rPr>
          <w:rFonts w:ascii="Times New Roman" w:hAnsi="Times New Roman" w:eastAsia="宋体" w:cs="Times New Roman"/>
          <w:color w:val="000000"/>
          <w:sz w:val="24"/>
        </w:rPr>
      </w:pPr>
      <w:r>
        <w:rPr>
          <w:rFonts w:ascii="Times New Roman" w:hAnsi="Times New Roman" w:eastAsia="宋体" w:cs="Times New Roman"/>
          <w:color w:val="000000"/>
          <w:spacing w:val="-1"/>
          <w:sz w:val="24"/>
        </w:rPr>
        <w:t>开</w:t>
      </w:r>
      <w:r>
        <w:rPr>
          <w:rFonts w:ascii="Times New Roman" w:hAnsi="Times New Roman" w:eastAsia="宋体" w:cs="Times New Roman"/>
          <w:color w:val="000000"/>
          <w:spacing w:val="2"/>
          <w:sz w:val="24"/>
        </w:rPr>
        <w:t>户</w:t>
      </w:r>
      <w:r>
        <w:rPr>
          <w:rFonts w:ascii="Times New Roman" w:hAnsi="Times New Roman" w:eastAsia="宋体" w:cs="Times New Roman"/>
          <w:color w:val="000000"/>
          <w:spacing w:val="-1"/>
          <w:sz w:val="24"/>
        </w:rPr>
        <w:t>行</w:t>
      </w:r>
      <w:r>
        <w:rPr>
          <w:rFonts w:ascii="Times New Roman" w:hAnsi="Times New Roman" w:eastAsia="宋体" w:cs="Times New Roman"/>
          <w:color w:val="000000"/>
          <w:spacing w:val="2"/>
          <w:sz w:val="24"/>
        </w:rPr>
        <w:t>地</w:t>
      </w:r>
      <w:r>
        <w:rPr>
          <w:rFonts w:ascii="Times New Roman" w:hAnsi="Times New Roman" w:eastAsia="宋体" w:cs="Times New Roman"/>
          <w:color w:val="000000"/>
          <w:spacing w:val="-1"/>
          <w:sz w:val="24"/>
        </w:rPr>
        <w:t>址</w:t>
      </w:r>
      <w:r>
        <w:rPr>
          <w:rFonts w:ascii="Times New Roman" w:hAnsi="Times New Roman" w:eastAsia="宋体" w:cs="Times New Roman"/>
          <w:color w:val="000000"/>
          <w:sz w:val="24"/>
        </w:rPr>
        <w:t>：</w:t>
      </w:r>
    </w:p>
    <w:p w14:paraId="64119D37">
      <w:pPr>
        <w:kinsoku w:val="0"/>
        <w:overflowPunct w:val="0"/>
        <w:spacing w:before="3" w:line="120" w:lineRule="exact"/>
        <w:rPr>
          <w:color w:val="000000"/>
          <w:sz w:val="12"/>
        </w:rPr>
      </w:pPr>
    </w:p>
    <w:p w14:paraId="4240A4C1">
      <w:pPr>
        <w:kinsoku w:val="0"/>
        <w:overflowPunct w:val="0"/>
        <w:spacing w:line="200" w:lineRule="exact"/>
        <w:rPr>
          <w:color w:val="000000"/>
          <w:sz w:val="20"/>
        </w:rPr>
      </w:pPr>
    </w:p>
    <w:p w14:paraId="3CB8A866">
      <w:pPr>
        <w:pStyle w:val="11"/>
        <w:tabs>
          <w:tab w:val="left" w:pos="1370"/>
          <w:tab w:val="left" w:pos="2001"/>
          <w:tab w:val="left" w:pos="2630"/>
        </w:tabs>
        <w:kinsoku w:val="0"/>
        <w:overflowPunct w:val="0"/>
        <w:rPr>
          <w:rFonts w:ascii="Times New Roman" w:hAnsi="Times New Roman" w:eastAsia="宋体" w:cs="Times New Roman"/>
          <w:color w:val="000000"/>
          <w:sz w:val="24"/>
        </w:rPr>
      </w:pPr>
      <w:r>
        <w:rPr>
          <w:rFonts w:ascii="Times New Roman" w:hAnsi="Times New Roman" w:eastAsia="宋体" w:cs="Times New Roman"/>
          <w:color w:val="000000"/>
          <w:spacing w:val="-1"/>
          <w:sz w:val="24"/>
        </w:rPr>
        <w:t>日</w:t>
      </w:r>
      <w:r>
        <w:rPr>
          <w:rFonts w:ascii="Times New Roman" w:hAnsi="Times New Roman" w:eastAsia="宋体" w:cs="Times New Roman"/>
          <w:color w:val="000000"/>
          <w:spacing w:val="2"/>
          <w:sz w:val="24"/>
        </w:rPr>
        <w:t>期</w:t>
      </w:r>
      <w:r>
        <w:rPr>
          <w:rFonts w:ascii="Times New Roman" w:hAnsi="Times New Roman" w:eastAsia="宋体" w:cs="Times New Roman"/>
          <w:color w:val="000000"/>
          <w:sz w:val="24"/>
        </w:rPr>
        <w:t>：</w:t>
      </w:r>
      <w:r>
        <w:rPr>
          <w:rFonts w:ascii="Times New Roman" w:hAnsi="Times New Roman" w:eastAsia="宋体" w:cs="Times New Roman"/>
          <w:color w:val="000000"/>
          <w:sz w:val="24"/>
        </w:rPr>
        <w:tab/>
      </w:r>
      <w:r>
        <w:rPr>
          <w:rFonts w:ascii="Times New Roman" w:hAnsi="Times New Roman" w:eastAsia="宋体" w:cs="Times New Roman"/>
          <w:color w:val="000000"/>
          <w:sz w:val="24"/>
        </w:rPr>
        <w:t>年</w:t>
      </w:r>
      <w:r>
        <w:rPr>
          <w:rFonts w:ascii="Times New Roman" w:hAnsi="Times New Roman" w:eastAsia="宋体" w:cs="Times New Roman"/>
          <w:color w:val="000000"/>
          <w:sz w:val="24"/>
        </w:rPr>
        <w:tab/>
      </w:r>
      <w:r>
        <w:rPr>
          <w:rFonts w:ascii="Times New Roman" w:hAnsi="Times New Roman" w:eastAsia="宋体" w:cs="Times New Roman"/>
          <w:color w:val="000000"/>
          <w:sz w:val="24"/>
        </w:rPr>
        <w:t>月</w:t>
      </w:r>
      <w:r>
        <w:rPr>
          <w:rFonts w:ascii="Times New Roman" w:hAnsi="Times New Roman" w:eastAsia="宋体" w:cs="Times New Roman"/>
          <w:color w:val="000000"/>
          <w:sz w:val="24"/>
        </w:rPr>
        <w:tab/>
      </w:r>
      <w:r>
        <w:rPr>
          <w:rFonts w:ascii="Times New Roman" w:hAnsi="Times New Roman" w:eastAsia="宋体" w:cs="Times New Roman"/>
          <w:color w:val="000000"/>
          <w:sz w:val="24"/>
        </w:rPr>
        <w:t>日</w:t>
      </w:r>
    </w:p>
    <w:p w14:paraId="360C1459">
      <w:pPr>
        <w:pStyle w:val="11"/>
        <w:tabs>
          <w:tab w:val="left" w:pos="1370"/>
          <w:tab w:val="left" w:pos="2001"/>
          <w:tab w:val="left" w:pos="2630"/>
        </w:tabs>
        <w:kinsoku w:val="0"/>
        <w:overflowPunct w:val="0"/>
        <w:rPr>
          <w:color w:val="000000"/>
        </w:rPr>
        <w:sectPr>
          <w:pgSz w:w="11906" w:h="16840"/>
          <w:pgMar w:top="1040" w:right="800" w:bottom="980" w:left="1080" w:header="858" w:footer="791" w:gutter="0"/>
          <w:lnNumType w:countBy="0" w:distance="360"/>
          <w:cols w:space="720" w:num="1"/>
        </w:sectPr>
      </w:pPr>
    </w:p>
    <w:p w14:paraId="3C50B2A0">
      <w:pPr>
        <w:pStyle w:val="42"/>
        <w:numPr>
          <w:ilvl w:val="0"/>
          <w:numId w:val="67"/>
        </w:numPr>
        <w:topLinePunct w:val="0"/>
        <w:ind w:left="0" w:leftChars="0" w:firstLine="0" w:firstLineChars="0"/>
        <w:outlineLvl w:val="0"/>
        <w:rPr>
          <w:b w:val="0"/>
        </w:rPr>
      </w:pPr>
      <w:bookmarkStart w:id="90" w:name="_Toc19875"/>
      <w:bookmarkStart w:id="91" w:name="_Toc27135"/>
      <w:r>
        <w:t>已标价工程量清单</w:t>
      </w:r>
      <w:bookmarkEnd w:id="90"/>
      <w:bookmarkEnd w:id="91"/>
    </w:p>
    <w:p w14:paraId="3CA05AA8">
      <w:pPr>
        <w:kinsoku w:val="0"/>
        <w:overflowPunct w:val="0"/>
        <w:spacing w:before="5" w:line="180" w:lineRule="exact"/>
        <w:rPr>
          <w:color w:val="000000"/>
          <w:sz w:val="18"/>
        </w:rPr>
      </w:pPr>
    </w:p>
    <w:p w14:paraId="06155942">
      <w:pPr>
        <w:kinsoku w:val="0"/>
        <w:overflowPunct w:val="0"/>
        <w:spacing w:line="200" w:lineRule="exact"/>
        <w:rPr>
          <w:color w:val="000000"/>
          <w:sz w:val="20"/>
        </w:rPr>
      </w:pPr>
    </w:p>
    <w:p w14:paraId="7DE55445">
      <w:pPr>
        <w:kinsoku w:val="0"/>
        <w:overflowPunct w:val="0"/>
        <w:spacing w:line="200" w:lineRule="exact"/>
        <w:rPr>
          <w:color w:val="000000"/>
          <w:sz w:val="20"/>
        </w:rPr>
      </w:pPr>
    </w:p>
    <w:p w14:paraId="14118E40">
      <w:pPr>
        <w:pStyle w:val="11"/>
        <w:rPr>
          <w:color w:val="000000"/>
        </w:rPr>
      </w:pPr>
      <w:r>
        <w:rPr>
          <w:color w:val="000000"/>
          <w:u w:val="single"/>
        </w:rPr>
        <w:t>（如投标人在二次报价时，总报价不做改变，则无需再次提供二次报价已标价工程量清单）</w:t>
      </w:r>
    </w:p>
    <w:p w14:paraId="1993EF0B">
      <w:pPr>
        <w:pStyle w:val="11"/>
        <w:kinsoku w:val="0"/>
        <w:overflowPunct w:val="0"/>
        <w:ind w:left="217"/>
        <w:jc w:val="center"/>
        <w:rPr>
          <w:color w:val="000000"/>
        </w:rPr>
        <w:sectPr>
          <w:footerReference r:id="rId9" w:type="default"/>
          <w:pgSz w:w="11906" w:h="16840"/>
          <w:pgMar w:top="1040" w:right="980" w:bottom="980" w:left="1080" w:header="858" w:footer="791" w:gutter="0"/>
          <w:lnNumType w:countBy="0" w:distance="360"/>
          <w:cols w:space="720" w:num="1"/>
        </w:sectPr>
      </w:pPr>
    </w:p>
    <w:p w14:paraId="3335E82B">
      <w:pPr>
        <w:pStyle w:val="40"/>
        <w:outlineLvl w:val="0"/>
      </w:pPr>
      <w:r>
        <w:t>附件：中小企业声明函</w:t>
      </w:r>
    </w:p>
    <w:p w14:paraId="5A0AF996">
      <w:pPr>
        <w:spacing w:line="360" w:lineRule="auto"/>
        <w:rPr>
          <w:rFonts w:hint="eastAsia" w:ascii="宋体" w:hAnsi="宋体"/>
          <w:color w:val="000000"/>
        </w:rPr>
      </w:pPr>
    </w:p>
    <w:p w14:paraId="0AED1C8E">
      <w:pPr>
        <w:pStyle w:val="42"/>
        <w:widowControl/>
        <w:numPr>
          <w:ilvl w:val="0"/>
          <w:numId w:val="69"/>
        </w:numPr>
        <w:ind w:left="0" w:leftChars="0" w:firstLine="480" w:firstLineChars="0"/>
        <w:outlineLvl w:val="0"/>
      </w:pPr>
      <w:r>
        <w:t>中小企业声明函（工程格式）</w:t>
      </w:r>
    </w:p>
    <w:p w14:paraId="48F9C9E8">
      <w:pPr>
        <w:widowControl/>
        <w:spacing w:line="360" w:lineRule="auto"/>
        <w:ind w:firstLine="480" w:firstLineChars="200"/>
        <w:jc w:val="left"/>
        <w:rPr>
          <w:rFonts w:hint="eastAsia" w:ascii="宋体" w:hAnsi="宋体" w:cs="宋体"/>
          <w:color w:val="000000"/>
          <w:kern w:val="0"/>
          <w:sz w:val="24"/>
          <w:lang w:bidi="ar"/>
        </w:rPr>
      </w:pPr>
    </w:p>
    <w:p w14:paraId="501202D3">
      <w:pPr>
        <w:pStyle w:val="11"/>
        <w:widowControl/>
        <w:rPr>
          <w:color w:val="000000"/>
        </w:rPr>
      </w:pPr>
      <w:r>
        <w:rPr>
          <w:color w:val="000000"/>
        </w:rPr>
        <w:t>本公司（联合体）郑重声明，根据《政府采购促进中小企业发展管理办法》（财库﹝2020﹞46 号）的规定，本公司参加</w:t>
      </w:r>
      <w:r>
        <w:rPr>
          <w:color w:val="000000"/>
          <w:u w:val="single"/>
        </w:rPr>
        <w:t>（单位名称）</w:t>
      </w:r>
      <w:r>
        <w:rPr>
          <w:color w:val="000000"/>
        </w:rPr>
        <w:t>的</w:t>
      </w:r>
      <w:r>
        <w:rPr>
          <w:color w:val="000000"/>
          <w:u w:val="single"/>
        </w:rPr>
        <w:t>（项目名称）</w:t>
      </w:r>
      <w:r>
        <w:rPr>
          <w:color w:val="000000"/>
        </w:rPr>
        <w:t>采购活动，工程的施工单位全部为符合政策要求的中小企业（或者：服务全部由符合政策要求的中小企业承接）。相关企业（含联合体中的中小企业、签订分包意向协议的中小企业）的具体情况如下：</w:t>
      </w:r>
    </w:p>
    <w:p w14:paraId="4AFE3ED4">
      <w:pPr>
        <w:pStyle w:val="11"/>
        <w:widowControl/>
        <w:rPr>
          <w:color w:val="000000"/>
        </w:rPr>
      </w:pPr>
      <w:r>
        <w:rPr>
          <w:color w:val="000000"/>
        </w:rPr>
        <w:t xml:space="preserve">1. </w:t>
      </w:r>
      <w:r>
        <w:rPr>
          <w:color w:val="000000"/>
          <w:u w:val="single"/>
        </w:rPr>
        <w:t>（标的名称）</w:t>
      </w:r>
      <w:r>
        <w:rPr>
          <w:i/>
          <w:color w:val="000000"/>
        </w:rPr>
        <w:t xml:space="preserve"> </w:t>
      </w:r>
      <w:r>
        <w:rPr>
          <w:color w:val="000000"/>
        </w:rPr>
        <w:t>，属于（</w:t>
      </w:r>
      <w:r>
        <w:rPr>
          <w:color w:val="000000"/>
          <w:u w:val="single"/>
        </w:rPr>
        <w:t>土木工程建筑所属行业）</w:t>
      </w:r>
      <w:r>
        <w:rPr>
          <w:color w:val="000000"/>
        </w:rPr>
        <w:t>； 承建（承接）企业为</w:t>
      </w:r>
      <w:r>
        <w:rPr>
          <w:color w:val="000000"/>
          <w:u w:val="single"/>
        </w:rPr>
        <w:t>（企业名称）</w:t>
      </w:r>
      <w:r>
        <w:rPr>
          <w:color w:val="000000"/>
        </w:rPr>
        <w:t>，从业人员</w:t>
      </w:r>
      <w:r>
        <w:rPr>
          <w:color w:val="000000"/>
          <w:u w:val="single"/>
        </w:rPr>
        <w:t xml:space="preserve">     </w:t>
      </w:r>
      <w:r>
        <w:rPr>
          <w:color w:val="000000"/>
        </w:rPr>
        <w:t>人，营业收入为</w:t>
      </w:r>
      <w:r>
        <w:rPr>
          <w:color w:val="000000"/>
          <w:u w:val="single"/>
        </w:rPr>
        <w:t xml:space="preserve">      </w:t>
      </w:r>
      <w:r>
        <w:rPr>
          <w:color w:val="000000"/>
        </w:rPr>
        <w:t>万元，资产总额为</w:t>
      </w:r>
      <w:r>
        <w:rPr>
          <w:color w:val="000000"/>
          <w:u w:val="single"/>
        </w:rPr>
        <w:t xml:space="preserve">      </w:t>
      </w:r>
      <w:r>
        <w:rPr>
          <w:color w:val="000000"/>
        </w:rPr>
        <w:t>万元，属于</w:t>
      </w:r>
      <w:r>
        <w:rPr>
          <w:color w:val="000000"/>
          <w:u w:val="single"/>
        </w:rPr>
        <w:t>（中型企业、 小型企业、微型企业）</w:t>
      </w:r>
      <w:r>
        <w:rPr>
          <w:color w:val="000000"/>
        </w:rPr>
        <w:t xml:space="preserve">； </w:t>
      </w:r>
    </w:p>
    <w:p w14:paraId="7C2DAD12">
      <w:pPr>
        <w:pStyle w:val="11"/>
        <w:widowControl/>
        <w:rPr>
          <w:color w:val="000000"/>
        </w:rPr>
      </w:pPr>
      <w:r>
        <w:rPr>
          <w:color w:val="000000"/>
        </w:rPr>
        <w:t xml:space="preserve">2. </w:t>
      </w:r>
      <w:r>
        <w:rPr>
          <w:color w:val="000000"/>
          <w:u w:val="single"/>
        </w:rPr>
        <w:t xml:space="preserve">（标的名称） </w:t>
      </w:r>
      <w:r>
        <w:rPr>
          <w:color w:val="000000"/>
        </w:rPr>
        <w:t>，属于</w:t>
      </w:r>
      <w:r>
        <w:rPr>
          <w:u w:val="single"/>
        </w:rPr>
        <w:t>（</w:t>
      </w:r>
      <w:r>
        <w:rPr>
          <w:color w:val="000000"/>
          <w:u w:val="single"/>
        </w:rPr>
        <w:t>土木工程建筑所属行业）</w:t>
      </w:r>
      <w:r>
        <w:rPr>
          <w:color w:val="000000"/>
        </w:rPr>
        <w:t>； 承建（承接）企业为</w:t>
      </w:r>
      <w:r>
        <w:rPr>
          <w:color w:val="000000"/>
          <w:u w:val="single"/>
        </w:rPr>
        <w:t>（企业名称）</w:t>
      </w:r>
      <w:r>
        <w:rPr>
          <w:color w:val="000000"/>
        </w:rPr>
        <w:t>，从业人员</w:t>
      </w:r>
      <w:r>
        <w:rPr>
          <w:color w:val="000000"/>
          <w:u w:val="single"/>
        </w:rPr>
        <w:t xml:space="preserve">      </w:t>
      </w:r>
      <w:r>
        <w:rPr>
          <w:color w:val="000000"/>
        </w:rPr>
        <w:t>人，营业收入为</w:t>
      </w:r>
      <w:r>
        <w:rPr>
          <w:color w:val="000000"/>
          <w:u w:val="single"/>
        </w:rPr>
        <w:t xml:space="preserve">      </w:t>
      </w:r>
      <w:r>
        <w:rPr>
          <w:color w:val="000000"/>
        </w:rPr>
        <w:t>万元，资产总额为</w:t>
      </w:r>
      <w:r>
        <w:rPr>
          <w:color w:val="000000"/>
          <w:u w:val="single"/>
        </w:rPr>
        <w:t xml:space="preserve">     </w:t>
      </w:r>
      <w:r>
        <w:rPr>
          <w:color w:val="000000"/>
        </w:rPr>
        <w:t>万元，属于</w:t>
      </w:r>
      <w:r>
        <w:rPr>
          <w:color w:val="000000"/>
          <w:u w:val="single"/>
        </w:rPr>
        <w:t>（中型企业、 小型企业、微型企业）</w:t>
      </w:r>
      <w:r>
        <w:rPr>
          <w:color w:val="000000"/>
        </w:rPr>
        <w:t xml:space="preserve">； </w:t>
      </w:r>
    </w:p>
    <w:p w14:paraId="3FD7C22C">
      <w:pPr>
        <w:pStyle w:val="11"/>
        <w:widowControl/>
        <w:rPr>
          <w:color w:val="000000"/>
        </w:rPr>
      </w:pPr>
      <w:r>
        <w:rPr>
          <w:color w:val="000000"/>
        </w:rPr>
        <w:t>……</w:t>
      </w:r>
    </w:p>
    <w:p w14:paraId="6CFABEB9">
      <w:pPr>
        <w:pStyle w:val="11"/>
        <w:widowControl/>
        <w:rPr>
          <w:color w:val="000000"/>
        </w:rPr>
      </w:pPr>
      <w:r>
        <w:rPr>
          <w:color w:val="000000"/>
        </w:rPr>
        <w:t>以上企业，不属于大企业的分支机构，不存在控股股东为大企业的情形，也不存在与大企业的负责人为同一人的情 形。</w:t>
      </w:r>
    </w:p>
    <w:p w14:paraId="34C4D90B">
      <w:pPr>
        <w:pStyle w:val="11"/>
        <w:widowControl/>
        <w:rPr>
          <w:color w:val="000000"/>
        </w:rPr>
      </w:pPr>
      <w:r>
        <w:rPr>
          <w:color w:val="000000"/>
        </w:rPr>
        <w:t xml:space="preserve">本企业对上述声明内容的真实性负责。如有虚假，将依 法承担相应责任。 </w:t>
      </w:r>
    </w:p>
    <w:p w14:paraId="0235655F">
      <w:pPr>
        <w:widowControl/>
        <w:jc w:val="center"/>
        <w:rPr>
          <w:rFonts w:hint="eastAsia" w:ascii="宋体" w:hAnsi="宋体" w:cs="宋体"/>
          <w:color w:val="000000"/>
          <w:kern w:val="0"/>
          <w:sz w:val="24"/>
          <w:lang w:bidi="ar"/>
        </w:rPr>
      </w:pPr>
      <w:r>
        <w:rPr>
          <w:rFonts w:hint="eastAsia" w:ascii="宋体" w:hAnsi="宋体" w:cs="宋体"/>
          <w:color w:val="000000"/>
          <w:kern w:val="0"/>
          <w:sz w:val="24"/>
          <w:lang w:bidi="ar"/>
        </w:rPr>
        <w:t xml:space="preserve">       </w:t>
      </w:r>
    </w:p>
    <w:p w14:paraId="2BC71042">
      <w:pPr>
        <w:widowControl/>
        <w:jc w:val="center"/>
        <w:rPr>
          <w:rFonts w:ascii="Times New Roman" w:hAnsi="Times New Roman" w:eastAsia="宋体" w:cs="Times New Roman"/>
          <w:color w:val="000000"/>
          <w:sz w:val="24"/>
          <w:u w:val="single"/>
        </w:rPr>
      </w:pPr>
      <w:r>
        <w:rPr>
          <w:rFonts w:hint="eastAsia" w:ascii="Times New Roman" w:hAnsi="Times New Roman" w:eastAsia="宋体" w:cs="Times New Roman"/>
          <w:color w:val="000000"/>
          <w:kern w:val="0"/>
          <w:sz w:val="24"/>
          <w:lang w:bidi="ar"/>
        </w:rPr>
        <w:t xml:space="preserve">           企业名称（盖章）：</w:t>
      </w:r>
      <w:r>
        <w:rPr>
          <w:rFonts w:hint="eastAsia" w:ascii="Times New Roman" w:hAnsi="Times New Roman" w:eastAsia="宋体" w:cs="Times New Roman"/>
          <w:color w:val="000000"/>
          <w:kern w:val="0"/>
          <w:sz w:val="24"/>
          <w:u w:val="single"/>
          <w:lang w:bidi="ar"/>
        </w:rPr>
        <w:t xml:space="preserve">                  </w:t>
      </w:r>
    </w:p>
    <w:p w14:paraId="7604B179">
      <w:pPr>
        <w:widowControl/>
        <w:ind w:firstLine="5520" w:firstLineChars="2300"/>
        <w:jc w:val="left"/>
        <w:rPr>
          <w:rFonts w:ascii="Times New Roman" w:hAnsi="Times New Roman" w:eastAsia="宋体" w:cs="Times New Roman"/>
          <w:color w:val="000000"/>
          <w:sz w:val="24"/>
          <w:u w:val="single"/>
        </w:rPr>
      </w:pPr>
      <w:r>
        <w:rPr>
          <w:rFonts w:hint="eastAsia" w:ascii="Times New Roman" w:hAnsi="Times New Roman" w:eastAsia="宋体" w:cs="Times New Roman"/>
          <w:color w:val="000000"/>
          <w:kern w:val="0"/>
          <w:sz w:val="24"/>
          <w:lang w:bidi="ar"/>
        </w:rPr>
        <w:t>日 期：</w:t>
      </w:r>
      <w:r>
        <w:rPr>
          <w:rFonts w:hint="eastAsia" w:ascii="Times New Roman" w:hAnsi="Times New Roman" w:eastAsia="宋体" w:cs="Times New Roman"/>
          <w:color w:val="000000"/>
          <w:kern w:val="0"/>
          <w:sz w:val="24"/>
          <w:u w:val="single"/>
          <w:lang w:bidi="ar"/>
        </w:rPr>
        <w:t xml:space="preserve">                  </w:t>
      </w:r>
    </w:p>
    <w:p w14:paraId="2B9B7138">
      <w:pPr>
        <w:pStyle w:val="34"/>
        <w:rPr>
          <w:rFonts w:hint="eastAsia"/>
          <w:color w:val="000000"/>
        </w:rPr>
      </w:pPr>
    </w:p>
    <w:p w14:paraId="622204F9">
      <w:pPr>
        <w:pStyle w:val="11"/>
        <w:rPr>
          <w:color w:val="000000"/>
        </w:rPr>
      </w:pPr>
      <w:r>
        <w:rPr>
          <w:color w:val="000000"/>
        </w:rPr>
        <w:t>注：请根据自己的真实情况出具《中小企业声明函》。依法享受中小企业优惠政策的，采购人或采购代理机构在公告成交结果时，同时公告其《中小企业声明函》，接受社会监督。</w:t>
      </w:r>
    </w:p>
    <w:p w14:paraId="4E33D060">
      <w:pPr>
        <w:spacing w:line="360" w:lineRule="auto"/>
        <w:rPr>
          <w:rFonts w:hint="eastAsia" w:ascii="宋体" w:hAnsi="宋体"/>
          <w:b/>
          <w:color w:val="000000"/>
          <w:sz w:val="24"/>
        </w:rPr>
      </w:pPr>
    </w:p>
    <w:p w14:paraId="6AAB6580">
      <w:pPr>
        <w:spacing w:line="360" w:lineRule="auto"/>
        <w:rPr>
          <w:rFonts w:hint="eastAsia" w:ascii="宋体" w:hAnsi="宋体"/>
          <w:b/>
          <w:color w:val="000000"/>
          <w:sz w:val="24"/>
        </w:rPr>
      </w:pPr>
    </w:p>
    <w:p w14:paraId="6A7BEAAA">
      <w:pPr>
        <w:spacing w:line="360" w:lineRule="auto"/>
        <w:rPr>
          <w:rFonts w:hint="eastAsia" w:ascii="宋体" w:hAnsi="宋体"/>
          <w:b/>
          <w:color w:val="000000"/>
          <w:sz w:val="24"/>
        </w:rPr>
      </w:pPr>
    </w:p>
    <w:p w14:paraId="6FC88AF1">
      <w:pPr>
        <w:spacing w:line="360" w:lineRule="auto"/>
        <w:rPr>
          <w:rFonts w:hint="eastAsia" w:ascii="宋体" w:hAnsi="宋体"/>
          <w:b/>
          <w:color w:val="000000"/>
          <w:sz w:val="24"/>
        </w:rPr>
      </w:pPr>
    </w:p>
    <w:p w14:paraId="5D4C86FC">
      <w:pPr>
        <w:spacing w:line="360" w:lineRule="auto"/>
        <w:rPr>
          <w:rFonts w:hint="eastAsia" w:ascii="宋体" w:hAnsi="宋体"/>
          <w:b/>
          <w:color w:val="000000"/>
          <w:sz w:val="24"/>
        </w:rPr>
      </w:pPr>
    </w:p>
    <w:p w14:paraId="30657548">
      <w:pPr>
        <w:spacing w:line="360" w:lineRule="auto"/>
        <w:rPr>
          <w:rFonts w:hint="eastAsia" w:ascii="宋体" w:hAnsi="宋体"/>
          <w:b/>
          <w:color w:val="000000"/>
          <w:sz w:val="24"/>
        </w:rPr>
      </w:pPr>
    </w:p>
    <w:p w14:paraId="53F8B61D">
      <w:pPr>
        <w:pStyle w:val="40"/>
        <w:outlineLvl w:val="0"/>
      </w:pPr>
      <w:r>
        <w:t>附件：残疾人福利性单位声明函</w:t>
      </w:r>
    </w:p>
    <w:p w14:paraId="7F7266FF">
      <w:pPr>
        <w:spacing w:line="360" w:lineRule="auto"/>
        <w:jc w:val="center"/>
        <w:rPr>
          <w:rFonts w:hint="eastAsia" w:ascii="宋体" w:hAnsi="宋体" w:eastAsia="仿宋_GB2312"/>
          <w:b/>
          <w:color w:val="000000"/>
          <w:spacing w:val="6"/>
          <w:sz w:val="24"/>
        </w:rPr>
      </w:pPr>
    </w:p>
    <w:p w14:paraId="3A83C689">
      <w:pPr>
        <w:spacing w:line="360" w:lineRule="auto"/>
        <w:rPr>
          <w:rFonts w:hint="eastAsia" w:ascii="宋体" w:hAnsi="宋体" w:eastAsia="仿宋_GB2312"/>
          <w:b/>
          <w:color w:val="000000"/>
          <w:spacing w:val="6"/>
          <w:sz w:val="24"/>
        </w:rPr>
      </w:pPr>
    </w:p>
    <w:p w14:paraId="53ED73C6">
      <w:pPr>
        <w:spacing w:line="360" w:lineRule="auto"/>
        <w:jc w:val="center"/>
        <w:rPr>
          <w:rFonts w:hint="eastAsia" w:ascii="宋体" w:hAnsi="宋体" w:eastAsia="仿宋_GB2312"/>
          <w:b/>
          <w:color w:val="000000"/>
          <w:spacing w:val="6"/>
          <w:sz w:val="24"/>
        </w:rPr>
      </w:pPr>
    </w:p>
    <w:p w14:paraId="1433CF47">
      <w:pPr>
        <w:spacing w:line="360" w:lineRule="auto"/>
        <w:jc w:val="center"/>
        <w:rPr>
          <w:rFonts w:hint="eastAsia" w:ascii="宋体" w:hAnsi="宋体" w:eastAsia="仿宋_GB2312"/>
          <w:b/>
          <w:color w:val="000000"/>
          <w:spacing w:val="6"/>
          <w:sz w:val="24"/>
        </w:rPr>
      </w:pPr>
    </w:p>
    <w:p w14:paraId="60370C23">
      <w:pPr>
        <w:pStyle w:val="44"/>
      </w:pPr>
      <w:r>
        <w:t>残疾人福利性单位声明函</w:t>
      </w:r>
    </w:p>
    <w:p w14:paraId="06BB63DB">
      <w:pPr>
        <w:spacing w:line="360" w:lineRule="auto"/>
        <w:rPr>
          <w:rFonts w:hint="eastAsia" w:ascii="宋体" w:hAnsi="宋体" w:cs="宋体"/>
          <w:b/>
          <w:color w:val="000000"/>
          <w:spacing w:val="6"/>
          <w:sz w:val="24"/>
        </w:rPr>
      </w:pPr>
    </w:p>
    <w:p w14:paraId="2DBD8C32">
      <w:pPr>
        <w:pStyle w:val="11"/>
        <w:rPr>
          <w:color w:val="000000"/>
        </w:rPr>
      </w:pPr>
      <w:r>
        <w:rPr>
          <w:color w:val="000000"/>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0A520817">
      <w:pPr>
        <w:pStyle w:val="11"/>
        <w:rPr>
          <w:color w:val="000000"/>
        </w:rPr>
      </w:pPr>
      <w:r>
        <w:rPr>
          <w:color w:val="000000"/>
        </w:rPr>
        <w:t>本单位对上述声明的真实性负责。如有虚假，将依法承担相应责任。</w:t>
      </w:r>
    </w:p>
    <w:p w14:paraId="69A69CBC">
      <w:pPr>
        <w:spacing w:line="360" w:lineRule="auto"/>
        <w:ind w:firstLine="504" w:firstLineChars="200"/>
        <w:rPr>
          <w:rFonts w:hint="eastAsia" w:ascii="宋体" w:hAnsi="宋体" w:cs="宋体"/>
          <w:color w:val="000000"/>
          <w:spacing w:val="6"/>
          <w:sz w:val="24"/>
        </w:rPr>
      </w:pPr>
    </w:p>
    <w:p w14:paraId="036C8C7F">
      <w:pPr>
        <w:spacing w:line="360" w:lineRule="auto"/>
        <w:ind w:firstLine="504" w:firstLineChars="200"/>
        <w:rPr>
          <w:rFonts w:hint="eastAsia" w:ascii="宋体" w:hAnsi="宋体" w:cs="宋体"/>
          <w:color w:val="000000"/>
          <w:spacing w:val="6"/>
          <w:sz w:val="24"/>
        </w:rPr>
      </w:pPr>
    </w:p>
    <w:p w14:paraId="1B50C87C">
      <w:pPr>
        <w:tabs>
          <w:tab w:val="left" w:pos="4860"/>
        </w:tabs>
        <w:spacing w:line="360" w:lineRule="auto"/>
        <w:ind w:right="1560" w:firstLine="504" w:firstLineChars="200"/>
        <w:jc w:val="center"/>
        <w:rPr>
          <w:rFonts w:hint="eastAsia" w:ascii="Times New Roman" w:hAnsi="Times New Roman" w:eastAsia="宋体" w:cs="Times New Roman"/>
          <w:color w:val="000000"/>
          <w:spacing w:val="6"/>
          <w:sz w:val="24"/>
        </w:rPr>
      </w:pPr>
      <w:r>
        <w:rPr>
          <w:rFonts w:hint="eastAsia" w:ascii="Times New Roman" w:hAnsi="Times New Roman" w:eastAsia="宋体" w:cs="Times New Roman"/>
          <w:color w:val="000000"/>
          <w:spacing w:val="6"/>
          <w:sz w:val="24"/>
        </w:rPr>
        <w:t>单位名称（盖章）：</w:t>
      </w:r>
    </w:p>
    <w:p w14:paraId="3C7C97FB">
      <w:pPr>
        <w:tabs>
          <w:tab w:val="left" w:pos="4860"/>
        </w:tabs>
        <w:spacing w:line="360" w:lineRule="auto"/>
        <w:ind w:right="1560" w:firstLine="504" w:firstLineChars="200"/>
        <w:jc w:val="center"/>
        <w:rPr>
          <w:rFonts w:hint="eastAsia" w:ascii="Times New Roman" w:hAnsi="Times New Roman" w:eastAsia="宋体" w:cs="Times New Roman"/>
          <w:color w:val="000000"/>
          <w:spacing w:val="6"/>
          <w:sz w:val="24"/>
        </w:rPr>
      </w:pPr>
      <w:r>
        <w:rPr>
          <w:rFonts w:hint="eastAsia" w:ascii="Times New Roman" w:hAnsi="Times New Roman" w:eastAsia="宋体" w:cs="Times New Roman"/>
          <w:color w:val="000000"/>
          <w:spacing w:val="6"/>
          <w:sz w:val="24"/>
        </w:rPr>
        <w:t>日  期：</w:t>
      </w:r>
    </w:p>
    <w:p w14:paraId="4F65958E">
      <w:pPr>
        <w:spacing w:line="360" w:lineRule="auto"/>
        <w:rPr>
          <w:rFonts w:ascii="宋体" w:hAnsi="宋体"/>
          <w:color w:val="000000"/>
          <w:sz w:val="28"/>
          <w:szCs w:val="28"/>
        </w:rPr>
      </w:pPr>
    </w:p>
    <w:p w14:paraId="359C95AD">
      <w:pPr>
        <w:spacing w:line="360" w:lineRule="auto"/>
        <w:rPr>
          <w:rFonts w:hint="eastAsia" w:ascii="宋体" w:hAnsi="宋体"/>
          <w:b/>
          <w:color w:val="000000"/>
          <w:szCs w:val="21"/>
        </w:rPr>
      </w:pPr>
    </w:p>
    <w:p w14:paraId="1408E20B">
      <w:pPr>
        <w:autoSpaceDE w:val="0"/>
        <w:autoSpaceDN w:val="0"/>
        <w:spacing w:line="360" w:lineRule="auto"/>
        <w:ind w:left="480" w:hanging="480"/>
        <w:rPr>
          <w:rFonts w:hint="eastAsia" w:ascii="宋体" w:hAnsi="宋体"/>
          <w:color w:val="000000"/>
          <w:szCs w:val="21"/>
        </w:rPr>
      </w:pPr>
    </w:p>
    <w:p w14:paraId="143356E9">
      <w:pPr>
        <w:pStyle w:val="11"/>
        <w:rPr>
          <w:color w:val="000000"/>
        </w:rPr>
      </w:pPr>
      <w:r>
        <w:rPr>
          <w:color w:val="000000"/>
        </w:rPr>
        <w:t>注：请根据自己的真实情况出具《残疾人福利性单位声明函》。依法享受中小企业优惠政策的，采购人或采购代理机构在公告中标结果时，同时公告其《残疾人福利性单位声明函》，接受社会监督。</w:t>
      </w:r>
    </w:p>
    <w:p w14:paraId="53DA2CCC">
      <w:pPr>
        <w:autoSpaceDE w:val="0"/>
        <w:autoSpaceDN w:val="0"/>
        <w:spacing w:line="360" w:lineRule="auto"/>
        <w:ind w:left="480" w:hanging="480"/>
        <w:rPr>
          <w:rFonts w:hint="eastAsia" w:ascii="宋体" w:hAnsi="宋体"/>
          <w:color w:val="000000"/>
          <w:szCs w:val="21"/>
        </w:rPr>
      </w:pPr>
      <w:r>
        <w:rPr>
          <w:rFonts w:ascii="宋体" w:hAnsi="宋体"/>
          <w:color w:val="000000"/>
          <w:szCs w:val="21"/>
        </w:rPr>
        <w:br w:type="page"/>
      </w:r>
    </w:p>
    <w:p w14:paraId="77CD5359">
      <w:pPr>
        <w:autoSpaceDE w:val="0"/>
        <w:autoSpaceDN w:val="0"/>
        <w:spacing w:line="360" w:lineRule="auto"/>
        <w:ind w:left="480" w:hanging="480"/>
        <w:rPr>
          <w:rFonts w:hint="eastAsia" w:ascii="宋体" w:hAnsi="宋体"/>
          <w:color w:val="000000"/>
          <w:szCs w:val="21"/>
        </w:rPr>
      </w:pPr>
    </w:p>
    <w:p w14:paraId="029E36CB">
      <w:pPr>
        <w:autoSpaceDE w:val="0"/>
        <w:autoSpaceDN w:val="0"/>
        <w:spacing w:line="360" w:lineRule="auto"/>
        <w:ind w:left="480" w:hanging="480"/>
        <w:rPr>
          <w:rFonts w:hint="eastAsia" w:ascii="宋体" w:hAnsi="宋体"/>
          <w:color w:val="000000"/>
          <w:szCs w:val="21"/>
        </w:rPr>
      </w:pPr>
    </w:p>
    <w:p w14:paraId="196EFFCF">
      <w:pPr>
        <w:autoSpaceDE w:val="0"/>
        <w:autoSpaceDN w:val="0"/>
        <w:spacing w:line="360" w:lineRule="auto"/>
        <w:ind w:left="480" w:hanging="480"/>
        <w:rPr>
          <w:rFonts w:hint="eastAsia" w:ascii="宋体" w:hAnsi="宋体"/>
          <w:color w:val="000000"/>
          <w:szCs w:val="21"/>
        </w:rPr>
      </w:pPr>
    </w:p>
    <w:p w14:paraId="6258FACE">
      <w:pPr>
        <w:autoSpaceDE w:val="0"/>
        <w:autoSpaceDN w:val="0"/>
        <w:spacing w:line="360" w:lineRule="auto"/>
        <w:ind w:left="480" w:hanging="480"/>
        <w:rPr>
          <w:rFonts w:hint="eastAsia" w:ascii="宋体" w:hAnsi="宋体"/>
          <w:color w:val="000000"/>
          <w:szCs w:val="21"/>
        </w:rPr>
      </w:pPr>
    </w:p>
    <w:p w14:paraId="425AE9FD">
      <w:pPr>
        <w:autoSpaceDE w:val="0"/>
        <w:autoSpaceDN w:val="0"/>
        <w:spacing w:line="360" w:lineRule="auto"/>
        <w:ind w:left="480" w:hanging="480"/>
        <w:rPr>
          <w:rFonts w:hint="eastAsia" w:ascii="宋体" w:hAnsi="宋体"/>
          <w:color w:val="000000"/>
          <w:szCs w:val="21"/>
        </w:rPr>
      </w:pPr>
    </w:p>
    <w:p w14:paraId="2A539D30">
      <w:pPr>
        <w:autoSpaceDE w:val="0"/>
        <w:autoSpaceDN w:val="0"/>
        <w:spacing w:line="360" w:lineRule="auto"/>
        <w:ind w:left="480" w:hanging="480"/>
        <w:rPr>
          <w:rFonts w:hint="eastAsia" w:ascii="宋体" w:hAnsi="宋体"/>
          <w:color w:val="000000"/>
          <w:szCs w:val="21"/>
        </w:rPr>
      </w:pPr>
    </w:p>
    <w:p w14:paraId="0ABE12BC">
      <w:pPr>
        <w:pStyle w:val="42"/>
        <w:outlineLvl w:val="0"/>
      </w:pPr>
      <w:bookmarkStart w:id="92" w:name="_Toc29765"/>
      <w:bookmarkStart w:id="93" w:name="_Toc6413138"/>
      <w:r>
        <w:t>第八章  合同条款及格式</w:t>
      </w:r>
      <w:bookmarkEnd w:id="92"/>
      <w:bookmarkEnd w:id="93"/>
    </w:p>
    <w:p w14:paraId="000233B8">
      <w:pPr>
        <w:jc w:val="left"/>
        <w:rPr>
          <w:rFonts w:ascii="宋体" w:hAnsi="宋体" w:cs="Courier New"/>
          <w:b/>
          <w:color w:val="000000"/>
        </w:rPr>
      </w:pPr>
      <w:r>
        <w:rPr>
          <w:rFonts w:ascii="宋体" w:hAnsi="宋体" w:cs="Courier New"/>
          <w:b/>
          <w:color w:val="000000"/>
        </w:rPr>
        <w:br w:type="page"/>
      </w:r>
    </w:p>
    <w:p w14:paraId="5A726F76">
      <w:pPr>
        <w:ind w:left="1400" w:hanging="1400" w:hangingChars="500"/>
        <w:jc w:val="right"/>
        <w:rPr>
          <w:rFonts w:hint="eastAsia" w:ascii="宋体" w:hAnsi="宋体" w:eastAsia="黑体" w:cs="宋体"/>
          <w:b/>
          <w:sz w:val="28"/>
          <w:szCs w:val="28"/>
        </w:rPr>
      </w:pPr>
      <w:r>
        <w:rPr>
          <w:rFonts w:hint="eastAsia" w:ascii="黑体" w:hAnsi="宋体" w:eastAsia="黑体"/>
          <w:bCs/>
          <w:sz w:val="28"/>
          <w:szCs w:val="21"/>
        </w:rPr>
        <w:t>合同编号：</w:t>
      </w:r>
      <w:r>
        <w:rPr>
          <w:rFonts w:hint="eastAsia" w:ascii="宋体" w:hAnsi="宋体" w:eastAsia="黑体" w:cs="宋体"/>
          <w:b/>
          <w:sz w:val="28"/>
          <w:szCs w:val="28"/>
        </w:rPr>
        <w:t xml:space="preserve"> </w:t>
      </w:r>
    </w:p>
    <w:p w14:paraId="61865B9E">
      <w:pPr>
        <w:ind w:left="3112" w:hanging="3112" w:hangingChars="500"/>
        <w:jc w:val="center"/>
        <w:rPr>
          <w:b/>
          <w:bCs/>
          <w:sz w:val="62"/>
        </w:rPr>
      </w:pPr>
    </w:p>
    <w:p w14:paraId="67C37DF1">
      <w:pPr>
        <w:ind w:left="2"/>
        <w:jc w:val="center"/>
        <w:rPr>
          <w:rFonts w:eastAsia="黑体"/>
          <w:b/>
          <w:bCs/>
          <w:sz w:val="48"/>
          <w:szCs w:val="48"/>
        </w:rPr>
      </w:pPr>
      <w:r>
        <w:rPr>
          <w:rFonts w:eastAsia="黑体"/>
          <w:b/>
          <w:bCs/>
          <w:sz w:val="48"/>
          <w:szCs w:val="48"/>
        </w:rPr>
        <w:t xml:space="preserve">     </w:t>
      </w:r>
    </w:p>
    <w:p w14:paraId="181EAE1F">
      <w:pPr>
        <w:ind w:left="2"/>
        <w:jc w:val="center"/>
        <w:rPr>
          <w:rFonts w:ascii="黑体" w:hAnsi="黑体" w:eastAsia="黑体"/>
          <w:b/>
          <w:bCs/>
          <w:spacing w:val="40"/>
          <w:sz w:val="84"/>
          <w:szCs w:val="84"/>
        </w:rPr>
      </w:pPr>
    </w:p>
    <w:p w14:paraId="3153ECBF">
      <w:pPr>
        <w:ind w:left="2"/>
        <w:jc w:val="center"/>
        <w:rPr>
          <w:rFonts w:ascii="黑体" w:hAnsi="黑体" w:eastAsia="黑体"/>
          <w:b/>
          <w:bCs/>
          <w:spacing w:val="40"/>
          <w:sz w:val="84"/>
          <w:szCs w:val="84"/>
        </w:rPr>
      </w:pPr>
      <w:r>
        <w:rPr>
          <w:rFonts w:ascii="黑体" w:hAnsi="黑体" w:eastAsia="黑体"/>
          <w:b/>
          <w:bCs/>
          <w:spacing w:val="40"/>
          <w:sz w:val="72"/>
          <w:szCs w:val="72"/>
        </w:rPr>
        <w:t>施工承包合同</w:t>
      </w:r>
    </w:p>
    <w:p w14:paraId="1E49C07D">
      <w:pPr>
        <w:ind w:left="1400" w:hanging="1400" w:hangingChars="500"/>
        <w:rPr>
          <w:sz w:val="28"/>
        </w:rPr>
      </w:pPr>
    </w:p>
    <w:p w14:paraId="2820FDE6">
      <w:pPr>
        <w:spacing w:line="720" w:lineRule="auto"/>
        <w:rPr>
          <w:rFonts w:eastAsia="黑体"/>
          <w:sz w:val="30"/>
        </w:rPr>
      </w:pPr>
    </w:p>
    <w:p w14:paraId="12DF240B">
      <w:pPr>
        <w:spacing w:line="720" w:lineRule="auto"/>
        <w:rPr>
          <w:rFonts w:eastAsia="黑体"/>
          <w:sz w:val="30"/>
        </w:rPr>
      </w:pPr>
    </w:p>
    <w:p w14:paraId="300CB142">
      <w:pPr>
        <w:spacing w:line="720" w:lineRule="auto"/>
        <w:rPr>
          <w:rFonts w:eastAsia="黑体"/>
          <w:sz w:val="30"/>
        </w:rPr>
      </w:pPr>
    </w:p>
    <w:p w14:paraId="19BCC2CF">
      <w:pPr>
        <w:spacing w:line="720" w:lineRule="auto"/>
        <w:ind w:firstLine="636" w:firstLineChars="198"/>
        <w:rPr>
          <w:rFonts w:hint="eastAsia" w:eastAsia="黑体"/>
          <w:b/>
          <w:sz w:val="32"/>
          <w:szCs w:val="32"/>
        </w:rPr>
      </w:pPr>
      <w:r>
        <w:rPr>
          <w:rFonts w:eastAsia="黑体"/>
          <w:b/>
          <w:sz w:val="32"/>
          <w:szCs w:val="32"/>
        </w:rPr>
        <w:t>发包人</w:t>
      </w:r>
      <w:r>
        <w:rPr>
          <w:rFonts w:hint="eastAsia" w:eastAsia="黑体"/>
          <w:b/>
          <w:sz w:val="32"/>
          <w:szCs w:val="32"/>
        </w:rPr>
        <w:t>（甲方）</w:t>
      </w:r>
      <w:r>
        <w:rPr>
          <w:rFonts w:eastAsia="黑体"/>
          <w:b/>
          <w:sz w:val="32"/>
          <w:szCs w:val="32"/>
        </w:rPr>
        <w:t>：</w:t>
      </w:r>
      <w:r>
        <w:rPr>
          <w:rFonts w:hint="eastAsia" w:hAnsi="宋体" w:eastAsia="黑体"/>
          <w:b/>
          <w:bCs/>
          <w:snapToGrid w:val="0"/>
          <w:kern w:val="0"/>
          <w:sz w:val="32"/>
          <w:szCs w:val="32"/>
        </w:rPr>
        <w:t xml:space="preserve"> </w:t>
      </w:r>
    </w:p>
    <w:p w14:paraId="416591CD">
      <w:pPr>
        <w:spacing w:line="720" w:lineRule="auto"/>
        <w:ind w:firstLine="636" w:firstLineChars="198"/>
        <w:rPr>
          <w:rFonts w:hint="eastAsia" w:eastAsia="黑体"/>
          <w:b/>
          <w:kern w:val="0"/>
          <w:sz w:val="32"/>
          <w:szCs w:val="32"/>
        </w:rPr>
      </w:pPr>
      <w:r>
        <w:rPr>
          <w:rFonts w:eastAsia="黑体"/>
          <w:b/>
          <w:sz w:val="32"/>
          <w:szCs w:val="32"/>
        </w:rPr>
        <w:t>承包人</w:t>
      </w:r>
      <w:r>
        <w:rPr>
          <w:rFonts w:hint="eastAsia" w:eastAsia="黑体"/>
          <w:b/>
          <w:sz w:val="32"/>
          <w:szCs w:val="32"/>
        </w:rPr>
        <w:t>（乙方）</w:t>
      </w:r>
      <w:r>
        <w:rPr>
          <w:rFonts w:eastAsia="黑体"/>
          <w:b/>
          <w:sz w:val="32"/>
          <w:szCs w:val="32"/>
        </w:rPr>
        <w:t>：</w:t>
      </w:r>
      <w:r>
        <w:rPr>
          <w:rFonts w:hint="eastAsia" w:eastAsia="黑体"/>
          <w:b/>
          <w:kern w:val="0"/>
          <w:sz w:val="32"/>
          <w:szCs w:val="32"/>
        </w:rPr>
        <w:t xml:space="preserve">  </w:t>
      </w:r>
    </w:p>
    <w:p w14:paraId="14CBD901">
      <w:pPr>
        <w:spacing w:line="720" w:lineRule="auto"/>
        <w:rPr>
          <w:rFonts w:eastAsia="黑体"/>
          <w:b/>
          <w:sz w:val="32"/>
          <w:szCs w:val="32"/>
        </w:rPr>
      </w:pPr>
    </w:p>
    <w:p w14:paraId="3D4C276E">
      <w:pPr>
        <w:spacing w:line="720" w:lineRule="auto"/>
        <w:ind w:firstLine="1928" w:firstLineChars="600"/>
        <w:rPr>
          <w:rFonts w:eastAsia="黑体"/>
          <w:b/>
          <w:sz w:val="32"/>
          <w:szCs w:val="32"/>
        </w:rPr>
      </w:pPr>
      <w:r>
        <w:rPr>
          <w:rFonts w:eastAsia="黑体"/>
          <w:b/>
          <w:sz w:val="32"/>
          <w:szCs w:val="32"/>
        </w:rPr>
        <w:t>签订日期：</w:t>
      </w:r>
      <w:r>
        <w:rPr>
          <w:rFonts w:hint="eastAsia" w:eastAsia="黑体"/>
          <w:b/>
          <w:sz w:val="32"/>
          <w:szCs w:val="32"/>
        </w:rPr>
        <w:t xml:space="preserve">    </w:t>
      </w:r>
      <w:r>
        <w:rPr>
          <w:rFonts w:eastAsia="黑体"/>
          <w:b/>
          <w:sz w:val="32"/>
          <w:szCs w:val="32"/>
        </w:rPr>
        <w:t>年</w:t>
      </w:r>
      <w:r>
        <w:rPr>
          <w:rFonts w:hint="eastAsia" w:eastAsia="黑体"/>
          <w:b/>
          <w:sz w:val="32"/>
          <w:szCs w:val="32"/>
        </w:rPr>
        <w:t xml:space="preserve">  月   日</w:t>
      </w:r>
    </w:p>
    <w:p w14:paraId="67105BE5">
      <w:pPr>
        <w:rPr>
          <w:rFonts w:ascii="黑体" w:hAnsi="黑体" w:cs="Arial"/>
          <w:b/>
          <w:sz w:val="32"/>
          <w:szCs w:val="32"/>
        </w:rPr>
      </w:pPr>
    </w:p>
    <w:p w14:paraId="3576AC93">
      <w:pPr>
        <w:rPr>
          <w:rFonts w:ascii="黑体" w:hAnsi="黑体" w:cs="Arial"/>
          <w:sz w:val="32"/>
          <w:szCs w:val="32"/>
        </w:rPr>
      </w:pPr>
    </w:p>
    <w:p w14:paraId="4EEAFC9A">
      <w:pPr>
        <w:rPr>
          <w:rFonts w:ascii="黑体" w:hAnsi="黑体" w:cs="Arial"/>
          <w:sz w:val="32"/>
          <w:szCs w:val="32"/>
        </w:rPr>
      </w:pPr>
    </w:p>
    <w:p w14:paraId="3D6A47D8">
      <w:pPr>
        <w:pStyle w:val="41"/>
      </w:pPr>
      <w:r>
        <w:t>目  录</w:t>
      </w:r>
    </w:p>
    <w:p w14:paraId="526B6206">
      <w:pPr>
        <w:jc w:val="center"/>
        <w:rPr>
          <w:rFonts w:ascii="黑体" w:hAnsi="黑体" w:eastAsia="黑体" w:cs="Arial"/>
          <w:sz w:val="44"/>
          <w:szCs w:val="44"/>
        </w:rPr>
      </w:pPr>
    </w:p>
    <w:p w14:paraId="413F5FC9">
      <w:pPr>
        <w:pStyle w:val="17"/>
        <w:tabs>
          <w:tab w:val="right" w:leader="dot" w:pos="9922"/>
        </w:tabs>
        <w:spacing w:line="480" w:lineRule="exact"/>
        <w:rPr>
          <w:rFonts w:hint="eastAsia" w:ascii="黑体" w:hAnsi="黑体" w:eastAsia="黑体" w:cs="黑体"/>
          <w:sz w:val="21"/>
          <w:szCs w:val="21"/>
        </w:rPr>
      </w:pP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TOC \o "1-1" \h \z \u </w:instrText>
      </w:r>
      <w:r>
        <w:rPr>
          <w:rFonts w:hint="eastAsia" w:ascii="黑体" w:hAnsi="黑体" w:eastAsia="黑体" w:cs="黑体"/>
          <w:sz w:val="21"/>
          <w:szCs w:val="21"/>
        </w:rPr>
        <w:fldChar w:fldCharType="separate"/>
      </w: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HYPERLINK \l "_Toc13865" </w:instrText>
      </w:r>
      <w:r>
        <w:rPr>
          <w:rFonts w:hint="eastAsia" w:ascii="黑体" w:hAnsi="黑体" w:eastAsia="黑体" w:cs="黑体"/>
          <w:sz w:val="21"/>
          <w:szCs w:val="21"/>
        </w:rPr>
        <w:fldChar w:fldCharType="separate"/>
      </w:r>
      <w:r>
        <w:rPr>
          <w:rFonts w:hint="eastAsia" w:ascii="黑体" w:hAnsi="黑体" w:eastAsia="黑体" w:cs="黑体"/>
          <w:bCs/>
          <w:kern w:val="44"/>
          <w:sz w:val="21"/>
          <w:szCs w:val="21"/>
        </w:rPr>
        <w:t>一</w:t>
      </w:r>
      <w:r>
        <w:rPr>
          <w:rFonts w:hint="eastAsia" w:ascii="黑体" w:hAnsi="黑体" w:eastAsia="黑体" w:cs="黑体"/>
          <w:bCs/>
          <w:kern w:val="44"/>
          <w:sz w:val="21"/>
          <w:szCs w:val="21"/>
          <w:lang w:val="en-US" w:eastAsia="zh-CN"/>
        </w:rPr>
        <w:t>.</w:t>
      </w:r>
      <w:r>
        <w:rPr>
          <w:rFonts w:hint="eastAsia" w:ascii="黑体" w:hAnsi="黑体" w:eastAsia="黑体" w:cs="黑体"/>
          <w:bCs/>
          <w:kern w:val="44"/>
          <w:sz w:val="21"/>
          <w:szCs w:val="21"/>
        </w:rPr>
        <w:t xml:space="preserve"> 合同协议书</w:t>
      </w:r>
      <w:r>
        <w:rPr>
          <w:rFonts w:hint="eastAsia" w:ascii="黑体" w:hAnsi="黑体" w:eastAsia="黑体" w:cs="黑体"/>
          <w:sz w:val="21"/>
          <w:szCs w:val="21"/>
        </w:rPr>
        <w:tab/>
      </w: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PAGEREF _Toc13865 \h </w:instrText>
      </w:r>
      <w:r>
        <w:rPr>
          <w:rFonts w:hint="eastAsia" w:ascii="黑体" w:hAnsi="黑体" w:eastAsia="黑体" w:cs="黑体"/>
          <w:sz w:val="21"/>
          <w:szCs w:val="21"/>
        </w:rPr>
        <w:fldChar w:fldCharType="separate"/>
      </w:r>
      <w:r>
        <w:rPr>
          <w:rFonts w:hint="eastAsia" w:ascii="黑体" w:hAnsi="黑体" w:eastAsia="黑体" w:cs="黑体"/>
          <w:sz w:val="21"/>
          <w:szCs w:val="21"/>
        </w:rPr>
        <w:t>70</w:t>
      </w:r>
      <w:r>
        <w:rPr>
          <w:rFonts w:hint="eastAsia" w:ascii="黑体" w:hAnsi="黑体" w:eastAsia="黑体" w:cs="黑体"/>
          <w:sz w:val="21"/>
          <w:szCs w:val="21"/>
        </w:rPr>
        <w:fldChar w:fldCharType="end"/>
      </w:r>
      <w:r>
        <w:rPr>
          <w:rFonts w:hint="eastAsia" w:ascii="黑体" w:hAnsi="黑体" w:eastAsia="黑体" w:cs="黑体"/>
          <w:sz w:val="21"/>
          <w:szCs w:val="21"/>
        </w:rPr>
        <w:fldChar w:fldCharType="end"/>
      </w:r>
    </w:p>
    <w:p w14:paraId="335CCE99">
      <w:pPr>
        <w:pStyle w:val="17"/>
        <w:tabs>
          <w:tab w:val="right" w:leader="dot" w:pos="9922"/>
        </w:tabs>
        <w:spacing w:line="480" w:lineRule="exact"/>
        <w:rPr>
          <w:rFonts w:hint="eastAsia" w:ascii="黑体" w:hAnsi="黑体" w:eastAsia="黑体" w:cs="黑体"/>
          <w:sz w:val="21"/>
          <w:szCs w:val="21"/>
        </w:rPr>
      </w:pP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HYPERLINK \l "_Toc18473" </w:instrText>
      </w:r>
      <w:r>
        <w:rPr>
          <w:rFonts w:hint="eastAsia" w:ascii="黑体" w:hAnsi="黑体" w:eastAsia="黑体" w:cs="黑体"/>
          <w:sz w:val="21"/>
          <w:szCs w:val="21"/>
        </w:rPr>
        <w:fldChar w:fldCharType="separate"/>
      </w:r>
      <w:r>
        <w:rPr>
          <w:rFonts w:hint="eastAsia" w:ascii="黑体" w:hAnsi="黑体" w:eastAsia="黑体" w:cs="黑体"/>
          <w:bCs/>
          <w:kern w:val="44"/>
          <w:sz w:val="21"/>
          <w:szCs w:val="21"/>
        </w:rPr>
        <w:t>二</w:t>
      </w:r>
      <w:r>
        <w:rPr>
          <w:rFonts w:hint="eastAsia" w:ascii="黑体" w:hAnsi="黑体" w:eastAsia="黑体" w:cs="黑体"/>
          <w:bCs/>
          <w:kern w:val="44"/>
          <w:sz w:val="21"/>
          <w:szCs w:val="21"/>
          <w:lang w:val="en-US" w:eastAsia="zh-CN"/>
        </w:rPr>
        <w:t>.</w:t>
      </w:r>
      <w:r>
        <w:rPr>
          <w:rFonts w:hint="eastAsia" w:ascii="黑体" w:hAnsi="黑体" w:eastAsia="黑体" w:cs="黑体"/>
          <w:bCs/>
          <w:kern w:val="44"/>
          <w:sz w:val="21"/>
          <w:szCs w:val="21"/>
        </w:rPr>
        <w:t xml:space="preserve"> 成交通知书</w:t>
      </w:r>
      <w:r>
        <w:rPr>
          <w:rFonts w:hint="eastAsia" w:ascii="黑体" w:hAnsi="黑体" w:eastAsia="黑体" w:cs="黑体"/>
          <w:sz w:val="21"/>
          <w:szCs w:val="21"/>
        </w:rPr>
        <w:tab/>
      </w: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PAGEREF _Toc18473 \h </w:instrText>
      </w:r>
      <w:r>
        <w:rPr>
          <w:rFonts w:hint="eastAsia" w:ascii="黑体" w:hAnsi="黑体" w:eastAsia="黑体" w:cs="黑体"/>
          <w:sz w:val="21"/>
          <w:szCs w:val="21"/>
        </w:rPr>
        <w:fldChar w:fldCharType="separate"/>
      </w:r>
      <w:r>
        <w:rPr>
          <w:rFonts w:hint="eastAsia" w:ascii="黑体" w:hAnsi="黑体" w:eastAsia="黑体" w:cs="黑体"/>
          <w:sz w:val="21"/>
          <w:szCs w:val="21"/>
        </w:rPr>
        <w:t>7</w:t>
      </w:r>
      <w:r>
        <w:rPr>
          <w:rFonts w:hint="eastAsia" w:ascii="黑体" w:hAnsi="黑体" w:eastAsia="黑体" w:cs="黑体"/>
          <w:sz w:val="21"/>
          <w:szCs w:val="21"/>
          <w:lang w:val="en-US" w:eastAsia="zh-CN"/>
        </w:rPr>
        <w:t>2</w:t>
      </w:r>
      <w:r>
        <w:rPr>
          <w:rFonts w:hint="eastAsia" w:ascii="黑体" w:hAnsi="黑体" w:eastAsia="黑体" w:cs="黑体"/>
          <w:sz w:val="21"/>
          <w:szCs w:val="21"/>
        </w:rPr>
        <w:fldChar w:fldCharType="end"/>
      </w:r>
      <w:r>
        <w:rPr>
          <w:rFonts w:hint="eastAsia" w:ascii="黑体" w:hAnsi="黑体" w:eastAsia="黑体" w:cs="黑体"/>
          <w:sz w:val="21"/>
          <w:szCs w:val="21"/>
        </w:rPr>
        <w:fldChar w:fldCharType="end"/>
      </w:r>
    </w:p>
    <w:p w14:paraId="7248206D">
      <w:pPr>
        <w:pStyle w:val="17"/>
        <w:tabs>
          <w:tab w:val="right" w:leader="dot" w:pos="9922"/>
        </w:tabs>
        <w:spacing w:line="480" w:lineRule="exact"/>
        <w:rPr>
          <w:rFonts w:hint="eastAsia" w:ascii="黑体" w:hAnsi="黑体" w:eastAsia="黑体" w:cs="黑体"/>
          <w:sz w:val="21"/>
          <w:szCs w:val="21"/>
        </w:rPr>
      </w:pP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HYPERLINK \l "_Toc3268" </w:instrText>
      </w:r>
      <w:r>
        <w:rPr>
          <w:rFonts w:hint="eastAsia" w:ascii="黑体" w:hAnsi="黑体" w:eastAsia="黑体" w:cs="黑体"/>
          <w:sz w:val="21"/>
          <w:szCs w:val="21"/>
        </w:rPr>
        <w:fldChar w:fldCharType="separate"/>
      </w:r>
      <w:r>
        <w:rPr>
          <w:rFonts w:hint="eastAsia" w:ascii="黑体" w:hAnsi="黑体" w:eastAsia="黑体" w:cs="黑体"/>
          <w:sz w:val="21"/>
          <w:szCs w:val="21"/>
        </w:rPr>
        <w:t>三</w:t>
      </w:r>
      <w:r>
        <w:rPr>
          <w:rFonts w:hint="eastAsia" w:ascii="黑体" w:hAnsi="黑体" w:eastAsia="黑体" w:cs="黑体"/>
          <w:sz w:val="21"/>
          <w:szCs w:val="21"/>
          <w:lang w:val="en-US" w:eastAsia="zh-CN"/>
        </w:rPr>
        <w:t xml:space="preserve">. </w:t>
      </w:r>
      <w:r>
        <w:rPr>
          <w:rFonts w:hint="eastAsia" w:ascii="黑体" w:hAnsi="黑体" w:eastAsia="黑体" w:cs="黑体"/>
          <w:sz w:val="21"/>
          <w:szCs w:val="21"/>
        </w:rPr>
        <w:t>专用合同条款</w:t>
      </w:r>
      <w:r>
        <w:rPr>
          <w:rFonts w:hint="eastAsia" w:ascii="黑体" w:hAnsi="黑体" w:eastAsia="黑体" w:cs="黑体"/>
          <w:sz w:val="21"/>
          <w:szCs w:val="21"/>
        </w:rPr>
        <w:tab/>
      </w: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PAGEREF _Toc3268 \h </w:instrText>
      </w:r>
      <w:r>
        <w:rPr>
          <w:rFonts w:hint="eastAsia" w:ascii="黑体" w:hAnsi="黑体" w:eastAsia="黑体" w:cs="黑体"/>
          <w:sz w:val="21"/>
          <w:szCs w:val="21"/>
        </w:rPr>
        <w:fldChar w:fldCharType="separate"/>
      </w:r>
      <w:r>
        <w:rPr>
          <w:rFonts w:hint="eastAsia" w:ascii="黑体" w:hAnsi="黑体" w:eastAsia="黑体" w:cs="黑体"/>
          <w:sz w:val="21"/>
          <w:szCs w:val="21"/>
        </w:rPr>
        <w:t>75</w:t>
      </w:r>
      <w:r>
        <w:rPr>
          <w:rFonts w:hint="eastAsia" w:ascii="黑体" w:hAnsi="黑体" w:eastAsia="黑体" w:cs="黑体"/>
          <w:sz w:val="21"/>
          <w:szCs w:val="21"/>
        </w:rPr>
        <w:fldChar w:fldCharType="end"/>
      </w:r>
      <w:r>
        <w:rPr>
          <w:rFonts w:hint="eastAsia" w:ascii="黑体" w:hAnsi="黑体" w:eastAsia="黑体" w:cs="黑体"/>
          <w:sz w:val="21"/>
          <w:szCs w:val="21"/>
        </w:rPr>
        <w:fldChar w:fldCharType="end"/>
      </w:r>
    </w:p>
    <w:p w14:paraId="7AE84A01">
      <w:pPr>
        <w:pStyle w:val="17"/>
        <w:tabs>
          <w:tab w:val="right" w:leader="dot" w:pos="9922"/>
        </w:tabs>
        <w:spacing w:line="480" w:lineRule="exact"/>
        <w:rPr>
          <w:rFonts w:hint="eastAsia" w:ascii="黑体" w:hAnsi="黑体" w:eastAsia="黑体" w:cs="黑体"/>
          <w:sz w:val="21"/>
          <w:szCs w:val="21"/>
        </w:rPr>
      </w:pP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HYPERLINK \l "_Toc622" </w:instrText>
      </w:r>
      <w:r>
        <w:rPr>
          <w:rFonts w:hint="eastAsia" w:ascii="黑体" w:hAnsi="黑体" w:eastAsia="黑体" w:cs="黑体"/>
          <w:sz w:val="21"/>
          <w:szCs w:val="21"/>
        </w:rPr>
        <w:fldChar w:fldCharType="separate"/>
      </w:r>
      <w:r>
        <w:rPr>
          <w:rFonts w:hint="eastAsia" w:ascii="黑体" w:hAnsi="黑体" w:eastAsia="黑体" w:cs="黑体"/>
          <w:sz w:val="21"/>
          <w:szCs w:val="21"/>
        </w:rPr>
        <w:t>四</w:t>
      </w:r>
      <w:r>
        <w:rPr>
          <w:rFonts w:hint="eastAsia" w:ascii="黑体" w:hAnsi="黑体" w:eastAsia="黑体" w:cs="黑体"/>
          <w:sz w:val="21"/>
          <w:szCs w:val="21"/>
          <w:lang w:val="en-US" w:eastAsia="zh-CN"/>
        </w:rPr>
        <w:t xml:space="preserve">. </w:t>
      </w:r>
      <w:r>
        <w:rPr>
          <w:rFonts w:hint="eastAsia" w:ascii="黑体" w:hAnsi="黑体" w:eastAsia="黑体" w:cs="黑体"/>
          <w:sz w:val="21"/>
          <w:szCs w:val="21"/>
        </w:rPr>
        <w:t>通用合同条款</w:t>
      </w:r>
      <w:r>
        <w:rPr>
          <w:rFonts w:hint="eastAsia" w:ascii="黑体" w:hAnsi="黑体" w:eastAsia="黑体" w:cs="黑体"/>
          <w:sz w:val="21"/>
          <w:szCs w:val="21"/>
        </w:rPr>
        <w:tab/>
      </w: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PAGEREF _Toc622 \h </w:instrText>
      </w:r>
      <w:r>
        <w:rPr>
          <w:rFonts w:hint="eastAsia" w:ascii="黑体" w:hAnsi="黑体" w:eastAsia="黑体" w:cs="黑体"/>
          <w:sz w:val="21"/>
          <w:szCs w:val="21"/>
        </w:rPr>
        <w:fldChar w:fldCharType="separate"/>
      </w:r>
      <w:r>
        <w:rPr>
          <w:rFonts w:hint="eastAsia" w:ascii="黑体" w:hAnsi="黑体" w:eastAsia="黑体" w:cs="黑体"/>
          <w:sz w:val="21"/>
          <w:szCs w:val="21"/>
        </w:rPr>
        <w:t>89</w:t>
      </w:r>
      <w:r>
        <w:rPr>
          <w:rFonts w:hint="eastAsia" w:ascii="黑体" w:hAnsi="黑体" w:eastAsia="黑体" w:cs="黑体"/>
          <w:sz w:val="21"/>
          <w:szCs w:val="21"/>
        </w:rPr>
        <w:fldChar w:fldCharType="end"/>
      </w:r>
      <w:r>
        <w:rPr>
          <w:rFonts w:hint="eastAsia" w:ascii="黑体" w:hAnsi="黑体" w:eastAsia="黑体" w:cs="黑体"/>
          <w:sz w:val="21"/>
          <w:szCs w:val="21"/>
        </w:rPr>
        <w:fldChar w:fldCharType="end"/>
      </w:r>
    </w:p>
    <w:p w14:paraId="4193CEE0">
      <w:pPr>
        <w:pStyle w:val="17"/>
        <w:tabs>
          <w:tab w:val="right" w:leader="dot" w:pos="9922"/>
        </w:tabs>
        <w:spacing w:line="480" w:lineRule="exact"/>
        <w:rPr>
          <w:rFonts w:hint="eastAsia" w:ascii="黑体" w:hAnsi="黑体" w:eastAsia="黑体" w:cs="黑体"/>
          <w:sz w:val="21"/>
          <w:szCs w:val="21"/>
          <w:lang w:val="en-US" w:eastAsia="zh-CN"/>
        </w:rPr>
      </w:pP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HYPERLINK \l "_Toc4053" </w:instrText>
      </w:r>
      <w:r>
        <w:rPr>
          <w:rFonts w:hint="eastAsia" w:ascii="黑体" w:hAnsi="黑体" w:eastAsia="黑体" w:cs="黑体"/>
          <w:sz w:val="21"/>
          <w:szCs w:val="21"/>
        </w:rPr>
        <w:fldChar w:fldCharType="separate"/>
      </w:r>
      <w:r>
        <w:rPr>
          <w:rFonts w:hint="eastAsia" w:ascii="黑体" w:hAnsi="黑体" w:eastAsia="黑体" w:cs="黑体"/>
          <w:sz w:val="21"/>
          <w:szCs w:val="21"/>
        </w:rPr>
        <w:t>五</w:t>
      </w:r>
      <w:r>
        <w:rPr>
          <w:rFonts w:hint="eastAsia" w:ascii="黑体" w:hAnsi="黑体" w:eastAsia="黑体" w:cs="黑体"/>
          <w:sz w:val="21"/>
          <w:szCs w:val="21"/>
          <w:lang w:val="en-US" w:eastAsia="zh-CN"/>
        </w:rPr>
        <w:t xml:space="preserve">. </w:t>
      </w:r>
      <w:r>
        <w:rPr>
          <w:rFonts w:hint="eastAsia" w:ascii="黑体" w:hAnsi="黑体" w:eastAsia="黑体" w:cs="黑体"/>
          <w:sz w:val="21"/>
          <w:szCs w:val="21"/>
        </w:rPr>
        <w:t>安全生产合同</w:t>
      </w:r>
      <w:r>
        <w:rPr>
          <w:rFonts w:hint="eastAsia" w:ascii="黑体" w:hAnsi="黑体" w:eastAsia="黑体" w:cs="黑体"/>
          <w:sz w:val="21"/>
          <w:szCs w:val="21"/>
        </w:rPr>
        <w:tab/>
      </w:r>
      <w:r>
        <w:rPr>
          <w:rFonts w:hint="eastAsia" w:ascii="黑体" w:hAnsi="黑体" w:eastAsia="黑体" w:cs="黑体"/>
          <w:sz w:val="21"/>
          <w:szCs w:val="21"/>
          <w:lang w:val="en-US" w:eastAsia="zh-CN"/>
        </w:rPr>
        <w:t>1</w:t>
      </w:r>
      <w:r>
        <w:rPr>
          <w:rFonts w:hint="eastAsia" w:ascii="黑体" w:hAnsi="黑体" w:eastAsia="黑体" w:cs="黑体"/>
          <w:sz w:val="21"/>
          <w:szCs w:val="21"/>
        </w:rPr>
        <w:fldChar w:fldCharType="end"/>
      </w:r>
      <w:r>
        <w:rPr>
          <w:rFonts w:hint="eastAsia" w:ascii="黑体" w:hAnsi="黑体" w:eastAsia="黑体" w:cs="黑体"/>
          <w:sz w:val="21"/>
          <w:szCs w:val="21"/>
          <w:lang w:val="en-US" w:eastAsia="zh-CN"/>
        </w:rPr>
        <w:t>38</w:t>
      </w:r>
    </w:p>
    <w:p w14:paraId="4698C1C9">
      <w:pPr>
        <w:pStyle w:val="17"/>
        <w:tabs>
          <w:tab w:val="right" w:leader="dot" w:pos="9922"/>
        </w:tabs>
        <w:spacing w:line="480" w:lineRule="exact"/>
        <w:rPr>
          <w:rFonts w:hint="eastAsia" w:ascii="黑体" w:hAnsi="黑体" w:eastAsia="黑体" w:cs="黑体"/>
          <w:sz w:val="21"/>
          <w:szCs w:val="21"/>
          <w:lang w:val="en-US" w:eastAsia="zh-CN"/>
        </w:rPr>
      </w:pP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HYPERLINK \l "_Toc8568" </w:instrText>
      </w:r>
      <w:r>
        <w:rPr>
          <w:rFonts w:hint="eastAsia" w:ascii="黑体" w:hAnsi="黑体" w:eastAsia="黑体" w:cs="黑体"/>
          <w:sz w:val="21"/>
          <w:szCs w:val="21"/>
        </w:rPr>
        <w:fldChar w:fldCharType="separate"/>
      </w:r>
      <w:r>
        <w:rPr>
          <w:rFonts w:hint="eastAsia" w:ascii="黑体" w:hAnsi="黑体" w:eastAsia="黑体" w:cs="黑体"/>
          <w:sz w:val="21"/>
          <w:szCs w:val="21"/>
        </w:rPr>
        <w:t>六</w:t>
      </w:r>
      <w:r>
        <w:rPr>
          <w:rFonts w:hint="eastAsia" w:ascii="黑体" w:hAnsi="黑体" w:eastAsia="黑体" w:cs="黑体"/>
          <w:sz w:val="21"/>
          <w:szCs w:val="21"/>
          <w:lang w:val="en-US" w:eastAsia="zh-CN"/>
        </w:rPr>
        <w:t xml:space="preserve">. </w:t>
      </w:r>
      <w:r>
        <w:rPr>
          <w:rFonts w:hint="eastAsia" w:ascii="黑体" w:hAnsi="黑体" w:eastAsia="黑体" w:cs="黑体"/>
          <w:sz w:val="21"/>
          <w:szCs w:val="21"/>
        </w:rPr>
        <w:t>廉政合同</w:t>
      </w:r>
      <w:r>
        <w:rPr>
          <w:rFonts w:hint="eastAsia" w:ascii="黑体" w:hAnsi="黑体" w:eastAsia="黑体" w:cs="黑体"/>
          <w:sz w:val="21"/>
          <w:szCs w:val="21"/>
        </w:rPr>
        <w:tab/>
      </w:r>
      <w:r>
        <w:rPr>
          <w:rFonts w:hint="eastAsia" w:ascii="黑体" w:hAnsi="黑体" w:eastAsia="黑体" w:cs="黑体"/>
          <w:sz w:val="21"/>
          <w:szCs w:val="21"/>
          <w:lang w:val="en-US" w:eastAsia="zh-CN"/>
        </w:rPr>
        <w:t>1</w:t>
      </w:r>
      <w:r>
        <w:rPr>
          <w:rFonts w:hint="eastAsia" w:ascii="黑体" w:hAnsi="黑体" w:eastAsia="黑体" w:cs="黑体"/>
          <w:sz w:val="21"/>
          <w:szCs w:val="21"/>
        </w:rPr>
        <w:fldChar w:fldCharType="end"/>
      </w:r>
      <w:r>
        <w:rPr>
          <w:rFonts w:hint="eastAsia" w:ascii="黑体" w:hAnsi="黑体" w:eastAsia="黑体" w:cs="黑体"/>
          <w:sz w:val="21"/>
          <w:szCs w:val="21"/>
        </w:rPr>
        <w:t>4</w:t>
      </w:r>
      <w:r>
        <w:rPr>
          <w:rFonts w:hint="eastAsia" w:ascii="黑体" w:hAnsi="黑体" w:eastAsia="黑体" w:cs="黑体"/>
          <w:sz w:val="21"/>
          <w:szCs w:val="21"/>
          <w:lang w:val="en-US" w:eastAsia="zh-CN"/>
        </w:rPr>
        <w:t>0</w:t>
      </w:r>
    </w:p>
    <w:p w14:paraId="6F6230D4">
      <w:pPr>
        <w:pStyle w:val="17"/>
        <w:tabs>
          <w:tab w:val="right" w:leader="dot" w:pos="9922"/>
        </w:tabs>
        <w:spacing w:line="480" w:lineRule="exact"/>
        <w:rPr>
          <w:rFonts w:hint="eastAsia" w:ascii="黑体" w:hAnsi="黑体" w:eastAsia="黑体" w:cs="黑体"/>
          <w:sz w:val="21"/>
          <w:szCs w:val="21"/>
          <w:lang w:val="en-US" w:eastAsia="zh-CN"/>
        </w:rPr>
      </w:pPr>
      <w:r>
        <w:rPr>
          <w:rFonts w:hint="eastAsia" w:ascii="黑体" w:hAnsi="黑体" w:eastAsia="黑体" w:cs="黑体"/>
          <w:sz w:val="21"/>
          <w:szCs w:val="21"/>
        </w:rPr>
        <w:t>七</w:t>
      </w:r>
      <w:r>
        <w:rPr>
          <w:rFonts w:hint="eastAsia" w:ascii="黑体" w:hAnsi="黑体" w:eastAsia="黑体" w:cs="黑体"/>
          <w:sz w:val="21"/>
          <w:szCs w:val="21"/>
          <w:lang w:val="en-US" w:eastAsia="zh-CN"/>
        </w:rPr>
        <w:t>. 预付款担保</w:t>
      </w:r>
      <w:r>
        <w:rPr>
          <w:rFonts w:hint="eastAsia" w:ascii="黑体" w:hAnsi="黑体" w:eastAsia="黑体" w:cs="黑体"/>
          <w:sz w:val="21"/>
          <w:szCs w:val="21"/>
        </w:rPr>
        <w:tab/>
      </w:r>
      <w:r>
        <w:rPr>
          <w:rFonts w:hint="eastAsia" w:ascii="黑体" w:hAnsi="黑体" w:eastAsia="黑体" w:cs="黑体"/>
          <w:sz w:val="21"/>
          <w:szCs w:val="21"/>
          <w:lang w:val="en-US" w:eastAsia="zh-CN"/>
        </w:rPr>
        <w:t>143</w:t>
      </w:r>
    </w:p>
    <w:p w14:paraId="10B29D5D">
      <w:pPr>
        <w:pStyle w:val="17"/>
        <w:tabs>
          <w:tab w:val="right" w:leader="dot" w:pos="9922"/>
        </w:tabs>
        <w:spacing w:line="480" w:lineRule="exact"/>
        <w:rPr>
          <w:rFonts w:hint="default" w:ascii="黑体" w:hAnsi="黑体" w:eastAsia="黑体" w:cs="黑体"/>
          <w:sz w:val="21"/>
          <w:szCs w:val="21"/>
          <w:lang w:val="en-US"/>
        </w:rPr>
      </w:pP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HYPERLINK \l "_Toc22747" </w:instrText>
      </w:r>
      <w:r>
        <w:rPr>
          <w:rFonts w:hint="eastAsia" w:ascii="黑体" w:hAnsi="黑体" w:eastAsia="黑体" w:cs="黑体"/>
          <w:sz w:val="21"/>
          <w:szCs w:val="21"/>
        </w:rPr>
        <w:fldChar w:fldCharType="separate"/>
      </w:r>
      <w:r>
        <w:rPr>
          <w:rFonts w:hint="eastAsia" w:ascii="黑体" w:hAnsi="黑体" w:eastAsia="黑体" w:cs="黑体"/>
          <w:sz w:val="21"/>
          <w:szCs w:val="21"/>
          <w:lang w:val="en-US" w:eastAsia="zh-CN"/>
        </w:rPr>
        <w:t xml:space="preserve">八. </w:t>
      </w:r>
      <w:r>
        <w:rPr>
          <w:rFonts w:hint="eastAsia" w:ascii="黑体" w:hAnsi="黑体" w:eastAsia="黑体" w:cs="黑体"/>
          <w:sz w:val="21"/>
          <w:szCs w:val="21"/>
        </w:rPr>
        <w:t>工程质量保修书</w:t>
      </w:r>
      <w:r>
        <w:rPr>
          <w:rFonts w:hint="eastAsia" w:ascii="黑体" w:hAnsi="黑体" w:eastAsia="黑体" w:cs="黑体"/>
          <w:sz w:val="21"/>
          <w:szCs w:val="21"/>
        </w:rPr>
        <w:tab/>
      </w:r>
      <w:r>
        <w:rPr>
          <w:rFonts w:hint="eastAsia" w:ascii="黑体" w:hAnsi="黑体" w:eastAsia="黑体" w:cs="黑体"/>
          <w:sz w:val="21"/>
          <w:szCs w:val="21"/>
          <w:lang w:val="en-US" w:eastAsia="zh-CN"/>
        </w:rPr>
        <w:t>1</w:t>
      </w:r>
      <w:r>
        <w:rPr>
          <w:rFonts w:hint="eastAsia" w:ascii="黑体" w:hAnsi="黑体" w:eastAsia="黑体" w:cs="黑体"/>
          <w:sz w:val="21"/>
          <w:szCs w:val="21"/>
        </w:rPr>
        <w:fldChar w:fldCharType="end"/>
      </w:r>
      <w:r>
        <w:rPr>
          <w:rFonts w:hint="eastAsia" w:ascii="黑体" w:hAnsi="黑体" w:eastAsia="黑体" w:cs="黑体"/>
          <w:sz w:val="21"/>
          <w:szCs w:val="21"/>
          <w:lang w:val="en-US" w:eastAsia="zh-CN"/>
        </w:rPr>
        <w:t>42</w:t>
      </w:r>
    </w:p>
    <w:p w14:paraId="625BF86B">
      <w:pPr>
        <w:spacing w:line="480" w:lineRule="exact"/>
        <w:rPr>
          <w:rFonts w:hint="eastAsia" w:ascii="黑体" w:hAnsi="黑体" w:eastAsia="黑体" w:cs="黑体"/>
          <w:sz w:val="21"/>
          <w:szCs w:val="21"/>
        </w:rPr>
      </w:pPr>
      <w:r>
        <w:rPr>
          <w:rFonts w:hint="eastAsia" w:ascii="黑体" w:hAnsi="黑体" w:eastAsia="黑体" w:cs="黑体"/>
          <w:sz w:val="21"/>
          <w:szCs w:val="21"/>
        </w:rPr>
        <w:fldChar w:fldCharType="end"/>
      </w:r>
    </w:p>
    <w:p w14:paraId="374FA7DD">
      <w:pPr>
        <w:rPr>
          <w:rFonts w:ascii="黑体" w:hAnsi="黑体" w:cs="Arial"/>
          <w:sz w:val="32"/>
          <w:szCs w:val="32"/>
        </w:rPr>
      </w:pPr>
    </w:p>
    <w:p w14:paraId="36A5CE80">
      <w:pPr>
        <w:rPr>
          <w:rFonts w:ascii="黑体" w:hAnsi="黑体" w:cs="Arial"/>
          <w:sz w:val="32"/>
          <w:szCs w:val="32"/>
        </w:rPr>
      </w:pPr>
    </w:p>
    <w:p w14:paraId="5BE409EE">
      <w:pPr>
        <w:rPr>
          <w:rFonts w:ascii="黑体" w:hAnsi="黑体" w:cs="Arial"/>
          <w:sz w:val="32"/>
          <w:szCs w:val="32"/>
        </w:rPr>
      </w:pPr>
    </w:p>
    <w:p w14:paraId="181B4AD2">
      <w:pPr>
        <w:rPr>
          <w:rFonts w:ascii="黑体" w:hAnsi="黑体" w:cs="Arial"/>
          <w:sz w:val="32"/>
          <w:szCs w:val="32"/>
        </w:rPr>
      </w:pPr>
    </w:p>
    <w:p w14:paraId="775D516C">
      <w:pPr>
        <w:rPr>
          <w:rFonts w:ascii="黑体" w:hAnsi="黑体" w:cs="Arial"/>
          <w:sz w:val="32"/>
          <w:szCs w:val="32"/>
        </w:rPr>
      </w:pPr>
    </w:p>
    <w:p w14:paraId="107BA803">
      <w:pPr>
        <w:rPr>
          <w:rFonts w:ascii="黑体" w:hAnsi="黑体" w:cs="Arial"/>
          <w:sz w:val="32"/>
          <w:szCs w:val="32"/>
        </w:rPr>
      </w:pPr>
    </w:p>
    <w:p w14:paraId="5ACF838F">
      <w:pPr>
        <w:rPr>
          <w:rFonts w:ascii="黑体" w:hAnsi="黑体" w:cs="Arial"/>
          <w:sz w:val="32"/>
          <w:szCs w:val="32"/>
        </w:rPr>
      </w:pPr>
    </w:p>
    <w:p w14:paraId="03066ABF">
      <w:pPr>
        <w:rPr>
          <w:rFonts w:ascii="黑体" w:hAnsi="黑体" w:cs="Arial"/>
          <w:sz w:val="32"/>
          <w:szCs w:val="32"/>
        </w:rPr>
      </w:pPr>
    </w:p>
    <w:p w14:paraId="74D3EBA4">
      <w:pPr>
        <w:pStyle w:val="11"/>
        <w:rPr>
          <w:rFonts w:ascii="黑体" w:hAnsi="黑体" w:cs="Arial"/>
          <w:sz w:val="32"/>
          <w:szCs w:val="32"/>
        </w:rPr>
      </w:pPr>
    </w:p>
    <w:p w14:paraId="44A3078F">
      <w:pPr>
        <w:pStyle w:val="11"/>
        <w:rPr>
          <w:rFonts w:ascii="黑体" w:hAnsi="黑体" w:cs="Arial"/>
          <w:sz w:val="32"/>
          <w:szCs w:val="32"/>
        </w:rPr>
      </w:pPr>
    </w:p>
    <w:p w14:paraId="5DFA6DBD">
      <w:pPr>
        <w:rPr>
          <w:rFonts w:ascii="黑体" w:hAnsi="黑体" w:cs="Arial"/>
          <w:sz w:val="32"/>
          <w:szCs w:val="32"/>
        </w:rPr>
      </w:pPr>
    </w:p>
    <w:p w14:paraId="073DA1CE">
      <w:pPr>
        <w:rPr>
          <w:rFonts w:ascii="黑体" w:hAnsi="黑体" w:cs="Arial"/>
          <w:sz w:val="32"/>
          <w:szCs w:val="32"/>
        </w:rPr>
      </w:pPr>
    </w:p>
    <w:p w14:paraId="43617F0E">
      <w:bookmarkStart w:id="94" w:name="_Toc13865"/>
    </w:p>
    <w:p w14:paraId="7133D526">
      <w:pPr>
        <w:pStyle w:val="42"/>
        <w:numPr>
          <w:ilvl w:val="0"/>
          <w:numId w:val="70"/>
        </w:numPr>
        <w:ind w:left="0" w:leftChars="0" w:firstLine="480" w:firstLineChars="0"/>
        <w:outlineLvl w:val="0"/>
      </w:pPr>
      <w:r>
        <w:t>合同协议书</w:t>
      </w:r>
      <w:bookmarkEnd w:id="94"/>
    </w:p>
    <w:p w14:paraId="64E6AE06">
      <w:pPr>
        <w:pStyle w:val="11"/>
        <w:rPr>
          <w:color w:val="000000"/>
          <w:u w:val="single"/>
        </w:rPr>
      </w:pPr>
      <w:r>
        <w:rPr>
          <w:color w:val="000000"/>
        </w:rPr>
        <w:t>发包人（全称）：</w:t>
      </w:r>
      <w:r>
        <w:rPr>
          <w:color w:val="000000"/>
          <w:u w:val="single"/>
        </w:rPr>
        <w:t xml:space="preserve">  上思县农业农村局        </w:t>
      </w:r>
    </w:p>
    <w:p w14:paraId="6FFF8160">
      <w:pPr>
        <w:spacing w:line="400" w:lineRule="exact"/>
        <w:jc w:val="left"/>
        <w:rPr>
          <w:rFonts w:hint="eastAsia" w:ascii="宋体" w:hAnsi="宋体" w:cs="宋体"/>
          <w:color w:val="000000"/>
          <w:szCs w:val="21"/>
        </w:rPr>
      </w:pPr>
    </w:p>
    <w:p w14:paraId="1B32E088">
      <w:pPr>
        <w:pStyle w:val="11"/>
        <w:rPr>
          <w:color w:val="000000"/>
          <w:u w:val="single"/>
        </w:rPr>
      </w:pPr>
      <w:r>
        <w:rPr>
          <w:color w:val="000000"/>
        </w:rPr>
        <w:t>承包人（全称）：</w:t>
      </w:r>
      <w:r>
        <w:rPr>
          <w:color w:val="000000"/>
          <w:u w:val="single"/>
        </w:rPr>
        <w:t xml:space="preserve">                          </w:t>
      </w:r>
    </w:p>
    <w:p w14:paraId="5E1C03F4">
      <w:pPr>
        <w:pStyle w:val="11"/>
        <w:rPr>
          <w:color w:val="000000"/>
        </w:rPr>
      </w:pPr>
      <w:r>
        <w:rPr>
          <w:color w:val="000000"/>
        </w:rPr>
        <w:t>根据《中华人民共和国民法典》、《中华人民共和国建筑法》及有关法律规定，遵循平等、自愿、公平和诚实信用的原则，双方就</w:t>
      </w:r>
      <w:r>
        <w:rPr>
          <w:color w:val="000000"/>
          <w:u w:val="single"/>
        </w:rPr>
        <w:t xml:space="preserve"> </w:t>
      </w:r>
      <w:r>
        <w:rPr>
          <w:rFonts w:hint="eastAsia"/>
          <w:color w:val="000000"/>
          <w:u w:val="single"/>
          <w:lang w:eastAsia="zh-CN"/>
        </w:rPr>
        <w:t>2025年叫安镇文明村那歪屯至板细屯产业道路项目</w:t>
      </w:r>
      <w:r>
        <w:rPr>
          <w:color w:val="000000"/>
          <w:u w:val="single"/>
        </w:rPr>
        <w:t xml:space="preserve"> </w:t>
      </w:r>
      <w:r>
        <w:rPr>
          <w:color w:val="000000"/>
        </w:rPr>
        <w:t>施工及有关事项协商一致，共同达成如下协议：</w:t>
      </w:r>
    </w:p>
    <w:p w14:paraId="2821FAA8">
      <w:pPr>
        <w:pStyle w:val="11"/>
      </w:pPr>
      <w:r>
        <w:t>1. 本协议书与下列文件一起构成合同文件：</w:t>
      </w:r>
    </w:p>
    <w:p w14:paraId="188745A4">
      <w:pPr>
        <w:pStyle w:val="11"/>
      </w:pPr>
      <w:bookmarkStart w:id="95" w:name="_Toc17971"/>
      <w:r>
        <w:t>（1）</w:t>
      </w:r>
      <w:bookmarkEnd w:id="95"/>
      <w:r>
        <w:t>成交通知书；</w:t>
      </w:r>
    </w:p>
    <w:p w14:paraId="26C4D7C2">
      <w:pPr>
        <w:pStyle w:val="11"/>
      </w:pPr>
      <w:bookmarkStart w:id="96" w:name="_Toc1944"/>
      <w:r>
        <w:t>（2）</w:t>
      </w:r>
      <w:bookmarkEnd w:id="96"/>
      <w:r>
        <w:t>投标函及投标函附录；</w:t>
      </w:r>
    </w:p>
    <w:p w14:paraId="107DE395">
      <w:pPr>
        <w:pStyle w:val="11"/>
      </w:pPr>
      <w:bookmarkStart w:id="97" w:name="_Toc21374"/>
      <w:r>
        <w:t>（3）</w:t>
      </w:r>
      <w:bookmarkEnd w:id="97"/>
      <w:r>
        <w:t>专用合同条款（含附加条款）；</w:t>
      </w:r>
    </w:p>
    <w:p w14:paraId="763B3142">
      <w:pPr>
        <w:pStyle w:val="11"/>
      </w:pPr>
      <w:bookmarkStart w:id="98" w:name="_Toc639"/>
      <w:r>
        <w:t>（4）</w:t>
      </w:r>
      <w:bookmarkEnd w:id="98"/>
      <w:r>
        <w:t>通用合同条款；</w:t>
      </w:r>
    </w:p>
    <w:p w14:paraId="7179A078">
      <w:pPr>
        <w:pStyle w:val="11"/>
      </w:pPr>
      <w:r>
        <w:t>（5）技术标准和要求（合同技术条款）；</w:t>
      </w:r>
    </w:p>
    <w:p w14:paraId="698DEE28">
      <w:pPr>
        <w:pStyle w:val="11"/>
      </w:pPr>
      <w:r>
        <w:t>（6）图纸；</w:t>
      </w:r>
    </w:p>
    <w:p w14:paraId="6E4AB42F">
      <w:pPr>
        <w:pStyle w:val="11"/>
      </w:pPr>
      <w:r>
        <w:t>（7）已标价的工程量清单；</w:t>
      </w:r>
    </w:p>
    <w:p w14:paraId="4FDF0680">
      <w:pPr>
        <w:pStyle w:val="11"/>
      </w:pPr>
      <w:bookmarkStart w:id="99" w:name="_Toc13454"/>
      <w:r>
        <w:t>（8）</w:t>
      </w:r>
      <w:bookmarkEnd w:id="99"/>
      <w:r>
        <w:t>安全生产合同；</w:t>
      </w:r>
    </w:p>
    <w:p w14:paraId="479F593E">
      <w:pPr>
        <w:pStyle w:val="11"/>
      </w:pPr>
      <w:bookmarkStart w:id="100" w:name="_Toc15254"/>
      <w:r>
        <w:t>（9）</w:t>
      </w:r>
      <w:bookmarkEnd w:id="100"/>
      <w:r>
        <w:t>廉政合同；</w:t>
      </w:r>
    </w:p>
    <w:p w14:paraId="7A6D4980">
      <w:pPr>
        <w:pStyle w:val="11"/>
      </w:pPr>
      <w:bookmarkStart w:id="101" w:name="_Toc32659"/>
      <w:r>
        <w:t>（10）</w:t>
      </w:r>
      <w:bookmarkEnd w:id="101"/>
      <w:bookmarkStart w:id="102" w:name="_Toc8217"/>
      <w:r>
        <w:t>工程质量保修书；</w:t>
      </w:r>
    </w:p>
    <w:p w14:paraId="6028054E">
      <w:pPr>
        <w:pStyle w:val="11"/>
      </w:pPr>
      <w:r>
        <w:t>（11）</w:t>
      </w:r>
      <w:bookmarkEnd w:id="102"/>
      <w:r>
        <w:t>其他合同文件。</w:t>
      </w:r>
    </w:p>
    <w:p w14:paraId="68AC1165">
      <w:pPr>
        <w:pStyle w:val="11"/>
      </w:pPr>
      <w:r>
        <w:t>2.上述文件互相补充和解释，如有不明确或不一致之处，以合同约定次序在先者为准。另外双方有关工程的洽商、变更等书面协议或文件视为本合同的组成部分，若有不明确或不一致处以时间顺序在后者为准。</w:t>
      </w:r>
    </w:p>
    <w:p w14:paraId="788DA3BE">
      <w:pPr>
        <w:pStyle w:val="11"/>
        <w:rPr>
          <w:color w:val="000000"/>
          <w:u w:val="single"/>
        </w:rPr>
      </w:pPr>
      <w:r>
        <w:rPr>
          <w:color w:val="000000"/>
        </w:rPr>
        <w:t>3. 工程名称：</w:t>
      </w:r>
      <w:r>
        <w:rPr>
          <w:b/>
          <w:color w:val="5F497A"/>
          <w:u w:val="single"/>
        </w:rPr>
        <w:t xml:space="preserve">                            </w:t>
      </w:r>
      <w:r>
        <w:rPr>
          <w:color w:val="000000"/>
          <w:u w:val="single"/>
        </w:rPr>
        <w:t xml:space="preserve"> </w:t>
      </w:r>
    </w:p>
    <w:p w14:paraId="6FF42271">
      <w:pPr>
        <w:pStyle w:val="11"/>
        <w:rPr>
          <w:color w:val="000000"/>
        </w:rPr>
      </w:pPr>
      <w:r>
        <w:rPr>
          <w:color w:val="000000"/>
        </w:rPr>
        <w:t>4. 工程地点：</w:t>
      </w:r>
      <w:r>
        <w:rPr>
          <w:color w:val="000000"/>
          <w:u w:val="single"/>
        </w:rPr>
        <w:t xml:space="preserve">                             </w:t>
      </w:r>
    </w:p>
    <w:p w14:paraId="01DBCAEC">
      <w:pPr>
        <w:spacing w:line="360" w:lineRule="auto"/>
        <w:ind w:firstLine="470" w:firstLineChars="196"/>
        <w:rPr>
          <w:rFonts w:hAnsi="宋体" w:cs="宋体"/>
          <w:szCs w:val="21"/>
          <w:u w:val="single"/>
        </w:rPr>
      </w:pPr>
      <w:r>
        <w:rPr>
          <w:rFonts w:hint="eastAsia" w:ascii="Times New Roman" w:hAnsi="Times New Roman" w:eastAsia="宋体" w:cs="Times New Roman"/>
          <w:color w:val="000000"/>
          <w:kern w:val="0"/>
          <w:sz w:val="24"/>
          <w:szCs w:val="20"/>
        </w:rPr>
        <w:t xml:space="preserve">5. </w:t>
      </w:r>
      <w:r>
        <w:rPr>
          <w:rFonts w:hint="eastAsia" w:hAnsi="宋体" w:cs="宋体"/>
          <w:bCs/>
          <w:szCs w:val="21"/>
        </w:rPr>
        <w:t>工程立项批准文号：</w:t>
      </w:r>
      <w:r>
        <w:rPr>
          <w:rFonts w:hint="eastAsia" w:hAnsi="宋体" w:cs="宋体"/>
          <w:szCs w:val="21"/>
          <w:u w:val="single"/>
        </w:rPr>
        <w:t xml:space="preserve">                             。</w:t>
      </w:r>
    </w:p>
    <w:p w14:paraId="30A7B23B">
      <w:pPr>
        <w:pStyle w:val="11"/>
      </w:pPr>
      <w:r>
        <w:t>6. 资金来源：</w:t>
      </w:r>
      <w:r>
        <w:rPr>
          <w:u w:val="single"/>
        </w:rPr>
        <w:t xml:space="preserve">    上级资金                 。</w:t>
      </w:r>
    </w:p>
    <w:p w14:paraId="79678175">
      <w:pPr>
        <w:spacing w:line="400" w:lineRule="exact"/>
        <w:ind w:firstLine="480" w:firstLineChars="200"/>
        <w:rPr>
          <w:rFonts w:ascii="宋体" w:hAnsi="宋体" w:cs="宋体"/>
          <w:szCs w:val="21"/>
        </w:rPr>
      </w:pPr>
      <w:r>
        <w:rPr>
          <w:rFonts w:hint="eastAsia" w:ascii="Times New Roman" w:hAnsi="Times New Roman" w:eastAsia="宋体" w:cs="Times New Roman"/>
          <w:color w:val="000000"/>
          <w:kern w:val="0"/>
          <w:sz w:val="24"/>
          <w:szCs w:val="20"/>
        </w:rPr>
        <w:t>7.</w:t>
      </w:r>
      <w:r>
        <w:rPr>
          <w:rFonts w:hint="eastAsia" w:ascii="宋体" w:hAnsi="宋体" w:cs="宋体"/>
          <w:szCs w:val="21"/>
        </w:rPr>
        <w:t xml:space="preserve"> 签约合同价：人民币（大写）</w:t>
      </w:r>
      <w:r>
        <w:rPr>
          <w:rFonts w:hint="eastAsia" w:ascii="宋体" w:hAnsi="宋体" w:cs="宋体"/>
          <w:szCs w:val="21"/>
          <w:u w:val="single"/>
        </w:rPr>
        <w:t xml:space="preserve">                          </w:t>
      </w:r>
      <w:r>
        <w:rPr>
          <w:rFonts w:hint="eastAsia" w:ascii="宋体" w:hAnsi="宋体" w:cs="宋体"/>
          <w:szCs w:val="21"/>
        </w:rPr>
        <w:t>元（¥</w:t>
      </w:r>
      <w:r>
        <w:rPr>
          <w:rFonts w:hint="eastAsia" w:ascii="宋体" w:hAnsi="宋体" w:cs="宋体"/>
          <w:szCs w:val="21"/>
          <w:u w:val="single"/>
        </w:rPr>
        <w:t xml:space="preserve">              </w:t>
      </w:r>
      <w:r>
        <w:rPr>
          <w:rFonts w:hint="eastAsia" w:ascii="宋体" w:hAnsi="宋体" w:cs="宋体"/>
          <w:szCs w:val="21"/>
        </w:rPr>
        <w:t>元）。</w:t>
      </w:r>
    </w:p>
    <w:p w14:paraId="4C13D05F">
      <w:pPr>
        <w:pStyle w:val="11"/>
      </w:pPr>
      <w:r>
        <w:t>8.本工程的农民工工资保证金按合同总价的2％计算，即为人民币大写：</w:t>
      </w:r>
      <w:r>
        <w:rPr>
          <w:u w:val="single"/>
        </w:rPr>
        <w:t xml:space="preserve">            </w:t>
      </w:r>
      <w:r>
        <w:t>（¥</w:t>
      </w:r>
      <w:r>
        <w:rPr>
          <w:u w:val="single"/>
        </w:rPr>
        <w:t xml:space="preserve">      </w:t>
      </w:r>
      <w:r>
        <w:t>元），承包人需在开工前向发包人提供农民工工资缴纳凭证。。</w:t>
      </w:r>
    </w:p>
    <w:p w14:paraId="7328D723">
      <w:pPr>
        <w:pStyle w:val="11"/>
      </w:pPr>
      <w:r>
        <w:t>9. 承包方式：</w:t>
      </w:r>
      <w:r>
        <w:rPr>
          <w:highlight w:val="none"/>
          <w:u w:val="single"/>
        </w:rPr>
        <w:t xml:space="preserve"> 固定单价承包 </w:t>
      </w:r>
      <w:r>
        <w:rPr>
          <w:u w:val="single"/>
        </w:rPr>
        <w:t xml:space="preserve"> </w:t>
      </w:r>
      <w:r>
        <w:t>。甲方负责施工期间的水、电。</w:t>
      </w:r>
    </w:p>
    <w:p w14:paraId="2CE861D5">
      <w:pPr>
        <w:pStyle w:val="11"/>
        <w:rPr>
          <w:u w:val="single"/>
        </w:rPr>
      </w:pPr>
      <w:r>
        <w:t>10.承包人项目经理姓名：</w:t>
      </w:r>
      <w:r>
        <w:rPr>
          <w:u w:val="single"/>
        </w:rPr>
        <w:t xml:space="preserve">      </w:t>
      </w:r>
      <w:r>
        <w:t>，证书号：</w:t>
      </w:r>
      <w:r>
        <w:rPr>
          <w:u w:val="single"/>
        </w:rPr>
        <w:t xml:space="preserve">            </w:t>
      </w:r>
      <w:r>
        <w:t>，联系电话：</w:t>
      </w:r>
      <w:r>
        <w:rPr>
          <w:u w:val="single"/>
        </w:rPr>
        <w:t xml:space="preserve">       </w:t>
      </w:r>
      <w:r>
        <w:t>。</w:t>
      </w:r>
    </w:p>
    <w:p w14:paraId="7DE65B20">
      <w:pPr>
        <w:pStyle w:val="11"/>
      </w:pPr>
      <w:r>
        <w:t>11.工程建设内容及规模：</w:t>
      </w:r>
      <w:r>
        <w:rPr>
          <w:u w:val="single"/>
        </w:rPr>
        <w:t xml:space="preserve">                        </w:t>
      </w:r>
      <w:r>
        <w:t xml:space="preserve">等，具体内容详见图纸及工程量清单。  </w:t>
      </w:r>
    </w:p>
    <w:p w14:paraId="51C76241">
      <w:pPr>
        <w:pStyle w:val="11"/>
      </w:pPr>
      <w:r>
        <w:t>12. 工程质量达到设计要求和符合</w:t>
      </w:r>
      <w:r>
        <w:rPr>
          <w:color w:val="000000"/>
        </w:rPr>
        <w:t>工程质量</w:t>
      </w:r>
      <w:r>
        <w:rPr>
          <w:color w:val="000000"/>
          <w:u w:val="single"/>
        </w:rPr>
        <w:t xml:space="preserve"> 合格  </w:t>
      </w:r>
      <w:r>
        <w:rPr>
          <w:color w:val="000000"/>
        </w:rPr>
        <w:t>标准</w:t>
      </w:r>
      <w:r>
        <w:t>。</w:t>
      </w:r>
    </w:p>
    <w:p w14:paraId="1ABBC9BB">
      <w:pPr>
        <w:pStyle w:val="11"/>
      </w:pPr>
      <w:r>
        <w:t>13. 承包人承诺执行监理人开工通知，计划开工日期：</w:t>
      </w:r>
      <w:r>
        <w:rPr>
          <w:u w:val="single"/>
        </w:rPr>
        <w:t>2025</w:t>
      </w:r>
      <w:r>
        <w:t>年</w:t>
      </w:r>
      <w:r>
        <w:rPr>
          <w:u w:val="single"/>
        </w:rPr>
        <w:t xml:space="preserve">   </w:t>
      </w:r>
      <w:r>
        <w:t>月</w:t>
      </w:r>
      <w:r>
        <w:rPr>
          <w:u w:val="single"/>
        </w:rPr>
        <w:t xml:space="preserve">    </w:t>
      </w:r>
      <w:r>
        <w:t>日，计划完工日期：</w:t>
      </w:r>
      <w:r>
        <w:rPr>
          <w:u w:val="single"/>
        </w:rPr>
        <w:t xml:space="preserve"> 2025</w:t>
      </w:r>
      <w:r>
        <w:t>年</w:t>
      </w:r>
      <w:r>
        <w:rPr>
          <w:u w:val="single"/>
        </w:rPr>
        <w:t xml:space="preserve">  </w:t>
      </w:r>
      <w:r>
        <w:t>月</w:t>
      </w:r>
      <w:r>
        <w:rPr>
          <w:u w:val="single"/>
        </w:rPr>
        <w:t xml:space="preserve">   </w:t>
      </w:r>
      <w:r>
        <w:t xml:space="preserve"> 日，计划工期为</w:t>
      </w:r>
      <w:r>
        <w:rPr>
          <w:u w:val="single"/>
        </w:rPr>
        <w:t xml:space="preserve"> </w:t>
      </w:r>
      <w:r>
        <w:rPr>
          <w:rFonts w:hint="eastAsia"/>
          <w:u w:val="single"/>
          <w:lang w:val="en-US" w:eastAsia="zh-CN"/>
        </w:rPr>
        <w:t>120</w:t>
      </w:r>
      <w:r>
        <w:t xml:space="preserve">日历天, 具体开工日期以开工通知为准。 </w:t>
      </w:r>
    </w:p>
    <w:p w14:paraId="3AD8A1B0">
      <w:pPr>
        <w:pStyle w:val="11"/>
      </w:pPr>
      <w:r>
        <w:t>14.承包人承诺按合同约定承担工程的实施、完成及缺陷修复。</w:t>
      </w:r>
    </w:p>
    <w:p w14:paraId="1D32F47C">
      <w:pPr>
        <w:pStyle w:val="11"/>
      </w:pPr>
      <w:r>
        <w:t>15.发包人承诺按合同约定的条件、时间和方式向承包人支付合同价款。</w:t>
      </w:r>
    </w:p>
    <w:p w14:paraId="053824B9">
      <w:pPr>
        <w:pStyle w:val="11"/>
      </w:pPr>
      <w:r>
        <w:t>16.合同未尽事宜，双方另行签订补充协议。补充协议是合同的组成部分。</w:t>
      </w:r>
    </w:p>
    <w:p w14:paraId="692F002B">
      <w:pPr>
        <w:pStyle w:val="11"/>
      </w:pPr>
      <w:bookmarkStart w:id="103" w:name="_Toc168476290"/>
      <w:bookmarkStart w:id="104" w:name="_Toc144974830"/>
      <w:bookmarkStart w:id="105" w:name="_Toc168475887"/>
      <w:r>
        <w:t>17.</w:t>
      </w:r>
      <w:bookmarkEnd w:id="103"/>
      <w:bookmarkEnd w:id="104"/>
      <w:bookmarkEnd w:id="105"/>
      <w:r>
        <w:t>本协议书一式</w:t>
      </w:r>
      <w:r>
        <w:rPr>
          <w:u w:val="single"/>
        </w:rPr>
        <w:t xml:space="preserve"> 陆</w:t>
      </w:r>
      <w:r>
        <w:t>份，甲乙双方各执</w:t>
      </w:r>
      <w:r>
        <w:rPr>
          <w:u w:val="single"/>
        </w:rPr>
        <w:t xml:space="preserve"> 叁</w:t>
      </w:r>
      <w:r>
        <w:t>份。</w:t>
      </w:r>
    </w:p>
    <w:p w14:paraId="005E92D8">
      <w:pPr>
        <w:spacing w:line="400" w:lineRule="exact"/>
        <w:ind w:firstLine="359" w:firstLineChars="171"/>
        <w:rPr>
          <w:rFonts w:ascii="宋体" w:hAnsi="宋体" w:cs="宋体"/>
          <w:szCs w:val="21"/>
        </w:rPr>
      </w:pPr>
    </w:p>
    <w:p w14:paraId="1EF70F6D">
      <w:pPr>
        <w:spacing w:line="380" w:lineRule="exact"/>
        <w:rPr>
          <w:rFonts w:ascii="Times New Roman" w:hAnsi="Times New Roman" w:eastAsia="宋体" w:cs="Times New Roman"/>
          <w:sz w:val="24"/>
          <w:szCs w:val="21"/>
        </w:rPr>
      </w:pPr>
      <w:bookmarkStart w:id="106" w:name="_Toc14578"/>
      <w:bookmarkStart w:id="107" w:name="_Toc16822"/>
      <w:r>
        <w:rPr>
          <w:rFonts w:hint="eastAsia" w:ascii="Times New Roman" w:hAnsi="Times New Roman" w:eastAsia="宋体" w:cs="Times New Roman"/>
          <w:sz w:val="24"/>
          <w:szCs w:val="21"/>
        </w:rPr>
        <w:t>发包人：</w:t>
      </w:r>
      <w:r>
        <w:rPr>
          <w:rFonts w:hint="eastAsia" w:ascii="Times New Roman" w:hAnsi="Times New Roman" w:eastAsia="宋体" w:cs="Times New Roman"/>
          <w:snapToGrid w:val="0"/>
          <w:kern w:val="0"/>
          <w:sz w:val="24"/>
          <w:szCs w:val="21"/>
          <w:u w:val="single"/>
        </w:rPr>
        <w:t xml:space="preserve">                                </w:t>
      </w:r>
      <w:r>
        <w:rPr>
          <w:rFonts w:hint="eastAsia" w:ascii="Times New Roman" w:hAnsi="Times New Roman" w:eastAsia="宋体" w:cs="Times New Roman"/>
          <w:sz w:val="24"/>
          <w:szCs w:val="21"/>
        </w:rPr>
        <w:t xml:space="preserve">          承包人：</w:t>
      </w:r>
      <w:r>
        <w:rPr>
          <w:rFonts w:hint="eastAsia" w:ascii="Times New Roman" w:hAnsi="Times New Roman" w:eastAsia="宋体" w:cs="Times New Roman"/>
          <w:sz w:val="24"/>
          <w:szCs w:val="21"/>
          <w:u w:val="single"/>
        </w:rPr>
        <w:t xml:space="preserve">                        </w:t>
      </w:r>
      <w:r>
        <w:rPr>
          <w:rFonts w:hint="eastAsia" w:ascii="Times New Roman" w:hAnsi="Times New Roman" w:eastAsia="宋体" w:cs="Times New Roman"/>
          <w:sz w:val="24"/>
          <w:szCs w:val="21"/>
        </w:rPr>
        <w:t xml:space="preserve">         </w:t>
      </w:r>
    </w:p>
    <w:p w14:paraId="0B58A5E2">
      <w:pPr>
        <w:spacing w:line="380" w:lineRule="exact"/>
        <w:ind w:firstLine="1320" w:firstLineChars="550"/>
        <w:rPr>
          <w:rFonts w:ascii="Times New Roman" w:hAnsi="Times New Roman" w:eastAsia="宋体" w:cs="Times New Roman"/>
          <w:sz w:val="24"/>
          <w:szCs w:val="21"/>
        </w:rPr>
      </w:pPr>
      <w:r>
        <w:rPr>
          <w:rFonts w:hint="eastAsia" w:ascii="Times New Roman" w:hAnsi="Times New Roman" w:eastAsia="宋体" w:cs="Times New Roman"/>
          <w:sz w:val="24"/>
          <w:szCs w:val="21"/>
        </w:rPr>
        <w:t>（盖单位公章）                              （盖单位公章）</w:t>
      </w:r>
    </w:p>
    <w:p w14:paraId="07FE8353">
      <w:pPr>
        <w:pStyle w:val="11"/>
        <w:rPr>
          <w:szCs w:val="21"/>
        </w:rPr>
      </w:pPr>
    </w:p>
    <w:p w14:paraId="49F90F04">
      <w:pPr>
        <w:spacing w:line="380" w:lineRule="exact"/>
        <w:ind w:firstLine="480" w:firstLineChars="200"/>
        <w:rPr>
          <w:rFonts w:ascii="Times New Roman" w:hAnsi="Times New Roman" w:eastAsia="宋体" w:cs="Times New Roman"/>
          <w:sz w:val="24"/>
          <w:szCs w:val="21"/>
        </w:rPr>
      </w:pPr>
      <w:r>
        <w:rPr>
          <w:rFonts w:hint="eastAsia" w:ascii="Times New Roman" w:hAnsi="Times New Roman" w:eastAsia="宋体" w:cs="Times New Roman"/>
          <w:sz w:val="24"/>
          <w:szCs w:val="21"/>
        </w:rPr>
        <w:t xml:space="preserve">法定代表人:                                    法定代表人:            </w:t>
      </w:r>
    </w:p>
    <w:p w14:paraId="1189470E">
      <w:pPr>
        <w:spacing w:line="500" w:lineRule="exact"/>
        <w:ind w:left="4110" w:leftChars="300" w:hanging="3480" w:hangingChars="1450"/>
        <w:rPr>
          <w:rFonts w:ascii="Times New Roman" w:hAnsi="Times New Roman" w:eastAsia="宋体" w:cs="Times New Roman"/>
          <w:sz w:val="24"/>
          <w:szCs w:val="21"/>
        </w:rPr>
      </w:pPr>
      <w:r>
        <w:rPr>
          <w:rFonts w:hint="eastAsia" w:ascii="Times New Roman" w:hAnsi="Times New Roman" w:eastAsia="宋体" w:cs="Times New Roman"/>
          <w:sz w:val="24"/>
          <w:szCs w:val="21"/>
        </w:rPr>
        <w:t>(签字或盖章)                               (签字或盖章)</w:t>
      </w:r>
    </w:p>
    <w:bookmarkEnd w:id="106"/>
    <w:bookmarkEnd w:id="107"/>
    <w:p w14:paraId="7F8DA8AB">
      <w:pPr>
        <w:tabs>
          <w:tab w:val="left" w:pos="4410"/>
        </w:tabs>
        <w:spacing w:line="400" w:lineRule="exact"/>
        <w:ind w:firstLine="420" w:firstLineChars="200"/>
        <w:jc w:val="left"/>
        <w:rPr>
          <w:rFonts w:hint="eastAsia" w:ascii="宋体" w:hAnsi="宋体" w:cs="宋体"/>
          <w:color w:val="000000"/>
          <w:szCs w:val="21"/>
        </w:rPr>
      </w:pPr>
      <w:bookmarkStart w:id="108" w:name="_Toc18473"/>
    </w:p>
    <w:p w14:paraId="28172C7C">
      <w:pPr>
        <w:tabs>
          <w:tab w:val="left" w:pos="4410"/>
        </w:tabs>
        <w:spacing w:line="400" w:lineRule="exact"/>
        <w:ind w:firstLine="480" w:firstLineChars="200"/>
        <w:jc w:val="left"/>
        <w:rPr>
          <w:rFonts w:hint="eastAsia" w:ascii="Times New Roman" w:hAnsi="Times New Roman" w:eastAsia="宋体" w:cs="Times New Roman"/>
          <w:color w:val="000000"/>
          <w:sz w:val="24"/>
          <w:szCs w:val="21"/>
        </w:rPr>
      </w:pPr>
      <w:r>
        <w:rPr>
          <w:rFonts w:hint="eastAsia" w:ascii="Times New Roman" w:hAnsi="Times New Roman" w:eastAsia="宋体" w:cs="Times New Roman"/>
          <w:color w:val="000000"/>
          <w:sz w:val="24"/>
          <w:szCs w:val="21"/>
        </w:rPr>
        <w:t>统一社会信用代码：</w:t>
      </w:r>
      <w:r>
        <w:rPr>
          <w:rFonts w:hint="eastAsia" w:ascii="Times New Roman" w:hAnsi="Times New Roman" w:eastAsia="宋体" w:cs="Times New Roman"/>
          <w:color w:val="000000"/>
          <w:sz w:val="24"/>
          <w:szCs w:val="21"/>
          <w:u w:val="single"/>
        </w:rPr>
        <w:t xml:space="preserve">           </w:t>
      </w:r>
      <w:r>
        <w:rPr>
          <w:rFonts w:hint="eastAsia" w:ascii="Times New Roman" w:hAnsi="Times New Roman" w:eastAsia="宋体" w:cs="Times New Roman"/>
          <w:color w:val="000000"/>
          <w:sz w:val="24"/>
          <w:szCs w:val="21"/>
        </w:rPr>
        <w:t xml:space="preserve">                  统一社会信用代码：</w:t>
      </w:r>
      <w:r>
        <w:rPr>
          <w:rFonts w:hint="eastAsia" w:ascii="Times New Roman" w:hAnsi="Times New Roman" w:eastAsia="宋体" w:cs="Times New Roman"/>
          <w:color w:val="000000"/>
          <w:sz w:val="24"/>
          <w:szCs w:val="21"/>
          <w:u w:val="single"/>
        </w:rPr>
        <w:t xml:space="preserve">                  </w:t>
      </w:r>
      <w:r>
        <w:rPr>
          <w:rFonts w:hint="eastAsia" w:ascii="Times New Roman" w:hAnsi="Times New Roman" w:eastAsia="宋体" w:cs="Times New Roman"/>
          <w:color w:val="000000"/>
          <w:sz w:val="24"/>
          <w:szCs w:val="21"/>
        </w:rPr>
        <w:t xml:space="preserve"> </w:t>
      </w:r>
    </w:p>
    <w:p w14:paraId="7761CB2D">
      <w:pPr>
        <w:pStyle w:val="11"/>
        <w:rPr>
          <w:color w:val="000000"/>
        </w:rPr>
      </w:pPr>
      <w:r>
        <w:rPr>
          <w:color w:val="000000"/>
        </w:rPr>
        <w:t>地  址：</w:t>
      </w:r>
      <w:r>
        <w:rPr>
          <w:color w:val="000000"/>
          <w:u w:val="single"/>
        </w:rPr>
        <w:t xml:space="preserve">                     </w:t>
      </w:r>
      <w:r>
        <w:rPr>
          <w:color w:val="000000"/>
        </w:rPr>
        <w:t xml:space="preserve">                  地  址：</w:t>
      </w:r>
      <w:r>
        <w:rPr>
          <w:color w:val="000000"/>
          <w:u w:val="single"/>
        </w:rPr>
        <w:t xml:space="preserve">                            </w:t>
      </w:r>
    </w:p>
    <w:p w14:paraId="1535608D">
      <w:pPr>
        <w:pStyle w:val="11"/>
        <w:rPr>
          <w:color w:val="000000"/>
        </w:rPr>
      </w:pPr>
      <w:r>
        <w:rPr>
          <w:color w:val="000000"/>
        </w:rPr>
        <w:t>邮政编码：</w:t>
      </w:r>
      <w:r>
        <w:rPr>
          <w:color w:val="000000"/>
          <w:u w:val="single"/>
        </w:rPr>
        <w:t xml:space="preserve">                   </w:t>
      </w:r>
      <w:r>
        <w:rPr>
          <w:color w:val="000000"/>
        </w:rPr>
        <w:t xml:space="preserve">                  邮政编码：</w:t>
      </w:r>
      <w:r>
        <w:rPr>
          <w:color w:val="000000"/>
          <w:u w:val="single"/>
        </w:rPr>
        <w:t xml:space="preserve">                          </w:t>
      </w:r>
    </w:p>
    <w:p w14:paraId="6D25A6AF">
      <w:pPr>
        <w:pStyle w:val="11"/>
        <w:rPr>
          <w:color w:val="000000"/>
        </w:rPr>
      </w:pPr>
      <w:r>
        <w:rPr>
          <w:color w:val="000000"/>
        </w:rPr>
        <w:t>法定代表人：</w:t>
      </w:r>
      <w:r>
        <w:rPr>
          <w:color w:val="000000"/>
          <w:u w:val="single"/>
        </w:rPr>
        <w:t xml:space="preserve">                 </w:t>
      </w:r>
      <w:r>
        <w:rPr>
          <w:color w:val="000000"/>
        </w:rPr>
        <w:t xml:space="preserve">                  法定代表人：</w:t>
      </w:r>
      <w:r>
        <w:rPr>
          <w:color w:val="000000"/>
          <w:u w:val="single"/>
        </w:rPr>
        <w:t xml:space="preserve">                        </w:t>
      </w:r>
    </w:p>
    <w:p w14:paraId="063ACC91">
      <w:pPr>
        <w:pStyle w:val="11"/>
        <w:rPr>
          <w:color w:val="000000"/>
        </w:rPr>
      </w:pPr>
      <w:r>
        <w:rPr>
          <w:color w:val="000000"/>
        </w:rPr>
        <w:t>委托代理人：</w:t>
      </w:r>
      <w:r>
        <w:rPr>
          <w:color w:val="000000"/>
          <w:u w:val="single"/>
        </w:rPr>
        <w:t xml:space="preserve">                 </w:t>
      </w:r>
      <w:r>
        <w:rPr>
          <w:color w:val="000000"/>
        </w:rPr>
        <w:t xml:space="preserve">                  委托代理人：</w:t>
      </w:r>
      <w:r>
        <w:rPr>
          <w:color w:val="000000"/>
          <w:u w:val="single"/>
        </w:rPr>
        <w:t xml:space="preserve">                         </w:t>
      </w:r>
    </w:p>
    <w:p w14:paraId="065DC572">
      <w:pPr>
        <w:pStyle w:val="11"/>
        <w:rPr>
          <w:color w:val="000000"/>
        </w:rPr>
      </w:pPr>
      <w:r>
        <w:rPr>
          <w:color w:val="000000"/>
        </w:rPr>
        <w:t>电  话：</w:t>
      </w:r>
      <w:r>
        <w:rPr>
          <w:color w:val="000000"/>
          <w:u w:val="single"/>
        </w:rPr>
        <w:t xml:space="preserve">                     </w:t>
      </w:r>
      <w:r>
        <w:rPr>
          <w:color w:val="000000"/>
        </w:rPr>
        <w:t xml:space="preserve">                  电  话：</w:t>
      </w:r>
      <w:r>
        <w:rPr>
          <w:color w:val="000000"/>
          <w:u w:val="single"/>
        </w:rPr>
        <w:t xml:space="preserve">                            </w:t>
      </w:r>
    </w:p>
    <w:p w14:paraId="549B9807">
      <w:pPr>
        <w:pStyle w:val="11"/>
        <w:rPr>
          <w:color w:val="000000"/>
        </w:rPr>
      </w:pPr>
      <w:r>
        <w:rPr>
          <w:color w:val="000000"/>
        </w:rPr>
        <w:t>传  真：</w:t>
      </w:r>
      <w:r>
        <w:rPr>
          <w:color w:val="000000"/>
          <w:u w:val="single"/>
        </w:rPr>
        <w:t xml:space="preserve">                     </w:t>
      </w:r>
      <w:r>
        <w:rPr>
          <w:color w:val="000000"/>
        </w:rPr>
        <w:t xml:space="preserve">                  传  真：</w:t>
      </w:r>
      <w:r>
        <w:rPr>
          <w:color w:val="000000"/>
          <w:u w:val="single"/>
        </w:rPr>
        <w:t xml:space="preserve">                             </w:t>
      </w:r>
    </w:p>
    <w:p w14:paraId="754021CA">
      <w:pPr>
        <w:pStyle w:val="11"/>
        <w:rPr>
          <w:color w:val="000000"/>
        </w:rPr>
      </w:pPr>
      <w:r>
        <w:rPr>
          <w:color w:val="000000"/>
        </w:rPr>
        <w:t>电子信箱：</w:t>
      </w:r>
      <w:r>
        <w:rPr>
          <w:color w:val="000000"/>
          <w:u w:val="single"/>
        </w:rPr>
        <w:t xml:space="preserve">                   </w:t>
      </w:r>
      <w:r>
        <w:rPr>
          <w:color w:val="000000"/>
        </w:rPr>
        <w:t xml:space="preserve">                  电子信箱：</w:t>
      </w:r>
      <w:r>
        <w:rPr>
          <w:color w:val="000000"/>
          <w:u w:val="single"/>
        </w:rPr>
        <w:t xml:space="preserve">                         </w:t>
      </w:r>
    </w:p>
    <w:p w14:paraId="4AF21976">
      <w:pPr>
        <w:pStyle w:val="11"/>
        <w:rPr>
          <w:color w:val="000000"/>
        </w:rPr>
      </w:pPr>
      <w:r>
        <w:rPr>
          <w:color w:val="000000"/>
        </w:rPr>
        <w:t>开户银行：</w:t>
      </w:r>
      <w:r>
        <w:rPr>
          <w:color w:val="000000"/>
          <w:u w:val="single"/>
        </w:rPr>
        <w:t xml:space="preserve">                   </w:t>
      </w:r>
      <w:r>
        <w:rPr>
          <w:color w:val="000000"/>
        </w:rPr>
        <w:t xml:space="preserve">                  开户银行：</w:t>
      </w:r>
      <w:r>
        <w:rPr>
          <w:color w:val="000000"/>
          <w:u w:val="single"/>
        </w:rPr>
        <w:t xml:space="preserve">                         </w:t>
      </w:r>
    </w:p>
    <w:p w14:paraId="2618F8B6">
      <w:pPr>
        <w:pStyle w:val="11"/>
        <w:rPr>
          <w:color w:val="000000"/>
          <w:u w:val="single"/>
        </w:rPr>
      </w:pPr>
      <w:r>
        <w:rPr>
          <w:color w:val="000000"/>
        </w:rPr>
        <w:t>账  号：</w:t>
      </w:r>
      <w:r>
        <w:rPr>
          <w:color w:val="000000"/>
          <w:u w:val="single"/>
        </w:rPr>
        <w:t xml:space="preserve">                     </w:t>
      </w:r>
      <w:r>
        <w:rPr>
          <w:color w:val="000000"/>
        </w:rPr>
        <w:t xml:space="preserve">                  账  号：</w:t>
      </w:r>
      <w:r>
        <w:rPr>
          <w:color w:val="000000"/>
          <w:u w:val="single"/>
        </w:rPr>
        <w:t xml:space="preserve">                           </w:t>
      </w:r>
    </w:p>
    <w:p w14:paraId="162AF676">
      <w:pPr>
        <w:pStyle w:val="11"/>
        <w:rPr>
          <w:b/>
        </w:rPr>
      </w:pPr>
      <w:r>
        <w:rPr>
          <w:b/>
        </w:rPr>
        <w:t xml:space="preserve">附上                     </w:t>
      </w:r>
    </w:p>
    <w:p w14:paraId="25BAAD22">
      <w:pPr>
        <w:pStyle w:val="42"/>
        <w:numPr>
          <w:ilvl w:val="0"/>
          <w:numId w:val="70"/>
        </w:numPr>
        <w:ind w:left="0" w:leftChars="0" w:firstLine="480" w:firstLineChars="0"/>
        <w:outlineLvl w:val="0"/>
        <w:rPr>
          <w:b/>
        </w:rPr>
      </w:pPr>
      <w:r>
        <w:rPr>
          <w:b/>
        </w:rPr>
        <w:t>成交通知书</w:t>
      </w:r>
      <w:bookmarkEnd w:id="108"/>
    </w:p>
    <w:p w14:paraId="20A27497">
      <w:pPr>
        <w:pStyle w:val="17"/>
        <w:rPr>
          <w:rFonts w:ascii="宋体" w:hAnsi="宋体" w:cs="宋体"/>
          <w:szCs w:val="21"/>
        </w:rPr>
      </w:pPr>
    </w:p>
    <w:p w14:paraId="14063729">
      <w:pPr>
        <w:rPr>
          <w:rFonts w:ascii="宋体" w:hAnsi="宋体" w:cs="宋体"/>
          <w:szCs w:val="21"/>
        </w:rPr>
      </w:pPr>
    </w:p>
    <w:p w14:paraId="7E689B6F">
      <w:pPr>
        <w:pStyle w:val="17"/>
        <w:rPr>
          <w:rFonts w:ascii="宋体" w:hAnsi="宋体" w:cs="宋体"/>
          <w:szCs w:val="21"/>
        </w:rPr>
      </w:pPr>
    </w:p>
    <w:p w14:paraId="65C6F084">
      <w:pPr>
        <w:rPr>
          <w:rFonts w:ascii="宋体" w:hAnsi="宋体" w:cs="宋体"/>
          <w:szCs w:val="21"/>
        </w:rPr>
      </w:pPr>
    </w:p>
    <w:p w14:paraId="2A262C09">
      <w:bookmarkStart w:id="109" w:name="_Toc3268"/>
      <w:r>
        <w:br w:type="page"/>
      </w:r>
    </w:p>
    <w:p w14:paraId="5B8A7042">
      <w:pPr>
        <w:pStyle w:val="42"/>
        <w:numPr>
          <w:ilvl w:val="0"/>
          <w:numId w:val="70"/>
        </w:numPr>
        <w:ind w:left="0" w:leftChars="0" w:firstLine="480" w:firstLineChars="0"/>
        <w:outlineLvl w:val="0"/>
      </w:pPr>
      <w:r>
        <w:t>专用合同条款</w:t>
      </w:r>
      <w:bookmarkEnd w:id="109"/>
    </w:p>
    <w:p w14:paraId="4A8DB0FB">
      <w:pPr>
        <w:pStyle w:val="2"/>
        <w:bidi w:val="0"/>
        <w:ind w:left="0" w:leftChars="0" w:firstLine="482" w:firstLineChars="0"/>
      </w:pPr>
      <w:r>
        <w:t>一般约定</w:t>
      </w:r>
    </w:p>
    <w:p w14:paraId="27AC22FD">
      <w:pPr>
        <w:pStyle w:val="2"/>
        <w:numPr>
          <w:ilvl w:val="0"/>
          <w:numId w:val="0"/>
        </w:numPr>
        <w:bidi w:val="0"/>
        <w:ind w:left="482" w:leftChars="0"/>
      </w:pPr>
      <w:r>
        <w:t>1.1 词语定义</w:t>
      </w:r>
    </w:p>
    <w:p w14:paraId="269B097F">
      <w:pPr>
        <w:pStyle w:val="2"/>
        <w:numPr>
          <w:ilvl w:val="0"/>
          <w:numId w:val="0"/>
        </w:numPr>
        <w:bidi w:val="0"/>
        <w:ind w:left="482" w:leftChars="0"/>
      </w:pPr>
      <w:r>
        <w:t>1.1.2  合同当事人和人员</w:t>
      </w:r>
    </w:p>
    <w:p w14:paraId="229F0041">
      <w:pPr>
        <w:pStyle w:val="11"/>
      </w:pPr>
      <w:r>
        <w:t>1.1.2.2  发包人：</w:t>
      </w:r>
      <w:r>
        <w:rPr>
          <w:u w:val="single"/>
        </w:rPr>
        <w:t xml:space="preserve">                   </w:t>
      </w:r>
      <w:r>
        <w:t>。</w:t>
      </w:r>
    </w:p>
    <w:p w14:paraId="0B983CBE">
      <w:pPr>
        <w:pStyle w:val="11"/>
      </w:pPr>
      <w:r>
        <w:t>1.1.2.3  承包人：</w:t>
      </w:r>
      <w:r>
        <w:rPr>
          <w:u w:val="single"/>
        </w:rPr>
        <w:t xml:space="preserve">                         </w:t>
      </w:r>
      <w:r>
        <w:t>。</w:t>
      </w:r>
    </w:p>
    <w:p w14:paraId="690A4FA2">
      <w:pPr>
        <w:pStyle w:val="11"/>
      </w:pPr>
      <w:r>
        <w:t>1.1.2.5  分包人：</w:t>
      </w:r>
      <w:r>
        <w:rPr>
          <w:u w:val="single"/>
        </w:rPr>
        <w:t xml:space="preserve">  本工程不实行分包、转包          </w:t>
      </w:r>
      <w:r>
        <w:t xml:space="preserve"> 。</w:t>
      </w:r>
    </w:p>
    <w:p w14:paraId="6A1341E6">
      <w:pPr>
        <w:pStyle w:val="11"/>
      </w:pPr>
      <w:r>
        <w:t>1.1.2.6  监理人：</w:t>
      </w:r>
      <w:r>
        <w:rPr>
          <w:u w:val="single"/>
        </w:rPr>
        <w:t xml:space="preserve">                        </w:t>
      </w:r>
      <w:r>
        <w:t xml:space="preserve"> 。</w:t>
      </w:r>
    </w:p>
    <w:p w14:paraId="31E2BB08">
      <w:pPr>
        <w:pStyle w:val="11"/>
      </w:pPr>
      <w:r>
        <w:rPr>
          <w:b w:val="0"/>
          <w:bCs w:val="0"/>
        </w:rPr>
        <w:t xml:space="preserve">1.1.4  日期： 2025年 月  日        </w:t>
      </w:r>
      <w:r>
        <w:t xml:space="preserve"> 。</w:t>
      </w:r>
    </w:p>
    <w:p w14:paraId="4758ABC5">
      <w:pPr>
        <w:pStyle w:val="11"/>
      </w:pPr>
      <w:r>
        <w:t>1.1.4.5  缺陷责任期（工程质量保修期）：双方约定本项目的质量保修期为保修期的起算日至通过竣工验收后一年。</w:t>
      </w:r>
    </w:p>
    <w:p w14:paraId="08CB410A">
      <w:pPr>
        <w:pStyle w:val="2"/>
        <w:numPr>
          <w:ilvl w:val="0"/>
          <w:numId w:val="0"/>
        </w:numPr>
        <w:bidi w:val="0"/>
        <w:ind w:left="482" w:leftChars="0"/>
        <w:rPr>
          <w:b w:val="0"/>
          <w:bCs w:val="0"/>
        </w:rPr>
      </w:pPr>
      <w:r>
        <w:rPr>
          <w:b w:val="0"/>
          <w:bCs w:val="0"/>
        </w:rPr>
        <w:t>1.4 合同文件的优先顺序</w:t>
      </w:r>
    </w:p>
    <w:p w14:paraId="75517540">
      <w:pPr>
        <w:pStyle w:val="11"/>
      </w:pPr>
      <w:r>
        <w:t>进入合同的各项文件及其优先顺序如下：</w:t>
      </w:r>
    </w:p>
    <w:p w14:paraId="6A1DB03B">
      <w:pPr>
        <w:pStyle w:val="11"/>
      </w:pPr>
      <w:r>
        <w:t>（1）成交通知书；</w:t>
      </w:r>
    </w:p>
    <w:p w14:paraId="5445C020">
      <w:pPr>
        <w:pStyle w:val="11"/>
      </w:pPr>
      <w:r>
        <w:t>（2）投标函及投标函附录；</w:t>
      </w:r>
    </w:p>
    <w:p w14:paraId="249A34C4">
      <w:pPr>
        <w:pStyle w:val="11"/>
      </w:pPr>
      <w:r>
        <w:t>（3）专用合同条款（含附加条款）；</w:t>
      </w:r>
    </w:p>
    <w:p w14:paraId="25FF4D73">
      <w:pPr>
        <w:pStyle w:val="11"/>
      </w:pPr>
      <w:r>
        <w:t>（4）通用合同条款；</w:t>
      </w:r>
    </w:p>
    <w:p w14:paraId="1825EF7F">
      <w:pPr>
        <w:pStyle w:val="11"/>
      </w:pPr>
      <w:r>
        <w:t>（5）技术标准和要求（合同技术条款）；</w:t>
      </w:r>
    </w:p>
    <w:p w14:paraId="11EC8579">
      <w:pPr>
        <w:pStyle w:val="11"/>
      </w:pPr>
      <w:r>
        <w:t>（6）图纸；</w:t>
      </w:r>
    </w:p>
    <w:p w14:paraId="5EA7623D">
      <w:pPr>
        <w:pStyle w:val="11"/>
      </w:pPr>
      <w:r>
        <w:t>（7）已标价的工程量清单；</w:t>
      </w:r>
    </w:p>
    <w:p w14:paraId="48A4C426">
      <w:pPr>
        <w:pStyle w:val="11"/>
      </w:pPr>
      <w:r>
        <w:t>（8）安全生产合同；</w:t>
      </w:r>
    </w:p>
    <w:p w14:paraId="55C442F9">
      <w:pPr>
        <w:pStyle w:val="11"/>
      </w:pPr>
      <w:r>
        <w:t>（9）廉政合同；</w:t>
      </w:r>
    </w:p>
    <w:p w14:paraId="5980B0A0">
      <w:pPr>
        <w:pStyle w:val="11"/>
      </w:pPr>
      <w:r>
        <w:t>（10）工程质量保修书；</w:t>
      </w:r>
    </w:p>
    <w:p w14:paraId="19E50FEB">
      <w:pPr>
        <w:pStyle w:val="11"/>
      </w:pPr>
      <w:r>
        <w:t>（11）其他合同文件。</w:t>
      </w:r>
    </w:p>
    <w:p w14:paraId="7267CF3E">
      <w:pPr>
        <w:pStyle w:val="11"/>
      </w:pPr>
      <w:r>
        <w:t>上述文件将互相补充，若有不明确或不一致处，以上列次序在先者为准。另外双方有关工程的洽商、变更等书面协议或文件视为本合同的组成部分，若有不明确或不一致处以时间顺序在后者为准。</w:t>
      </w:r>
    </w:p>
    <w:p w14:paraId="21CEFF9C">
      <w:pPr>
        <w:pStyle w:val="2"/>
        <w:numPr>
          <w:ilvl w:val="0"/>
          <w:numId w:val="0"/>
        </w:numPr>
        <w:bidi w:val="0"/>
        <w:ind w:left="482" w:leftChars="0"/>
      </w:pPr>
      <w:r>
        <w:t>1.7 联络</w:t>
      </w:r>
    </w:p>
    <w:p w14:paraId="7C5D87A8">
      <w:pPr>
        <w:pStyle w:val="11"/>
      </w:pPr>
      <w:r>
        <w:t>1.7.2  来往函件均应按技术标准和要求（合同技术条款）约定的期限送达发包人和承包人工作所在地。</w:t>
      </w:r>
    </w:p>
    <w:p w14:paraId="676EE83A">
      <w:pPr>
        <w:pStyle w:val="2"/>
        <w:tabs>
          <w:tab w:val="left" w:pos="802"/>
        </w:tabs>
        <w:bidi w:val="0"/>
        <w:ind w:left="0" w:leftChars="0" w:firstLine="482" w:firstLineChars="0"/>
      </w:pPr>
      <w:bookmarkStart w:id="110" w:name="_Toc8981"/>
      <w:r>
        <w:rPr>
          <w:rFonts w:hint="eastAsia"/>
          <w:lang w:eastAsia="zh-CN"/>
        </w:rPr>
        <w:tab/>
      </w:r>
      <w:r>
        <w:t>发包人义务</w:t>
      </w:r>
      <w:bookmarkEnd w:id="110"/>
    </w:p>
    <w:p w14:paraId="213CE933">
      <w:pPr>
        <w:pStyle w:val="2"/>
        <w:numPr>
          <w:ilvl w:val="0"/>
          <w:numId w:val="0"/>
        </w:numPr>
        <w:bidi w:val="0"/>
        <w:ind w:left="482" w:leftChars="0"/>
      </w:pPr>
      <w:r>
        <w:t>2.3 提供施工场地</w:t>
      </w:r>
    </w:p>
    <w:p w14:paraId="7085FEF9">
      <w:pPr>
        <w:pStyle w:val="11"/>
      </w:pPr>
      <w:r>
        <w:t>2.3.2</w:t>
      </w:r>
      <w:r>
        <w:rPr>
          <w:b w:val="0"/>
        </w:rPr>
        <w:t>发包人提供的施工场地范围为：发包人负责办理工地范围内的征地、拆迁和移民等有关手续，向承包人提供施工用地；发包人提供永久征地和施工临时用地红线图及坐标，承包人自行测量边界并标示，按文明施工要求对施工场地进行围挡；承包人应无条件接受现场条件并对施工场地进行维护；以上费用由承包人承担，发包人不另行支付。如果承包人出于任何正当的理由，要求使用任何额外的施工用地，应至少提前30天向监理人提出报告，请求发包人协助以获得其所需之用地，报告应阐明所需额外用地的理由。发包人将协助承包商获得其所需的任何用地，但所有有关的费用都应由承包商负担。发包人不承诺保证获得或提供承包人要求的任何用地。</w:t>
      </w:r>
      <w:r>
        <w:t xml:space="preserve"> </w:t>
      </w:r>
    </w:p>
    <w:p w14:paraId="037DE010">
      <w:pPr>
        <w:pStyle w:val="11"/>
        <w:rPr>
          <w:b/>
          <w:bCs/>
        </w:rPr>
      </w:pPr>
      <w:r>
        <w:rPr>
          <w:b/>
          <w:bCs/>
        </w:rPr>
        <w:t>2.3.3承包人自行勘察的施工场地范围为：完成合同工程施工建设任务所涉及的所有范围。</w:t>
      </w:r>
    </w:p>
    <w:p w14:paraId="2E211DB9">
      <w:pPr>
        <w:pStyle w:val="2"/>
        <w:numPr>
          <w:ilvl w:val="0"/>
          <w:numId w:val="0"/>
        </w:numPr>
        <w:bidi w:val="0"/>
        <w:ind w:left="482" w:leftChars="0"/>
      </w:pPr>
      <w:r>
        <w:t xml:space="preserve">2.8 其它义务  </w:t>
      </w:r>
    </w:p>
    <w:p w14:paraId="02ACF8CD">
      <w:pPr>
        <w:pStyle w:val="2"/>
        <w:bidi w:val="0"/>
        <w:ind w:left="0" w:leftChars="0" w:firstLine="482" w:firstLineChars="0"/>
      </w:pPr>
      <w:bookmarkStart w:id="111" w:name="_Toc12821"/>
      <w:r>
        <w:t>监理人</w:t>
      </w:r>
      <w:bookmarkEnd w:id="111"/>
    </w:p>
    <w:p w14:paraId="3D57AEFF">
      <w:pPr>
        <w:pStyle w:val="2"/>
        <w:numPr>
          <w:ilvl w:val="0"/>
          <w:numId w:val="0"/>
        </w:numPr>
        <w:bidi w:val="0"/>
        <w:ind w:left="482" w:leftChars="0"/>
      </w:pPr>
      <w:r>
        <w:t>3.1 监理人的职责和权力</w:t>
      </w:r>
    </w:p>
    <w:p w14:paraId="5C5F3536">
      <w:pPr>
        <w:pStyle w:val="11"/>
      </w:pPr>
      <w:r>
        <w:t>3.1.1　监理人须根据发包人事先批准的权力范围行使权力，发包人批准的权力范围：按本工程委托监理合同。</w:t>
      </w:r>
    </w:p>
    <w:p w14:paraId="0E6E0ADF">
      <w:pPr>
        <w:pStyle w:val="2"/>
        <w:bidi w:val="0"/>
        <w:ind w:left="0" w:leftChars="0" w:firstLine="482" w:firstLineChars="0"/>
      </w:pPr>
      <w:bookmarkStart w:id="112" w:name="_Toc22378"/>
      <w:r>
        <w:t>承包人</w:t>
      </w:r>
      <w:bookmarkEnd w:id="112"/>
    </w:p>
    <w:p w14:paraId="1AFBCE41">
      <w:pPr>
        <w:pStyle w:val="2"/>
        <w:numPr>
          <w:ilvl w:val="0"/>
          <w:numId w:val="0"/>
        </w:numPr>
        <w:bidi w:val="0"/>
        <w:ind w:left="482" w:leftChars="0"/>
      </w:pPr>
      <w:r>
        <w:t>4.1 承包人的一般义务</w:t>
      </w:r>
    </w:p>
    <w:p w14:paraId="13D6D6EA">
      <w:pPr>
        <w:pStyle w:val="2"/>
        <w:numPr>
          <w:ilvl w:val="0"/>
          <w:numId w:val="0"/>
        </w:numPr>
        <w:bidi w:val="0"/>
        <w:ind w:left="482" w:leftChars="0"/>
      </w:pPr>
      <w:r>
        <w:t>4.1.10 其他义务</w:t>
      </w:r>
    </w:p>
    <w:p w14:paraId="0103E4AA">
      <w:pPr>
        <w:pStyle w:val="11"/>
      </w:pPr>
      <w:r>
        <w:t>（一）办理有关保险。</w:t>
      </w:r>
    </w:p>
    <w:p w14:paraId="3DC0A5B4">
      <w:pPr>
        <w:pStyle w:val="11"/>
      </w:pPr>
      <w:r>
        <w:t>按照《建筑法》规定，必须在工程开工前，为参加本合同工程现场施工的所有作业人员及管理人员，包括参加工程建设的管理人员、监理人员、施工人员(含民工)办理工伤保险，并缴纳工伤保险费。保险期限自投保之日(工程开工之日)起至工程竣工验收时止, 时间上涵盖施工全过程的任一时段。</w:t>
      </w:r>
    </w:p>
    <w:p w14:paraId="0AC38DDB">
      <w:pPr>
        <w:pStyle w:val="11"/>
      </w:pPr>
      <w:r>
        <w:t>按照《建筑法》规定，鼓励为从事危险作业的职工办理意外伤害保险。</w:t>
      </w:r>
    </w:p>
    <w:p w14:paraId="702E721E">
      <w:pPr>
        <w:pStyle w:val="11"/>
      </w:pPr>
      <w:bookmarkStart w:id="113" w:name="bookmark1624"/>
      <w:bookmarkEnd w:id="113"/>
      <w:r>
        <w:t>（二）执行广西壮族自治区解决企业拖欠工资问题联席会议关于保障农民工工资支付的有关规定，确保农民工工资无拖欠。</w:t>
      </w:r>
    </w:p>
    <w:p w14:paraId="115E6D15">
      <w:pPr>
        <w:pStyle w:val="11"/>
      </w:pPr>
      <w:r>
        <w:t>依法与招用的农民工签订并履行劳动合同，建立职工名册，及时办理劳动用工备案。实行农民工工资专用账户管理、银行代发农民工工资制度和农民工工资保证金制度。</w:t>
      </w:r>
    </w:p>
    <w:p w14:paraId="73FC6EC6">
      <w:pPr>
        <w:pStyle w:val="11"/>
      </w:pPr>
      <w:bookmarkStart w:id="114" w:name="bookmark1625"/>
      <w:bookmarkEnd w:id="114"/>
      <w:r>
        <w:t>（三）工程施工的义务和责任</w:t>
      </w:r>
    </w:p>
    <w:p w14:paraId="2585232A">
      <w:pPr>
        <w:pStyle w:val="11"/>
      </w:pPr>
      <w:bookmarkStart w:id="115" w:name="bookmark1626"/>
      <w:bookmarkEnd w:id="115"/>
      <w:r>
        <w:t>（1）承包人应负责施工场地内部的水、电等施工管、线路的铺、架设及其费用，并按供电部门规定向供电部门(或发包人)交纳水、电费。另外，施工通讯及设施由承包人负责并承担费用。</w:t>
      </w:r>
    </w:p>
    <w:p w14:paraId="6CD681FF">
      <w:pPr>
        <w:pStyle w:val="11"/>
      </w:pPr>
      <w:bookmarkStart w:id="116" w:name="bookmark1627"/>
      <w:bookmarkEnd w:id="116"/>
      <w:r>
        <w:t>（2）除民房外，承包人应按监理人的指示负责拆除、清理已征用土地上的杂物、灌木、 树木、树根、杂草等。</w:t>
      </w:r>
    </w:p>
    <w:p w14:paraId="737F8F1C">
      <w:pPr>
        <w:pStyle w:val="11"/>
      </w:pPr>
      <w:bookmarkStart w:id="117" w:name="bookmark1628"/>
      <w:bookmarkEnd w:id="117"/>
      <w:r>
        <w:t>（3）承包人应充分理解有一些设施(如施工道路、桥梁)可能会有其它人和单位使用通行，在使用过程中发生干扰时，应立即通知监理人并服从监理人的决定。</w:t>
      </w:r>
    </w:p>
    <w:p w14:paraId="0FDD7620">
      <w:pPr>
        <w:pStyle w:val="11"/>
      </w:pPr>
      <w:bookmarkStart w:id="118" w:name="bookmark1629"/>
      <w:bookmarkEnd w:id="118"/>
      <w:r>
        <w:t>（4）承包人应为监理人、发包人现场代表对施工现场的检查监督提供必要的配合，并对这种配合对施工的影响应有充分的考虑。</w:t>
      </w:r>
    </w:p>
    <w:p w14:paraId="2A38635D">
      <w:pPr>
        <w:pStyle w:val="11"/>
      </w:pPr>
      <w:bookmarkStart w:id="119" w:name="bookmark1630"/>
      <w:bookmarkEnd w:id="119"/>
      <w:r>
        <w:t>（5）工程竣工后，承包人应按监理人的指示清理施工现场直至监理人、发包人满意 为止。</w:t>
      </w:r>
    </w:p>
    <w:p w14:paraId="79678F5D">
      <w:pPr>
        <w:pStyle w:val="11"/>
      </w:pPr>
      <w:bookmarkStart w:id="120" w:name="bookmark1631"/>
      <w:bookmarkEnd w:id="120"/>
      <w:r>
        <w:t>（6）对上述(1)～ (5)项工作，费用已包括在有关单价和总价中，发包人不再另行支付由此所发生的一切费用。</w:t>
      </w:r>
    </w:p>
    <w:p w14:paraId="463BBC4A">
      <w:pPr>
        <w:pStyle w:val="11"/>
      </w:pPr>
      <w:bookmarkStart w:id="121" w:name="bookmark1632"/>
      <w:bookmarkEnd w:id="121"/>
      <w:r>
        <w:t>（7）经过公路、城市道路的施工车辆，必须按交警、城管、环保、环卫等部门规定执行。施工车辆的营运手续办理、清洗等一切费用由承包人承担。由于车辆超载、带泥或洒漏造成的道路损坏、环境污染等，其责任和费用均由承包人承担。</w:t>
      </w:r>
    </w:p>
    <w:p w14:paraId="45C303B7">
      <w:pPr>
        <w:pStyle w:val="11"/>
      </w:pPr>
      <w:bookmarkStart w:id="122" w:name="bookmark1633"/>
      <w:bookmarkEnd w:id="122"/>
      <w:r>
        <w:t>（8）承包人必须文明、安全施工，在施工期间发生的一切人员伤亡和财产损失等责任事故和所发生的一切费用概由承包人承担。</w:t>
      </w:r>
    </w:p>
    <w:p w14:paraId="13D9EC11">
      <w:pPr>
        <w:pStyle w:val="11"/>
      </w:pPr>
      <w:bookmarkStart w:id="123" w:name="bookmark1634"/>
      <w:bookmarkEnd w:id="123"/>
      <w:r>
        <w:t>（1）按照发包人的要求做好安全文明宣传、监督检查宣传等工作，相关费用由承包人承担。</w:t>
      </w:r>
    </w:p>
    <w:p w14:paraId="73AC17D0">
      <w:pPr>
        <w:pStyle w:val="11"/>
      </w:pPr>
      <w:bookmarkStart w:id="124" w:name="bookmark1635"/>
      <w:bookmarkEnd w:id="124"/>
      <w:r>
        <w:t>（3）承包人应按约定时间和要求，完成以下工作：</w:t>
      </w:r>
    </w:p>
    <w:p w14:paraId="19789F5E">
      <w:pPr>
        <w:pStyle w:val="11"/>
      </w:pPr>
      <w:bookmarkStart w:id="125" w:name="bookmark1636"/>
      <w:bookmarkEnd w:id="125"/>
      <w:r>
        <w:t>①按时提交施工组织设计、单位工程的施工方案。</w:t>
      </w:r>
    </w:p>
    <w:p w14:paraId="0813F4F2">
      <w:pPr>
        <w:pStyle w:val="11"/>
      </w:pPr>
      <w:bookmarkStart w:id="126" w:name="bookmark1637"/>
      <w:bookmarkEnd w:id="126"/>
      <w:r>
        <w:t>②每月25日向监理人提交当月工程进度报表及下月进度计划。</w:t>
      </w:r>
    </w:p>
    <w:p w14:paraId="2EC37322">
      <w:pPr>
        <w:pStyle w:val="11"/>
      </w:pPr>
      <w:bookmarkStart w:id="127" w:name="bookmark1638"/>
      <w:bookmarkEnd w:id="127"/>
      <w:r>
        <w:t>③承包人自行负责施工安全保卫工作及夜间施工照明。</w:t>
      </w:r>
    </w:p>
    <w:p w14:paraId="1781A39A">
      <w:pPr>
        <w:pStyle w:val="11"/>
      </w:pPr>
      <w:bookmarkStart w:id="128" w:name="bookmark1639"/>
      <w:bookmarkEnd w:id="128"/>
      <w:r>
        <w:t>④需承包人办理的有关施工场地交通、环卫和施工噪音降尘管理等手续：遵守有关部门对施工现场交通、环卫和施工噪音降尘管理规定，如有发生，费用由承包人承担。</w:t>
      </w:r>
    </w:p>
    <w:p w14:paraId="292509E4">
      <w:pPr>
        <w:pStyle w:val="11"/>
      </w:pPr>
      <w:bookmarkStart w:id="129" w:name="bookmark1640"/>
      <w:bookmarkEnd w:id="129"/>
      <w:r>
        <w:t>⑤已完工程成品保护的特殊要求及费用承担：已完工工程未交付发包人之前，承包人按协议条款约定负责已完成工程的成品保护工作，保护期间发生损坏，承包人自费予以修复。</w:t>
      </w:r>
    </w:p>
    <w:p w14:paraId="78665897">
      <w:pPr>
        <w:pStyle w:val="11"/>
      </w:pPr>
      <w:bookmarkStart w:id="130" w:name="bookmark1641"/>
      <w:bookmarkEnd w:id="130"/>
      <w:r>
        <w:t>⑥承包人有义务对施工场地周围管线(含地上及地下)和邻近建筑物、构筑物(含文物保护建筑)、古树名木等进行探明并负责保护。</w:t>
      </w:r>
    </w:p>
    <w:p w14:paraId="62D123F7">
      <w:pPr>
        <w:pStyle w:val="11"/>
      </w:pPr>
      <w:bookmarkStart w:id="131" w:name="bookmark1642"/>
      <w:bookmarkEnd w:id="131"/>
      <w:r>
        <w:t>⑦施工场地清洁卫生的要求：按城建卫生有关规定执行，由承包人负责，费用由承包人承担。</w:t>
      </w:r>
    </w:p>
    <w:p w14:paraId="5E90A633">
      <w:pPr>
        <w:pStyle w:val="11"/>
      </w:pPr>
      <w:bookmarkStart w:id="132" w:name="bookmark1643"/>
      <w:bookmarkEnd w:id="132"/>
      <w:r>
        <w:t>⑧承包人承担施工场地、水电及运输通道的修建和维护、清场等费用。</w:t>
      </w:r>
    </w:p>
    <w:p w14:paraId="1D410E1C">
      <w:pPr>
        <w:pStyle w:val="11"/>
      </w:pPr>
      <w:bookmarkStart w:id="133" w:name="bookmark1644"/>
      <w:bookmarkEnd w:id="133"/>
      <w:r>
        <w:t>（3）双方约定承包人应做的其他工作：</w:t>
      </w:r>
    </w:p>
    <w:p w14:paraId="7D33AD82">
      <w:pPr>
        <w:pStyle w:val="11"/>
      </w:pPr>
      <w:bookmarkStart w:id="134" w:name="bookmark1645"/>
      <w:bookmarkEnd w:id="134"/>
      <w:r>
        <w:t>①凡属于需要承包人交付给其他承包人的工作面以及与其他承包人交叉作业的工作面, 承包人必须服从监理人的决定，按规定的完工日期完成并将清理好的工作面移交给发包人, 并取得监理人的同意。</w:t>
      </w:r>
    </w:p>
    <w:p w14:paraId="585DECA7">
      <w:pPr>
        <w:pStyle w:val="11"/>
      </w:pPr>
      <w:bookmarkStart w:id="135" w:name="bookmark1646"/>
      <w:bookmarkEnd w:id="135"/>
      <w:r>
        <w:t>②工程完工后，承包人应按监理人的指示清理施工现场。并在工程完工后6个月内完成并提交工程竣工资料和工程结算资料。承包人逾期提交，发包人将对承包人的拖延行为视为违约，并按1000元/天计算违约金，违约金从承包人应得的工程款中扣除，但其最终的累计总金额与各项逾期完工违约金合计不超过合同价格的5%。</w:t>
      </w:r>
    </w:p>
    <w:p w14:paraId="6FB49857">
      <w:pPr>
        <w:pStyle w:val="11"/>
      </w:pPr>
      <w:bookmarkStart w:id="136" w:name="bookmark1647"/>
      <w:bookmarkEnd w:id="136"/>
      <w:r>
        <w:t>（4）其他未尽事宜待签订施工合同时双方再协商。</w:t>
      </w:r>
    </w:p>
    <w:p w14:paraId="6C8C4D02">
      <w:pPr>
        <w:pStyle w:val="11"/>
      </w:pPr>
      <w:bookmarkStart w:id="137" w:name="bookmark1648"/>
      <w:bookmarkEnd w:id="137"/>
      <w:r>
        <w:t>（一）鼓励承包人根据工程建设实际，吸纳建档立卡贫困劳动力参加工程建设。</w:t>
      </w:r>
    </w:p>
    <w:p w14:paraId="7C72CEE1">
      <w:pPr>
        <w:pStyle w:val="11"/>
      </w:pPr>
      <w:bookmarkStart w:id="138" w:name="bookmark1649"/>
      <w:bookmarkEnd w:id="138"/>
      <w:r>
        <w:t>（二）执行自治区关于松材线虫病防控工作的有关规定，工程建设采用的模板、支撑及脚手架以钢模板、钢支撑为主，木质模板及仿材尽量就地采购，避免长途转运。</w:t>
      </w:r>
    </w:p>
    <w:p w14:paraId="0546A794">
      <w:pPr>
        <w:pStyle w:val="2"/>
        <w:numPr>
          <w:ilvl w:val="0"/>
          <w:numId w:val="0"/>
        </w:numPr>
        <w:bidi w:val="0"/>
        <w:ind w:left="482" w:leftChars="0"/>
      </w:pPr>
      <w:r>
        <w:t>4.3 分包</w:t>
      </w:r>
    </w:p>
    <w:p w14:paraId="1AC4F308">
      <w:pPr>
        <w:pStyle w:val="11"/>
      </w:pPr>
      <w:r>
        <w:t>本工程不允许分包。</w:t>
      </w:r>
    </w:p>
    <w:p w14:paraId="0A1315A4">
      <w:pPr>
        <w:pStyle w:val="2"/>
        <w:numPr>
          <w:ilvl w:val="0"/>
          <w:numId w:val="0"/>
        </w:numPr>
        <w:bidi w:val="0"/>
        <w:ind w:left="482" w:leftChars="0"/>
      </w:pPr>
      <w:r>
        <w:t>4.7撤换承包人项目经理和其他人员</w:t>
      </w:r>
    </w:p>
    <w:p w14:paraId="6651D345">
      <w:pPr>
        <w:pStyle w:val="11"/>
      </w:pPr>
      <w:r>
        <w:t>□4.7.1成交人根据投标文件的承诺，投入本项目的项目经理、技术负责人、质量管理员、安全管理员等主要管理人员成交后不得更换(除因故去世、调离本单位外)。</w:t>
      </w:r>
    </w:p>
    <w:p w14:paraId="63F49D10">
      <w:pPr>
        <w:pStyle w:val="11"/>
      </w:pPr>
      <w:r>
        <w:t>■4.7.1投入本项目的项目经理、技术负责人、质量管理员、专全管理员等主要管理人员成交后，经成交人申请、监理机构审核允许、招标人同意后方可变更为不低于同等条件的人员。</w:t>
      </w:r>
    </w:p>
    <w:p w14:paraId="638D048D">
      <w:pPr>
        <w:pStyle w:val="11"/>
      </w:pPr>
      <w:r>
        <w:t>4.7.2项目经理每月在工地时间少于</w:t>
      </w:r>
      <w:r>
        <w:rPr>
          <w:u w:val="single"/>
        </w:rPr>
        <w:t xml:space="preserve"> 21 </w:t>
      </w:r>
      <w:r>
        <w:t>日（春节除外），且未经招标人同意的，按未履职处理，由有关行政监督部门处理后报请自治区有关行政监督部门将结果记入市场主体信用档案，公布不良行为记录。</w:t>
      </w:r>
    </w:p>
    <w:p w14:paraId="3E3C1CB7">
      <w:pPr>
        <w:pStyle w:val="2"/>
        <w:numPr>
          <w:ilvl w:val="0"/>
          <w:numId w:val="0"/>
        </w:numPr>
        <w:bidi w:val="0"/>
        <w:ind w:left="482" w:leftChars="0"/>
      </w:pPr>
      <w:r>
        <w:t>4.11 不利物质条件</w:t>
      </w:r>
    </w:p>
    <w:p w14:paraId="6A515A45">
      <w:pPr>
        <w:pStyle w:val="11"/>
      </w:pPr>
      <w:bookmarkStart w:id="139" w:name="_Toc221951159"/>
      <w:bookmarkStart w:id="140" w:name="_Toc22553"/>
      <w:r>
        <w:rPr>
          <w:b/>
        </w:rPr>
        <w:t>4.11.1</w:t>
      </w:r>
      <w:r>
        <w:t>不利物质条件的范围：</w:t>
      </w:r>
      <w:bookmarkStart w:id="141" w:name="OLE_LINK2"/>
      <w:r>
        <w:rPr>
          <w:u w:val="single"/>
        </w:rPr>
        <w:t>不可预见的自然物质条件、非自然的物质障碍和污染物，包括地下和水文条件</w:t>
      </w:r>
      <w:bookmarkEnd w:id="141"/>
      <w:r>
        <w:rPr>
          <w:u w:val="single"/>
        </w:rPr>
        <w:t>等，但不包括气候条件</w:t>
      </w:r>
      <w:r>
        <w:t>。</w:t>
      </w:r>
      <w:bookmarkEnd w:id="139"/>
    </w:p>
    <w:p w14:paraId="5D309BFE">
      <w:pPr>
        <w:pStyle w:val="2"/>
        <w:numPr>
          <w:ilvl w:val="0"/>
          <w:numId w:val="0"/>
        </w:numPr>
        <w:bidi w:val="0"/>
        <w:ind w:left="482" w:leftChars="0"/>
      </w:pPr>
      <w:r>
        <w:t>5. 材料和工程设备</w:t>
      </w:r>
      <w:bookmarkEnd w:id="140"/>
    </w:p>
    <w:p w14:paraId="30EC1DF0">
      <w:pPr>
        <w:pStyle w:val="2"/>
        <w:numPr>
          <w:ilvl w:val="0"/>
          <w:numId w:val="0"/>
        </w:numPr>
        <w:bidi w:val="0"/>
        <w:ind w:left="482" w:leftChars="0"/>
      </w:pPr>
      <w:r>
        <w:t>5.2 发包人提供的材料和工程设备</w:t>
      </w:r>
    </w:p>
    <w:p w14:paraId="566D8056">
      <w:pPr>
        <w:pStyle w:val="11"/>
      </w:pPr>
      <w:bookmarkStart w:id="142" w:name="_Toc28379"/>
      <w:r>
        <w:t>5.2.1本工程发包人不提供材料和工程设备。</w:t>
      </w:r>
    </w:p>
    <w:p w14:paraId="65602B64">
      <w:pPr>
        <w:pStyle w:val="2"/>
        <w:numPr>
          <w:ilvl w:val="0"/>
          <w:numId w:val="0"/>
        </w:numPr>
        <w:bidi w:val="0"/>
        <w:ind w:left="482" w:leftChars="0"/>
      </w:pPr>
      <w:r>
        <w:t>6. 施工设备和临时设施</w:t>
      </w:r>
      <w:bookmarkEnd w:id="142"/>
    </w:p>
    <w:p w14:paraId="4E984C48">
      <w:pPr>
        <w:pStyle w:val="2"/>
        <w:numPr>
          <w:ilvl w:val="0"/>
          <w:numId w:val="0"/>
        </w:numPr>
        <w:bidi w:val="0"/>
        <w:ind w:left="482" w:leftChars="0"/>
      </w:pPr>
      <w:r>
        <w:t>6.1 承包人提供的施工设备和临时设施</w:t>
      </w:r>
    </w:p>
    <w:p w14:paraId="1042A998">
      <w:pPr>
        <w:pStyle w:val="11"/>
      </w:pPr>
      <w:r>
        <w:t>6.1.2承包人自行承担修建临时设施的费用，需要临时占地的，由承包人办理相关申请手续，发包人予以协助，发生的相关费用由承包人承担。</w:t>
      </w:r>
    </w:p>
    <w:p w14:paraId="2FC22DF3">
      <w:pPr>
        <w:pStyle w:val="2"/>
        <w:numPr>
          <w:ilvl w:val="0"/>
          <w:numId w:val="0"/>
        </w:numPr>
        <w:bidi w:val="0"/>
        <w:ind w:left="482" w:leftChars="0"/>
      </w:pPr>
      <w:r>
        <w:t>6.2发包人提供的施工设备和临时设施</w:t>
      </w:r>
    </w:p>
    <w:p w14:paraId="05AD8E9F">
      <w:pPr>
        <w:pStyle w:val="11"/>
      </w:pPr>
      <w:r>
        <w:t>发包人不提供施工设备和临时设施。</w:t>
      </w:r>
    </w:p>
    <w:p w14:paraId="41F62F48">
      <w:pPr>
        <w:pStyle w:val="2"/>
        <w:numPr>
          <w:ilvl w:val="0"/>
          <w:numId w:val="0"/>
        </w:numPr>
        <w:bidi w:val="0"/>
        <w:ind w:left="482" w:leftChars="0"/>
      </w:pPr>
      <w:bookmarkStart w:id="143" w:name="_Toc6188"/>
      <w:r>
        <w:t>7. 交通运输</w:t>
      </w:r>
      <w:bookmarkEnd w:id="143"/>
    </w:p>
    <w:p w14:paraId="74173BA5">
      <w:pPr>
        <w:pStyle w:val="2"/>
        <w:numPr>
          <w:ilvl w:val="0"/>
          <w:numId w:val="0"/>
        </w:numPr>
        <w:bidi w:val="0"/>
        <w:ind w:left="482" w:leftChars="0"/>
      </w:pPr>
      <w:r>
        <w:t>7.1道路通行权和场外设施</w:t>
      </w:r>
    </w:p>
    <w:p w14:paraId="7B6FE0EA">
      <w:pPr>
        <w:pStyle w:val="11"/>
      </w:pPr>
      <w:r>
        <w:t>道路通行权和场外设施的约定：</w:t>
      </w:r>
      <w:r>
        <w:rPr>
          <w:u w:val="single"/>
        </w:rPr>
        <w:t xml:space="preserve">  承包人应根据合同工程的施工需要，负责办理取得出入施工场地的专用和临时道路的通行权，以及取得为工程建设所需修建场外设施的权利，并承担相关费用 </w:t>
      </w:r>
      <w:r>
        <w:t>。</w:t>
      </w:r>
    </w:p>
    <w:p w14:paraId="764FFD4D">
      <w:pPr>
        <w:pStyle w:val="2"/>
        <w:numPr>
          <w:ilvl w:val="0"/>
          <w:numId w:val="0"/>
        </w:numPr>
        <w:bidi w:val="0"/>
        <w:ind w:left="482" w:leftChars="0"/>
      </w:pPr>
      <w:bookmarkStart w:id="144" w:name="_Toc32221"/>
      <w:r>
        <w:t>8. 测量放线</w:t>
      </w:r>
      <w:bookmarkEnd w:id="144"/>
    </w:p>
    <w:p w14:paraId="0620AE47">
      <w:pPr>
        <w:pStyle w:val="2"/>
        <w:numPr>
          <w:ilvl w:val="0"/>
          <w:numId w:val="0"/>
        </w:numPr>
        <w:bidi w:val="0"/>
        <w:ind w:left="482" w:leftChars="0"/>
      </w:pPr>
      <w:r>
        <w:t>8.1 施工控制网</w:t>
      </w:r>
    </w:p>
    <w:p w14:paraId="36067FCC">
      <w:pPr>
        <w:pStyle w:val="11"/>
      </w:pPr>
      <w:r>
        <w:t>8.1.1施工控制网的约定：</w:t>
      </w:r>
      <w:r>
        <w:rPr>
          <w:u w:val="single"/>
        </w:rPr>
        <w:t>由承包人负责测设，并报监理人审批，相关费用由承包人承担</w:t>
      </w:r>
      <w:r>
        <w:t>。</w:t>
      </w:r>
    </w:p>
    <w:p w14:paraId="093306F7">
      <w:pPr>
        <w:pStyle w:val="2"/>
        <w:numPr>
          <w:ilvl w:val="0"/>
          <w:numId w:val="0"/>
        </w:numPr>
        <w:bidi w:val="0"/>
        <w:ind w:left="482" w:leftChars="0"/>
      </w:pPr>
      <w:bookmarkStart w:id="145" w:name="_Toc31695"/>
      <w:r>
        <w:t>9. 施工安全、治安保卫和环境保护</w:t>
      </w:r>
      <w:bookmarkEnd w:id="145"/>
    </w:p>
    <w:p w14:paraId="15B7725E">
      <w:pPr>
        <w:pStyle w:val="2"/>
        <w:numPr>
          <w:ilvl w:val="0"/>
          <w:numId w:val="0"/>
        </w:numPr>
        <w:bidi w:val="0"/>
        <w:ind w:left="482" w:leftChars="0"/>
      </w:pPr>
      <w:r>
        <w:t>9.2 承包人的施工安全责任</w:t>
      </w:r>
    </w:p>
    <w:p w14:paraId="393651AE">
      <w:pPr>
        <w:pStyle w:val="11"/>
      </w:pPr>
      <w:r>
        <w:t>9.2.8安全施工措施所需费用在投标时不得做竞争调整。</w:t>
      </w:r>
    </w:p>
    <w:p w14:paraId="4E8314D4">
      <w:pPr>
        <w:pStyle w:val="2"/>
        <w:numPr>
          <w:ilvl w:val="0"/>
          <w:numId w:val="0"/>
        </w:numPr>
        <w:bidi w:val="0"/>
        <w:ind w:left="482" w:leftChars="0"/>
      </w:pPr>
      <w:r>
        <w:t>9.7 文明工地</w:t>
      </w:r>
    </w:p>
    <w:p w14:paraId="54BDFD39">
      <w:pPr>
        <w:pStyle w:val="11"/>
      </w:pPr>
      <w:r>
        <w:t>9.7.1 本合同文明工地的约定：</w:t>
      </w:r>
      <w:r>
        <w:rPr>
          <w:color w:val="000000"/>
          <w:u w:val="single"/>
        </w:rPr>
        <w:t>要求达到《建筑施工安全检查标准》（JGJ59-2011）的标准和符合《广西壮族自治区建筑工程安全文明施工费使用管理细则》（桂建质安【2015】16号文）的要求</w:t>
      </w:r>
      <w:r>
        <w:t>。</w:t>
      </w:r>
    </w:p>
    <w:p w14:paraId="689FD7F5">
      <w:pPr>
        <w:pStyle w:val="2"/>
        <w:numPr>
          <w:ilvl w:val="0"/>
          <w:numId w:val="0"/>
        </w:numPr>
        <w:bidi w:val="0"/>
        <w:ind w:left="482" w:leftChars="0"/>
      </w:pPr>
      <w:r>
        <w:t>11. 开工和竣工（完工）</w:t>
      </w:r>
    </w:p>
    <w:p w14:paraId="68454334">
      <w:pPr>
        <w:pStyle w:val="11"/>
        <w:rPr>
          <w:b/>
        </w:rPr>
      </w:pPr>
      <w:bookmarkStart w:id="146" w:name="bookmark1713"/>
      <w:bookmarkStart w:id="147" w:name="bookmark1711"/>
      <w:bookmarkStart w:id="148" w:name="bookmark1712"/>
      <w:r>
        <w:rPr>
          <w:b/>
        </w:rPr>
        <w:t>11.2本工程主体工程完工时间为：</w:t>
      </w:r>
      <w:r>
        <w:rPr>
          <w:b/>
          <w:u w:val="single"/>
        </w:rPr>
        <w:tab/>
      </w:r>
      <w:r>
        <w:rPr>
          <w:b/>
          <w:u w:val="single"/>
        </w:rPr>
        <w:t xml:space="preserve">     </w:t>
      </w:r>
      <w:r>
        <w:rPr>
          <w:b/>
        </w:rPr>
        <w:t>年</w:t>
      </w:r>
      <w:r>
        <w:rPr>
          <w:b/>
          <w:u w:val="single"/>
        </w:rPr>
        <w:t xml:space="preserve">     </w:t>
      </w:r>
      <w:r>
        <w:rPr>
          <w:b/>
        </w:rPr>
        <w:t xml:space="preserve">月 </w:t>
      </w:r>
      <w:r>
        <w:rPr>
          <w:b/>
          <w:u w:val="single"/>
        </w:rPr>
        <w:t xml:space="preserve">    </w:t>
      </w:r>
      <w:r>
        <w:rPr>
          <w:b/>
        </w:rPr>
        <w:t>日。</w:t>
      </w:r>
      <w:bookmarkEnd w:id="146"/>
      <w:bookmarkEnd w:id="147"/>
      <w:bookmarkEnd w:id="148"/>
    </w:p>
    <w:p w14:paraId="2250C63A">
      <w:pPr>
        <w:pStyle w:val="11"/>
        <w:rPr>
          <w:b/>
        </w:rPr>
      </w:pPr>
      <w:bookmarkStart w:id="149" w:name="bookmark1716"/>
      <w:bookmarkStart w:id="150" w:name="bookmark1715"/>
      <w:bookmarkStart w:id="151" w:name="bookmark1714"/>
      <w:r>
        <w:rPr>
          <w:b/>
        </w:rPr>
        <w:t>11.3发包人的工期延误</w:t>
      </w:r>
      <w:bookmarkEnd w:id="149"/>
      <w:bookmarkEnd w:id="150"/>
      <w:bookmarkEnd w:id="151"/>
    </w:p>
    <w:p w14:paraId="4844CEA1">
      <w:pPr>
        <w:pStyle w:val="11"/>
      </w:pPr>
      <w:r>
        <w:t>在履行合同过程中，由于发包人的下列原因造成工期延误的，承包人有权要求发包人延长工期，并支付合理利润。需要修订合同进度计划的，按照第10. 2款的约定办理。</w:t>
      </w:r>
    </w:p>
    <w:p w14:paraId="413A1558">
      <w:pPr>
        <w:pStyle w:val="11"/>
      </w:pPr>
      <w:bookmarkStart w:id="152" w:name="bookmark1177"/>
      <w:bookmarkEnd w:id="152"/>
      <w:r>
        <w:t>（1）增加合同工作内容；</w:t>
      </w:r>
    </w:p>
    <w:p w14:paraId="60ABD71B">
      <w:pPr>
        <w:pStyle w:val="11"/>
      </w:pPr>
      <w:bookmarkStart w:id="153" w:name="bookmark1178"/>
      <w:bookmarkEnd w:id="153"/>
      <w:r>
        <w:t>（2）改变合同中任何一项工作的质量要求或其他特性；</w:t>
      </w:r>
    </w:p>
    <w:p w14:paraId="63118B81">
      <w:pPr>
        <w:pStyle w:val="11"/>
      </w:pPr>
      <w:bookmarkStart w:id="154" w:name="bookmark1179"/>
      <w:bookmarkEnd w:id="154"/>
      <w:r>
        <w:t>（3）发包人迟延提供材料、工程设备或变更交货地点的；</w:t>
      </w:r>
    </w:p>
    <w:p w14:paraId="7BF91875">
      <w:pPr>
        <w:pStyle w:val="11"/>
      </w:pPr>
      <w:bookmarkStart w:id="155" w:name="bookmark1180"/>
      <w:bookmarkEnd w:id="155"/>
      <w:r>
        <w:t>（4）因发包人原因导致的暂停施工；</w:t>
      </w:r>
    </w:p>
    <w:p w14:paraId="0556A2E0">
      <w:pPr>
        <w:pStyle w:val="11"/>
      </w:pPr>
      <w:bookmarkStart w:id="156" w:name="bookmark1181"/>
      <w:bookmarkEnd w:id="156"/>
      <w:r>
        <w:t>（5）提供图纸延误；</w:t>
      </w:r>
    </w:p>
    <w:p w14:paraId="320A1F1B">
      <w:pPr>
        <w:pStyle w:val="11"/>
      </w:pPr>
      <w:bookmarkStart w:id="157" w:name="bookmark1182"/>
      <w:bookmarkEnd w:id="157"/>
      <w:r>
        <w:t>（6）未按合同约定及时支付预付款、进度款；</w:t>
      </w:r>
    </w:p>
    <w:p w14:paraId="78C66146">
      <w:pPr>
        <w:pStyle w:val="11"/>
      </w:pPr>
      <w:bookmarkStart w:id="158" w:name="bookmark1183"/>
      <w:bookmarkEnd w:id="158"/>
      <w:r>
        <w:t>（7）发包人造成工期延误的其他原因。</w:t>
      </w:r>
    </w:p>
    <w:p w14:paraId="19A367B9">
      <w:pPr>
        <w:pStyle w:val="11"/>
        <w:rPr>
          <w:b/>
        </w:rPr>
      </w:pPr>
      <w:r>
        <w:rPr>
          <w:b/>
        </w:rPr>
        <w:t xml:space="preserve">11.4 异常恶劣的气候条件 </w:t>
      </w:r>
    </w:p>
    <w:p w14:paraId="3977D949">
      <w:pPr>
        <w:pStyle w:val="11"/>
      </w:pPr>
      <w:r>
        <w:t>11.4.3 本合同工程界定异常恶劣气候条件的范围为：</w:t>
      </w:r>
    </w:p>
    <w:p w14:paraId="7CF76AD2">
      <w:pPr>
        <w:pStyle w:val="11"/>
      </w:pPr>
      <w:r>
        <w:t>（1）日降雨量大于</w:t>
      </w:r>
      <w:r>
        <w:rPr>
          <w:u w:val="single"/>
        </w:rPr>
        <w:t>200</w:t>
      </w:r>
      <w:r>
        <w:t>㎜的雨日超过</w:t>
      </w:r>
      <w:r>
        <w:rPr>
          <w:u w:val="single"/>
        </w:rPr>
        <w:t xml:space="preserve"> 10</w:t>
      </w:r>
      <w:r>
        <w:t>天；</w:t>
      </w:r>
    </w:p>
    <w:p w14:paraId="1F2CF4B4">
      <w:pPr>
        <w:pStyle w:val="11"/>
      </w:pPr>
      <w:r>
        <w:t>（2）</w:t>
      </w:r>
      <w:r>
        <w:rPr>
          <w:u w:val="single"/>
        </w:rPr>
        <w:t>10</w:t>
      </w:r>
      <w:r>
        <w:t>级以上的持续</w:t>
      </w:r>
      <w:r>
        <w:rPr>
          <w:u w:val="single"/>
        </w:rPr>
        <w:t xml:space="preserve"> 2</w:t>
      </w:r>
      <w:r>
        <w:t>日的大风（以气象部门鉴定为准））</w:t>
      </w:r>
    </w:p>
    <w:p w14:paraId="2764DCFA">
      <w:pPr>
        <w:pStyle w:val="11"/>
      </w:pPr>
      <w:r>
        <w:t>（3）日气温超过</w:t>
      </w:r>
      <w:r>
        <w:rPr>
          <w:u w:val="single"/>
        </w:rPr>
        <w:t xml:space="preserve">40 </w:t>
      </w:r>
      <w:r>
        <w:t>℃的高温大于</w:t>
      </w:r>
      <w:r>
        <w:rPr>
          <w:u w:val="single"/>
        </w:rPr>
        <w:t>2</w:t>
      </w:r>
      <w:r>
        <w:t>天；</w:t>
      </w:r>
    </w:p>
    <w:p w14:paraId="7BC9EAC4">
      <w:pPr>
        <w:pStyle w:val="11"/>
      </w:pPr>
      <w:r>
        <w:t>（4）日气温低于</w:t>
      </w:r>
      <w:r>
        <w:rPr>
          <w:u w:val="single"/>
        </w:rPr>
        <w:t xml:space="preserve"> -10 </w:t>
      </w:r>
      <w:r>
        <w:t>℃的严寒大于</w:t>
      </w:r>
      <w:r>
        <w:rPr>
          <w:u w:val="single"/>
        </w:rPr>
        <w:t>2</w:t>
      </w:r>
      <w:r>
        <w:t>天。</w:t>
      </w:r>
    </w:p>
    <w:p w14:paraId="04745C02">
      <w:pPr>
        <w:pStyle w:val="11"/>
      </w:pPr>
      <w:r>
        <w:t>（5）造成工程损坏的冰雹和大雪灾害；</w:t>
      </w:r>
    </w:p>
    <w:p w14:paraId="265DBC16">
      <w:pPr>
        <w:pStyle w:val="11"/>
      </w:pPr>
      <w:r>
        <w:t>（6）</w:t>
      </w:r>
      <w:r>
        <w:rPr>
          <w:u w:val="single"/>
        </w:rPr>
        <w:t>6</w:t>
      </w:r>
      <w:r>
        <w:t>级以上的地震；</w:t>
      </w:r>
    </w:p>
    <w:p w14:paraId="1243B95C">
      <w:pPr>
        <w:pStyle w:val="11"/>
        <w:rPr>
          <w:u w:val="single"/>
        </w:rPr>
      </w:pPr>
      <w:r>
        <w:t>（7）</w:t>
      </w:r>
      <w:r>
        <w:rPr>
          <w:u w:val="single"/>
        </w:rPr>
        <w:t>50</w:t>
      </w:r>
      <w:r>
        <w:t>年一遇及以上的洪水；</w:t>
      </w:r>
    </w:p>
    <w:p w14:paraId="78B528DF">
      <w:pPr>
        <w:pStyle w:val="11"/>
      </w:pPr>
      <w:r>
        <w:t>（8）其他异常恶劣气候灾害。</w:t>
      </w:r>
    </w:p>
    <w:p w14:paraId="5D2F7734">
      <w:pPr>
        <w:pStyle w:val="11"/>
      </w:pPr>
      <w:r>
        <w:t xml:space="preserve">11.5 承包人工期延误 </w:t>
      </w:r>
    </w:p>
    <w:p w14:paraId="6EEDA42E">
      <w:pPr>
        <w:pStyle w:val="11"/>
      </w:pPr>
      <w:r>
        <w:t>（1）逾期完工违约金表(参考格式)</w:t>
      </w:r>
    </w:p>
    <w:tbl>
      <w:tblPr>
        <w:tblStyle w:val="22"/>
        <w:tblW w:w="8576"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850"/>
        <w:gridCol w:w="3704"/>
        <w:gridCol w:w="2011"/>
        <w:gridCol w:w="2011"/>
      </w:tblGrid>
      <w:tr w14:paraId="7839762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05" w:hRule="atLeast"/>
        </w:trPr>
        <w:tc>
          <w:tcPr>
            <w:tcW w:w="850" w:type="dxa"/>
            <w:noWrap w:val="0"/>
            <w:vAlign w:val="center"/>
          </w:tcPr>
          <w:p w14:paraId="3884BBAE">
            <w:pPr>
              <w:adjustRightInd w:val="0"/>
              <w:snapToGrid w:val="0"/>
              <w:spacing w:line="360" w:lineRule="auto"/>
              <w:ind w:right="-3"/>
              <w:jc w:val="center"/>
              <w:rPr>
                <w:rFonts w:ascii="宋体" w:hAnsi="宋体" w:cs="宋体"/>
                <w:szCs w:val="21"/>
              </w:rPr>
            </w:pPr>
            <w:r>
              <w:rPr>
                <w:rFonts w:hint="eastAsia" w:ascii="宋体" w:hAnsi="宋体" w:cs="宋体"/>
                <w:szCs w:val="21"/>
              </w:rPr>
              <w:t>序号</w:t>
            </w:r>
          </w:p>
        </w:tc>
        <w:tc>
          <w:tcPr>
            <w:tcW w:w="3704" w:type="dxa"/>
            <w:noWrap w:val="0"/>
            <w:vAlign w:val="center"/>
          </w:tcPr>
          <w:p w14:paraId="1B56A7BF">
            <w:pPr>
              <w:adjustRightInd w:val="0"/>
              <w:snapToGrid w:val="0"/>
              <w:spacing w:line="360" w:lineRule="auto"/>
              <w:ind w:right="3"/>
              <w:jc w:val="center"/>
              <w:rPr>
                <w:rFonts w:ascii="宋体" w:hAnsi="宋体" w:cs="宋体"/>
                <w:szCs w:val="21"/>
              </w:rPr>
            </w:pPr>
            <w:r>
              <w:rPr>
                <w:rFonts w:hint="eastAsia" w:ascii="宋体" w:hAnsi="宋体" w:cs="宋体"/>
                <w:szCs w:val="21"/>
              </w:rPr>
              <w:t>项目及其说明</w:t>
            </w:r>
          </w:p>
        </w:tc>
        <w:tc>
          <w:tcPr>
            <w:tcW w:w="2011" w:type="dxa"/>
            <w:noWrap w:val="0"/>
            <w:vAlign w:val="center"/>
          </w:tcPr>
          <w:p w14:paraId="4213E76B">
            <w:pPr>
              <w:adjustRightInd w:val="0"/>
              <w:snapToGrid w:val="0"/>
              <w:spacing w:line="360" w:lineRule="auto"/>
              <w:ind w:right="9"/>
              <w:jc w:val="center"/>
              <w:rPr>
                <w:rFonts w:ascii="宋体" w:hAnsi="宋体" w:cs="宋体"/>
                <w:szCs w:val="21"/>
              </w:rPr>
            </w:pPr>
            <w:r>
              <w:rPr>
                <w:rFonts w:hint="eastAsia" w:ascii="宋体" w:hAnsi="宋体" w:cs="宋体"/>
                <w:szCs w:val="21"/>
              </w:rPr>
              <w:t>要求完工日期</w:t>
            </w:r>
          </w:p>
        </w:tc>
        <w:tc>
          <w:tcPr>
            <w:tcW w:w="2011" w:type="dxa"/>
            <w:noWrap w:val="0"/>
            <w:vAlign w:val="top"/>
          </w:tcPr>
          <w:p w14:paraId="646E77F9">
            <w:pPr>
              <w:adjustRightInd w:val="0"/>
              <w:snapToGrid w:val="0"/>
              <w:spacing w:line="360" w:lineRule="auto"/>
              <w:ind w:right="9"/>
              <w:jc w:val="center"/>
              <w:rPr>
                <w:rFonts w:ascii="宋体" w:hAnsi="宋体" w:cs="宋体"/>
                <w:szCs w:val="21"/>
              </w:rPr>
            </w:pPr>
            <w:r>
              <w:rPr>
                <w:rFonts w:hint="eastAsia" w:ascii="宋体" w:hAnsi="宋体" w:cs="宋体"/>
                <w:szCs w:val="21"/>
              </w:rPr>
              <w:t>违约金(元/天)</w:t>
            </w:r>
          </w:p>
        </w:tc>
      </w:tr>
      <w:tr w14:paraId="7386BB9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20" w:hRule="atLeast"/>
        </w:trPr>
        <w:tc>
          <w:tcPr>
            <w:tcW w:w="850" w:type="dxa"/>
            <w:noWrap w:val="0"/>
            <w:vAlign w:val="center"/>
          </w:tcPr>
          <w:p w14:paraId="097B2F12">
            <w:pPr>
              <w:adjustRightInd w:val="0"/>
              <w:snapToGrid w:val="0"/>
              <w:spacing w:line="360" w:lineRule="auto"/>
              <w:ind w:right="248"/>
              <w:jc w:val="center"/>
              <w:rPr>
                <w:rFonts w:ascii="宋体" w:hAnsi="宋体" w:cs="宋体"/>
                <w:szCs w:val="21"/>
              </w:rPr>
            </w:pPr>
          </w:p>
        </w:tc>
        <w:tc>
          <w:tcPr>
            <w:tcW w:w="3704" w:type="dxa"/>
            <w:noWrap w:val="0"/>
            <w:vAlign w:val="center"/>
          </w:tcPr>
          <w:p w14:paraId="78A710B2">
            <w:pPr>
              <w:adjustRightInd w:val="0"/>
              <w:snapToGrid w:val="0"/>
              <w:spacing w:line="360" w:lineRule="auto"/>
              <w:ind w:right="248"/>
              <w:jc w:val="center"/>
              <w:rPr>
                <w:rFonts w:ascii="宋体" w:hAnsi="宋体" w:cs="宋体"/>
                <w:szCs w:val="21"/>
              </w:rPr>
            </w:pPr>
            <w:r>
              <w:rPr>
                <w:rFonts w:hint="eastAsia" w:ascii="宋体" w:hAnsi="宋体" w:cs="宋体"/>
                <w:bCs/>
                <w:kern w:val="0"/>
                <w:szCs w:val="21"/>
              </w:rPr>
              <w:t>合同工程完工</w:t>
            </w:r>
          </w:p>
        </w:tc>
        <w:tc>
          <w:tcPr>
            <w:tcW w:w="2011" w:type="dxa"/>
            <w:noWrap w:val="0"/>
            <w:vAlign w:val="center"/>
          </w:tcPr>
          <w:p w14:paraId="70E814FD">
            <w:pPr>
              <w:adjustRightInd w:val="0"/>
              <w:snapToGrid w:val="0"/>
              <w:spacing w:line="360" w:lineRule="auto"/>
              <w:ind w:right="248"/>
              <w:jc w:val="center"/>
              <w:rPr>
                <w:rFonts w:ascii="宋体" w:hAnsi="宋体" w:cs="宋体"/>
                <w:szCs w:val="21"/>
              </w:rPr>
            </w:pPr>
            <w:r>
              <w:rPr>
                <w:rFonts w:hint="eastAsia" w:ascii="宋体" w:hAnsi="宋体" w:cs="宋体"/>
                <w:szCs w:val="21"/>
              </w:rPr>
              <w:t xml:space="preserve">  年  月  日</w:t>
            </w:r>
          </w:p>
        </w:tc>
        <w:tc>
          <w:tcPr>
            <w:tcW w:w="2011" w:type="dxa"/>
            <w:noWrap w:val="0"/>
            <w:vAlign w:val="top"/>
          </w:tcPr>
          <w:p w14:paraId="0A839740">
            <w:pPr>
              <w:adjustRightInd w:val="0"/>
              <w:snapToGrid w:val="0"/>
              <w:spacing w:line="360" w:lineRule="auto"/>
              <w:ind w:right="248"/>
              <w:jc w:val="center"/>
              <w:rPr>
                <w:rFonts w:ascii="宋体" w:hAnsi="宋体" w:cs="宋体"/>
                <w:szCs w:val="21"/>
              </w:rPr>
            </w:pPr>
            <w:r>
              <w:rPr>
                <w:rFonts w:hint="eastAsia" w:ascii="宋体" w:hAnsi="宋体" w:cs="宋体"/>
                <w:szCs w:val="21"/>
              </w:rPr>
              <w:t>1000</w:t>
            </w:r>
          </w:p>
        </w:tc>
      </w:tr>
    </w:tbl>
    <w:p w14:paraId="789EA6DA">
      <w:pPr>
        <w:pStyle w:val="11"/>
      </w:pPr>
      <w:r>
        <w:t>承包人如未能按上表各节点要求的完工日期前完工，逾期完工违约金按</w:t>
      </w:r>
      <w:r>
        <w:rPr>
          <w:u w:val="single"/>
        </w:rPr>
        <w:t>1000</w:t>
      </w:r>
      <w:r>
        <w:t>元/天”计算。</w:t>
      </w:r>
    </w:p>
    <w:p w14:paraId="07DDB944">
      <w:pPr>
        <w:pStyle w:val="11"/>
      </w:pPr>
      <w:r>
        <w:t>（2）全部逾期完工违约金的总限额不超过合同总价的</w:t>
      </w:r>
      <w:r>
        <w:rPr>
          <w:u w:val="single"/>
        </w:rPr>
        <w:t xml:space="preserve">5 </w:t>
      </w:r>
      <w:r>
        <w:t>%，发包人可从应向承包人支付的任何金额中扣除此项违约金或以其他方式收回此款，此违约金的支付并不能解除承包人应完成工程的责任或合同规定的其他责任 。</w:t>
      </w:r>
    </w:p>
    <w:p w14:paraId="35F80B62">
      <w:pPr>
        <w:pStyle w:val="11"/>
      </w:pPr>
      <w:r>
        <w:t>11.6 工期提前</w:t>
      </w:r>
    </w:p>
    <w:p w14:paraId="311FBBCD">
      <w:pPr>
        <w:pStyle w:val="11"/>
      </w:pPr>
      <w:r>
        <w:t>工期提前的资金约定：</w:t>
      </w:r>
      <w:r>
        <w:rPr>
          <w:u w:val="single"/>
        </w:rPr>
        <w:t>在保证工程质量的前提下，发包人鼓励承包人提前完工，但本合同工程无提前工期奖金</w:t>
      </w:r>
      <w:r>
        <w:t>。</w:t>
      </w:r>
    </w:p>
    <w:p w14:paraId="66B77706">
      <w:pPr>
        <w:pStyle w:val="2"/>
        <w:numPr>
          <w:ilvl w:val="0"/>
          <w:numId w:val="0"/>
        </w:numPr>
        <w:bidi w:val="0"/>
        <w:ind w:left="482" w:leftChars="0"/>
      </w:pPr>
      <w:r>
        <w:t>12. 暂停施工</w:t>
      </w:r>
    </w:p>
    <w:p w14:paraId="7D6CD9B5">
      <w:pPr>
        <w:pStyle w:val="2"/>
        <w:numPr>
          <w:ilvl w:val="0"/>
          <w:numId w:val="0"/>
        </w:numPr>
        <w:bidi w:val="0"/>
        <w:ind w:left="482" w:leftChars="0"/>
      </w:pPr>
      <w:r>
        <w:t>12.1 承包人暂停施工的责任</w:t>
      </w:r>
    </w:p>
    <w:p w14:paraId="37BE40CE">
      <w:pPr>
        <w:pStyle w:val="11"/>
      </w:pPr>
      <w:r>
        <w:t>(5) 承包人承担暂停施工责任的其它情形：</w:t>
      </w:r>
      <w:r>
        <w:rPr>
          <w:u w:val="single"/>
        </w:rPr>
        <w:t xml:space="preserve">由于承包人资金、人员、材料、设备不能按时到位的由承包人承担停工责任，或由于承包人原因造成的质量事故及安全事故引起的暂停施工，发包人不再补偿停工所造成的工程费用增加和工期延误 </w:t>
      </w:r>
      <w:r>
        <w:t>。</w:t>
      </w:r>
    </w:p>
    <w:p w14:paraId="6A3E599B">
      <w:pPr>
        <w:pStyle w:val="2"/>
        <w:numPr>
          <w:ilvl w:val="0"/>
          <w:numId w:val="0"/>
        </w:numPr>
        <w:bidi w:val="0"/>
        <w:ind w:left="482" w:leftChars="0"/>
      </w:pPr>
      <w:r>
        <w:t>12.2 发包人暂停施工的责任</w:t>
      </w:r>
    </w:p>
    <w:p w14:paraId="6277BA41">
      <w:pPr>
        <w:pStyle w:val="11"/>
      </w:pPr>
      <w:r>
        <w:t>（3）因发包人原因造成的暂停施工，发包人对承包人给予工期补偿，不另行支付其它费用。</w:t>
      </w:r>
    </w:p>
    <w:p w14:paraId="375F2A33">
      <w:pPr>
        <w:pStyle w:val="2"/>
        <w:numPr>
          <w:ilvl w:val="0"/>
          <w:numId w:val="0"/>
        </w:numPr>
        <w:bidi w:val="0"/>
        <w:ind w:left="482" w:leftChars="0"/>
      </w:pPr>
      <w:r>
        <w:t>13. 工程质量</w:t>
      </w:r>
    </w:p>
    <w:p w14:paraId="4AC06104">
      <w:pPr>
        <w:pStyle w:val="2"/>
        <w:numPr>
          <w:ilvl w:val="0"/>
          <w:numId w:val="0"/>
        </w:numPr>
        <w:bidi w:val="0"/>
        <w:ind w:left="482" w:leftChars="0"/>
      </w:pPr>
      <w:r>
        <w:t>13.7 质量评定</w:t>
      </w:r>
    </w:p>
    <w:p w14:paraId="78E0F2B1">
      <w:pPr>
        <w:pStyle w:val="11"/>
      </w:pPr>
      <w:r>
        <w:t>13.7.4重要隐蔽单元工程和关键部位单元工程质量评定的约定：</w:t>
      </w:r>
      <w:r>
        <w:rPr>
          <w:u w:val="single"/>
        </w:rPr>
        <w:t>达到合格标准</w:t>
      </w:r>
      <w:r>
        <w:t>。</w:t>
      </w:r>
    </w:p>
    <w:p w14:paraId="580CC054">
      <w:pPr>
        <w:pStyle w:val="2"/>
        <w:numPr>
          <w:ilvl w:val="0"/>
          <w:numId w:val="0"/>
        </w:numPr>
        <w:bidi w:val="0"/>
        <w:ind w:left="482" w:leftChars="0"/>
      </w:pPr>
      <w:r>
        <w:t>13.8 质量事故处理</w:t>
      </w:r>
    </w:p>
    <w:p w14:paraId="1E721D26">
      <w:pPr>
        <w:pStyle w:val="11"/>
      </w:pPr>
      <w:r>
        <w:t>13.8.4工程竣工验收时，发包人负责向竣工验收委员会汇报并提交历次质量缺陷处理的备案资料。</w:t>
      </w:r>
    </w:p>
    <w:p w14:paraId="1B15E3AA">
      <w:pPr>
        <w:pStyle w:val="2"/>
        <w:numPr>
          <w:ilvl w:val="0"/>
          <w:numId w:val="0"/>
        </w:numPr>
        <w:bidi w:val="0"/>
        <w:ind w:left="482" w:leftChars="0"/>
      </w:pPr>
      <w:r>
        <w:t>14. 试验和检验</w:t>
      </w:r>
    </w:p>
    <w:p w14:paraId="75A2D2CE">
      <w:pPr>
        <w:pStyle w:val="2"/>
        <w:numPr>
          <w:ilvl w:val="0"/>
          <w:numId w:val="0"/>
        </w:numPr>
        <w:bidi w:val="0"/>
        <w:ind w:left="482" w:leftChars="0"/>
      </w:pPr>
      <w:r>
        <w:t>14.1 材料、工程设备和工程的试验和检验</w:t>
      </w:r>
    </w:p>
    <w:p w14:paraId="16184532">
      <w:pPr>
        <w:pStyle w:val="11"/>
      </w:pPr>
      <w:r>
        <w:t xml:space="preserve">14.1.5水工金属结构、启闭机及机电产品进场后的交货检查和验收中，承包人负责 </w:t>
      </w:r>
      <w:r>
        <w:rPr>
          <w:u w:val="single"/>
        </w:rPr>
        <w:tab/>
      </w:r>
      <w:r>
        <w:rPr>
          <w:u w:val="single"/>
        </w:rPr>
        <w:t xml:space="preserve">/        </w:t>
      </w:r>
      <w:r>
        <w:t>。</w:t>
      </w:r>
    </w:p>
    <w:p w14:paraId="5D09107E">
      <w:pPr>
        <w:pStyle w:val="11"/>
      </w:pPr>
      <w:r>
        <w:t>14.1.6 本工程实行见证取样的试块、试件及有关材料：</w:t>
      </w:r>
      <w:r>
        <w:rPr>
          <w:u w:val="single"/>
        </w:rPr>
        <w:t>土料压实、砼试件、砂浆试件、钢筋、水泥、砂、碎石、土工合成材料、外加剂等</w:t>
      </w:r>
      <w:r>
        <w:t>。</w:t>
      </w:r>
    </w:p>
    <w:p w14:paraId="240EE2C2">
      <w:pPr>
        <w:pStyle w:val="2"/>
        <w:numPr>
          <w:ilvl w:val="0"/>
          <w:numId w:val="0"/>
        </w:numPr>
        <w:bidi w:val="0"/>
        <w:ind w:left="482" w:leftChars="0"/>
      </w:pPr>
      <w:r>
        <w:t>15. 变更</w:t>
      </w:r>
    </w:p>
    <w:p w14:paraId="4E207F4C">
      <w:pPr>
        <w:pStyle w:val="2"/>
        <w:numPr>
          <w:ilvl w:val="0"/>
          <w:numId w:val="0"/>
        </w:numPr>
        <w:bidi w:val="0"/>
        <w:ind w:left="482" w:leftChars="0"/>
      </w:pPr>
      <w:r>
        <w:t>15.1 变更的范围和内容</w:t>
      </w:r>
    </w:p>
    <w:p w14:paraId="77EE1D5B">
      <w:pPr>
        <w:pStyle w:val="11"/>
        <w:rPr>
          <w:u w:val="single"/>
        </w:rPr>
      </w:pPr>
      <w:r>
        <w:t>（6）增加或减少合同中关键项目的工程量超过其项目工程总量的</w:t>
      </w:r>
      <w:r>
        <w:rPr>
          <w:u w:val="single"/>
        </w:rPr>
        <w:t>25 %</w:t>
      </w:r>
      <w:r>
        <w:t>,关键项 目：</w:t>
      </w:r>
      <w:r>
        <w:rPr>
          <w:u w:val="single"/>
        </w:rPr>
        <w:tab/>
      </w:r>
      <w:r>
        <w:t>,单价调整方式：</w:t>
      </w:r>
      <w:r>
        <w:rPr>
          <w:u w:val="single"/>
        </w:rPr>
        <w:t>增加超过其项目工程量的25%以上部分，按相应项目成交单价下浮10%结算；减少超过其项目工程量的25%以下时，按相应项目成交单价不变结算。</w:t>
      </w:r>
    </w:p>
    <w:p w14:paraId="17AC0039">
      <w:pPr>
        <w:pStyle w:val="2"/>
        <w:numPr>
          <w:ilvl w:val="0"/>
          <w:numId w:val="0"/>
        </w:numPr>
        <w:bidi w:val="0"/>
        <w:ind w:left="482" w:leftChars="0"/>
      </w:pPr>
      <w:r>
        <w:t>15.4 变更的估价原则</w:t>
      </w:r>
    </w:p>
    <w:p w14:paraId="389865EC">
      <w:pPr>
        <w:pStyle w:val="11"/>
      </w:pPr>
      <w:r>
        <w:t>15.4.3已标价工程量清单中无适用或类似子目的单价，按照以下原则确定:①有定额可套的，套用编制控制价所选定额计算，并乘以成交价下浮系数（成交价下浮系数为成交价与控制价的比值），其中材料价格有信息价的按当地同期信息价，无信息的由发包人、承包人、监理人市场询价确定。②无定额可套的，由发包人、承包人、监理人市场询价确定。</w:t>
      </w:r>
    </w:p>
    <w:p w14:paraId="68B5B0D7">
      <w:pPr>
        <w:pStyle w:val="2"/>
        <w:numPr>
          <w:ilvl w:val="0"/>
          <w:numId w:val="0"/>
        </w:numPr>
        <w:bidi w:val="0"/>
        <w:ind w:left="482" w:leftChars="0"/>
      </w:pPr>
      <w:r>
        <w:t>15.5 承包人的合理化建议</w:t>
      </w:r>
    </w:p>
    <w:p w14:paraId="2991FE52">
      <w:pPr>
        <w:pStyle w:val="11"/>
      </w:pPr>
      <w:r>
        <w:t>15.5.2 承包人实现合理化建议的奖励金额为：</w:t>
      </w:r>
      <w:r>
        <w:rPr>
          <w:u w:val="single"/>
        </w:rPr>
        <w:t>无</w:t>
      </w:r>
      <w:r>
        <w:t>。</w:t>
      </w:r>
    </w:p>
    <w:p w14:paraId="1EF9F470">
      <w:pPr>
        <w:pStyle w:val="2"/>
        <w:numPr>
          <w:ilvl w:val="0"/>
          <w:numId w:val="0"/>
        </w:numPr>
        <w:bidi w:val="0"/>
        <w:ind w:left="482" w:leftChars="0"/>
      </w:pPr>
      <w:r>
        <w:t>16 价格调整</w:t>
      </w:r>
    </w:p>
    <w:p w14:paraId="0FD754F0">
      <w:pPr>
        <w:pStyle w:val="11"/>
      </w:pPr>
      <w:r>
        <w:t>①法律变化引起的调整；</w:t>
      </w:r>
    </w:p>
    <w:p w14:paraId="7DBB95CB">
      <w:pPr>
        <w:pStyle w:val="11"/>
      </w:pPr>
      <w:r>
        <w:t>②工程变更、项目特征不符、工程量清单缺项、工程量偏差引起的调整；</w:t>
      </w:r>
    </w:p>
    <w:p w14:paraId="58E91CC4">
      <w:pPr>
        <w:pStyle w:val="11"/>
      </w:pPr>
      <w:r>
        <w:t>③计日工引起的调整。</w:t>
      </w:r>
    </w:p>
    <w:p w14:paraId="0BA03591">
      <w:pPr>
        <w:pStyle w:val="2"/>
        <w:numPr>
          <w:ilvl w:val="0"/>
          <w:numId w:val="0"/>
        </w:numPr>
        <w:bidi w:val="0"/>
        <w:ind w:left="482" w:leftChars="0"/>
      </w:pPr>
      <w:bookmarkStart w:id="159" w:name="_Toc389065313"/>
      <w:bookmarkStart w:id="160" w:name="_Toc13425"/>
      <w:bookmarkStart w:id="161" w:name="_Toc373227747"/>
      <w:bookmarkStart w:id="162" w:name="_Toc373478394"/>
      <w:bookmarkStart w:id="163" w:name="_Toc292559406"/>
      <w:bookmarkStart w:id="164" w:name="_Toc296347200"/>
      <w:bookmarkStart w:id="165" w:name="_Toc296944540"/>
      <w:bookmarkStart w:id="166" w:name="_Toc297120501"/>
      <w:bookmarkStart w:id="167" w:name="_Toc312678039"/>
      <w:bookmarkStart w:id="168" w:name="_Toc296346702"/>
      <w:bookmarkStart w:id="169" w:name="_Toc292559911"/>
      <w:bookmarkStart w:id="170" w:name="_Toc296891241"/>
      <w:bookmarkStart w:id="171" w:name="_Toc297048387"/>
      <w:bookmarkStart w:id="172" w:name="_Toc297123550"/>
      <w:bookmarkStart w:id="173" w:name="_Toc304295577"/>
      <w:bookmarkStart w:id="174" w:name="_Toc296503201"/>
      <w:bookmarkStart w:id="175" w:name="_Toc303539157"/>
      <w:bookmarkStart w:id="176" w:name="_Toc296891029"/>
      <w:bookmarkStart w:id="177" w:name="_Toc297216209"/>
      <w:bookmarkStart w:id="178" w:name="_Toc300935000"/>
      <w:r>
        <w:t>16.1 市场价格波动引起的调整</w:t>
      </w:r>
      <w:bookmarkEnd w:id="159"/>
      <w:bookmarkEnd w:id="160"/>
      <w:bookmarkEnd w:id="161"/>
      <w:bookmarkEnd w:id="162"/>
    </w:p>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p w14:paraId="410C1DCF">
      <w:pPr>
        <w:pStyle w:val="11"/>
      </w:pPr>
      <w:r>
        <w:t>市场价格波动是否调整合同价格的约定：</w:t>
      </w:r>
      <w:r>
        <w:rPr>
          <w:u w:val="single"/>
        </w:rPr>
        <w:t>如市场价格波动超过双方约定的范围，调整合同价格</w:t>
      </w:r>
      <w:r>
        <w:t>。</w:t>
      </w:r>
    </w:p>
    <w:p w14:paraId="10DEC3A9">
      <w:pPr>
        <w:pStyle w:val="11"/>
      </w:pPr>
      <w:r>
        <w:t>因市场价格波动调整合同价格，采用以下第</w:t>
      </w:r>
      <w:r>
        <w:rPr>
          <w:u w:val="single"/>
        </w:rPr>
        <w:t xml:space="preserve"> 2 </w:t>
      </w:r>
      <w:r>
        <w:t>种方式对合同价格进行调整：</w:t>
      </w:r>
    </w:p>
    <w:p w14:paraId="3FE83424">
      <w:pPr>
        <w:pStyle w:val="11"/>
      </w:pPr>
      <w:r>
        <w:t>第1种方式：采用价格指数进行价格调整。</w:t>
      </w:r>
    </w:p>
    <w:p w14:paraId="1FEF6014">
      <w:pPr>
        <w:pStyle w:val="11"/>
        <w:rPr>
          <w:u w:val="single"/>
        </w:rPr>
      </w:pPr>
      <w:r>
        <w:t>关于各可调因子、定值和变值权重，以及基本价格指数及其来源的约定：</w:t>
      </w:r>
      <w:r>
        <w:rPr>
          <w:u w:val="single"/>
        </w:rPr>
        <w:t xml:space="preserve">                </w:t>
      </w:r>
      <w:r>
        <w:t xml:space="preserve">；  </w:t>
      </w:r>
    </w:p>
    <w:p w14:paraId="623A3985">
      <w:pPr>
        <w:pStyle w:val="11"/>
      </w:pPr>
      <w:r>
        <w:t>第2种方式：采用造价信息进行价格调整。</w:t>
      </w:r>
    </w:p>
    <w:p w14:paraId="0C692A8E">
      <w:pPr>
        <w:pStyle w:val="11"/>
      </w:pPr>
      <w:r>
        <w:t>（1）允许调整的主要材料和设备、基期价格、风险系数、投标报价：详见《承包人提供主要材料和设备一览表》,价差调整部分仅计算税金，除此表列明的材料、设备外，其余材料设备价差原则上不予调整。</w:t>
      </w:r>
    </w:p>
    <w:p w14:paraId="7913754E">
      <w:pPr>
        <w:pStyle w:val="11"/>
      </w:pPr>
      <w:r>
        <w:t>（2）主要材料和设备确认价：</w:t>
      </w:r>
    </w:p>
    <w:p w14:paraId="6D216146">
      <w:pPr>
        <w:pStyle w:val="11"/>
      </w:pPr>
      <w:r>
        <w:t>按施工期间《</w:t>
      </w:r>
      <w:r>
        <w:rPr>
          <w:u w:val="single"/>
        </w:rPr>
        <w:t>防城港市</w:t>
      </w:r>
      <w:r>
        <w:t>建设工程造价信息》加权平均计算，信息价没有的按通用条款规定确定。</w:t>
      </w:r>
    </w:p>
    <w:p w14:paraId="680F92EB">
      <w:pPr>
        <w:pStyle w:val="11"/>
      </w:pPr>
      <w:r>
        <w:t>（3）价差计算方法：</w:t>
      </w:r>
    </w:p>
    <w:p w14:paraId="46AAA1C3">
      <w:pPr>
        <w:pStyle w:val="11"/>
      </w:pPr>
      <w:r>
        <w:t>①《承包人提供主要材料和设备一览表》中载明的材料和设备投标报价低于基准价格的：合同履行期间材料和设备单价涨幅以基准价格为基础超过约定的风险范围时，或材料和设备单价跌幅以投标报价为基础超过约定的风险范围时，对其超过部分进行价差调整，价差计算公式：价格上涨价差=确认价-基准单价*（1+风险系数），价格下跌价差=确认价-投标报价*（1+风险系数）。</w:t>
      </w:r>
    </w:p>
    <w:p w14:paraId="6A334DC4">
      <w:pPr>
        <w:pStyle w:val="11"/>
      </w:pPr>
      <w:r>
        <w:t>②承包人在《承包人提供主要材料和设备一览表》中载明的材料和设备投标报价高于基准价格的：合同履行期间材料和设备单价跌幅以基准价格为基础超过约定的风险范围时，或材料和设备单价涨幅以投标报价为基础超过约定的风险范围时，对其超过部分进行价差调整。价差计算公式：价格上涨价差=确认价-投标报价*（1+风险系数），价格下跌价差=确认价-基准价*（1+风险系数。）</w:t>
      </w:r>
    </w:p>
    <w:p w14:paraId="0F9F73B9">
      <w:pPr>
        <w:pStyle w:val="11"/>
      </w:pPr>
      <w:r>
        <w:t>③承包人在《承包人提供主要材料和设备一览表》中载明的材料和设备单价等于基准单价的：合同履行期间材料和设备单价涨跌幅以基准单价为基础超过约定的风险范围时，其超过部分据实调整。价差计算公式：上涨或下跌价差=确认价-基准单价*（1+风险系数）</w:t>
      </w:r>
    </w:p>
    <w:p w14:paraId="444D7C13">
      <w:pPr>
        <w:pStyle w:val="11"/>
      </w:pPr>
      <w:r>
        <w:t>第3种方式：</w:t>
      </w:r>
      <w:r>
        <w:rPr>
          <w:u w:val="single"/>
        </w:rPr>
        <w:t>除合同约定可以调整的主要材料外，材料单价在合同实施期间不因市场价格变化因素而变动，因征地拆迁影响及重大设计变更等发包人的原因，在招标后延迟开工或中途停建重新复工的施工工期内，主要材料涨跌的调整幅度按南重点办【2014】29 号文执行（政府投资工程适用）</w:t>
      </w:r>
    </w:p>
    <w:p w14:paraId="28DB590A">
      <w:pPr>
        <w:pStyle w:val="2"/>
        <w:numPr>
          <w:ilvl w:val="0"/>
          <w:numId w:val="0"/>
        </w:numPr>
        <w:bidi w:val="0"/>
        <w:ind w:left="482" w:leftChars="0"/>
      </w:pPr>
      <w:r>
        <w:t>17. 计量与支付</w:t>
      </w:r>
    </w:p>
    <w:p w14:paraId="1DA3BE61">
      <w:pPr>
        <w:pStyle w:val="11"/>
      </w:pPr>
      <w:r>
        <w:t>17.2 预付款</w:t>
      </w:r>
    </w:p>
    <w:p w14:paraId="07851C0C">
      <w:pPr>
        <w:pStyle w:val="11"/>
        <w:rPr>
          <w:color w:val="000000"/>
        </w:rPr>
      </w:pPr>
      <w:bookmarkStart w:id="179" w:name="_Toc30680"/>
      <w:bookmarkStart w:id="180" w:name="_Toc12227"/>
      <w:r>
        <w:rPr>
          <w:color w:val="000000"/>
        </w:rPr>
        <w:t>预付款支付比例或金额：</w:t>
      </w:r>
      <w:r>
        <w:rPr>
          <w:color w:val="000000"/>
          <w:u w:val="single"/>
        </w:rPr>
        <w:t xml:space="preserve"> / </w:t>
      </w:r>
      <w:r>
        <w:rPr>
          <w:color w:val="000000"/>
        </w:rPr>
        <w:t>。</w:t>
      </w:r>
    </w:p>
    <w:p w14:paraId="31D14CF1">
      <w:pPr>
        <w:pStyle w:val="11"/>
        <w:rPr>
          <w:color w:val="000000"/>
        </w:rPr>
      </w:pPr>
      <w:r>
        <w:rPr>
          <w:color w:val="000000"/>
        </w:rPr>
        <w:t>预付款支付期限：</w:t>
      </w:r>
      <w:r>
        <w:rPr>
          <w:color w:val="000000"/>
          <w:u w:val="single"/>
        </w:rPr>
        <w:t xml:space="preserve">   签订合同时协商而定    </w:t>
      </w:r>
      <w:r>
        <w:rPr>
          <w:color w:val="000000"/>
        </w:rPr>
        <w:t>。</w:t>
      </w:r>
    </w:p>
    <w:p w14:paraId="5E9A9B76">
      <w:pPr>
        <w:pStyle w:val="11"/>
        <w:rPr>
          <w:color w:val="000000"/>
        </w:rPr>
      </w:pPr>
      <w:r>
        <w:rPr>
          <w:color w:val="000000"/>
        </w:rPr>
        <w:t>预付款扣回的方式：</w:t>
      </w:r>
      <w:r>
        <w:rPr>
          <w:color w:val="000000"/>
          <w:u w:val="single"/>
        </w:rPr>
        <w:t xml:space="preserve">   签订合同时协商而定  </w:t>
      </w:r>
      <w:r>
        <w:rPr>
          <w:color w:val="000000"/>
        </w:rPr>
        <w:t>。</w:t>
      </w:r>
    </w:p>
    <w:p w14:paraId="420FE1A6">
      <w:pPr>
        <w:pStyle w:val="11"/>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17.3工程进度付款</w:t>
      </w:r>
    </w:p>
    <w:p w14:paraId="39272EEF">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rPr>
      </w:pPr>
      <w:r>
        <w:rPr>
          <w:rFonts w:hint="eastAsia" w:ascii="宋体" w:hAnsi="宋体" w:eastAsia="宋体" w:cs="宋体"/>
          <w:b/>
          <w:bCs w:val="0"/>
          <w:sz w:val="24"/>
          <w:szCs w:val="24"/>
        </w:rPr>
        <w:t>①签订合同后，材料进场且开始施工后支付合同总价款的30%为工程预付款；②甲方根据工程需要和工程进度情况，可支付至合同总价款的</w:t>
      </w:r>
      <w:r>
        <w:rPr>
          <w:rFonts w:hint="eastAsia" w:ascii="宋体" w:hAnsi="宋体" w:eastAsia="宋体" w:cs="宋体"/>
          <w:b/>
          <w:bCs w:val="0"/>
          <w:color w:val="FF0000"/>
          <w:sz w:val="24"/>
          <w:szCs w:val="24"/>
          <w:lang w:val="en-US" w:eastAsia="zh-CN"/>
        </w:rPr>
        <w:t>80%</w:t>
      </w:r>
      <w:r>
        <w:rPr>
          <w:rFonts w:hint="eastAsia" w:ascii="宋体" w:hAnsi="宋体" w:eastAsia="宋体" w:cs="宋体"/>
          <w:b/>
          <w:bCs w:val="0"/>
          <w:sz w:val="24"/>
          <w:szCs w:val="24"/>
        </w:rPr>
        <w:t>；③工程竣工验收达到合格质量要求后，支付至工程合同总价款的90%；④经结算审计（审核、评审）后，乙方向甲方缴纳结算审计（审核、评审）价款3%的工程款作为工程质量保证金，甲方向乙方支付至结算审计（审核、评审）价款的100%的工程款 ；</w:t>
      </w:r>
      <w:r>
        <w:rPr>
          <w:rFonts w:hint="eastAsia" w:ascii="宋体" w:hAnsi="宋体" w:eastAsia="宋体" w:cs="宋体"/>
          <w:b/>
          <w:bCs w:val="0"/>
          <w:color w:val="FF0000"/>
          <w:sz w:val="24"/>
          <w:szCs w:val="24"/>
          <w:lang w:eastAsia="zh-CN"/>
        </w:rPr>
        <w:t>若乙方未向甲方缴纳结算审计（审核、评审）价款</w:t>
      </w:r>
      <w:r>
        <w:rPr>
          <w:rFonts w:hint="eastAsia" w:ascii="宋体" w:hAnsi="宋体" w:eastAsia="宋体" w:cs="宋体"/>
          <w:b/>
          <w:bCs w:val="0"/>
          <w:color w:val="FF0000"/>
          <w:sz w:val="24"/>
          <w:szCs w:val="24"/>
          <w:lang w:val="en-US" w:eastAsia="zh-CN"/>
        </w:rPr>
        <w:t>3%的工程款作为工程质量保证金，则甲方向乙方支付至结算审计（审核、评审）价款的97%作为工程款，余下3%作为工程质量保证金</w:t>
      </w:r>
      <w:r>
        <w:rPr>
          <w:rFonts w:hint="eastAsia" w:ascii="宋体" w:hAnsi="宋体" w:eastAsia="宋体" w:cs="宋体"/>
          <w:b/>
          <w:bCs w:val="0"/>
          <w:sz w:val="24"/>
          <w:szCs w:val="24"/>
        </w:rPr>
        <w:t>⑤3%工程质量保证金，待工程质量保修期满后返还。本工程质量保质期为1年。在工程质量保质期内，若存在质量缺陷的，由乙方负责保修，费用由乙方负责，工程质量保质期从甲方验收合格后开始计算。</w:t>
      </w:r>
    </w:p>
    <w:p w14:paraId="58352D00">
      <w:pPr>
        <w:pStyle w:val="11"/>
      </w:pPr>
      <w:r>
        <w:t>17.3.2进度付款申请单</w:t>
      </w:r>
      <w:bookmarkEnd w:id="179"/>
      <w:bookmarkEnd w:id="180"/>
    </w:p>
    <w:p w14:paraId="2B4F2C27">
      <w:pPr>
        <w:pStyle w:val="11"/>
      </w:pPr>
      <w:r>
        <w:t>承包人提交进度付款申请单的份数：</w:t>
      </w:r>
      <w:r>
        <w:rPr>
          <w:u w:val="single"/>
        </w:rPr>
        <w:t>一式肆份</w:t>
      </w:r>
      <w:r>
        <w:t>。</w:t>
      </w:r>
    </w:p>
    <w:p w14:paraId="0B248FE1">
      <w:pPr>
        <w:pStyle w:val="11"/>
      </w:pPr>
      <w:bookmarkStart w:id="181" w:name="_Toc4367"/>
      <w:r>
        <w:t>17.4 质量保证金</w:t>
      </w:r>
      <w:bookmarkEnd w:id="181"/>
      <w:r>
        <w:t>、</w:t>
      </w:r>
    </w:p>
    <w:p w14:paraId="49E7E0B9">
      <w:pPr>
        <w:pStyle w:val="11"/>
      </w:pPr>
      <w:r>
        <w:t>■17.4.1.1每个付款周期扣留的质量保证金为工程进度付款的3%，扣留的质量保证金总额为工程价款结算总额的3% 。</w:t>
      </w:r>
    </w:p>
    <w:p w14:paraId="0864DD48">
      <w:pPr>
        <w:pStyle w:val="11"/>
      </w:pPr>
      <w:r>
        <w:t>□17.4.1.2工程完工验收后，一次性扣留的质量保证金总额为工程价款结算总额的3%。</w:t>
      </w:r>
    </w:p>
    <w:p w14:paraId="1442C0F8">
      <w:pPr>
        <w:pStyle w:val="11"/>
      </w:pPr>
      <w:r>
        <w:t>17.4.1.3在工程项目完工前，已经缴纳履约保证金的，发包人不得同时扣留工程质量保证金。</w:t>
      </w:r>
    </w:p>
    <w:p w14:paraId="1B567CC9">
      <w:pPr>
        <w:pStyle w:val="11"/>
      </w:pPr>
      <w:bookmarkStart w:id="182" w:name="_Toc11900"/>
      <w:r>
        <w:t>17.5 竣工（完工）结算</w:t>
      </w:r>
      <w:bookmarkEnd w:id="182"/>
    </w:p>
    <w:p w14:paraId="4E7D2727">
      <w:pPr>
        <w:pStyle w:val="11"/>
      </w:pPr>
      <w:r>
        <w:t xml:space="preserve">17.5.1  竣工（完工）付款申请单 </w:t>
      </w:r>
    </w:p>
    <w:p w14:paraId="199F5F82">
      <w:pPr>
        <w:pStyle w:val="11"/>
      </w:pPr>
      <w:bookmarkStart w:id="183" w:name="_Toc221951267"/>
      <w:r>
        <w:t>（1）</w:t>
      </w:r>
      <w:bookmarkEnd w:id="183"/>
      <w:r>
        <w:t>承包人应在合同工程完工证书颁发后28天内，向监理人提交</w:t>
      </w:r>
      <w:r>
        <w:rPr>
          <w:u w:val="single"/>
        </w:rPr>
        <w:t>一式肆份</w:t>
      </w:r>
      <w:r>
        <w:t>竣工（完工）付款申请单及相关证明材料。</w:t>
      </w:r>
    </w:p>
    <w:p w14:paraId="00ECDCF7">
      <w:pPr>
        <w:pStyle w:val="11"/>
      </w:pPr>
      <w:r>
        <w:t>17.5.3除按通用合同条款所说的内容外，增加以下内容：最终结算以财政评审结果或审计结果为准。</w:t>
      </w:r>
    </w:p>
    <w:p w14:paraId="2BE3926C">
      <w:pPr>
        <w:pStyle w:val="11"/>
      </w:pPr>
      <w:bookmarkStart w:id="184" w:name="_Toc31751"/>
      <w:r>
        <w:t>17.6 最终结清</w:t>
      </w:r>
      <w:bookmarkEnd w:id="184"/>
    </w:p>
    <w:p w14:paraId="54B5D872">
      <w:pPr>
        <w:pStyle w:val="11"/>
      </w:pPr>
      <w:bookmarkStart w:id="185" w:name="_Toc16188"/>
      <w:r>
        <w:t>17.6 1 最终结清申请单</w:t>
      </w:r>
      <w:bookmarkEnd w:id="185"/>
    </w:p>
    <w:p w14:paraId="24FF2DFB">
      <w:pPr>
        <w:pStyle w:val="11"/>
      </w:pPr>
      <w:bookmarkStart w:id="186" w:name="_Toc29891"/>
      <w:r>
        <w:t>（1）承包人应提交最终结清申请单份数：</w:t>
      </w:r>
      <w:r>
        <w:rPr>
          <w:u w:val="single"/>
        </w:rPr>
        <w:t>一式肆份</w:t>
      </w:r>
      <w:r>
        <w:t>。</w:t>
      </w:r>
      <w:bookmarkEnd w:id="186"/>
    </w:p>
    <w:p w14:paraId="4262295E">
      <w:pPr>
        <w:pStyle w:val="11"/>
      </w:pPr>
      <w:bookmarkStart w:id="187" w:name="_Toc2926"/>
      <w:r>
        <w:t>17.7 竣工财务决算</w:t>
      </w:r>
      <w:bookmarkEnd w:id="187"/>
    </w:p>
    <w:p w14:paraId="1E2143A8">
      <w:pPr>
        <w:pStyle w:val="11"/>
      </w:pPr>
      <w:r>
        <w:t>承包人应为竣工财务决算编制提供的资料：</w:t>
      </w:r>
      <w:r>
        <w:rPr>
          <w:u w:val="single"/>
        </w:rPr>
        <w:t>财务决算所需的一切资料</w:t>
      </w:r>
      <w:r>
        <w:t>。</w:t>
      </w:r>
    </w:p>
    <w:p w14:paraId="2395476F">
      <w:pPr>
        <w:pStyle w:val="2"/>
        <w:numPr>
          <w:ilvl w:val="0"/>
          <w:numId w:val="0"/>
        </w:numPr>
        <w:bidi w:val="0"/>
        <w:ind w:left="482" w:leftChars="0"/>
      </w:pPr>
      <w:bookmarkStart w:id="188" w:name="_Toc17310"/>
      <w:r>
        <w:t>18. 竣工验收（验收）</w:t>
      </w:r>
      <w:bookmarkEnd w:id="188"/>
    </w:p>
    <w:p w14:paraId="64F79E4E">
      <w:pPr>
        <w:pStyle w:val="2"/>
        <w:numPr>
          <w:ilvl w:val="0"/>
          <w:numId w:val="0"/>
        </w:numPr>
        <w:bidi w:val="0"/>
        <w:ind w:left="482" w:leftChars="0"/>
      </w:pPr>
      <w:r>
        <w:t>18.1 验收工作分类</w:t>
      </w:r>
    </w:p>
    <w:p w14:paraId="5DB1D23D">
      <w:pPr>
        <w:pStyle w:val="11"/>
      </w:pPr>
      <w:r>
        <w:t>按建设行政主管部门和（或）城市建设档案管理机构的要求 相关规定执行。</w:t>
      </w:r>
    </w:p>
    <w:p w14:paraId="6B5CB833">
      <w:pPr>
        <w:pStyle w:val="2"/>
        <w:numPr>
          <w:ilvl w:val="0"/>
          <w:numId w:val="0"/>
        </w:numPr>
        <w:bidi w:val="0"/>
        <w:ind w:left="482" w:leftChars="0"/>
      </w:pPr>
      <w:r>
        <w:t>18.2 分部工程验收</w:t>
      </w:r>
    </w:p>
    <w:p w14:paraId="31223A5C">
      <w:pPr>
        <w:pStyle w:val="11"/>
      </w:pPr>
      <w:r>
        <w:t>18.2.2本工程由发包人主持的分部工程验收为：</w:t>
      </w:r>
      <w:r>
        <w:rPr>
          <w:u w:val="single"/>
        </w:rPr>
        <w:tab/>
      </w:r>
      <w:r>
        <w:rPr>
          <w:u w:val="single"/>
        </w:rPr>
        <w:t xml:space="preserve">/   </w:t>
      </w:r>
      <w:r>
        <w:t>,其余由监理主持。</w:t>
      </w:r>
    </w:p>
    <w:p w14:paraId="50E1D019">
      <w:pPr>
        <w:pStyle w:val="2"/>
        <w:numPr>
          <w:ilvl w:val="0"/>
          <w:numId w:val="0"/>
        </w:numPr>
        <w:bidi w:val="0"/>
        <w:ind w:left="482" w:leftChars="0"/>
      </w:pPr>
      <w:r>
        <w:t>18.3 单位工程验收</w:t>
      </w:r>
    </w:p>
    <w:p w14:paraId="67F0E8C1">
      <w:pPr>
        <w:pStyle w:val="11"/>
      </w:pPr>
      <w:r>
        <w:t>18.3.4  提前投入使用的单位工程包括：</w:t>
      </w:r>
      <w:r>
        <w:rPr>
          <w:u w:val="single"/>
        </w:rPr>
        <w:t xml:space="preserve">       /       </w:t>
      </w:r>
      <w:r>
        <w:t>。</w:t>
      </w:r>
    </w:p>
    <w:p w14:paraId="025173D0">
      <w:pPr>
        <w:pStyle w:val="2"/>
        <w:numPr>
          <w:ilvl w:val="0"/>
          <w:numId w:val="0"/>
        </w:numPr>
        <w:bidi w:val="0"/>
        <w:ind w:left="482" w:leftChars="0"/>
      </w:pPr>
      <w:r>
        <w:t>18.5 阶段验收</w:t>
      </w:r>
    </w:p>
    <w:p w14:paraId="622DF656">
      <w:pPr>
        <w:adjustRightInd w:val="0"/>
        <w:snapToGrid w:val="0"/>
        <w:spacing w:line="360" w:lineRule="auto"/>
        <w:ind w:firstLine="480" w:firstLineChars="200"/>
        <w:rPr>
          <w:rFonts w:ascii="宋体" w:hAnsi="宋体" w:cs="宋体"/>
          <w:szCs w:val="21"/>
        </w:rPr>
      </w:pPr>
      <w:bookmarkStart w:id="189" w:name="_Toc221951283"/>
      <w:r>
        <w:rPr>
          <w:rFonts w:hint="eastAsia" w:ascii="Times New Roman" w:hAnsi="Times New Roman" w:eastAsia="宋体" w:cs="Times New Roman"/>
          <w:kern w:val="0"/>
          <w:sz w:val="24"/>
          <w:szCs w:val="20"/>
        </w:rPr>
        <w:t>18.5.1</w:t>
      </w:r>
      <w:r>
        <w:rPr>
          <w:rFonts w:hint="eastAsia" w:ascii="宋体" w:hAnsi="宋体" w:cs="宋体"/>
          <w:szCs w:val="21"/>
        </w:rPr>
        <w:t xml:space="preserve"> 本合同工程阶段验收类别包括：</w:t>
      </w:r>
      <w:bookmarkEnd w:id="189"/>
      <w:r>
        <w:rPr>
          <w:rFonts w:hint="eastAsia" w:ascii="宋体" w:hAnsi="宋体" w:cs="宋体"/>
          <w:szCs w:val="21"/>
          <w:u w:val="single"/>
        </w:rPr>
        <w:t xml:space="preserve">       /            </w:t>
      </w:r>
      <w:r>
        <w:rPr>
          <w:rFonts w:hint="eastAsia" w:ascii="宋体" w:hAnsi="宋体" w:cs="宋体"/>
          <w:szCs w:val="21"/>
        </w:rPr>
        <w:t>。</w:t>
      </w:r>
    </w:p>
    <w:p w14:paraId="45D0B7C4">
      <w:pPr>
        <w:pStyle w:val="2"/>
        <w:numPr>
          <w:ilvl w:val="0"/>
          <w:numId w:val="0"/>
        </w:numPr>
        <w:bidi w:val="0"/>
        <w:ind w:left="482" w:leftChars="0"/>
      </w:pPr>
      <w:r>
        <w:t xml:space="preserve">18.6 专项验收   </w:t>
      </w:r>
    </w:p>
    <w:p w14:paraId="4DB5C914">
      <w:pPr>
        <w:pStyle w:val="11"/>
      </w:pPr>
      <w:r>
        <w:t>18.6.2 本合同工程专项验收类别包括：</w:t>
      </w:r>
      <w:r>
        <w:rPr>
          <w:u w:val="single"/>
        </w:rPr>
        <w:t xml:space="preserve">         /         </w:t>
      </w:r>
      <w:r>
        <w:t>。</w:t>
      </w:r>
    </w:p>
    <w:p w14:paraId="139856F5">
      <w:pPr>
        <w:pStyle w:val="2"/>
        <w:numPr>
          <w:ilvl w:val="0"/>
          <w:numId w:val="0"/>
        </w:numPr>
        <w:bidi w:val="0"/>
        <w:ind w:left="482" w:leftChars="0"/>
      </w:pPr>
      <w:r>
        <w:t>18.8 施工期运行</w:t>
      </w:r>
    </w:p>
    <w:p w14:paraId="5D6AD0B2">
      <w:pPr>
        <w:pStyle w:val="11"/>
      </w:pPr>
      <w:r>
        <w:t>18.8.1需要在施工期运行的单位工程或工程设备为：</w:t>
      </w:r>
      <w:r>
        <w:rPr>
          <w:u w:val="single"/>
        </w:rPr>
        <w:t xml:space="preserve">     /    </w:t>
      </w:r>
      <w:r>
        <w:t>。</w:t>
      </w:r>
    </w:p>
    <w:p w14:paraId="02A62D69">
      <w:pPr>
        <w:pStyle w:val="2"/>
        <w:numPr>
          <w:ilvl w:val="0"/>
          <w:numId w:val="0"/>
        </w:numPr>
        <w:bidi w:val="0"/>
        <w:ind w:left="482" w:leftChars="0"/>
      </w:pPr>
      <w:r>
        <w:t>18.9试运行</w:t>
      </w:r>
    </w:p>
    <w:p w14:paraId="4EEBE9F0">
      <w:pPr>
        <w:pStyle w:val="11"/>
      </w:pPr>
      <w:r>
        <w:t>18.9.1试运行的组织：</w:t>
      </w:r>
      <w:r>
        <w:rPr>
          <w:u w:val="single"/>
        </w:rPr>
        <w:t xml:space="preserve">       无   </w:t>
      </w:r>
      <w:r>
        <w:t>；费用承担：</w:t>
      </w:r>
      <w:r>
        <w:rPr>
          <w:u w:val="single"/>
        </w:rPr>
        <w:t xml:space="preserve">      无     </w:t>
      </w:r>
      <w:r>
        <w:t>。</w:t>
      </w:r>
    </w:p>
    <w:p w14:paraId="78D93CD3">
      <w:pPr>
        <w:pStyle w:val="2"/>
        <w:numPr>
          <w:ilvl w:val="0"/>
          <w:numId w:val="0"/>
        </w:numPr>
        <w:bidi w:val="0"/>
        <w:ind w:left="482" w:leftChars="0"/>
      </w:pPr>
      <w:bookmarkStart w:id="190" w:name="_Toc171"/>
      <w:r>
        <w:t>19. 缺陷责任与保修责任</w:t>
      </w:r>
      <w:bookmarkEnd w:id="190"/>
    </w:p>
    <w:p w14:paraId="4BA881EC">
      <w:pPr>
        <w:pStyle w:val="2"/>
        <w:numPr>
          <w:ilvl w:val="0"/>
          <w:numId w:val="0"/>
        </w:numPr>
        <w:bidi w:val="0"/>
        <w:ind w:left="482" w:leftChars="0"/>
      </w:pPr>
      <w:r>
        <w:t>19.1 缺陷责任期（工程质量保修期）的起算时间</w:t>
      </w:r>
    </w:p>
    <w:p w14:paraId="59FFE13B">
      <w:pPr>
        <w:pStyle w:val="11"/>
      </w:pPr>
      <w:bookmarkStart w:id="191" w:name="_Toc18971"/>
      <w:r>
        <w:t>本工程缺陷责任期（工程质量保修）计算如下：本工程缺陷责任期（工程质量保修）计算如下：起算日按通用条款19.1和19. 7的约定，终止日按专用条款1. 1.4.5约定。</w:t>
      </w:r>
    </w:p>
    <w:p w14:paraId="4607B1F6">
      <w:pPr>
        <w:pStyle w:val="2"/>
        <w:numPr>
          <w:ilvl w:val="0"/>
          <w:numId w:val="0"/>
        </w:numPr>
        <w:bidi w:val="0"/>
        <w:ind w:left="482" w:leftChars="0"/>
      </w:pPr>
      <w:r>
        <w:t>20. 保险</w:t>
      </w:r>
      <w:bookmarkEnd w:id="191"/>
    </w:p>
    <w:p w14:paraId="31311B61">
      <w:pPr>
        <w:pStyle w:val="2"/>
        <w:numPr>
          <w:ilvl w:val="0"/>
          <w:numId w:val="0"/>
        </w:numPr>
        <w:bidi w:val="0"/>
        <w:ind w:left="482" w:leftChars="0"/>
      </w:pPr>
      <w:r>
        <w:t>20.1 工程保险</w:t>
      </w:r>
    </w:p>
    <w:p w14:paraId="2E3D5735">
      <w:pPr>
        <w:pStyle w:val="11"/>
      </w:pPr>
      <w:r>
        <w:t>建筑工程一切险和（或）安装工程一切险投保人：</w:t>
      </w:r>
      <w:r>
        <w:rPr>
          <w:u w:val="single"/>
        </w:rPr>
        <w:t xml:space="preserve">      /       </w:t>
      </w:r>
      <w:r>
        <w:t xml:space="preserve">；                        </w:t>
      </w:r>
    </w:p>
    <w:p w14:paraId="5A65765E">
      <w:pPr>
        <w:pStyle w:val="11"/>
      </w:pPr>
      <w:r>
        <w:t>投保内容：</w:t>
      </w:r>
      <w:r>
        <w:rPr>
          <w:u w:val="single"/>
        </w:rPr>
        <w:t xml:space="preserve">        /           </w:t>
      </w:r>
      <w:r>
        <w:t xml:space="preserve">；                                                      </w:t>
      </w:r>
    </w:p>
    <w:p w14:paraId="613DCD84">
      <w:pPr>
        <w:pStyle w:val="11"/>
      </w:pPr>
      <w:r>
        <w:t>保险金额、保险费率和保险期限：</w:t>
      </w:r>
      <w:r>
        <w:rPr>
          <w:u w:val="single"/>
        </w:rPr>
        <w:t xml:space="preserve">     /       </w:t>
      </w:r>
      <w:r>
        <w:t>。</w:t>
      </w:r>
    </w:p>
    <w:p w14:paraId="24A87321">
      <w:pPr>
        <w:pStyle w:val="2"/>
        <w:numPr>
          <w:ilvl w:val="0"/>
          <w:numId w:val="0"/>
        </w:numPr>
        <w:bidi w:val="0"/>
        <w:ind w:left="482" w:leftChars="0"/>
      </w:pPr>
      <w:r>
        <w:t>20.4 第三者责任险</w:t>
      </w:r>
    </w:p>
    <w:p w14:paraId="4EEEC0DA">
      <w:pPr>
        <w:pStyle w:val="11"/>
      </w:pPr>
      <w:bookmarkStart w:id="192" w:name="_Toc28183"/>
      <w:r>
        <w:t>20.4.2  第三者责任险保险费率：</w:t>
      </w:r>
      <w:r>
        <w:rPr>
          <w:u w:val="single"/>
        </w:rPr>
        <w:t xml:space="preserve">     /       </w:t>
      </w:r>
      <w:r>
        <w:t xml:space="preserve">；                                       </w:t>
      </w:r>
    </w:p>
    <w:p w14:paraId="60093BE9">
      <w:pPr>
        <w:pStyle w:val="11"/>
      </w:pPr>
      <w:r>
        <w:t>第三者责任险保险金额：</w:t>
      </w:r>
      <w:r>
        <w:rPr>
          <w:u w:val="single"/>
        </w:rPr>
        <w:t xml:space="preserve">    /       </w:t>
      </w:r>
      <w:r>
        <w:t>。</w:t>
      </w:r>
    </w:p>
    <w:p w14:paraId="1301F457">
      <w:pPr>
        <w:pStyle w:val="2"/>
        <w:numPr>
          <w:ilvl w:val="0"/>
          <w:numId w:val="0"/>
        </w:numPr>
        <w:bidi w:val="0"/>
        <w:ind w:left="482" w:leftChars="0"/>
      </w:pPr>
      <w:r>
        <w:t>20.5 其他保险</w:t>
      </w:r>
      <w:bookmarkEnd w:id="192"/>
    </w:p>
    <w:p w14:paraId="02360479">
      <w:pPr>
        <w:pStyle w:val="11"/>
      </w:pPr>
      <w:bookmarkStart w:id="193" w:name="_Toc13967"/>
      <w:r>
        <w:t>需要投保的其他内容：</w:t>
      </w:r>
      <w:r>
        <w:rPr>
          <w:u w:val="single"/>
        </w:rPr>
        <w:t xml:space="preserve">     /         </w:t>
      </w:r>
      <w:r>
        <w:t>；</w:t>
      </w:r>
    </w:p>
    <w:p w14:paraId="633DDF65">
      <w:pPr>
        <w:pStyle w:val="11"/>
      </w:pPr>
      <w:r>
        <w:t>保险金额、保险费率和保险期限：</w:t>
      </w:r>
      <w:r>
        <w:rPr>
          <w:u w:val="single"/>
        </w:rPr>
        <w:t xml:space="preserve">   /      </w:t>
      </w:r>
      <w:r>
        <w:t>；</w:t>
      </w:r>
    </w:p>
    <w:p w14:paraId="355C8504">
      <w:pPr>
        <w:pStyle w:val="2"/>
        <w:numPr>
          <w:ilvl w:val="0"/>
          <w:numId w:val="0"/>
        </w:numPr>
        <w:bidi w:val="0"/>
        <w:ind w:left="482" w:leftChars="0"/>
      </w:pPr>
      <w:r>
        <w:t>20.6 对各项保险的一般要求</w:t>
      </w:r>
      <w:bookmarkEnd w:id="193"/>
    </w:p>
    <w:p w14:paraId="6CED0E65">
      <w:pPr>
        <w:pStyle w:val="2"/>
        <w:numPr>
          <w:ilvl w:val="0"/>
          <w:numId w:val="0"/>
        </w:numPr>
        <w:bidi w:val="0"/>
        <w:ind w:left="482" w:leftChars="0"/>
      </w:pPr>
      <w:bookmarkStart w:id="194" w:name="_Toc221951328"/>
      <w:r>
        <w:t>20.6.1 保险凭证</w:t>
      </w:r>
      <w:bookmarkEnd w:id="194"/>
    </w:p>
    <w:p w14:paraId="74DF356D">
      <w:pPr>
        <w:pStyle w:val="11"/>
      </w:pPr>
      <w:bookmarkStart w:id="195" w:name="_Toc221951329"/>
      <w:r>
        <w:t>承包人提交保险凭证的期限：</w:t>
      </w:r>
      <w:r>
        <w:rPr>
          <w:u w:val="single"/>
        </w:rPr>
        <w:t xml:space="preserve">  /      </w:t>
      </w:r>
      <w:bookmarkEnd w:id="195"/>
      <w:r>
        <w:t>；</w:t>
      </w:r>
    </w:p>
    <w:p w14:paraId="31902321">
      <w:pPr>
        <w:pStyle w:val="11"/>
      </w:pPr>
      <w:bookmarkStart w:id="196" w:name="_Toc221951330"/>
      <w:r>
        <w:t>保险条件：</w:t>
      </w:r>
      <w:r>
        <w:rPr>
          <w:u w:val="single"/>
        </w:rPr>
        <w:t xml:space="preserve">     /         </w:t>
      </w:r>
      <w:r>
        <w:t>。</w:t>
      </w:r>
      <w:bookmarkEnd w:id="196"/>
    </w:p>
    <w:p w14:paraId="3876BCB3">
      <w:pPr>
        <w:pStyle w:val="2"/>
        <w:numPr>
          <w:ilvl w:val="0"/>
          <w:numId w:val="0"/>
        </w:numPr>
        <w:bidi w:val="0"/>
        <w:ind w:left="482" w:leftChars="0"/>
      </w:pPr>
      <w:bookmarkStart w:id="197" w:name="_Toc221951331"/>
      <w:r>
        <w:t>20.6.4 保险金不足的补偿</w:t>
      </w:r>
      <w:bookmarkEnd w:id="197"/>
    </w:p>
    <w:p w14:paraId="16EA9739">
      <w:pPr>
        <w:pStyle w:val="11"/>
      </w:pPr>
      <w:bookmarkStart w:id="198" w:name="_Toc221951332"/>
      <w:r>
        <w:t>承包人负责补偿的范围与金额：</w:t>
      </w:r>
      <w:bookmarkEnd w:id="198"/>
      <w:r>
        <w:rPr>
          <w:u w:val="single"/>
        </w:rPr>
        <w:t xml:space="preserve">     /      </w:t>
      </w:r>
      <w:r>
        <w:t>；</w:t>
      </w:r>
    </w:p>
    <w:p w14:paraId="72F4B9B7">
      <w:pPr>
        <w:pStyle w:val="11"/>
      </w:pPr>
      <w:r>
        <w:t>发包人负责补偿的范围与金额：</w:t>
      </w:r>
      <w:r>
        <w:rPr>
          <w:u w:val="single"/>
        </w:rPr>
        <w:t xml:space="preserve">    /     </w:t>
      </w:r>
      <w:r>
        <w:t>。</w:t>
      </w:r>
    </w:p>
    <w:p w14:paraId="59CD1945">
      <w:pPr>
        <w:pStyle w:val="2"/>
        <w:numPr>
          <w:ilvl w:val="0"/>
          <w:numId w:val="0"/>
        </w:numPr>
        <w:bidi w:val="0"/>
        <w:ind w:left="482" w:leftChars="0"/>
      </w:pPr>
      <w:r>
        <w:t>21. 不可抗力</w:t>
      </w:r>
    </w:p>
    <w:p w14:paraId="4E385B78">
      <w:pPr>
        <w:pStyle w:val="2"/>
        <w:numPr>
          <w:ilvl w:val="0"/>
          <w:numId w:val="0"/>
        </w:numPr>
        <w:bidi w:val="0"/>
        <w:ind w:left="482" w:leftChars="0"/>
      </w:pPr>
      <w:r>
        <w:t>21.1 不可抗力的确认</w:t>
      </w:r>
    </w:p>
    <w:p w14:paraId="0FA48346">
      <w:pPr>
        <w:pStyle w:val="11"/>
      </w:pPr>
      <w:r>
        <w:t>21.1.1 不可抗力是指承包人和发包人在订立合同时不可预见，在工程施工过程中不可避免发生并不能克服的自然灾害和社会性突发事件，如地震、海啸、瘟疫、水灾、骚乱、暴动、战争和本合同专用合同条款第11.4款的约定。</w:t>
      </w:r>
    </w:p>
    <w:p w14:paraId="65D7560A">
      <w:pPr>
        <w:adjustRightInd w:val="0"/>
        <w:snapToGrid w:val="0"/>
        <w:spacing w:line="360" w:lineRule="auto"/>
        <w:rPr>
          <w:rFonts w:ascii="宋体" w:hAnsi="宋体" w:cs="宋体"/>
          <w:szCs w:val="21"/>
        </w:rPr>
      </w:pPr>
      <w:r>
        <w:rPr>
          <w:rFonts w:hint="eastAsia" w:ascii="宋体" w:hAnsi="宋体" w:cs="宋体"/>
          <w:szCs w:val="21"/>
        </w:rPr>
        <w:t xml:space="preserve">                                                                                                                                                                                                                                                                                                                                                                                                                                                                                                                                                                                                                                                                                                                                                                                                                                                                                                                                                                                                                                                                                                                                                                                                                                                                                                                                                                                                                                                                                                                                                                                                                                                                                                                                                                                                                                                                                                                                                                                                                            </w:t>
      </w:r>
      <w:r>
        <w:rPr>
          <w:rFonts w:hint="eastAsia" w:ascii="宋体" w:hAnsi="宋体" w:cs="宋体"/>
          <w:b/>
          <w:szCs w:val="21"/>
        </w:rPr>
        <w:t xml:space="preserve"> </w:t>
      </w:r>
      <w:r>
        <w:rPr>
          <w:rFonts w:hint="eastAsia" w:ascii="宋体" w:hAnsi="宋体" w:cs="宋体"/>
          <w:szCs w:val="21"/>
        </w:rPr>
        <w:t xml:space="preserve">                                                                                                                                                                                                                                                                                                                                                                                                                                                                                                                                                                                                                                                                                                                                                                                                                                                                                                                                                                                                                                                                                                                                                                                                                                                                                                                                                                                                                                                                                                                                                                                                                                                                                                                                                                                                                                                                                                                                                                                                                                      </w:t>
      </w:r>
      <w:r>
        <w:rPr>
          <w:rFonts w:hint="eastAsia" w:ascii="宋体" w:hAnsi="宋体" w:cs="宋体"/>
          <w:b/>
          <w:szCs w:val="21"/>
        </w:rPr>
        <w:t xml:space="preserve"> </w:t>
      </w:r>
    </w:p>
    <w:p w14:paraId="0AFFED94">
      <w:pPr>
        <w:pStyle w:val="2"/>
        <w:numPr>
          <w:ilvl w:val="0"/>
          <w:numId w:val="0"/>
        </w:numPr>
        <w:bidi w:val="0"/>
        <w:ind w:left="482" w:leftChars="0"/>
      </w:pPr>
      <w:r>
        <w:t>24. 争议的解决</w:t>
      </w:r>
    </w:p>
    <w:p w14:paraId="793C3657">
      <w:pPr>
        <w:pStyle w:val="2"/>
        <w:numPr>
          <w:ilvl w:val="0"/>
          <w:numId w:val="0"/>
        </w:numPr>
        <w:bidi w:val="0"/>
        <w:ind w:left="482" w:leftChars="0"/>
      </w:pPr>
      <w:r>
        <w:t>24.1 争议的解决方式</w:t>
      </w:r>
    </w:p>
    <w:p w14:paraId="32575E6E">
      <w:pPr>
        <w:pStyle w:val="11"/>
      </w:pPr>
      <w:r>
        <w:t>合同当事人友好协商解决不成、不愿提请争议评审或不接受争议评审组意见的，约定的合同争议解决方式：</w:t>
      </w:r>
      <w:r>
        <w:rPr>
          <w:u w:val="single"/>
        </w:rPr>
        <w:t>向有管辖权的人民法院提起诉讼。</w:t>
      </w:r>
    </w:p>
    <w:p w14:paraId="31E9B007">
      <w:pPr>
        <w:pStyle w:val="2"/>
        <w:numPr>
          <w:ilvl w:val="0"/>
          <w:numId w:val="0"/>
        </w:numPr>
        <w:bidi w:val="0"/>
        <w:ind w:left="482" w:leftChars="0"/>
      </w:pPr>
      <w:r>
        <w:t>25.附加条款</w:t>
      </w:r>
    </w:p>
    <w:p w14:paraId="57B962E8">
      <w:pPr>
        <w:pStyle w:val="11"/>
      </w:pPr>
      <w:r>
        <w:t>25.1对承包人的要求</w:t>
      </w:r>
    </w:p>
    <w:p w14:paraId="020624E4">
      <w:pPr>
        <w:pStyle w:val="11"/>
      </w:pPr>
      <w:r>
        <w:t>1.因承包人的原因造成施工进度计划滞后，承包人均应按发包人和监理人的指示，采取有效措施赶上进度。若施工进度仍然满足不了发包人的要求，视为承包人已经构成违约，发包人可通知承包人解除合同。发包人可在发出通知5天后派员进驻工地直接监管工程，使用承包人设备、临时工程和材料，另行组织人员或委托其他承包人施工，但发包人的这一行为不免除承包人按合同规定应负的责任。</w:t>
      </w:r>
    </w:p>
    <w:p w14:paraId="4738DCB3">
      <w:pPr>
        <w:pStyle w:val="11"/>
      </w:pPr>
      <w:r>
        <w:t>2.遵守国务院《建设工程质量管理条例》，根据有关质量管理规定，建立健全质量管理机构，结合工程实际制定完善的可操作性强的质量管理制度，施工质量等级达到合同约定等级。</w:t>
      </w:r>
    </w:p>
    <w:p w14:paraId="3EB4E147">
      <w:pPr>
        <w:pStyle w:val="11"/>
      </w:pPr>
      <w:r>
        <w:t>3.按国家《中华人民共和国生产安全法》、《建设工程安全生产管理条例》、自治区安全生产法规和施工安全操作规程的规定建立健全安全管理机构和安全管理制度，采取安全施工保障措施保障工程施工安全。</w:t>
      </w:r>
    </w:p>
    <w:p w14:paraId="532EFB7E">
      <w:pPr>
        <w:pStyle w:val="11"/>
      </w:pPr>
      <w:r>
        <w:t>4.按有关施工规程规范及本招标文件技术条款进行组织施工并实施施工过程和移交前工程保护措施。</w:t>
      </w:r>
    </w:p>
    <w:p w14:paraId="5E9BF063">
      <w:pPr>
        <w:pStyle w:val="11"/>
      </w:pPr>
      <w:r>
        <w:t>5.承包人违约有以下情况之一者，发包人有权采取合同规定的以下措施处理，并视情节轻重处予违约金，违约金额为合同总价的0.25%-1%（视情节严重而定）。</w:t>
      </w:r>
    </w:p>
    <w:p w14:paraId="06DE4FE8">
      <w:pPr>
        <w:pStyle w:val="11"/>
      </w:pPr>
      <w:r>
        <w:t>（1）未经发包人批准，施工期内承包人调走主要施工技术人员（包括建造师、专业工程师），经发现不及时调回的，违约金额为合同总价的0.25%-1%（视情节严重而定）。</w:t>
      </w:r>
    </w:p>
    <w:p w14:paraId="67FF5565">
      <w:pPr>
        <w:pStyle w:val="11"/>
      </w:pPr>
      <w:r>
        <w:t>（2）未经发包人批准，施工期内自行调走主要施工机械，经发现不及时调回的，违约金额为合同总价的0.25%-1%（视情节严重而定）。</w:t>
      </w:r>
    </w:p>
    <w:p w14:paraId="01BB418A">
      <w:pPr>
        <w:pStyle w:val="11"/>
      </w:pPr>
      <w:r>
        <w:t>（3）所有以上违约金均在承包人的进度款中扣除。</w:t>
      </w:r>
    </w:p>
    <w:p w14:paraId="1E803874">
      <w:pPr>
        <w:pStyle w:val="11"/>
      </w:pPr>
      <w:r>
        <w:t>（4）承包人的人员机械进场必须按照合同书或根据工程实际调整经监理人和发包人确认的人员和机械进场时间表进场，承包人不得拖延、调换或减少。主要机械的数量、型号和劳动力、材料的投入，应与合同相符，若发包人或建设主管部门认为合同规定的进场机械、材料和劳动力不能满足施工进度要求，有权指令承包人增加机械、材料和劳动力投入，承包人不得拒绝。</w:t>
      </w:r>
    </w:p>
    <w:p w14:paraId="5D4E3304">
      <w:pPr>
        <w:pStyle w:val="11"/>
      </w:pPr>
      <w:r>
        <w:t>（5）合同签订之日起15日内，承包人无法按合同规定进场全部人员和机械时，作为承包人违约，发包人可解除合同，没收其全部履约保证金，另行发包工程。</w:t>
      </w:r>
    </w:p>
    <w:p w14:paraId="49A3C578">
      <w:pPr>
        <w:pStyle w:val="11"/>
      </w:pPr>
      <w:bookmarkStart w:id="199" w:name="bookmark1879"/>
      <w:bookmarkEnd w:id="199"/>
      <w:r>
        <w:t>（6）合同履行过程中，承包人未按规定要求落实安全生产措施费用专款专用，挪用、 扣减安全生产措施费用，且不服从发包人或监理人的安全生产管理，发包人有权对违反安 全生产相关规定的行为处以罚款直至终止合同。</w:t>
      </w:r>
    </w:p>
    <w:p w14:paraId="6E0AAE8C">
      <w:pPr>
        <w:pStyle w:val="11"/>
      </w:pPr>
      <w:r>
        <w:t>6.承包人生活设施及施工场地，应自费配备消防设备，防止火灾发生。</w:t>
      </w:r>
    </w:p>
    <w:p w14:paraId="4E873112">
      <w:pPr>
        <w:pStyle w:val="11"/>
      </w:pPr>
      <w:r>
        <w:t>7.承包人使用的劳动力均应进行保险，否则不准安排工作，禁止使用童工。</w:t>
      </w:r>
    </w:p>
    <w:p w14:paraId="46BB343F">
      <w:pPr>
        <w:pStyle w:val="11"/>
      </w:pPr>
      <w:r>
        <w:t>8.凡招标文件的合同条件、技术规范、设计图纸没有明显提及或明显遗漏或明显错误的，应以国内现行规范解释为依据，或以国内惯例解释处理。承包人发现后应及时向监理工程师报告，防止造成损失，并不利用以上文件的含糊、遗漏、错误或缺点索取利益。</w:t>
      </w:r>
    </w:p>
    <w:p w14:paraId="60D0DF62">
      <w:pPr>
        <w:pStyle w:val="11"/>
      </w:pPr>
      <w:r>
        <w:t>9.承包人未能按时完成当月合同进度计划70%工程量的，发包人有权自行组织施工，以不超过投标报价的2倍单价扣减承包人的进度款，支付自行组织施工完成的工程款。也有权终止本合同并清退承包人，承包人须在10天内离场，否则发包人将强行撤出所有施工设备，所造成的全部损失由承包人承担。</w:t>
      </w:r>
    </w:p>
    <w:p w14:paraId="036936DE">
      <w:pPr>
        <w:pStyle w:val="11"/>
      </w:pPr>
      <w:r>
        <w:t>10.有关主管部门及发包人检查发现问题时，承包人应按要求整改。在规定时间内不进行整改或整改无效的，发包人有权终止本施工合同并清退承包人。承包人须在10天内离场，否则发包人将强行撤出所有施工设备，所造成的全部损失由承包人承担。</w:t>
      </w:r>
    </w:p>
    <w:p w14:paraId="65B78DE6">
      <w:pPr>
        <w:pStyle w:val="11"/>
      </w:pPr>
      <w:r>
        <w:rPr>
          <w:b w:val="0"/>
          <w:bCs/>
        </w:rPr>
        <w:t>25.2</w:t>
      </w:r>
      <w:r>
        <w:t xml:space="preserve"> 发包人所有付款(含预付款)均转入如下承包人单位基本账户:开户银行：</w:t>
      </w:r>
      <w:r>
        <w:rPr>
          <w:u w:val="single"/>
        </w:rPr>
        <w:t xml:space="preserve">                  </w:t>
      </w:r>
      <w:r>
        <w:t>，开户名：</w:t>
      </w:r>
      <w:r>
        <w:rPr>
          <w:u w:val="single"/>
        </w:rPr>
        <w:t xml:space="preserve">                      </w:t>
      </w:r>
      <w:r>
        <w:t>，账号：</w:t>
      </w:r>
      <w:r>
        <w:rPr>
          <w:u w:val="single"/>
        </w:rPr>
        <w:t xml:space="preserve">                     </w:t>
      </w:r>
      <w:r>
        <w:t>，承包人单位基本账户发生改变时, 承包人应书面通知（法定代表人签名并加盖单位公章）发包人。</w:t>
      </w:r>
    </w:p>
    <w:p w14:paraId="14A0CFFE">
      <w:pPr>
        <w:pStyle w:val="11"/>
      </w:pPr>
      <w:r>
        <w:rPr>
          <w:b w:val="0"/>
          <w:bCs/>
        </w:rPr>
        <w:t>25.3</w:t>
      </w:r>
      <w:r>
        <w:t>承包方应在施工合同签订后14天内提交所有工程报建报监资料，并按要求办理开工前相应手续，且所有施工签证等相关手续符合主管部门、地方的规定；工程过程中涉及的办证由承包方负责并承担相关费用，发包人协助承包人办理。</w:t>
      </w:r>
    </w:p>
    <w:p w14:paraId="6E484DB8">
      <w:pPr>
        <w:pStyle w:val="11"/>
      </w:pPr>
      <w:r>
        <w:rPr>
          <w:b w:val="0"/>
          <w:bCs/>
        </w:rPr>
        <w:t>25.4</w:t>
      </w:r>
      <w:r>
        <w:t xml:space="preserve"> 专用合同条款中未尽事宜，在签订施工合同时双方再商定。</w:t>
      </w:r>
    </w:p>
    <w:p w14:paraId="52A5238B">
      <w:pPr>
        <w:rPr>
          <w:rFonts w:ascii="宋体" w:hAnsi="宋体" w:cs="宋体"/>
          <w:szCs w:val="21"/>
        </w:rPr>
      </w:pPr>
    </w:p>
    <w:p w14:paraId="4CAAFF1F">
      <w:pPr>
        <w:rPr>
          <w:rFonts w:ascii="宋体" w:hAnsi="宋体" w:cs="宋体"/>
          <w:szCs w:val="21"/>
        </w:rPr>
      </w:pPr>
    </w:p>
    <w:p w14:paraId="0762DF2B">
      <w:pPr>
        <w:rPr>
          <w:rFonts w:ascii="宋体" w:hAnsi="宋体" w:cs="宋体"/>
          <w:szCs w:val="21"/>
        </w:rPr>
      </w:pPr>
    </w:p>
    <w:p w14:paraId="112B6754">
      <w:pPr>
        <w:rPr>
          <w:rFonts w:ascii="宋体" w:hAnsi="宋体" w:cs="宋体"/>
          <w:szCs w:val="21"/>
        </w:rPr>
      </w:pPr>
    </w:p>
    <w:p w14:paraId="451B76B5">
      <w:pPr>
        <w:rPr>
          <w:rFonts w:ascii="宋体" w:hAnsi="宋体" w:cs="宋体"/>
          <w:szCs w:val="21"/>
        </w:rPr>
      </w:pPr>
    </w:p>
    <w:p w14:paraId="3205A9BB">
      <w:pPr>
        <w:rPr>
          <w:rFonts w:ascii="宋体" w:hAnsi="宋体" w:cs="宋体"/>
          <w:szCs w:val="21"/>
        </w:rPr>
      </w:pPr>
    </w:p>
    <w:p w14:paraId="0BD2DFC8">
      <w:pPr>
        <w:rPr>
          <w:rFonts w:ascii="宋体" w:hAnsi="宋体" w:cs="宋体"/>
          <w:szCs w:val="21"/>
        </w:rPr>
      </w:pPr>
    </w:p>
    <w:p w14:paraId="0D4C2852">
      <w:pPr>
        <w:rPr>
          <w:rFonts w:ascii="宋体" w:hAnsi="宋体" w:cs="宋体"/>
          <w:szCs w:val="21"/>
        </w:rPr>
      </w:pPr>
    </w:p>
    <w:p w14:paraId="7BDA1354">
      <w:pPr>
        <w:rPr>
          <w:rFonts w:ascii="宋体" w:hAnsi="宋体" w:cs="宋体"/>
          <w:szCs w:val="21"/>
        </w:rPr>
      </w:pPr>
    </w:p>
    <w:p w14:paraId="7DBAEADE">
      <w:pPr>
        <w:rPr>
          <w:rFonts w:ascii="宋体" w:hAnsi="宋体" w:cs="宋体"/>
          <w:szCs w:val="21"/>
        </w:rPr>
      </w:pPr>
    </w:p>
    <w:p w14:paraId="432E34DC">
      <w:pPr>
        <w:rPr>
          <w:rFonts w:ascii="宋体" w:hAnsi="宋体" w:cs="宋体"/>
          <w:szCs w:val="21"/>
        </w:rPr>
      </w:pPr>
    </w:p>
    <w:p w14:paraId="32EEB835">
      <w:pPr>
        <w:rPr>
          <w:rFonts w:ascii="宋体" w:hAnsi="宋体" w:cs="宋体"/>
          <w:szCs w:val="21"/>
        </w:rPr>
      </w:pPr>
    </w:p>
    <w:p w14:paraId="28FEB01B">
      <w:pPr>
        <w:rPr>
          <w:rFonts w:ascii="宋体" w:hAnsi="宋体" w:cs="宋体"/>
          <w:szCs w:val="21"/>
        </w:rPr>
      </w:pPr>
    </w:p>
    <w:p w14:paraId="3E91170A">
      <w:pPr>
        <w:rPr>
          <w:rFonts w:ascii="宋体" w:hAnsi="宋体" w:cs="宋体"/>
          <w:szCs w:val="21"/>
        </w:rPr>
      </w:pPr>
    </w:p>
    <w:p w14:paraId="435B5224">
      <w:pPr>
        <w:rPr>
          <w:rFonts w:ascii="宋体" w:hAnsi="宋体" w:cs="宋体"/>
          <w:szCs w:val="21"/>
        </w:rPr>
      </w:pPr>
    </w:p>
    <w:p w14:paraId="27CE49E3">
      <w:bookmarkStart w:id="200" w:name="_Toc622"/>
      <w:r>
        <w:br w:type="page"/>
      </w:r>
    </w:p>
    <w:p w14:paraId="581754EA">
      <w:pPr>
        <w:pStyle w:val="42"/>
        <w:numPr>
          <w:ilvl w:val="0"/>
          <w:numId w:val="70"/>
        </w:numPr>
        <w:ind w:left="0" w:leftChars="0" w:firstLine="480" w:firstLineChars="0"/>
        <w:outlineLvl w:val="0"/>
      </w:pPr>
      <w:r>
        <w:t>通用合同条款</w:t>
      </w:r>
      <w:bookmarkEnd w:id="200"/>
    </w:p>
    <w:p w14:paraId="7AA69B57">
      <w:pPr>
        <w:pStyle w:val="2"/>
        <w:numPr>
          <w:ilvl w:val="0"/>
          <w:numId w:val="0"/>
        </w:numPr>
        <w:bidi w:val="0"/>
        <w:ind w:left="482" w:leftChars="0"/>
      </w:pPr>
      <w:bookmarkStart w:id="201" w:name="bookmark882"/>
      <w:bookmarkStart w:id="202" w:name="bookmark883"/>
      <w:bookmarkStart w:id="203" w:name="_Toc14710268"/>
      <w:bookmarkStart w:id="204" w:name="_Toc19504"/>
      <w:bookmarkStart w:id="205" w:name="bookmark881"/>
      <w:r>
        <w:t>1. 一般约定</w:t>
      </w:r>
      <w:bookmarkEnd w:id="201"/>
      <w:bookmarkEnd w:id="202"/>
      <w:bookmarkEnd w:id="203"/>
      <w:bookmarkEnd w:id="204"/>
      <w:bookmarkEnd w:id="205"/>
    </w:p>
    <w:p w14:paraId="34DA9166">
      <w:pPr>
        <w:pStyle w:val="2"/>
        <w:numPr>
          <w:ilvl w:val="0"/>
          <w:numId w:val="0"/>
        </w:numPr>
        <w:bidi w:val="0"/>
        <w:ind w:left="482" w:leftChars="0"/>
      </w:pPr>
      <w:bookmarkStart w:id="206" w:name="_Toc14710269"/>
      <w:bookmarkStart w:id="207" w:name="_Toc5974"/>
      <w:bookmarkStart w:id="208" w:name="bookmark885"/>
      <w:bookmarkStart w:id="209" w:name="bookmark886"/>
      <w:bookmarkStart w:id="210" w:name="bookmark884"/>
      <w:r>
        <w:t>1.1词语定义</w:t>
      </w:r>
      <w:bookmarkEnd w:id="206"/>
      <w:bookmarkEnd w:id="207"/>
      <w:bookmarkEnd w:id="208"/>
      <w:bookmarkEnd w:id="209"/>
      <w:bookmarkEnd w:id="210"/>
    </w:p>
    <w:p w14:paraId="6926D6A9">
      <w:pPr>
        <w:pStyle w:val="11"/>
      </w:pPr>
      <w:r>
        <w:t>通用合同条款、专用合同条款中的下列词语应具有本款所赋予的含义。</w:t>
      </w:r>
    </w:p>
    <w:p w14:paraId="2B92F31F">
      <w:pPr>
        <w:pStyle w:val="2"/>
        <w:numPr>
          <w:ilvl w:val="0"/>
          <w:numId w:val="0"/>
        </w:numPr>
        <w:bidi w:val="0"/>
        <w:ind w:left="482" w:leftChars="0"/>
      </w:pPr>
      <w:r>
        <w:t>1.1.1合同</w:t>
      </w:r>
    </w:p>
    <w:p w14:paraId="03F6D5F3">
      <w:pPr>
        <w:pStyle w:val="11"/>
      </w:pPr>
      <w:r>
        <w:t>1.1.1.1合同文件（或称合同）：指合同协议书、成交通知书、投标函及投标函附录、专用合同条款、通用合同条款、技术标准和要求、图纸、已标价工程量清单，以及其他合同文件。</w:t>
      </w:r>
    </w:p>
    <w:p w14:paraId="28E93319">
      <w:pPr>
        <w:pStyle w:val="11"/>
      </w:pPr>
      <w:bookmarkStart w:id="211" w:name="bookmark887"/>
      <w:bookmarkEnd w:id="211"/>
      <w:r>
        <w:t>1. 1. 1. 2合同协议书：指第1.5款所指的合同协议书。</w:t>
      </w:r>
    </w:p>
    <w:p w14:paraId="70B31853">
      <w:pPr>
        <w:pStyle w:val="11"/>
      </w:pPr>
      <w:r>
        <w:t>1. 1. 1. 3成交通知书：指发包人通知承包人成交的函件。</w:t>
      </w:r>
    </w:p>
    <w:p w14:paraId="6A8CE6A4">
      <w:pPr>
        <w:pStyle w:val="11"/>
      </w:pPr>
      <w:bookmarkStart w:id="212" w:name="bookmark888"/>
      <w:bookmarkEnd w:id="212"/>
      <w:r>
        <w:t>1. 1. 1. 4投标函：指构成合同文件组成部分的由承包人填写并签署的投标函。</w:t>
      </w:r>
    </w:p>
    <w:p w14:paraId="363935BB">
      <w:pPr>
        <w:pStyle w:val="11"/>
      </w:pPr>
      <w:r>
        <w:t>1. 1. 1. 5投标函附录：指附在投标函后构成合同文件的投标函附录。</w:t>
      </w:r>
    </w:p>
    <w:p w14:paraId="4521F154">
      <w:pPr>
        <w:pStyle w:val="11"/>
      </w:pPr>
      <w:bookmarkStart w:id="213" w:name="bookmark889"/>
      <w:bookmarkEnd w:id="213"/>
      <w:r>
        <w:t>1. 1. 1. 6技术标准和要求：指构成合同文件组成部分的名为技术标准和要求（合同技术条款）的文件，包括合同双方当事人约定对其所做的修改或补充。</w:t>
      </w:r>
    </w:p>
    <w:p w14:paraId="752A9C04">
      <w:pPr>
        <w:pStyle w:val="11"/>
      </w:pPr>
      <w:bookmarkStart w:id="214" w:name="bookmark890"/>
      <w:bookmarkEnd w:id="214"/>
      <w:r>
        <w:t>1. 1. 1. 7图纸：指列入合同的招标图纸、投标图纸和发包人按合同约定向承包人提供 的施工图纸和其他图纸（包括配套说明和有关资料）。列入合同的招标图纸已成为合同文件的一部分，具有合同效力，主要用于在履行合同过程中作为衡量变更的依据，但不能直接用于施工。经发包人确认进入合同的投标图纸亦成为合同文件的一部分，用于在履行合同中检验承包人是否按其投标时承诺的条件进行施工的依据，亦不能直接用于施工。</w:t>
      </w:r>
    </w:p>
    <w:p w14:paraId="2B012065">
      <w:pPr>
        <w:pStyle w:val="11"/>
      </w:pPr>
      <w:r>
        <w:t>1. 1. 1. 8已标价工程量清单：指构成合同文件组成部分的由承包人按照规定的格式和要求填写并标明价格的工程量清单。</w:t>
      </w:r>
    </w:p>
    <w:p w14:paraId="427156BF">
      <w:pPr>
        <w:pStyle w:val="11"/>
      </w:pPr>
      <w:r>
        <w:t>1. 1. 1. 9其他合同文件：指经合同双方当事人确认构成合同文件的其他文件。</w:t>
      </w:r>
    </w:p>
    <w:p w14:paraId="53821C45">
      <w:pPr>
        <w:pStyle w:val="2"/>
        <w:numPr>
          <w:ilvl w:val="0"/>
          <w:numId w:val="0"/>
        </w:numPr>
        <w:bidi w:val="0"/>
        <w:ind w:left="482" w:leftChars="0"/>
      </w:pPr>
      <w:r>
        <w:t>1.1.2合同当事人和人员。</w:t>
      </w:r>
    </w:p>
    <w:p w14:paraId="14F03757">
      <w:pPr>
        <w:pStyle w:val="11"/>
      </w:pPr>
      <w:r>
        <w:t>1. 1.2.1合同当事人：指发包人和（或）承包人。</w:t>
      </w:r>
    </w:p>
    <w:p w14:paraId="522F8FD8">
      <w:pPr>
        <w:pStyle w:val="11"/>
      </w:pPr>
      <w:bookmarkStart w:id="215" w:name="bookmark891"/>
      <w:bookmarkEnd w:id="215"/>
      <w:r>
        <w:t>1. 1.2.2发包人：指专用合同条款中指明并与承包人在合同协议书中签字的当事人。</w:t>
      </w:r>
    </w:p>
    <w:p w14:paraId="77F20B08">
      <w:pPr>
        <w:pStyle w:val="11"/>
      </w:pPr>
      <w:bookmarkStart w:id="216" w:name="bookmark892"/>
      <w:bookmarkEnd w:id="216"/>
      <w:r>
        <w:t>1. 1.2.3承包人：指专用合同条款中指明并与发包人在合同协议书中签字的当事人。</w:t>
      </w:r>
    </w:p>
    <w:p w14:paraId="176E4B5F">
      <w:pPr>
        <w:pStyle w:val="11"/>
      </w:pPr>
      <w:r>
        <w:t>1. 1.2.4承包人项目经理：指承包人派驻施工场地的全权负责人。</w:t>
      </w:r>
    </w:p>
    <w:p w14:paraId="139C18D0">
      <w:pPr>
        <w:pStyle w:val="11"/>
      </w:pPr>
      <w:r>
        <w:t>1. 1.2.5分包人：指专用合同条款中指明的，从承包人处分包合同中某一部分工程, 并与其签订分包合同的分包人。</w:t>
      </w:r>
    </w:p>
    <w:p w14:paraId="044B0CF7">
      <w:pPr>
        <w:pStyle w:val="11"/>
      </w:pPr>
      <w:bookmarkStart w:id="217" w:name="bookmark893"/>
      <w:bookmarkEnd w:id="217"/>
      <w:r>
        <w:t>1. 1.2.6  监理人：指在专用合同条款中指明的，受发包人委托对合同履行实施管理的 法人或其他组织。</w:t>
      </w:r>
    </w:p>
    <w:p w14:paraId="343BD1DE">
      <w:pPr>
        <w:pStyle w:val="11"/>
      </w:pPr>
      <w:r>
        <w:t>1. 1.2.7总监理工程师（总监）:指由监理人委派常驻施工场地对合同履行实施管理的全权负责人。</w:t>
      </w:r>
    </w:p>
    <w:p w14:paraId="37C4F645">
      <w:pPr>
        <w:pStyle w:val="2"/>
        <w:numPr>
          <w:ilvl w:val="0"/>
          <w:numId w:val="0"/>
        </w:numPr>
        <w:bidi w:val="0"/>
        <w:ind w:left="482" w:leftChars="0"/>
      </w:pPr>
      <w:r>
        <w:t>1. 1.3工程和设备</w:t>
      </w:r>
    </w:p>
    <w:p w14:paraId="15626E75">
      <w:pPr>
        <w:pStyle w:val="11"/>
      </w:pPr>
      <w:r>
        <w:t>1. 1.3. 1工程：指永久工程和（或）临时工程。</w:t>
      </w:r>
    </w:p>
    <w:p w14:paraId="556DF54E">
      <w:pPr>
        <w:pStyle w:val="11"/>
      </w:pPr>
      <w:bookmarkStart w:id="218" w:name="bookmark894"/>
      <w:bookmarkEnd w:id="218"/>
      <w:r>
        <w:t>1. 1.3. 2永久工程：指按合同约定建造并移交给发包人的工程，包括工程设备。</w:t>
      </w:r>
    </w:p>
    <w:p w14:paraId="30AAF8FC">
      <w:pPr>
        <w:pStyle w:val="11"/>
      </w:pPr>
      <w:bookmarkStart w:id="219" w:name="bookmark895"/>
      <w:bookmarkEnd w:id="219"/>
      <w:r>
        <w:t>1. 1.3. 3临时工程：指为完成合同约定的永久工程所修建的各类临时性工程，不包括施工设备。</w:t>
      </w:r>
    </w:p>
    <w:p w14:paraId="40139260">
      <w:pPr>
        <w:pStyle w:val="11"/>
      </w:pPr>
      <w:r>
        <w:t>1.1.3. 4单位工程：指专用合同条款中指明特定范围的永久工程。</w:t>
      </w:r>
    </w:p>
    <w:p w14:paraId="748E2B50">
      <w:pPr>
        <w:pStyle w:val="11"/>
      </w:pPr>
      <w:bookmarkStart w:id="220" w:name="bookmark896"/>
      <w:bookmarkEnd w:id="220"/>
      <w:r>
        <w:t>1. 1.3. 5工程设备：指构成或计划构成永久工程一部分的机电设备、金属结构设备、仪器装置及其他类似的设备和装置。</w:t>
      </w:r>
    </w:p>
    <w:p w14:paraId="0942EE19">
      <w:pPr>
        <w:pStyle w:val="11"/>
      </w:pPr>
      <w:bookmarkStart w:id="221" w:name="bookmark897"/>
      <w:bookmarkEnd w:id="221"/>
      <w:r>
        <w:t>1. 1.3. 6施工设备：指为完成合同约定的各项工作所需的设备、器具和其他物品，不包括临时工程和材料。</w:t>
      </w:r>
    </w:p>
    <w:p w14:paraId="44106307">
      <w:pPr>
        <w:pStyle w:val="11"/>
      </w:pPr>
      <w:bookmarkStart w:id="222" w:name="bookmark898"/>
      <w:bookmarkEnd w:id="222"/>
      <w:r>
        <w:t>1. 1.3. 7临时设施：指为完成合同约定的各项工作所服务的临时性生产和生活设施。</w:t>
      </w:r>
    </w:p>
    <w:p w14:paraId="7CB5770E">
      <w:pPr>
        <w:pStyle w:val="11"/>
      </w:pPr>
      <w:r>
        <w:t>1. 1. 3. 8承包人设备：指承包人自带的施工设备。</w:t>
      </w:r>
    </w:p>
    <w:p w14:paraId="230B2609">
      <w:pPr>
        <w:pStyle w:val="11"/>
      </w:pPr>
      <w:r>
        <w:t>1. 1. 3. 9施工场地（或称工地、现场）：指用于合同工程施工的场所，以及在合同中指定作为施工场地组成部分的其他场所，包括永久占地和临时占地。</w:t>
      </w:r>
    </w:p>
    <w:p w14:paraId="0D84C53C">
      <w:pPr>
        <w:pStyle w:val="11"/>
      </w:pPr>
      <w:r>
        <w:t>1. 1. 3. 10永久占地：指发包人为建设本合同工程永久征用的场地。</w:t>
      </w:r>
    </w:p>
    <w:p w14:paraId="68D1ACD7">
      <w:pPr>
        <w:pStyle w:val="11"/>
      </w:pPr>
      <w:r>
        <w:t>1.1.3.11临时占地：指发包人为建设本合同工程临时征用，并应在完工后须按合同 要求退还的场地。</w:t>
      </w:r>
    </w:p>
    <w:p w14:paraId="410C3B58">
      <w:pPr>
        <w:pStyle w:val="2"/>
        <w:numPr>
          <w:ilvl w:val="0"/>
          <w:numId w:val="0"/>
        </w:numPr>
        <w:bidi w:val="0"/>
        <w:ind w:left="482" w:leftChars="0"/>
      </w:pPr>
      <w:r>
        <w:t>1.1.4日期</w:t>
      </w:r>
    </w:p>
    <w:p w14:paraId="4D0C1E8D">
      <w:pPr>
        <w:pStyle w:val="11"/>
      </w:pPr>
      <w:r>
        <w:t>1. 1.4. 1开工通知：指监理人按第11. 1款通知承包人开工的函件。</w:t>
      </w:r>
    </w:p>
    <w:p w14:paraId="06FD4F47">
      <w:pPr>
        <w:pStyle w:val="11"/>
      </w:pPr>
      <w:r>
        <w:t>1. 1.4.2开工日期：指监理人按第11. 1款发出的开工通知中写明的开工日期。</w:t>
      </w:r>
    </w:p>
    <w:p w14:paraId="136AC7A0">
      <w:pPr>
        <w:pStyle w:val="11"/>
      </w:pPr>
      <w:r>
        <w:t>1. 1.4.3工期：指承包人在投标函中承诺的完成合同工程所需的期限，包括按第11.3 款、第11. 4款和第11. 6款约定所作的变更。</w:t>
      </w:r>
    </w:p>
    <w:p w14:paraId="109FD01C">
      <w:pPr>
        <w:pStyle w:val="11"/>
      </w:pPr>
      <w:bookmarkStart w:id="223" w:name="bookmark899"/>
      <w:bookmarkEnd w:id="223"/>
      <w:r>
        <w:t>1. 1.4.4  竣工日期：即合同工程完工日期，指第1.1. 4. 3目约定工期届满时的日期。 实际完工时间以合同工程完工证书中写明的日期为准。</w:t>
      </w:r>
    </w:p>
    <w:p w14:paraId="65317A96">
      <w:pPr>
        <w:pStyle w:val="11"/>
      </w:pPr>
      <w:bookmarkStart w:id="224" w:name="bookmark900"/>
      <w:bookmarkEnd w:id="224"/>
      <w:r>
        <w:t>1. 1.4.6  缺陷责任期：即工程质量保修期，指履行第19. 2款约定的缺陷责任的期限, 包括根据第19. 3款约定所作的延长，具体期限由专用合同条款约定。</w:t>
      </w:r>
    </w:p>
    <w:p w14:paraId="50DBC679">
      <w:pPr>
        <w:pStyle w:val="11"/>
      </w:pPr>
      <w:r>
        <w:t>1. 1.4.6基准日期：指投标截止时间前28天的日期。</w:t>
      </w:r>
    </w:p>
    <w:p w14:paraId="71839240">
      <w:pPr>
        <w:pStyle w:val="11"/>
      </w:pPr>
      <w:r>
        <w:t>1. 1.4.7天：除特别指明外，指日历天。合同中按天计算时间的，开始当天不计入, 从次日开始计算。期限最后一天的截止时间为当天24：00</w:t>
      </w:r>
      <w:r>
        <w:rPr>
          <w:vertAlign w:val="subscript"/>
        </w:rPr>
        <w:t>o</w:t>
      </w:r>
    </w:p>
    <w:p w14:paraId="40647FB2">
      <w:pPr>
        <w:pStyle w:val="2"/>
        <w:numPr>
          <w:ilvl w:val="0"/>
          <w:numId w:val="0"/>
        </w:numPr>
        <w:bidi w:val="0"/>
        <w:ind w:left="482" w:leftChars="0"/>
      </w:pPr>
      <w:r>
        <w:t>1.1.5合同价格和费用</w:t>
      </w:r>
    </w:p>
    <w:p w14:paraId="626F5460">
      <w:pPr>
        <w:pStyle w:val="11"/>
      </w:pPr>
      <w:bookmarkStart w:id="225" w:name="bookmark901"/>
      <w:bookmarkEnd w:id="225"/>
      <w:r>
        <w:t>1.1.5.1签约合同价：指签定合同时合同协议书中写明的，包括了暂列金额、暂估价的合同总金额。</w:t>
      </w:r>
    </w:p>
    <w:p w14:paraId="5818668E">
      <w:pPr>
        <w:pStyle w:val="11"/>
      </w:pPr>
      <w:bookmarkStart w:id="226" w:name="bookmark902"/>
      <w:bookmarkEnd w:id="226"/>
      <w:r>
        <w:t>1.1.5. 2合同价格：指承包人按合同约定完成了包括缺陷责任期内的全部承包工作后，发包人应付给承包人的金额，包括在履行合同过程中按合同约定进行的变更和调整。</w:t>
      </w:r>
    </w:p>
    <w:p w14:paraId="2A499B4E">
      <w:pPr>
        <w:pStyle w:val="11"/>
      </w:pPr>
      <w:bookmarkStart w:id="227" w:name="bookmark903"/>
      <w:bookmarkEnd w:id="227"/>
      <w:r>
        <w:t>1.1.5. 3费用：指为履行合同所发生的或将要发生的所有合理开支，包括管理费和应分摊的其他费用，但不包括利润。</w:t>
      </w:r>
    </w:p>
    <w:p w14:paraId="4380DC6E">
      <w:pPr>
        <w:pStyle w:val="11"/>
      </w:pPr>
      <w:r>
        <w:t>1. 1.5.4暂列金额：指已标价工程量清单中所列的暂列金额，用于在签订协议书时尚 未确定或不可预见变更的施工及其所需材料、工程设备、服务等的金额，包括以计日工方式支付的金额。</w:t>
      </w:r>
    </w:p>
    <w:p w14:paraId="71BE39C9">
      <w:pPr>
        <w:pStyle w:val="11"/>
      </w:pPr>
      <w:r>
        <w:t>1. 1.5.5暂估价：指发包人在工程量清单中给定的用于支付必然发生但暂时不能确定价格的材料、设备以及专业工程的金额。</w:t>
      </w:r>
    </w:p>
    <w:p w14:paraId="2A61EAAA">
      <w:pPr>
        <w:pStyle w:val="11"/>
      </w:pPr>
      <w:bookmarkStart w:id="228" w:name="bookmark904"/>
      <w:bookmarkEnd w:id="228"/>
      <w:r>
        <w:t>1.1.5. 6计日工：指对零星工作采取的一种计价方式，按合同中的计日工子目及其单 价计价付款。</w:t>
      </w:r>
    </w:p>
    <w:p w14:paraId="2A7D5D81">
      <w:pPr>
        <w:pStyle w:val="11"/>
      </w:pPr>
      <w:r>
        <w:t>1. 1.5.7质量保证金(或称保留金)：指按第17.4.1项约定用于保证在缺陷责任期内履行缺陷修复义务的金额。</w:t>
      </w:r>
    </w:p>
    <w:p w14:paraId="7B1FCD38">
      <w:pPr>
        <w:pStyle w:val="2"/>
        <w:numPr>
          <w:ilvl w:val="0"/>
          <w:numId w:val="0"/>
        </w:numPr>
        <w:bidi w:val="0"/>
        <w:ind w:left="482" w:leftChars="0"/>
      </w:pPr>
      <w:r>
        <w:t>1.1.6其他</w:t>
      </w:r>
    </w:p>
    <w:p w14:paraId="1368748F">
      <w:pPr>
        <w:pStyle w:val="11"/>
      </w:pPr>
      <w:bookmarkStart w:id="229" w:name="bookmark905"/>
      <w:bookmarkEnd w:id="229"/>
      <w:r>
        <w:t>1.1.6.1书面形式：指合同文件、信函、电报、传真等可以有形地表现所载内容的形式。</w:t>
      </w:r>
    </w:p>
    <w:p w14:paraId="667F35A2">
      <w:pPr>
        <w:pStyle w:val="2"/>
        <w:numPr>
          <w:ilvl w:val="0"/>
          <w:numId w:val="0"/>
        </w:numPr>
        <w:bidi w:val="0"/>
        <w:ind w:left="482" w:leftChars="0"/>
      </w:pPr>
      <w:bookmarkStart w:id="230" w:name="_Toc14710270"/>
      <w:bookmarkStart w:id="231" w:name="bookmark908"/>
      <w:bookmarkStart w:id="232" w:name="_Toc16626"/>
      <w:bookmarkStart w:id="233" w:name="bookmark907"/>
      <w:bookmarkStart w:id="234" w:name="bookmark906"/>
      <w:r>
        <w:t>1.2语言文字</w:t>
      </w:r>
      <w:bookmarkEnd w:id="230"/>
      <w:bookmarkEnd w:id="231"/>
      <w:bookmarkEnd w:id="232"/>
      <w:bookmarkEnd w:id="233"/>
      <w:bookmarkEnd w:id="234"/>
    </w:p>
    <w:p w14:paraId="626409B9">
      <w:pPr>
        <w:pStyle w:val="11"/>
      </w:pPr>
      <w:r>
        <w:t>除专用术语外，合同使用的语言文字为中文。必要时专用术语应附有中文注释。</w:t>
      </w:r>
    </w:p>
    <w:p w14:paraId="3795BE68">
      <w:pPr>
        <w:pStyle w:val="2"/>
        <w:numPr>
          <w:ilvl w:val="0"/>
          <w:numId w:val="0"/>
        </w:numPr>
        <w:bidi w:val="0"/>
        <w:ind w:left="482" w:leftChars="0"/>
      </w:pPr>
      <w:bookmarkStart w:id="235" w:name="_Toc7852"/>
      <w:bookmarkStart w:id="236" w:name="bookmark911"/>
      <w:bookmarkStart w:id="237" w:name="bookmark909"/>
      <w:bookmarkStart w:id="238" w:name="_Toc14710271"/>
      <w:bookmarkStart w:id="239" w:name="bookmark910"/>
      <w:r>
        <w:t>1.3法律</w:t>
      </w:r>
      <w:bookmarkEnd w:id="235"/>
      <w:bookmarkEnd w:id="236"/>
      <w:bookmarkEnd w:id="237"/>
      <w:bookmarkEnd w:id="238"/>
      <w:bookmarkEnd w:id="239"/>
    </w:p>
    <w:p w14:paraId="707E0DF1">
      <w:pPr>
        <w:pStyle w:val="11"/>
      </w:pPr>
      <w:r>
        <w:t>适用于合同的法律包括中华人民共和国法律、行政法规、部门规章，以及工程所在地的地方法规、自治条例、单行条例和地方政府规章。</w:t>
      </w:r>
    </w:p>
    <w:p w14:paraId="745BB90C">
      <w:pPr>
        <w:pStyle w:val="2"/>
        <w:numPr>
          <w:ilvl w:val="0"/>
          <w:numId w:val="0"/>
        </w:numPr>
        <w:bidi w:val="0"/>
        <w:ind w:left="482" w:leftChars="0"/>
      </w:pPr>
      <w:bookmarkStart w:id="240" w:name="bookmark912"/>
      <w:bookmarkStart w:id="241" w:name="_Toc17089"/>
      <w:bookmarkStart w:id="242" w:name="bookmark914"/>
      <w:bookmarkStart w:id="243" w:name="_Toc14710272"/>
      <w:bookmarkStart w:id="244" w:name="bookmark913"/>
      <w:r>
        <w:t>1.4合同文件的优先顺序</w:t>
      </w:r>
      <w:bookmarkEnd w:id="240"/>
      <w:bookmarkEnd w:id="241"/>
      <w:bookmarkEnd w:id="242"/>
      <w:bookmarkEnd w:id="243"/>
      <w:bookmarkEnd w:id="244"/>
    </w:p>
    <w:p w14:paraId="33072414">
      <w:pPr>
        <w:pStyle w:val="11"/>
      </w:pPr>
      <w:r>
        <w:t>组成合同的各项文件应互相解释，互为说明。除专用合同条款另有约定外，解释合同文件的优先顺序如下：</w:t>
      </w:r>
    </w:p>
    <w:p w14:paraId="619DB92C">
      <w:pPr>
        <w:pStyle w:val="11"/>
      </w:pPr>
      <w:bookmarkStart w:id="245" w:name="bookmark915"/>
      <w:bookmarkEnd w:id="245"/>
      <w:r>
        <w:rPr>
          <w:b w:val="0"/>
          <w:i w:val="0"/>
          <w:strike w:val="0"/>
          <w:color w:val="000000"/>
          <w:u w:val="none"/>
        </w:rPr>
        <w:t>(1)</w:t>
      </w:r>
      <w:r>
        <w:t>合同协议书；</w:t>
      </w:r>
    </w:p>
    <w:p w14:paraId="70AB832B">
      <w:pPr>
        <w:pStyle w:val="11"/>
      </w:pPr>
      <w:bookmarkStart w:id="246" w:name="bookmark916"/>
      <w:bookmarkEnd w:id="246"/>
      <w:r>
        <w:rPr>
          <w:b w:val="0"/>
          <w:i w:val="0"/>
          <w:strike w:val="0"/>
          <w:color w:val="000000"/>
          <w:u w:val="none"/>
        </w:rPr>
        <w:t>(2)</w:t>
      </w:r>
      <w:r>
        <w:t>成交通知书；</w:t>
      </w:r>
    </w:p>
    <w:p w14:paraId="3F04B1AE">
      <w:pPr>
        <w:pStyle w:val="11"/>
      </w:pPr>
      <w:bookmarkStart w:id="247" w:name="bookmark917"/>
      <w:bookmarkEnd w:id="247"/>
      <w:r>
        <w:rPr>
          <w:b w:val="0"/>
          <w:i w:val="0"/>
          <w:strike w:val="0"/>
          <w:color w:val="000000"/>
          <w:u w:val="none"/>
        </w:rPr>
        <w:t>(3)</w:t>
      </w:r>
      <w:r>
        <w:t>投标函及投标函附录；</w:t>
      </w:r>
    </w:p>
    <w:p w14:paraId="11149698">
      <w:pPr>
        <w:pStyle w:val="11"/>
      </w:pPr>
      <w:bookmarkStart w:id="248" w:name="bookmark918"/>
      <w:bookmarkEnd w:id="248"/>
      <w:r>
        <w:rPr>
          <w:b w:val="0"/>
          <w:i w:val="0"/>
          <w:strike w:val="0"/>
          <w:color w:val="000000"/>
          <w:u w:val="none"/>
        </w:rPr>
        <w:t>(4)</w:t>
      </w:r>
      <w:r>
        <w:t>专用合同条款；</w:t>
      </w:r>
    </w:p>
    <w:p w14:paraId="3FCCB84D">
      <w:pPr>
        <w:pStyle w:val="11"/>
      </w:pPr>
      <w:bookmarkStart w:id="249" w:name="bookmark919"/>
      <w:bookmarkEnd w:id="249"/>
      <w:r>
        <w:rPr>
          <w:b w:val="0"/>
          <w:i w:val="0"/>
          <w:strike w:val="0"/>
          <w:color w:val="000000"/>
          <w:u w:val="none"/>
        </w:rPr>
        <w:t>(5)</w:t>
      </w:r>
      <w:r>
        <w:t>通用合同条款；</w:t>
      </w:r>
    </w:p>
    <w:p w14:paraId="3ED5D203">
      <w:pPr>
        <w:pStyle w:val="11"/>
      </w:pPr>
      <w:bookmarkStart w:id="250" w:name="bookmark920"/>
      <w:bookmarkEnd w:id="250"/>
      <w:r>
        <w:rPr>
          <w:b w:val="0"/>
          <w:i w:val="0"/>
          <w:strike w:val="0"/>
          <w:color w:val="000000"/>
          <w:u w:val="none"/>
        </w:rPr>
        <w:t>(6)</w:t>
      </w:r>
      <w:r>
        <w:t>技术标准和要求；</w:t>
      </w:r>
    </w:p>
    <w:p w14:paraId="72207979">
      <w:pPr>
        <w:pStyle w:val="11"/>
      </w:pPr>
      <w:bookmarkStart w:id="251" w:name="bookmark921"/>
      <w:bookmarkEnd w:id="251"/>
      <w:r>
        <w:rPr>
          <w:b w:val="0"/>
          <w:i w:val="0"/>
          <w:strike w:val="0"/>
          <w:color w:val="000000"/>
          <w:u w:val="none"/>
        </w:rPr>
        <w:t>(7)</w:t>
      </w:r>
      <w:r>
        <w:t>图纸；</w:t>
      </w:r>
    </w:p>
    <w:p w14:paraId="6702FD2A">
      <w:pPr>
        <w:pStyle w:val="11"/>
      </w:pPr>
      <w:bookmarkStart w:id="252" w:name="bookmark922"/>
      <w:bookmarkEnd w:id="252"/>
      <w:r>
        <w:rPr>
          <w:b w:val="0"/>
          <w:i w:val="0"/>
          <w:strike w:val="0"/>
          <w:color w:val="000000"/>
          <w:u w:val="none"/>
        </w:rPr>
        <w:t>(8)</w:t>
      </w:r>
      <w:r>
        <w:t>已标价工程量清单；</w:t>
      </w:r>
    </w:p>
    <w:p w14:paraId="2C09F399">
      <w:pPr>
        <w:pStyle w:val="11"/>
      </w:pPr>
      <w:bookmarkStart w:id="253" w:name="bookmark923"/>
      <w:bookmarkEnd w:id="253"/>
      <w:r>
        <w:rPr>
          <w:b w:val="0"/>
          <w:i w:val="0"/>
          <w:strike w:val="0"/>
          <w:color w:val="000000"/>
          <w:u w:val="none"/>
        </w:rPr>
        <w:t>(9)</w:t>
      </w:r>
      <w:r>
        <w:t>其他合同文件。</w:t>
      </w:r>
    </w:p>
    <w:p w14:paraId="287A4A92">
      <w:pPr>
        <w:pStyle w:val="2"/>
        <w:numPr>
          <w:ilvl w:val="0"/>
          <w:numId w:val="0"/>
        </w:numPr>
        <w:bidi w:val="0"/>
        <w:ind w:left="482" w:leftChars="0"/>
      </w:pPr>
      <w:bookmarkStart w:id="254" w:name="_Toc30693"/>
      <w:bookmarkStart w:id="255" w:name="bookmark925"/>
      <w:bookmarkStart w:id="256" w:name="_Toc14710273"/>
      <w:bookmarkStart w:id="257" w:name="bookmark924"/>
      <w:bookmarkStart w:id="258" w:name="bookmark926"/>
      <w:r>
        <w:t>1.5合同协议书</w:t>
      </w:r>
      <w:bookmarkEnd w:id="254"/>
      <w:bookmarkEnd w:id="255"/>
      <w:bookmarkEnd w:id="256"/>
      <w:bookmarkEnd w:id="257"/>
      <w:bookmarkEnd w:id="258"/>
    </w:p>
    <w:p w14:paraId="02F60B59">
      <w:pPr>
        <w:pStyle w:val="11"/>
      </w:pPr>
      <w:r>
        <w:t>承包人按成交通知书规定的时间与发包人签订合同协议书。除法律另有规定或合同另有约定外，发包人和承包人的法定代表人或其委托代理人在合同协议书上签字并盖单位公章后，合同生效。</w:t>
      </w:r>
    </w:p>
    <w:p w14:paraId="2DF8A109">
      <w:pPr>
        <w:pStyle w:val="2"/>
        <w:numPr>
          <w:ilvl w:val="0"/>
          <w:numId w:val="0"/>
        </w:numPr>
        <w:bidi w:val="0"/>
        <w:ind w:left="482" w:leftChars="0"/>
      </w:pPr>
      <w:bookmarkStart w:id="259" w:name="bookmark929"/>
      <w:bookmarkStart w:id="260" w:name="bookmark928"/>
      <w:bookmarkStart w:id="261" w:name="_Toc10434"/>
      <w:bookmarkStart w:id="262" w:name="bookmark927"/>
      <w:bookmarkStart w:id="263" w:name="_Toc14710274"/>
      <w:r>
        <w:t>1.6图纸和承包人文件</w:t>
      </w:r>
      <w:bookmarkEnd w:id="259"/>
      <w:bookmarkEnd w:id="260"/>
      <w:bookmarkEnd w:id="261"/>
      <w:bookmarkEnd w:id="262"/>
      <w:bookmarkEnd w:id="263"/>
    </w:p>
    <w:p w14:paraId="41A752C0">
      <w:pPr>
        <w:pStyle w:val="2"/>
        <w:numPr>
          <w:ilvl w:val="0"/>
          <w:numId w:val="0"/>
        </w:numPr>
        <w:bidi w:val="0"/>
        <w:ind w:left="482" w:leftChars="0"/>
      </w:pPr>
      <w:r>
        <w:t>1.6.1图纸的提供</w:t>
      </w:r>
    </w:p>
    <w:p w14:paraId="253650DF">
      <w:pPr>
        <w:pStyle w:val="11"/>
      </w:pPr>
      <w:r>
        <w:t>发包人应按技术标准和要求(合同技术条款)约定的期限和数量将施工图纸以及其它图纸（包括配套说明和有关资料）提供给承包人。由于发包人未按时提供图纸造成工期延误的，按第11. 3款的约定办理。</w:t>
      </w:r>
    </w:p>
    <w:p w14:paraId="0662F95D">
      <w:pPr>
        <w:pStyle w:val="2"/>
        <w:numPr>
          <w:ilvl w:val="0"/>
          <w:numId w:val="0"/>
        </w:numPr>
        <w:bidi w:val="0"/>
        <w:ind w:left="482" w:leftChars="0"/>
      </w:pPr>
      <w:r>
        <w:t>1.6.2承包人提供的文件</w:t>
      </w:r>
    </w:p>
    <w:p w14:paraId="2E3874B8">
      <w:pPr>
        <w:pStyle w:val="11"/>
      </w:pPr>
      <w:r>
        <w:t>承包人提供的文件应按技术标准和要求（合同技术条款）约定的期限和数量提供给监理人。监理人应按技术标准和要求（合同技术条款）约定的期限批复承包人。</w:t>
      </w:r>
    </w:p>
    <w:p w14:paraId="718D6C46">
      <w:pPr>
        <w:pStyle w:val="2"/>
        <w:numPr>
          <w:ilvl w:val="0"/>
          <w:numId w:val="0"/>
        </w:numPr>
        <w:bidi w:val="0"/>
        <w:ind w:left="482" w:leftChars="0"/>
      </w:pPr>
      <w:r>
        <w:t>1.6.3图纸的修改</w:t>
      </w:r>
    </w:p>
    <w:p w14:paraId="7143FCC0">
      <w:pPr>
        <w:pStyle w:val="11"/>
      </w:pPr>
      <w:r>
        <w:t>设计人需要对已发给承包人的施工图纸进行修改时，监理人应在技术标准和要求（合同技术条款）约定的期限内签发施工图纸的修改图给承包人。承包人应按技术标准和要求（合同技术条款）的约定编制一份承包人实施计划提交监理人批准后执行。</w:t>
      </w:r>
    </w:p>
    <w:p w14:paraId="44CE78B4">
      <w:pPr>
        <w:pStyle w:val="2"/>
        <w:numPr>
          <w:ilvl w:val="0"/>
          <w:numId w:val="0"/>
        </w:numPr>
        <w:bidi w:val="0"/>
        <w:ind w:left="482" w:leftChars="0"/>
      </w:pPr>
      <w:r>
        <w:t>1.6.4图纸的错误</w:t>
      </w:r>
    </w:p>
    <w:p w14:paraId="170BDDBE">
      <w:pPr>
        <w:pStyle w:val="11"/>
      </w:pPr>
      <w:r>
        <w:t>承包人发现发包人提供的图纸存在明显错误或疏忽，应及时通知监理人。</w:t>
      </w:r>
    </w:p>
    <w:p w14:paraId="5C413431">
      <w:pPr>
        <w:pStyle w:val="2"/>
        <w:numPr>
          <w:ilvl w:val="0"/>
          <w:numId w:val="0"/>
        </w:numPr>
        <w:bidi w:val="0"/>
        <w:ind w:left="482" w:leftChars="0"/>
      </w:pPr>
      <w:r>
        <w:t>1.6.5图纸和承包人文件的保管</w:t>
      </w:r>
    </w:p>
    <w:p w14:paraId="1C36244A">
      <w:pPr>
        <w:pStyle w:val="11"/>
      </w:pPr>
      <w:r>
        <w:t>监理人和承包人均应在施工场地各保存一套完整的包含第1. 6. 1项、第1.6.2项、第 1.6. 3项约定内容的图纸和承包人文件。</w:t>
      </w:r>
    </w:p>
    <w:p w14:paraId="25BA9752">
      <w:pPr>
        <w:pStyle w:val="2"/>
        <w:numPr>
          <w:ilvl w:val="0"/>
          <w:numId w:val="0"/>
        </w:numPr>
        <w:bidi w:val="0"/>
        <w:ind w:left="482" w:leftChars="0"/>
      </w:pPr>
      <w:bookmarkStart w:id="264" w:name="bookmark932"/>
      <w:bookmarkStart w:id="265" w:name="bookmark930"/>
      <w:bookmarkStart w:id="266" w:name="_Toc18431"/>
      <w:bookmarkStart w:id="267" w:name="_Toc14710275"/>
      <w:bookmarkStart w:id="268" w:name="bookmark931"/>
      <w:r>
        <w:t>1.7联络</w:t>
      </w:r>
      <w:bookmarkEnd w:id="264"/>
      <w:bookmarkEnd w:id="265"/>
      <w:bookmarkEnd w:id="266"/>
      <w:bookmarkEnd w:id="267"/>
      <w:bookmarkEnd w:id="268"/>
    </w:p>
    <w:p w14:paraId="05E08A7B">
      <w:pPr>
        <w:pStyle w:val="11"/>
      </w:pPr>
      <w:r>
        <w:t>1.7.1与合同有关的通知、批准、证明、证书、指示、要求、请求、同意、意见、确 定和决定等，均应采用书面形式。</w:t>
      </w:r>
    </w:p>
    <w:p w14:paraId="12F1AEC7">
      <w:pPr>
        <w:pStyle w:val="11"/>
      </w:pPr>
      <w:r>
        <w:t>1.7.2第1.7.1项中的通知、批准、证明、证书、指示、要求、请求、同意、意见、 确定和决定等来往函件，均应在合同约定的期限内送达指定地点和接收人，并办理签收手续。来往函件的送达期限在技术标准和要求（合同技术条款）中约定，送达地点在专用合同条款中约定。</w:t>
      </w:r>
    </w:p>
    <w:p w14:paraId="7AC6E764">
      <w:pPr>
        <w:pStyle w:val="11"/>
      </w:pPr>
      <w:r>
        <w:t>1.7.3来往函件均应按合同约定的期限及时发出和答复，不得无故扣压和拖延，亦不得拒收。否则，由此造成的后果由责任方负责。</w:t>
      </w:r>
    </w:p>
    <w:p w14:paraId="20BAA953">
      <w:pPr>
        <w:pStyle w:val="2"/>
        <w:numPr>
          <w:ilvl w:val="0"/>
          <w:numId w:val="0"/>
        </w:numPr>
        <w:bidi w:val="0"/>
        <w:ind w:left="482" w:leftChars="0"/>
      </w:pPr>
      <w:bookmarkStart w:id="269" w:name="_Toc11450"/>
      <w:bookmarkStart w:id="270" w:name="_Toc14710276"/>
      <w:bookmarkStart w:id="271" w:name="bookmark935"/>
      <w:bookmarkStart w:id="272" w:name="bookmark934"/>
      <w:bookmarkStart w:id="273" w:name="bookmark933"/>
      <w:r>
        <w:t>1.8转让</w:t>
      </w:r>
      <w:bookmarkEnd w:id="269"/>
      <w:bookmarkEnd w:id="270"/>
      <w:bookmarkEnd w:id="271"/>
      <w:bookmarkEnd w:id="272"/>
      <w:bookmarkEnd w:id="273"/>
    </w:p>
    <w:p w14:paraId="21E3F5CF">
      <w:pPr>
        <w:pStyle w:val="11"/>
      </w:pPr>
      <w:r>
        <w:t>除合同另有约定外，未经对方当事人同意，一方当事人不得将合同权利全部或部分转让给第三人，也不得全部或部分转移合同义务。</w:t>
      </w:r>
    </w:p>
    <w:p w14:paraId="29631564">
      <w:pPr>
        <w:pStyle w:val="2"/>
        <w:numPr>
          <w:ilvl w:val="0"/>
          <w:numId w:val="0"/>
        </w:numPr>
        <w:bidi w:val="0"/>
        <w:ind w:left="482" w:leftChars="0"/>
      </w:pPr>
      <w:bookmarkStart w:id="274" w:name="bookmark936"/>
      <w:bookmarkStart w:id="275" w:name="bookmark938"/>
      <w:bookmarkStart w:id="276" w:name="_Toc28520"/>
      <w:bookmarkStart w:id="277" w:name="bookmark937"/>
      <w:bookmarkStart w:id="278" w:name="_Toc14710277"/>
      <w:r>
        <w:t>1.9严禁贿赂</w:t>
      </w:r>
      <w:bookmarkEnd w:id="274"/>
      <w:bookmarkEnd w:id="275"/>
      <w:bookmarkEnd w:id="276"/>
      <w:bookmarkEnd w:id="277"/>
      <w:bookmarkEnd w:id="278"/>
    </w:p>
    <w:p w14:paraId="431D1E64">
      <w:pPr>
        <w:pStyle w:val="11"/>
      </w:pPr>
      <w:r>
        <w:t>合同双方当事人不得以贿赂或变相贿赂的方式，谋取不当利益或损害对方权益。因贿赂造成对方损失的，行为人应赔偿损失，并承担相应的法律责任。</w:t>
      </w:r>
    </w:p>
    <w:p w14:paraId="6F37C039">
      <w:pPr>
        <w:pStyle w:val="2"/>
        <w:numPr>
          <w:ilvl w:val="0"/>
          <w:numId w:val="0"/>
        </w:numPr>
        <w:bidi w:val="0"/>
        <w:ind w:left="482" w:leftChars="0"/>
      </w:pPr>
      <w:bookmarkStart w:id="279" w:name="bookmark941"/>
      <w:bookmarkStart w:id="280" w:name="bookmark940"/>
      <w:bookmarkStart w:id="281" w:name="_Toc27697"/>
      <w:bookmarkStart w:id="282" w:name="bookmark939"/>
      <w:bookmarkStart w:id="283" w:name="_Toc14710278"/>
      <w:r>
        <w:t>1.10化石、文物</w:t>
      </w:r>
      <w:bookmarkEnd w:id="279"/>
      <w:bookmarkEnd w:id="280"/>
      <w:bookmarkEnd w:id="281"/>
      <w:bookmarkEnd w:id="282"/>
      <w:bookmarkEnd w:id="283"/>
    </w:p>
    <w:p w14:paraId="36C2F076">
      <w:pPr>
        <w:pStyle w:val="11"/>
      </w:pPr>
      <w:r>
        <w:t>1.10. 1在施工场地发掘的所有文物、古迹以及具有地质研究或考古价值的其他遗迹、 化石、钱币或物品属于国家所有。一旦发现上述文物，承包人应采取有效合理的保护措施, 防止任何人员移动或损坏上述物品，并立即报告当地文物行政部门，同时通知监理人。发包人、监理人和承包人应按文物行政部门要求采取妥善保护措施，由此导致费用增加和（或）工期延误由发包人承担。</w:t>
      </w:r>
    </w:p>
    <w:p w14:paraId="5923F077">
      <w:pPr>
        <w:pStyle w:val="11"/>
      </w:pPr>
      <w:r>
        <w:t>1. 10. 2承包人发现文物后不及时报告或隐瞒不报，致使文物丢失或损坏的，应赔偿损失，并承担相应的法律责任。</w:t>
      </w:r>
    </w:p>
    <w:p w14:paraId="03120EF7">
      <w:pPr>
        <w:pStyle w:val="2"/>
        <w:numPr>
          <w:ilvl w:val="0"/>
          <w:numId w:val="0"/>
        </w:numPr>
        <w:bidi w:val="0"/>
        <w:ind w:left="482" w:leftChars="0"/>
      </w:pPr>
      <w:bookmarkStart w:id="284" w:name="_Toc14710279"/>
      <w:bookmarkStart w:id="285" w:name="bookmark944"/>
      <w:bookmarkStart w:id="286" w:name="_Toc8461"/>
      <w:bookmarkStart w:id="287" w:name="bookmark942"/>
      <w:bookmarkStart w:id="288" w:name="bookmark943"/>
      <w:r>
        <w:t>1.11专利技术</w:t>
      </w:r>
      <w:bookmarkEnd w:id="284"/>
      <w:bookmarkEnd w:id="285"/>
      <w:bookmarkEnd w:id="286"/>
      <w:bookmarkEnd w:id="287"/>
      <w:bookmarkEnd w:id="288"/>
    </w:p>
    <w:p w14:paraId="29D049E8">
      <w:pPr>
        <w:pStyle w:val="11"/>
      </w:pPr>
      <w:r>
        <w:t>1.11.1承包人在使用任何材料、承包人设备、工程设备或采用施工工艺时，因侵犯专利权或其他知识产权所引起的责任，由承包人承担，但由于遵照发包人提供的设计或技术标准和要求引起的除外。</w:t>
      </w:r>
    </w:p>
    <w:p w14:paraId="7ED21536">
      <w:pPr>
        <w:pStyle w:val="11"/>
      </w:pPr>
      <w:r>
        <w:t>1.11.2承包人在投标文件中采用专利技术的，专利技术的使用费包含在投标报价内。</w:t>
      </w:r>
    </w:p>
    <w:p w14:paraId="74D0DD38">
      <w:pPr>
        <w:pStyle w:val="11"/>
      </w:pPr>
      <w:r>
        <w:t>1.11.3承包人的技术秘密和声明需要保密的资料和信息，发包人和监理人不得为合同以外的目的泄露给他人。</w:t>
      </w:r>
    </w:p>
    <w:p w14:paraId="7B9A7A8B">
      <w:pPr>
        <w:pStyle w:val="11"/>
      </w:pPr>
      <w:r>
        <w:t>1.11.4合同实施过程中，发包人要求承包人采用专利技术的，发包人应办理相应的使用手续，承包人应按发包人约定的条件使用，并承担使用专利技术的相关试验工作。所需的费用由发包人承担。</w:t>
      </w:r>
    </w:p>
    <w:p w14:paraId="2C5CEC9B">
      <w:pPr>
        <w:pStyle w:val="2"/>
        <w:numPr>
          <w:ilvl w:val="0"/>
          <w:numId w:val="0"/>
        </w:numPr>
        <w:bidi w:val="0"/>
        <w:ind w:left="482" w:leftChars="0"/>
      </w:pPr>
      <w:bookmarkStart w:id="289" w:name="bookmark946"/>
      <w:bookmarkStart w:id="290" w:name="bookmark945"/>
      <w:bookmarkStart w:id="291" w:name="bookmark947"/>
      <w:bookmarkStart w:id="292" w:name="_Toc14710280"/>
      <w:bookmarkStart w:id="293" w:name="_Toc21439"/>
      <w:r>
        <w:t>1.12图纸和文件的保密</w:t>
      </w:r>
      <w:bookmarkEnd w:id="289"/>
      <w:bookmarkEnd w:id="290"/>
      <w:bookmarkEnd w:id="291"/>
      <w:bookmarkEnd w:id="292"/>
      <w:bookmarkEnd w:id="293"/>
    </w:p>
    <w:p w14:paraId="3634BDE6">
      <w:pPr>
        <w:pStyle w:val="11"/>
      </w:pPr>
      <w:r>
        <w:t>1.12.1发包人提供的图纸和文件，未经发包人同意，承包人不得为合同以外的目的泄露给他人或公开发表与引用。</w:t>
      </w:r>
    </w:p>
    <w:p w14:paraId="0ECF6187">
      <w:pPr>
        <w:pStyle w:val="11"/>
      </w:pPr>
      <w:r>
        <w:t>1.12.2承包人提供的文件，未经承包人同意，发包人和监理人不得为合同以外的目的泄露给他人或公开发表与引用。</w:t>
      </w:r>
    </w:p>
    <w:p w14:paraId="00CE7BA1">
      <w:pPr>
        <w:pStyle w:val="2"/>
        <w:numPr>
          <w:ilvl w:val="0"/>
          <w:numId w:val="0"/>
        </w:numPr>
        <w:bidi w:val="0"/>
        <w:ind w:left="482" w:leftChars="0"/>
      </w:pPr>
      <w:bookmarkStart w:id="294" w:name="bookmark950"/>
      <w:bookmarkEnd w:id="294"/>
      <w:bookmarkStart w:id="295" w:name="_Toc3842"/>
      <w:bookmarkStart w:id="296" w:name="bookmark949"/>
      <w:bookmarkStart w:id="297" w:name="bookmark951"/>
      <w:bookmarkStart w:id="298" w:name="bookmark948"/>
      <w:bookmarkStart w:id="299" w:name="_Toc14710281"/>
      <w:r>
        <w:t>2.发包人义务</w:t>
      </w:r>
      <w:bookmarkEnd w:id="295"/>
      <w:bookmarkEnd w:id="296"/>
      <w:bookmarkEnd w:id="297"/>
      <w:bookmarkEnd w:id="298"/>
      <w:bookmarkEnd w:id="299"/>
    </w:p>
    <w:p w14:paraId="29BC6D5F">
      <w:pPr>
        <w:pStyle w:val="2"/>
        <w:numPr>
          <w:ilvl w:val="0"/>
          <w:numId w:val="0"/>
        </w:numPr>
        <w:bidi w:val="0"/>
        <w:ind w:left="482" w:leftChars="0"/>
      </w:pPr>
      <w:bookmarkStart w:id="300" w:name="bookmark954"/>
      <w:bookmarkStart w:id="301" w:name="_Toc14710282"/>
      <w:bookmarkStart w:id="302" w:name="bookmark953"/>
      <w:bookmarkStart w:id="303" w:name="bookmark952"/>
      <w:r>
        <w:t>2.1遵守法律</w:t>
      </w:r>
      <w:bookmarkEnd w:id="300"/>
      <w:bookmarkEnd w:id="301"/>
      <w:bookmarkEnd w:id="302"/>
      <w:bookmarkEnd w:id="303"/>
    </w:p>
    <w:p w14:paraId="087B4CFD">
      <w:pPr>
        <w:pStyle w:val="11"/>
      </w:pPr>
      <w:r>
        <w:t>发包人在履行合同过程中应遵守法律，并保证承包人免于承担因发包人违反法律而引 起的任何责任。</w:t>
      </w:r>
    </w:p>
    <w:p w14:paraId="5AD95722">
      <w:pPr>
        <w:pStyle w:val="2"/>
        <w:numPr>
          <w:ilvl w:val="0"/>
          <w:numId w:val="0"/>
        </w:numPr>
        <w:bidi w:val="0"/>
        <w:ind w:left="482" w:leftChars="0"/>
      </w:pPr>
      <w:bookmarkStart w:id="304" w:name="_Toc16693"/>
      <w:bookmarkStart w:id="305" w:name="bookmark956"/>
      <w:bookmarkStart w:id="306" w:name="_Toc14710283"/>
      <w:bookmarkStart w:id="307" w:name="bookmark957"/>
      <w:bookmarkStart w:id="308" w:name="bookmark955"/>
      <w:r>
        <w:t>2.2发出开工通知</w:t>
      </w:r>
      <w:bookmarkEnd w:id="304"/>
      <w:bookmarkEnd w:id="305"/>
      <w:bookmarkEnd w:id="306"/>
      <w:bookmarkEnd w:id="307"/>
      <w:bookmarkEnd w:id="308"/>
    </w:p>
    <w:p w14:paraId="59FEE023">
      <w:pPr>
        <w:pStyle w:val="11"/>
      </w:pPr>
      <w:r>
        <w:t>发包人应委托监理人按第H. 1款的约定向承包人发出开工通知。</w:t>
      </w:r>
    </w:p>
    <w:p w14:paraId="132EA346">
      <w:pPr>
        <w:pStyle w:val="2"/>
        <w:numPr>
          <w:ilvl w:val="0"/>
          <w:numId w:val="0"/>
        </w:numPr>
        <w:bidi w:val="0"/>
        <w:ind w:left="482" w:leftChars="0"/>
      </w:pPr>
      <w:bookmarkStart w:id="309" w:name="bookmark959"/>
      <w:bookmarkStart w:id="310" w:name="_Toc14710284"/>
      <w:bookmarkStart w:id="311" w:name="bookmark960"/>
      <w:bookmarkStart w:id="312" w:name="_Toc5643"/>
      <w:bookmarkStart w:id="313" w:name="bookmark958"/>
      <w:r>
        <w:t>2.3提供施工场地</w:t>
      </w:r>
      <w:bookmarkEnd w:id="309"/>
      <w:bookmarkEnd w:id="310"/>
      <w:bookmarkEnd w:id="311"/>
      <w:bookmarkEnd w:id="312"/>
      <w:bookmarkEnd w:id="313"/>
    </w:p>
    <w:p w14:paraId="023F613F">
      <w:pPr>
        <w:pStyle w:val="11"/>
      </w:pPr>
      <w:r>
        <w:t>2.3.1发包人应在合同双方签定合同协议书后的14天内，将本合同工程的施工场地范围图提交给承包人。发包人提供的施工用地范围图应标明用地范围内永久占地与临时占地的范围和界限，以及指明提供给承包人用于施工场地布置的范围和界限及其有关资料。</w:t>
      </w:r>
    </w:p>
    <w:p w14:paraId="44B7F53E">
      <w:pPr>
        <w:pStyle w:val="11"/>
      </w:pPr>
      <w:r>
        <w:t>2.3.2发包人提供的施工用地范围在专用合同条款中约定。</w:t>
      </w:r>
    </w:p>
    <w:p w14:paraId="2A21689F">
      <w:pPr>
        <w:pStyle w:val="11"/>
      </w:pPr>
      <w:r>
        <w:t>2.3.3除专用合同条款另有约定外，发包人应按技术标准和要求（合同技术条款）的约定，向承包人提供施工场地内的工程地质图纸和报告，以及地下障碍物图纸等施工场地有关资料，并保证资料的真实、准确、完整。</w:t>
      </w:r>
    </w:p>
    <w:p w14:paraId="2EEA58FC">
      <w:pPr>
        <w:pStyle w:val="2"/>
        <w:numPr>
          <w:ilvl w:val="0"/>
          <w:numId w:val="0"/>
        </w:numPr>
        <w:bidi w:val="0"/>
        <w:ind w:left="482" w:leftChars="0"/>
      </w:pPr>
      <w:bookmarkStart w:id="314" w:name="_Toc14710285"/>
      <w:bookmarkStart w:id="315" w:name="_Toc3862"/>
      <w:bookmarkStart w:id="316" w:name="bookmark962"/>
      <w:bookmarkStart w:id="317" w:name="bookmark963"/>
      <w:bookmarkStart w:id="318" w:name="bookmark961"/>
      <w:r>
        <w:t>2.4协助承包人办理证件和批件</w:t>
      </w:r>
      <w:bookmarkEnd w:id="314"/>
      <w:bookmarkEnd w:id="315"/>
      <w:bookmarkEnd w:id="316"/>
      <w:bookmarkEnd w:id="317"/>
      <w:bookmarkEnd w:id="318"/>
    </w:p>
    <w:p w14:paraId="0924EA52">
      <w:pPr>
        <w:pStyle w:val="11"/>
      </w:pPr>
      <w:r>
        <w:t>发包人应协助承包人办理法律规定的有关施工证件和批件。</w:t>
      </w:r>
    </w:p>
    <w:p w14:paraId="7C973BBC">
      <w:pPr>
        <w:pStyle w:val="2"/>
        <w:numPr>
          <w:ilvl w:val="0"/>
          <w:numId w:val="0"/>
        </w:numPr>
        <w:bidi w:val="0"/>
        <w:ind w:left="482" w:leftChars="0"/>
      </w:pPr>
      <w:bookmarkStart w:id="319" w:name="_Toc14710286"/>
      <w:bookmarkStart w:id="320" w:name="bookmark965"/>
      <w:bookmarkStart w:id="321" w:name="_Toc27327"/>
      <w:bookmarkStart w:id="322" w:name="bookmark964"/>
      <w:bookmarkStart w:id="323" w:name="bookmark966"/>
      <w:r>
        <w:t>2.5组织设计交底</w:t>
      </w:r>
      <w:bookmarkEnd w:id="319"/>
      <w:bookmarkEnd w:id="320"/>
      <w:bookmarkEnd w:id="321"/>
      <w:bookmarkEnd w:id="322"/>
      <w:bookmarkEnd w:id="323"/>
    </w:p>
    <w:p w14:paraId="5B83F728">
      <w:pPr>
        <w:pStyle w:val="11"/>
      </w:pPr>
      <w:r>
        <w:t>发包人应根据合同进度计划，组织设计单位向承包人进行设计交底。</w:t>
      </w:r>
    </w:p>
    <w:p w14:paraId="5D400B3C">
      <w:pPr>
        <w:pStyle w:val="2"/>
        <w:numPr>
          <w:ilvl w:val="0"/>
          <w:numId w:val="0"/>
        </w:numPr>
        <w:bidi w:val="0"/>
        <w:ind w:left="482" w:leftChars="0"/>
      </w:pPr>
      <w:bookmarkStart w:id="324" w:name="bookmark967"/>
      <w:bookmarkStart w:id="325" w:name="bookmark969"/>
      <w:bookmarkStart w:id="326" w:name="bookmark968"/>
      <w:bookmarkStart w:id="327" w:name="_Toc15125"/>
      <w:bookmarkStart w:id="328" w:name="_Toc14710287"/>
      <w:r>
        <w:t>2.6支付合同价款</w:t>
      </w:r>
      <w:bookmarkEnd w:id="324"/>
      <w:bookmarkEnd w:id="325"/>
      <w:bookmarkEnd w:id="326"/>
      <w:bookmarkEnd w:id="327"/>
      <w:bookmarkEnd w:id="328"/>
    </w:p>
    <w:p w14:paraId="4CEC75C2">
      <w:pPr>
        <w:pStyle w:val="11"/>
      </w:pPr>
      <w:r>
        <w:t>发包人应按合同约定向承包人及时支付合同价款。</w:t>
      </w:r>
    </w:p>
    <w:p w14:paraId="4AF37748">
      <w:pPr>
        <w:pStyle w:val="2"/>
        <w:numPr>
          <w:ilvl w:val="0"/>
          <w:numId w:val="0"/>
        </w:numPr>
        <w:bidi w:val="0"/>
        <w:ind w:left="482" w:leftChars="0"/>
      </w:pPr>
      <w:bookmarkStart w:id="329" w:name="bookmark972"/>
      <w:bookmarkStart w:id="330" w:name="bookmark971"/>
      <w:bookmarkStart w:id="331" w:name="_Toc14608"/>
      <w:bookmarkStart w:id="332" w:name="bookmark970"/>
      <w:bookmarkStart w:id="333" w:name="_Toc14710288"/>
      <w:r>
        <w:t>2.7组织竣工验收（组织法人验收）</w:t>
      </w:r>
      <w:bookmarkEnd w:id="329"/>
      <w:bookmarkEnd w:id="330"/>
      <w:bookmarkEnd w:id="331"/>
      <w:bookmarkEnd w:id="332"/>
      <w:bookmarkEnd w:id="333"/>
    </w:p>
    <w:p w14:paraId="1F1E2841">
      <w:pPr>
        <w:pStyle w:val="11"/>
      </w:pPr>
      <w:r>
        <w:t>发包人应按合同约定及时组织法人验收。</w:t>
      </w:r>
    </w:p>
    <w:p w14:paraId="3ACC8789">
      <w:pPr>
        <w:pStyle w:val="2"/>
        <w:numPr>
          <w:ilvl w:val="0"/>
          <w:numId w:val="0"/>
        </w:numPr>
        <w:bidi w:val="0"/>
        <w:ind w:left="482" w:leftChars="0"/>
      </w:pPr>
      <w:bookmarkStart w:id="334" w:name="bookmark975"/>
      <w:bookmarkStart w:id="335" w:name="_Toc14710289"/>
      <w:bookmarkStart w:id="336" w:name="_Toc26461"/>
      <w:bookmarkStart w:id="337" w:name="bookmark974"/>
      <w:bookmarkStart w:id="338" w:name="bookmark973"/>
      <w:r>
        <w:t>2.8其它义务</w:t>
      </w:r>
      <w:bookmarkEnd w:id="334"/>
      <w:bookmarkEnd w:id="335"/>
      <w:bookmarkEnd w:id="336"/>
      <w:bookmarkEnd w:id="337"/>
      <w:bookmarkEnd w:id="338"/>
    </w:p>
    <w:p w14:paraId="5E035F2D">
      <w:pPr>
        <w:pStyle w:val="11"/>
      </w:pPr>
      <w:r>
        <w:t>其它义务在专用合同条款中补充约定。</w:t>
      </w:r>
    </w:p>
    <w:p w14:paraId="0EF48812">
      <w:pPr>
        <w:pStyle w:val="2"/>
        <w:numPr>
          <w:ilvl w:val="0"/>
          <w:numId w:val="0"/>
        </w:numPr>
        <w:bidi w:val="0"/>
        <w:ind w:left="482" w:leftChars="0"/>
      </w:pPr>
      <w:bookmarkStart w:id="339" w:name="_Toc14710290"/>
      <w:bookmarkStart w:id="340" w:name="bookmark978"/>
      <w:bookmarkStart w:id="341" w:name="_Toc17454"/>
      <w:bookmarkStart w:id="342" w:name="bookmark976"/>
      <w:bookmarkStart w:id="343" w:name="bookmark977"/>
      <w:r>
        <w:t>3.监理人</w:t>
      </w:r>
      <w:bookmarkEnd w:id="339"/>
      <w:bookmarkEnd w:id="340"/>
      <w:bookmarkEnd w:id="341"/>
      <w:bookmarkEnd w:id="342"/>
      <w:bookmarkEnd w:id="343"/>
    </w:p>
    <w:p w14:paraId="5E790147">
      <w:pPr>
        <w:pStyle w:val="2"/>
        <w:numPr>
          <w:ilvl w:val="0"/>
          <w:numId w:val="0"/>
        </w:numPr>
        <w:bidi w:val="0"/>
        <w:ind w:left="482" w:leftChars="0"/>
      </w:pPr>
      <w:bookmarkStart w:id="344" w:name="bookmark979"/>
      <w:bookmarkStart w:id="345" w:name="bookmark981"/>
      <w:bookmarkStart w:id="346" w:name="_Toc5442"/>
      <w:bookmarkStart w:id="347" w:name="_Toc14710291"/>
      <w:bookmarkStart w:id="348" w:name="bookmark980"/>
      <w:r>
        <w:t>3.1监理人的职责和权利</w:t>
      </w:r>
      <w:bookmarkEnd w:id="344"/>
      <w:bookmarkEnd w:id="345"/>
      <w:bookmarkEnd w:id="346"/>
      <w:bookmarkEnd w:id="347"/>
      <w:bookmarkEnd w:id="348"/>
    </w:p>
    <w:p w14:paraId="1E5F547A">
      <w:pPr>
        <w:pStyle w:val="11"/>
      </w:pPr>
      <w:r>
        <w:t>3.1.1监理人受发包人的委托，享有合同约定的权力。监理人的权力范围在专用合同条款中约定。当监理人认为出现了危及生命、工程或毗邻财产等安全的紧急事件时，在不免除合同约定的承包人责任的情况下，监理人可以指示承包人实施为消除或减少这种危险 所必须进行的工作，即使没有发包人的事先批准，承包人也应立即遵照执行。监理人应按 第15条的约定增加相应的费用，并通知承包人。</w:t>
      </w:r>
    </w:p>
    <w:p w14:paraId="62557396">
      <w:pPr>
        <w:pStyle w:val="11"/>
      </w:pPr>
      <w:r>
        <w:t>3.1.2监理人发出的任何指示应视为已得到发包人的批准，但监理人无权免除或变更合同约定的发包人和承包人的权利、义务和责任。</w:t>
      </w:r>
    </w:p>
    <w:p w14:paraId="2AA8673F">
      <w:pPr>
        <w:pStyle w:val="11"/>
      </w:pPr>
      <w:r>
        <w:t>3.1.3合同约定应由承包人承担的义务和责任，不因监理人对承包人提交文件的审查或批准，对工程、材料和设备的检查和检验，以及为实施监理作出的指示等职务行为而减轻或解除。</w:t>
      </w:r>
    </w:p>
    <w:p w14:paraId="38E8C793">
      <w:pPr>
        <w:pStyle w:val="2"/>
        <w:numPr>
          <w:ilvl w:val="0"/>
          <w:numId w:val="0"/>
        </w:numPr>
        <w:bidi w:val="0"/>
        <w:ind w:left="482" w:leftChars="0"/>
      </w:pPr>
      <w:bookmarkStart w:id="349" w:name="bookmark983"/>
      <w:bookmarkStart w:id="350" w:name="bookmark982"/>
      <w:bookmarkStart w:id="351" w:name="bookmark984"/>
      <w:bookmarkStart w:id="352" w:name="_Toc14710292"/>
      <w:bookmarkStart w:id="353" w:name="_Toc20317"/>
      <w:r>
        <w:t>3. 2总监理工程师</w:t>
      </w:r>
      <w:bookmarkEnd w:id="349"/>
      <w:bookmarkEnd w:id="350"/>
      <w:bookmarkEnd w:id="351"/>
      <w:bookmarkEnd w:id="352"/>
      <w:bookmarkEnd w:id="353"/>
    </w:p>
    <w:p w14:paraId="3210B135">
      <w:pPr>
        <w:pStyle w:val="11"/>
      </w:pPr>
      <w:r>
        <w:t>发包人应在发出开工通知前将总监理工程师的任命通知承包人。总监理工程师更换时, 应在调离14天前通知承包人。总监理工程师短期离开施工场地的，应委派代表代行其职 责，并通知承包人。</w:t>
      </w:r>
    </w:p>
    <w:p w14:paraId="7F5822D4">
      <w:pPr>
        <w:pStyle w:val="2"/>
        <w:numPr>
          <w:ilvl w:val="0"/>
          <w:numId w:val="0"/>
        </w:numPr>
        <w:bidi w:val="0"/>
        <w:ind w:left="482" w:leftChars="0"/>
      </w:pPr>
      <w:bookmarkStart w:id="354" w:name="bookmark986"/>
      <w:bookmarkStart w:id="355" w:name="_Toc14710293"/>
      <w:bookmarkStart w:id="356" w:name="bookmark987"/>
      <w:bookmarkStart w:id="357" w:name="bookmark985"/>
      <w:bookmarkStart w:id="358" w:name="_Toc11573"/>
      <w:r>
        <w:t>3.3监理人员</w:t>
      </w:r>
      <w:bookmarkEnd w:id="354"/>
      <w:bookmarkEnd w:id="355"/>
      <w:bookmarkEnd w:id="356"/>
      <w:bookmarkEnd w:id="357"/>
      <w:bookmarkEnd w:id="358"/>
    </w:p>
    <w:p w14:paraId="5FD9F556">
      <w:pPr>
        <w:pStyle w:val="11"/>
      </w:pPr>
      <w:bookmarkStart w:id="359" w:name="bookmark988"/>
      <w:bookmarkEnd w:id="359"/>
      <w:r>
        <w:t>3.3. 1总监理工程师可以授权其他监理人员负责执行其指派的一项或多项监理工作。总监理工程师应将被授权监理人员的姓名及其授权范围通知承包人。被授权的监理人员在授权范围内发出的指示视为已得到总监理工程师的同意，与总监理工程师发出的指示具有同等效力。总监理工程师撤销某项授权时，应将撤销授权的决定及时通知承包人。</w:t>
      </w:r>
    </w:p>
    <w:p w14:paraId="0CB7F8A8">
      <w:pPr>
        <w:pStyle w:val="11"/>
      </w:pPr>
      <w:r>
        <w:t>3.3.2监理人员对承包人的任何工作、工程或其采用的材料和工程设备未在约定的或合理的期限内提出否定意见的，视为已获批准，但不影响监理人在以后拒绝该项工作、工程、材料或工程设备的权利。</w:t>
      </w:r>
    </w:p>
    <w:p w14:paraId="68FC7C44">
      <w:pPr>
        <w:pStyle w:val="11"/>
      </w:pPr>
      <w:r>
        <w:t>3.3.3承包人对总监理工程师授权的监理人员发出的指示有疑问的，可向总监理工程师提出书面异议，总监理工程师应在48小时内对该指示予以确认、更改或撤销。</w:t>
      </w:r>
    </w:p>
    <w:p w14:paraId="57855F89">
      <w:pPr>
        <w:pStyle w:val="11"/>
      </w:pPr>
      <w:bookmarkStart w:id="360" w:name="bookmark989"/>
      <w:bookmarkEnd w:id="360"/>
      <w:r>
        <w:t>3.3.4除专用合同条款另有约定外，总监理工程师不应将第3. 5款约定应由总监理工程师作出确定的权力授权或委托给其他监理人员。</w:t>
      </w:r>
    </w:p>
    <w:p w14:paraId="786D1423">
      <w:pPr>
        <w:pStyle w:val="2"/>
        <w:numPr>
          <w:ilvl w:val="0"/>
          <w:numId w:val="0"/>
        </w:numPr>
        <w:bidi w:val="0"/>
        <w:ind w:left="482" w:leftChars="0"/>
      </w:pPr>
      <w:bookmarkStart w:id="361" w:name="_Toc14710294"/>
      <w:bookmarkStart w:id="362" w:name="_Toc29343"/>
      <w:bookmarkStart w:id="363" w:name="bookmark991"/>
      <w:bookmarkStart w:id="364" w:name="bookmark990"/>
      <w:bookmarkStart w:id="365" w:name="bookmark992"/>
      <w:r>
        <w:t>3.4监理人的指示</w:t>
      </w:r>
      <w:bookmarkEnd w:id="361"/>
      <w:bookmarkEnd w:id="362"/>
      <w:bookmarkEnd w:id="363"/>
      <w:bookmarkEnd w:id="364"/>
      <w:bookmarkEnd w:id="365"/>
    </w:p>
    <w:p w14:paraId="3993CD44">
      <w:pPr>
        <w:pStyle w:val="11"/>
      </w:pPr>
      <w:r>
        <w:t>3.4. 1监理人应按第3. 1款的约定向承包人发出指示，监理人的指示应盖有监理人授权的施工场地机构章，并由总监理工程师或总监理工程师按第3. 3. 1项约定授权的监理人员签字。</w:t>
      </w:r>
    </w:p>
    <w:p w14:paraId="592F4156">
      <w:pPr>
        <w:pStyle w:val="11"/>
      </w:pPr>
      <w:r>
        <w:t>3.4.2承包人收到监理人按第3. 4.1项作出的指示后应遵照执行。指示构成变更的，应按第15条处理。</w:t>
      </w:r>
    </w:p>
    <w:p w14:paraId="10E96D02">
      <w:pPr>
        <w:pStyle w:val="11"/>
      </w:pPr>
      <w:r>
        <w:t>3.4.3在紧急情况下，总监理工程师或被授权的监理人员可以当场签发临时书面指示，承包人应遵照执行。承包人应在收到上述临时书面指示后24小时内，向监理人发出书 面确认函。监理人在收到书面确认函后24小时内未予答复的，该书面确认函应被视为监理人的正式指示。</w:t>
      </w:r>
    </w:p>
    <w:p w14:paraId="2193E792">
      <w:pPr>
        <w:pStyle w:val="11"/>
      </w:pPr>
      <w:r>
        <w:t>3.4.4除合同另有约定外，承包人只从总监理工程师或按第3. 3. 1项被授权的监理人员处取得指示。</w:t>
      </w:r>
    </w:p>
    <w:p w14:paraId="12BF7EEC">
      <w:pPr>
        <w:pStyle w:val="11"/>
      </w:pPr>
      <w:r>
        <w:t>3.4.5由于监理人未能按合同约定发出指示、指示延误或指示错误而导致承包人费用增加和（或）工期延误的，由发包人承担赔偿责任。</w:t>
      </w:r>
    </w:p>
    <w:p w14:paraId="67329D61">
      <w:pPr>
        <w:pStyle w:val="2"/>
        <w:numPr>
          <w:ilvl w:val="0"/>
          <w:numId w:val="0"/>
        </w:numPr>
        <w:bidi w:val="0"/>
        <w:ind w:left="482" w:leftChars="0"/>
      </w:pPr>
      <w:bookmarkStart w:id="366" w:name="_Toc15164"/>
      <w:bookmarkStart w:id="367" w:name="bookmark993"/>
      <w:bookmarkStart w:id="368" w:name="bookmark995"/>
      <w:bookmarkStart w:id="369" w:name="bookmark994"/>
      <w:bookmarkStart w:id="370" w:name="_Toc14710295"/>
      <w:r>
        <w:t>3.5商定或确定</w:t>
      </w:r>
      <w:bookmarkEnd w:id="366"/>
      <w:bookmarkEnd w:id="367"/>
      <w:bookmarkEnd w:id="368"/>
      <w:bookmarkEnd w:id="369"/>
      <w:bookmarkEnd w:id="370"/>
    </w:p>
    <w:p w14:paraId="3D35DB33">
      <w:pPr>
        <w:pStyle w:val="11"/>
      </w:pPr>
      <w:r>
        <w:t>3.5.1合同约定总监理工程师应按照本款对任何事项进行商定或确定时，总监理工程师应与合同当事人协商，尽量达成一致。不能达成一致的，总监理工程师应认真研究后审慎确定。</w:t>
      </w:r>
    </w:p>
    <w:p w14:paraId="132EFAC1">
      <w:pPr>
        <w:pStyle w:val="11"/>
      </w:pPr>
      <w:r>
        <w:t>3.5.2总监理工程师应将商定或确定的事项通知合同当事人，并附详细依据。对总监理工程师的确定有异议的，构成争议，按照第24条的约定处理。在争议解决前，双方应暂按总监理工程师的确定执行，按照第24条的约定对总监理工程师的确定作出修改的，按修 改后的结果执行。</w:t>
      </w:r>
    </w:p>
    <w:p w14:paraId="595A9846">
      <w:pPr>
        <w:pStyle w:val="2"/>
        <w:numPr>
          <w:ilvl w:val="0"/>
          <w:numId w:val="0"/>
        </w:numPr>
        <w:bidi w:val="0"/>
        <w:ind w:left="482" w:leftChars="0"/>
      </w:pPr>
      <w:bookmarkStart w:id="371" w:name="bookmark997"/>
      <w:bookmarkStart w:id="372" w:name="bookmark998"/>
      <w:bookmarkStart w:id="373" w:name="_Toc13765"/>
      <w:bookmarkStart w:id="374" w:name="bookmark996"/>
      <w:bookmarkStart w:id="375" w:name="_Toc14710296"/>
      <w:r>
        <w:t>4.承包人</w:t>
      </w:r>
      <w:bookmarkEnd w:id="371"/>
      <w:bookmarkEnd w:id="372"/>
      <w:bookmarkEnd w:id="373"/>
      <w:bookmarkEnd w:id="374"/>
      <w:bookmarkEnd w:id="375"/>
    </w:p>
    <w:p w14:paraId="196CCFAF">
      <w:pPr>
        <w:pStyle w:val="2"/>
        <w:numPr>
          <w:ilvl w:val="0"/>
          <w:numId w:val="0"/>
        </w:numPr>
        <w:bidi w:val="0"/>
        <w:ind w:left="482" w:leftChars="0"/>
      </w:pPr>
      <w:bookmarkStart w:id="376" w:name="_Toc11324"/>
      <w:bookmarkStart w:id="377" w:name="bookmark1000"/>
      <w:bookmarkStart w:id="378" w:name="bookmark999"/>
      <w:bookmarkStart w:id="379" w:name="_Toc14710297"/>
      <w:bookmarkStart w:id="380" w:name="bookmark1001"/>
      <w:r>
        <w:t>4.1承包人的一般义务</w:t>
      </w:r>
      <w:bookmarkEnd w:id="376"/>
      <w:bookmarkEnd w:id="377"/>
      <w:bookmarkEnd w:id="378"/>
      <w:bookmarkEnd w:id="379"/>
      <w:bookmarkEnd w:id="380"/>
    </w:p>
    <w:p w14:paraId="599B166E">
      <w:pPr>
        <w:pStyle w:val="2"/>
        <w:numPr>
          <w:ilvl w:val="0"/>
          <w:numId w:val="0"/>
        </w:numPr>
        <w:bidi w:val="0"/>
        <w:ind w:left="482" w:leftChars="0"/>
      </w:pPr>
      <w:r>
        <w:t>4.1.1遵守法律</w:t>
      </w:r>
    </w:p>
    <w:p w14:paraId="62B43B65">
      <w:pPr>
        <w:pStyle w:val="11"/>
      </w:pPr>
      <w:r>
        <w:t>承包人在履行合同过程中应遵守法律，并保证发包人免于承担因承包人违反法律而引起的任何责任。</w:t>
      </w:r>
    </w:p>
    <w:p w14:paraId="17038348">
      <w:pPr>
        <w:pStyle w:val="2"/>
        <w:numPr>
          <w:ilvl w:val="0"/>
          <w:numId w:val="0"/>
        </w:numPr>
        <w:bidi w:val="0"/>
        <w:ind w:left="482" w:leftChars="0"/>
      </w:pPr>
      <w:bookmarkStart w:id="381" w:name="bookmark1002"/>
      <w:bookmarkEnd w:id="381"/>
      <w:r>
        <w:t>4.1.2依法纳税</w:t>
      </w:r>
    </w:p>
    <w:p w14:paraId="65632A18">
      <w:pPr>
        <w:pStyle w:val="11"/>
      </w:pPr>
      <w:r>
        <w:t>承包人应按有关法律规定纳税，应缴纳的税金包括在合同价格内。</w:t>
      </w:r>
    </w:p>
    <w:p w14:paraId="0626ACAE">
      <w:pPr>
        <w:pStyle w:val="2"/>
        <w:numPr>
          <w:ilvl w:val="0"/>
          <w:numId w:val="0"/>
        </w:numPr>
        <w:bidi w:val="0"/>
        <w:ind w:left="482" w:leftChars="0"/>
      </w:pPr>
      <w:r>
        <w:t>4.1.3完成各项承包工作</w:t>
      </w:r>
    </w:p>
    <w:p w14:paraId="0084A6DB">
      <w:pPr>
        <w:pStyle w:val="11"/>
      </w:pPr>
      <w:r>
        <w:t>承包人应按合同约定以及监理人根据第3.4款作出的指示，实施、完成全部工程，并修补工程中的任何缺陷。除第5. 2款、第6. 2款另有约定外，承包人应提供为完成合同工作所需的劳务、材料、施工设备、工程设备和其它物品，并按合同约定负责临时设施的设计、建造、运行、维护、管理和拆除。</w:t>
      </w:r>
    </w:p>
    <w:p w14:paraId="71F92DB2">
      <w:pPr>
        <w:pStyle w:val="2"/>
        <w:numPr>
          <w:ilvl w:val="0"/>
          <w:numId w:val="0"/>
        </w:numPr>
        <w:bidi w:val="0"/>
        <w:ind w:left="482" w:leftChars="0"/>
      </w:pPr>
      <w:r>
        <w:t>4.1.4对施工作业和施工方法的完备性负责</w:t>
      </w:r>
    </w:p>
    <w:p w14:paraId="565D2D87">
      <w:pPr>
        <w:pStyle w:val="11"/>
      </w:pPr>
      <w:r>
        <w:t>承包人应按合同约定的工作内容和施工进度要求，编制施工组织设计和施工措施计划，并对所有施工作业和施工方法的完备性和安全可靠性负责。</w:t>
      </w:r>
    </w:p>
    <w:p w14:paraId="311F1ECC">
      <w:pPr>
        <w:pStyle w:val="2"/>
        <w:numPr>
          <w:ilvl w:val="0"/>
          <w:numId w:val="0"/>
        </w:numPr>
        <w:bidi w:val="0"/>
        <w:ind w:left="482" w:leftChars="0"/>
      </w:pPr>
      <w:r>
        <w:t>4.1.5保证工程施工和人员的安全</w:t>
      </w:r>
    </w:p>
    <w:p w14:paraId="72FCD894">
      <w:pPr>
        <w:pStyle w:val="11"/>
      </w:pPr>
      <w:r>
        <w:t>承包人应按第9. 2款约定采取施工安全措施，确保工程及其人员、材料、设备和设施的安全，防止因工程施工造成的人身伤害和财产损失。</w:t>
      </w:r>
    </w:p>
    <w:p w14:paraId="24912FDC">
      <w:pPr>
        <w:pStyle w:val="2"/>
        <w:numPr>
          <w:ilvl w:val="0"/>
          <w:numId w:val="0"/>
        </w:numPr>
        <w:bidi w:val="0"/>
        <w:ind w:left="482" w:leftChars="0"/>
      </w:pPr>
      <w:bookmarkStart w:id="382" w:name="bookmark1003"/>
      <w:bookmarkEnd w:id="382"/>
      <w:r>
        <w:t>4.1.6负责施工场地及其周边环境与生态的保护工作</w:t>
      </w:r>
    </w:p>
    <w:p w14:paraId="350FC7DA">
      <w:pPr>
        <w:pStyle w:val="11"/>
      </w:pPr>
      <w:r>
        <w:t>承包人应按照第9.4款约定负责施工场地及其周边环境与生态的保护工作。</w:t>
      </w:r>
    </w:p>
    <w:p w14:paraId="2580032B">
      <w:pPr>
        <w:pStyle w:val="2"/>
        <w:numPr>
          <w:ilvl w:val="0"/>
          <w:numId w:val="0"/>
        </w:numPr>
        <w:bidi w:val="0"/>
        <w:ind w:left="482" w:leftChars="0"/>
      </w:pPr>
      <w:r>
        <w:t>4.1.7避免施工对公众与他人的利益造成损害</w:t>
      </w:r>
    </w:p>
    <w:p w14:paraId="14786004">
      <w:pPr>
        <w:pStyle w:val="11"/>
      </w:pPr>
      <w:r>
        <w:t>承包人在进行合同约定的各项工作时，不得侵害发包人与他人使用公用道路、水源、 市政管网等公共设施的权利，避免对邻近的公共设施产生干扰。承包人占用或使用他人的施工场地，影响他人作业或生活的，应承担相应责任。</w:t>
      </w:r>
    </w:p>
    <w:p w14:paraId="3A9D168B">
      <w:pPr>
        <w:pStyle w:val="2"/>
        <w:numPr>
          <w:ilvl w:val="0"/>
          <w:numId w:val="0"/>
        </w:numPr>
        <w:bidi w:val="0"/>
        <w:ind w:left="482" w:leftChars="0"/>
      </w:pPr>
      <w:r>
        <w:t>4.1.8为他人提供方便</w:t>
      </w:r>
    </w:p>
    <w:p w14:paraId="6CDC6EAC">
      <w:pPr>
        <w:pStyle w:val="11"/>
      </w:pPr>
      <w:r>
        <w:t>承包人应按监理人的指示为他人在施工场地或附近实施与工程有关的其他各项工作提供可能的条件。除合同另有约定外，提供有关条件的内容和可能发生的费用，由监理人按 第3. 5款商定或确定。</w:t>
      </w:r>
    </w:p>
    <w:p w14:paraId="34418658">
      <w:pPr>
        <w:pStyle w:val="2"/>
        <w:numPr>
          <w:ilvl w:val="0"/>
          <w:numId w:val="0"/>
        </w:numPr>
        <w:bidi w:val="0"/>
        <w:ind w:left="482" w:leftChars="0"/>
      </w:pPr>
      <w:r>
        <w:t>4.1.9工程的维护和照管</w:t>
      </w:r>
    </w:p>
    <w:p w14:paraId="139BC37A">
      <w:pPr>
        <w:pStyle w:val="11"/>
      </w:pPr>
      <w:r>
        <w:t>除合同另有约定外，合同工程完工证书颁发前，承包人应负责照管和维护工程。合同工程完工证书颁发时尚有部分未完工程的，承包人还应负责该未完工程的照管和维护工作，直至完工后移交给发包人为止。</w:t>
      </w:r>
    </w:p>
    <w:p w14:paraId="471F4D84">
      <w:pPr>
        <w:pStyle w:val="2"/>
        <w:numPr>
          <w:ilvl w:val="0"/>
          <w:numId w:val="0"/>
        </w:numPr>
        <w:bidi w:val="0"/>
        <w:ind w:left="482" w:leftChars="0"/>
      </w:pPr>
      <w:r>
        <w:t>4.1.10其它义务</w:t>
      </w:r>
    </w:p>
    <w:p w14:paraId="4517C276">
      <w:pPr>
        <w:pStyle w:val="11"/>
      </w:pPr>
      <w:r>
        <w:t>其它义务在专用合同条款中补充约定。</w:t>
      </w:r>
    </w:p>
    <w:p w14:paraId="411F86AF">
      <w:pPr>
        <w:pStyle w:val="2"/>
        <w:numPr>
          <w:ilvl w:val="0"/>
          <w:numId w:val="0"/>
        </w:numPr>
        <w:bidi w:val="0"/>
        <w:ind w:left="482" w:leftChars="0"/>
      </w:pPr>
      <w:bookmarkStart w:id="383" w:name="_Toc11535"/>
      <w:bookmarkStart w:id="384" w:name="bookmark1005"/>
      <w:bookmarkStart w:id="385" w:name="_Toc14710298"/>
      <w:bookmarkStart w:id="386" w:name="bookmark1004"/>
      <w:bookmarkStart w:id="387" w:name="bookmark1006"/>
      <w:r>
        <w:t>4.2履约担保</w:t>
      </w:r>
      <w:bookmarkEnd w:id="383"/>
      <w:bookmarkEnd w:id="384"/>
      <w:bookmarkEnd w:id="385"/>
      <w:bookmarkEnd w:id="386"/>
      <w:bookmarkEnd w:id="387"/>
    </w:p>
    <w:p w14:paraId="38796292">
      <w:pPr>
        <w:pStyle w:val="11"/>
      </w:pPr>
      <w:r>
        <w:t>承包人应保证其履约担保在发包人颁发合同工程完工证书前一直有效。发包人应在合同工程完工证书颁发后28天内将履约担保退还给承包人。</w:t>
      </w:r>
    </w:p>
    <w:p w14:paraId="34D535DA">
      <w:pPr>
        <w:pStyle w:val="2"/>
        <w:numPr>
          <w:ilvl w:val="0"/>
          <w:numId w:val="0"/>
        </w:numPr>
        <w:bidi w:val="0"/>
        <w:ind w:left="482" w:leftChars="0"/>
      </w:pPr>
      <w:bookmarkStart w:id="388" w:name="_Toc14710299"/>
      <w:bookmarkStart w:id="389" w:name="bookmark1009"/>
      <w:bookmarkStart w:id="390" w:name="bookmark1008"/>
      <w:bookmarkStart w:id="391" w:name="_Toc31393"/>
      <w:bookmarkStart w:id="392" w:name="bookmark1007"/>
      <w:r>
        <w:t>4.3分包</w:t>
      </w:r>
      <w:bookmarkEnd w:id="388"/>
      <w:bookmarkEnd w:id="389"/>
      <w:bookmarkEnd w:id="390"/>
      <w:bookmarkEnd w:id="391"/>
      <w:bookmarkEnd w:id="392"/>
    </w:p>
    <w:p w14:paraId="4D24DBAF">
      <w:pPr>
        <w:pStyle w:val="11"/>
      </w:pPr>
      <w:r>
        <w:t>4.3.1承包人不得将其承包的全部工程转包给第三人，或将其承包的全部工程肢解后以分包的名义转包给第三人。</w:t>
      </w:r>
    </w:p>
    <w:p w14:paraId="74017A71">
      <w:pPr>
        <w:pStyle w:val="11"/>
      </w:pPr>
      <w:r>
        <w:t>4.3.2承包人不得将工程主体、关键性工作分包给第三人。除专用合同条款另有约定外，未经发包人同意，承包人不得将工程的其他部分或工作分包给第三人。</w:t>
      </w:r>
    </w:p>
    <w:p w14:paraId="7E7FF656">
      <w:pPr>
        <w:pStyle w:val="11"/>
      </w:pPr>
      <w:r>
        <w:t>4.3.3分包人的资格能力应与其分包工程的标准和规模相适应。</w:t>
      </w:r>
    </w:p>
    <w:p w14:paraId="573991FC">
      <w:pPr>
        <w:pStyle w:val="11"/>
      </w:pPr>
      <w:r>
        <w:t>4.3.4按投标函附录约定分包工程的，承包人应向发包人和监理人提交分包合同 副本。</w:t>
      </w:r>
    </w:p>
    <w:p w14:paraId="576EF487">
      <w:pPr>
        <w:pStyle w:val="11"/>
      </w:pPr>
      <w:r>
        <w:t>4.3.5承包人应与分包人就分包工程向发包人承担连带责任。</w:t>
      </w:r>
    </w:p>
    <w:p w14:paraId="190B3AE1">
      <w:pPr>
        <w:pStyle w:val="11"/>
      </w:pPr>
      <w:r>
        <w:t>4.3.6分包分为工程分包和劳务作业分包。工程分包应遵循合同约定或者经发包人书面认可。禁止承包人将本合同工程进行违法分包。分包人应具备与分包工程规模和标准相适应的资质和业绩，在人力、设备、资金等方面具有承担分包工程施工的能力。分包人应自行完成所承包的任务。</w:t>
      </w:r>
    </w:p>
    <w:p w14:paraId="25E32165">
      <w:pPr>
        <w:pStyle w:val="11"/>
      </w:pPr>
      <w:r>
        <w:t>4.3.7在合同实施过程中，如承包人无力在合同规定的期限内完成合同中的应急防 汛、抢险等危及公共安全和工程安全的项目，发包人可对该应急防汛、抢险等项目的部分工程指定分包人。因非承包人原因形成指定分包条件的，发包人的指定分包不得增加承包人的额外费用；因承包人原因形成指定分包条件的，承包人应承担指定分包所增加的费用。由指定分包人造成的与其分包工作有关的一切索赔、诉讼和损失赔偿由指定分包人直接对发包人负责，承包人不对此承担责任。</w:t>
      </w:r>
    </w:p>
    <w:p w14:paraId="5425C817">
      <w:pPr>
        <w:pStyle w:val="11"/>
      </w:pPr>
      <w:r>
        <w:t>4.3.8承包人和发包人应当签订分包合同，并履行合同约定的义务。分包合同必须遵循承包合同的各项原则，满足相应条款的要求。发包人可以对分包合同实施情况进行监督检查。承包人应将分包合同副本提交发包人和监理人。</w:t>
      </w:r>
    </w:p>
    <w:p w14:paraId="32952DC3">
      <w:pPr>
        <w:pStyle w:val="11"/>
      </w:pPr>
      <w:r>
        <w:t>4.3.9除第4. 3. 7项规定的指定分包外，承包人对其分包项目的实施以及分包人的行为向发包人负全部责任。承包人应对分包项目的工程进度、质量、安全、计量和验收等实施监督和管理。</w:t>
      </w:r>
    </w:p>
    <w:p w14:paraId="3025E768">
      <w:pPr>
        <w:pStyle w:val="11"/>
      </w:pPr>
      <w:bookmarkStart w:id="393" w:name="bookmark1010"/>
      <w:bookmarkEnd w:id="393"/>
      <w:r>
        <w:t>4.3.10分包人应按专用合同条款的约定设立项目管理机构组织管理分包工程的施工 活动。</w:t>
      </w:r>
    </w:p>
    <w:p w14:paraId="36988DC9">
      <w:pPr>
        <w:pStyle w:val="2"/>
        <w:numPr>
          <w:ilvl w:val="0"/>
          <w:numId w:val="0"/>
        </w:numPr>
        <w:bidi w:val="0"/>
        <w:ind w:left="482" w:leftChars="0"/>
      </w:pPr>
      <w:bookmarkStart w:id="394" w:name="bookmark1013"/>
      <w:bookmarkStart w:id="395" w:name="bookmark1012"/>
      <w:bookmarkStart w:id="396" w:name="_Toc27582"/>
      <w:bookmarkStart w:id="397" w:name="_Toc14710300"/>
      <w:bookmarkStart w:id="398" w:name="bookmark1011"/>
      <w:r>
        <w:t>4.4联合体</w:t>
      </w:r>
      <w:bookmarkEnd w:id="394"/>
      <w:bookmarkEnd w:id="395"/>
      <w:bookmarkEnd w:id="396"/>
      <w:bookmarkEnd w:id="397"/>
      <w:bookmarkEnd w:id="398"/>
    </w:p>
    <w:p w14:paraId="1A35C2A3">
      <w:pPr>
        <w:pStyle w:val="11"/>
      </w:pPr>
      <w:bookmarkStart w:id="399" w:name="bookmark1014"/>
      <w:bookmarkEnd w:id="399"/>
      <w:r>
        <w:rPr>
          <w:rFonts w:hint="eastAsia"/>
          <w:b w:val="0"/>
          <w:i w:val="0"/>
          <w:strike w:val="0"/>
          <w:color w:val="000000"/>
          <w:u w:val="none"/>
          <w:lang w:val="en-US" w:eastAsia="zh-CN"/>
        </w:rPr>
        <w:t>4</w:t>
      </w:r>
      <w:r>
        <w:rPr>
          <w:b w:val="0"/>
          <w:i w:val="0"/>
          <w:strike w:val="0"/>
          <w:color w:val="000000"/>
          <w:u w:val="none"/>
        </w:rPr>
        <w:t>.</w:t>
      </w:r>
      <w:r>
        <w:t>4.1联合体各方应共同与发包人签订合同协议书。联合体各方应为履行合同承担连带责任。</w:t>
      </w:r>
    </w:p>
    <w:p w14:paraId="5F0B0523">
      <w:pPr>
        <w:pStyle w:val="11"/>
      </w:pPr>
      <w:r>
        <w:t>4. 4.2联合体协议经发包人确认后作为合同附件。在履行合同过程中，未经发包人同意，不得修改联合体协议。</w:t>
      </w:r>
    </w:p>
    <w:p w14:paraId="7747D9B3">
      <w:pPr>
        <w:pStyle w:val="11"/>
      </w:pPr>
      <w:r>
        <w:t>4.4.3联合体牵头人负责与发包人和监理人联系，并接受指示，负责组织联合体各成员全面履行合同。</w:t>
      </w:r>
    </w:p>
    <w:p w14:paraId="6E4C9198">
      <w:pPr>
        <w:pStyle w:val="2"/>
        <w:numPr>
          <w:ilvl w:val="0"/>
          <w:numId w:val="0"/>
        </w:numPr>
        <w:bidi w:val="0"/>
        <w:ind w:left="482" w:leftChars="0"/>
      </w:pPr>
      <w:bookmarkStart w:id="400" w:name="bookmark1017"/>
      <w:bookmarkStart w:id="401" w:name="bookmark1015"/>
      <w:bookmarkStart w:id="402" w:name="_Toc14710301"/>
      <w:bookmarkStart w:id="403" w:name="bookmark1016"/>
      <w:bookmarkStart w:id="404" w:name="_Toc27934"/>
      <w:r>
        <w:t>4.5承包人项目经理</w:t>
      </w:r>
      <w:bookmarkEnd w:id="400"/>
      <w:bookmarkEnd w:id="401"/>
      <w:bookmarkEnd w:id="402"/>
      <w:bookmarkEnd w:id="403"/>
      <w:bookmarkEnd w:id="404"/>
    </w:p>
    <w:p w14:paraId="0CCA4A66">
      <w:pPr>
        <w:pStyle w:val="11"/>
      </w:pPr>
      <w:r>
        <w:t>4. 5.1承包人应按合同约定指派项目经理，并在约定的期限内到职。承包人更换项目经理应事先征得发包人同意，并应在更换14天前通知发包人和监理人。承包人项目经理短 期离开施工场地，应事先征得监理人同意，并委派代表代行其职责。</w:t>
      </w:r>
    </w:p>
    <w:p w14:paraId="0477FEC8">
      <w:pPr>
        <w:pStyle w:val="11"/>
      </w:pPr>
      <w:r>
        <w:t>4. 5.2承包人项目经理应按合同约定以及监理人按第3. 4款作出的指示，负责组织合同工程的实施。在情况紧急且无法与监理人取得联系时，可采取保证工程和人员生命财产 安全的紧急措施，并在采取措施后24小时内向监理人提交书面报告。</w:t>
      </w:r>
    </w:p>
    <w:p w14:paraId="7CA06E8D">
      <w:pPr>
        <w:pStyle w:val="11"/>
      </w:pPr>
      <w:r>
        <w:t>4. 5. 3承包人为履行合同发出的一切函件均应盖有承包人授权的施工场地管理机构章，并由承包人项目经理或其授权代表签字。</w:t>
      </w:r>
    </w:p>
    <w:p w14:paraId="2EFEC903">
      <w:pPr>
        <w:pStyle w:val="11"/>
      </w:pPr>
      <w:r>
        <w:t>4. 5.4承包人项目经理可以授权其下属人员履行其某项职责，但事先应将这些人员的姓名和授权范围通知监理人。</w:t>
      </w:r>
    </w:p>
    <w:p w14:paraId="131FDC57">
      <w:pPr>
        <w:pStyle w:val="2"/>
        <w:numPr>
          <w:ilvl w:val="0"/>
          <w:numId w:val="0"/>
        </w:numPr>
        <w:bidi w:val="0"/>
        <w:ind w:left="482" w:leftChars="0"/>
      </w:pPr>
      <w:bookmarkStart w:id="405" w:name="_Toc1095"/>
      <w:bookmarkStart w:id="406" w:name="bookmark1018"/>
      <w:bookmarkStart w:id="407" w:name="bookmark1019"/>
      <w:bookmarkStart w:id="408" w:name="_Toc14710302"/>
      <w:bookmarkStart w:id="409" w:name="bookmark1020"/>
      <w:r>
        <w:t>4.6承包人人员的管理</w:t>
      </w:r>
      <w:bookmarkEnd w:id="405"/>
      <w:bookmarkEnd w:id="406"/>
      <w:bookmarkEnd w:id="407"/>
      <w:bookmarkEnd w:id="408"/>
      <w:bookmarkEnd w:id="409"/>
    </w:p>
    <w:p w14:paraId="0781B298">
      <w:pPr>
        <w:pStyle w:val="11"/>
      </w:pPr>
      <w:r>
        <w:t>4. 6.1承包人应在接到开工通知后28天内，向监理人提交承包人在施工场地的管理机构以及人员安排的报告，其内容应包括管理机构的设置、各主要岗位的技术和管理人员名单及其资格，以及各工种技术工人的安排状况。承包人应向监理人提交施工场地人员变动情况的报告。</w:t>
      </w:r>
    </w:p>
    <w:p w14:paraId="4256A96F">
      <w:pPr>
        <w:pStyle w:val="11"/>
      </w:pPr>
      <w:r>
        <w:t>4. 6.2为完成合同约定的各项工作，承包人应向施工场地派遣或雇佣足够数量的下列 人员：</w:t>
      </w:r>
    </w:p>
    <w:p w14:paraId="3F663D56">
      <w:pPr>
        <w:pStyle w:val="11"/>
      </w:pPr>
      <w:bookmarkStart w:id="410" w:name="bookmark1021"/>
      <w:bookmarkEnd w:id="410"/>
      <w:r>
        <w:rPr>
          <w:b w:val="0"/>
          <w:i w:val="0"/>
          <w:strike w:val="0"/>
          <w:color w:val="000000"/>
          <w:u w:val="none"/>
        </w:rPr>
        <w:t>(1)</w:t>
      </w:r>
      <w:r>
        <w:t>具有相应资格的专业技工和合格的普工；</w:t>
      </w:r>
    </w:p>
    <w:p w14:paraId="5D41583C">
      <w:pPr>
        <w:pStyle w:val="11"/>
      </w:pPr>
      <w:bookmarkStart w:id="411" w:name="bookmark1022"/>
      <w:bookmarkEnd w:id="411"/>
      <w:r>
        <w:rPr>
          <w:b w:val="0"/>
          <w:i w:val="0"/>
          <w:strike w:val="0"/>
          <w:color w:val="000000"/>
          <w:u w:val="none"/>
        </w:rPr>
        <w:t>(2)</w:t>
      </w:r>
      <w:r>
        <w:t>具有相应施工经验的技术人员；</w:t>
      </w:r>
    </w:p>
    <w:p w14:paraId="1E12AEA1">
      <w:pPr>
        <w:pStyle w:val="11"/>
      </w:pPr>
      <w:bookmarkStart w:id="412" w:name="bookmark1023"/>
      <w:bookmarkEnd w:id="412"/>
      <w:r>
        <w:rPr>
          <w:b w:val="0"/>
          <w:i w:val="0"/>
          <w:strike w:val="0"/>
          <w:color w:val="000000"/>
          <w:u w:val="none"/>
        </w:rPr>
        <w:t>(3)</w:t>
      </w:r>
      <w:r>
        <w:t>具有相应岗位资格的各级管理人员。</w:t>
      </w:r>
    </w:p>
    <w:p w14:paraId="16E35949">
      <w:pPr>
        <w:pStyle w:val="11"/>
      </w:pPr>
      <w:r>
        <w:t>4.6.3承包人安排在施工场地的主要管理人员和技术骨干应相对稳定。承包人更换主要管理人员和技术骨干时，应取得监理人的同意。</w:t>
      </w:r>
    </w:p>
    <w:p w14:paraId="1E51B660">
      <w:pPr>
        <w:pStyle w:val="11"/>
      </w:pPr>
      <w:r>
        <w:t>4. 6.4特殊岗位的工作人员均应持有相应的资格证明，监理人有权随时检查。监理人认为有必要时，可进行现场考核。</w:t>
      </w:r>
    </w:p>
    <w:p w14:paraId="61D3A166">
      <w:pPr>
        <w:pStyle w:val="2"/>
        <w:numPr>
          <w:ilvl w:val="0"/>
          <w:numId w:val="0"/>
        </w:numPr>
        <w:bidi w:val="0"/>
        <w:ind w:left="482" w:leftChars="0"/>
      </w:pPr>
      <w:bookmarkStart w:id="413" w:name="_Toc14710303"/>
      <w:bookmarkStart w:id="414" w:name="bookmark1024"/>
      <w:bookmarkStart w:id="415" w:name="bookmark1026"/>
      <w:bookmarkStart w:id="416" w:name="_Toc24736"/>
      <w:bookmarkStart w:id="417" w:name="bookmark1025"/>
      <w:r>
        <w:t>4.7撤换承包人项目经理和其他人员</w:t>
      </w:r>
      <w:bookmarkEnd w:id="413"/>
      <w:bookmarkEnd w:id="414"/>
      <w:bookmarkEnd w:id="415"/>
      <w:bookmarkEnd w:id="416"/>
      <w:bookmarkEnd w:id="417"/>
    </w:p>
    <w:p w14:paraId="58EE6E21">
      <w:pPr>
        <w:pStyle w:val="11"/>
      </w:pPr>
      <w:r>
        <w:t>承包人应对其项目经理和其他人员进行有效管理。监理人要求撤换不能胜任本职工作、 行为不端或玩忽职守的承包人项目经理和其他人员的，承包人应予以撤换。</w:t>
      </w:r>
    </w:p>
    <w:p w14:paraId="299EDCAE">
      <w:pPr>
        <w:pStyle w:val="2"/>
        <w:numPr>
          <w:ilvl w:val="0"/>
          <w:numId w:val="0"/>
        </w:numPr>
        <w:bidi w:val="0"/>
        <w:ind w:left="482" w:leftChars="0"/>
      </w:pPr>
      <w:bookmarkStart w:id="418" w:name="_Toc14710304"/>
      <w:bookmarkStart w:id="419" w:name="bookmark1027"/>
      <w:bookmarkStart w:id="420" w:name="bookmark1029"/>
      <w:bookmarkStart w:id="421" w:name="bookmark1028"/>
      <w:bookmarkStart w:id="422" w:name="_Toc19207"/>
      <w:r>
        <w:t>4.8保障承包人人员的合法权益</w:t>
      </w:r>
      <w:bookmarkEnd w:id="418"/>
      <w:bookmarkEnd w:id="419"/>
      <w:bookmarkEnd w:id="420"/>
      <w:bookmarkEnd w:id="421"/>
      <w:bookmarkEnd w:id="422"/>
    </w:p>
    <w:p w14:paraId="23905326">
      <w:pPr>
        <w:pStyle w:val="11"/>
      </w:pPr>
      <w:r>
        <w:t>4. 8. 1承包人应与其雇佣的人员签订劳动合同，并按时发放工资。</w:t>
      </w:r>
    </w:p>
    <w:p w14:paraId="3E7111D3">
      <w:pPr>
        <w:pStyle w:val="11"/>
      </w:pPr>
      <w:r>
        <w:t>4. 8. 2承包人应按劳动法的规定安排工作时间，保证其雇佣人员享有休息和休假的权利。因工程施工的特殊需要占用休假日或延长工作时间的，应不超过法律规定的限度，并按法律规定给予补休或付酬。</w:t>
      </w:r>
    </w:p>
    <w:p w14:paraId="64D52417">
      <w:pPr>
        <w:pStyle w:val="11"/>
      </w:pPr>
      <w:r>
        <w:t>4.8.3承包人应为其雇佣人员提供必要的食宿条件，以及符合环境保护和卫生要求的生活环境，在远离城镇的施工场地，还应配备必要的伤病防治和急救的医务人员与医疗设施。</w:t>
      </w:r>
    </w:p>
    <w:p w14:paraId="663EFC8F">
      <w:pPr>
        <w:pStyle w:val="11"/>
      </w:pPr>
      <w:r>
        <w:t>4. 8.4承包人应按国家有关劳动保护的规定，采取有效的防止粉尘、降低噪声、控制有害气体和保障高温、高寒、高空作业安全等劳动保护措施。其雇佣人员在施工中受到伤害的，承包人应立即采取有效措施进行抢救和治疗。</w:t>
      </w:r>
    </w:p>
    <w:p w14:paraId="1AD5EE51">
      <w:pPr>
        <w:pStyle w:val="11"/>
      </w:pPr>
      <w:r>
        <w:t>4. 8.5承包人应按有关法律规定和合同约定，为其雇佣人员办理保险。</w:t>
      </w:r>
    </w:p>
    <w:p w14:paraId="75B29C30">
      <w:pPr>
        <w:pStyle w:val="11"/>
      </w:pPr>
      <w:r>
        <w:t>4. 8.6承包人应负责处理其雇佣人员因工伤亡事故的善后事宜。</w:t>
      </w:r>
    </w:p>
    <w:p w14:paraId="1C1490D1">
      <w:pPr>
        <w:pStyle w:val="2"/>
        <w:numPr>
          <w:ilvl w:val="0"/>
          <w:numId w:val="0"/>
        </w:numPr>
        <w:bidi w:val="0"/>
        <w:ind w:left="482" w:leftChars="0"/>
      </w:pPr>
      <w:bookmarkStart w:id="423" w:name="bookmark1030"/>
      <w:bookmarkStart w:id="424" w:name="_Toc14710305"/>
      <w:bookmarkStart w:id="425" w:name="_Toc7851"/>
      <w:bookmarkStart w:id="426" w:name="bookmark1031"/>
      <w:bookmarkStart w:id="427" w:name="bookmark1032"/>
      <w:r>
        <w:t>4.9工程价款应专款专用</w:t>
      </w:r>
      <w:bookmarkEnd w:id="423"/>
      <w:bookmarkEnd w:id="424"/>
      <w:bookmarkEnd w:id="425"/>
      <w:bookmarkEnd w:id="426"/>
      <w:bookmarkEnd w:id="427"/>
    </w:p>
    <w:p w14:paraId="0363FBF9">
      <w:pPr>
        <w:pStyle w:val="11"/>
      </w:pPr>
      <w:r>
        <w:t>发包人按合同约定支付给承包人的各项价款应专用于合同工程。</w:t>
      </w:r>
    </w:p>
    <w:p w14:paraId="593E9903">
      <w:pPr>
        <w:pStyle w:val="2"/>
        <w:numPr>
          <w:ilvl w:val="0"/>
          <w:numId w:val="0"/>
        </w:numPr>
        <w:bidi w:val="0"/>
        <w:ind w:left="482" w:leftChars="0"/>
      </w:pPr>
      <w:bookmarkStart w:id="428" w:name="bookmark1035"/>
      <w:bookmarkStart w:id="429" w:name="_Toc14710306"/>
      <w:bookmarkStart w:id="430" w:name="_Toc30630"/>
      <w:bookmarkStart w:id="431" w:name="bookmark1033"/>
      <w:bookmarkStart w:id="432" w:name="bookmark1034"/>
      <w:r>
        <w:t>4.10承包人现场查勘</w:t>
      </w:r>
      <w:bookmarkEnd w:id="428"/>
      <w:bookmarkEnd w:id="429"/>
      <w:bookmarkEnd w:id="430"/>
      <w:bookmarkEnd w:id="431"/>
      <w:bookmarkEnd w:id="432"/>
    </w:p>
    <w:p w14:paraId="22152D13">
      <w:pPr>
        <w:pStyle w:val="11"/>
      </w:pPr>
      <w:r>
        <w:t>4. 10. 1发包人应将其持有的现场地质勘探资料、水文气象资料提供给承包人，并对其准确性负责。但承包人应对其阅读上述有关资料后所作出的解释和推断负责。</w:t>
      </w:r>
    </w:p>
    <w:p w14:paraId="22433289">
      <w:pPr>
        <w:pStyle w:val="11"/>
      </w:pPr>
      <w:bookmarkStart w:id="433" w:name="bookmark1036"/>
      <w:bookmarkEnd w:id="433"/>
      <w:r>
        <w:t>4. 10. 2承包人应对施工场地和周围环境进行查勘，并收集有关地质、水文、气象条件、交通条件、风俗习惯以及其他为完成合同工作有关的当地资料。在全部合同工作中，应视为承包人已充分估计了应承担的责任和风险。</w:t>
      </w:r>
    </w:p>
    <w:p w14:paraId="62803F0A">
      <w:pPr>
        <w:pStyle w:val="2"/>
        <w:numPr>
          <w:ilvl w:val="0"/>
          <w:numId w:val="0"/>
        </w:numPr>
        <w:bidi w:val="0"/>
        <w:ind w:left="482" w:leftChars="0"/>
      </w:pPr>
      <w:bookmarkStart w:id="434" w:name="bookmark1039"/>
      <w:bookmarkStart w:id="435" w:name="bookmark1038"/>
      <w:bookmarkStart w:id="436" w:name="_Toc2993"/>
      <w:bookmarkStart w:id="437" w:name="bookmark1037"/>
      <w:bookmarkStart w:id="438" w:name="_Toc14710307"/>
      <w:r>
        <w:t>4.11不利物质条件</w:t>
      </w:r>
      <w:bookmarkEnd w:id="434"/>
      <w:bookmarkEnd w:id="435"/>
      <w:bookmarkEnd w:id="436"/>
      <w:bookmarkEnd w:id="437"/>
      <w:bookmarkEnd w:id="438"/>
    </w:p>
    <w:p w14:paraId="345F21ED">
      <w:pPr>
        <w:pStyle w:val="11"/>
      </w:pPr>
      <w:r>
        <w:t>4.11.1除专用合同条款另有约定外，不利的物质条件是指在施工中遭遇不可预见的外界障碍或自然条件造成施工受阻。</w:t>
      </w:r>
    </w:p>
    <w:p w14:paraId="73D6221A">
      <w:pPr>
        <w:pStyle w:val="11"/>
      </w:pPr>
      <w:r>
        <w:t>4.11.2承包人遇到不利物质条件时，应采取适应不利物质条件的合理措施继续施工, 并及时通知监理人。承包人应有权根据第23.1款的约定，要求延长工期及增加费用。监理人收到此类要求后，应在分析上述外界障碍或自然条件是否不可预见及不可预见程度的基础上，按照通用合同条款第15条的约定办理。</w:t>
      </w:r>
    </w:p>
    <w:p w14:paraId="55D0AD9B">
      <w:pPr>
        <w:pStyle w:val="2"/>
        <w:numPr>
          <w:ilvl w:val="0"/>
          <w:numId w:val="0"/>
        </w:numPr>
        <w:bidi w:val="0"/>
        <w:ind w:left="482" w:leftChars="0"/>
      </w:pPr>
      <w:bookmarkStart w:id="439" w:name="bookmark1042"/>
      <w:bookmarkEnd w:id="439"/>
      <w:bookmarkStart w:id="440" w:name="bookmark1043"/>
      <w:bookmarkStart w:id="441" w:name="bookmark1040"/>
      <w:bookmarkStart w:id="442" w:name="_Toc25230"/>
      <w:bookmarkStart w:id="443" w:name="bookmark1041"/>
      <w:bookmarkStart w:id="444" w:name="_Toc14710308"/>
      <w:r>
        <w:t>5.材料和工程设备</w:t>
      </w:r>
      <w:bookmarkEnd w:id="440"/>
      <w:bookmarkEnd w:id="441"/>
      <w:bookmarkEnd w:id="442"/>
      <w:bookmarkEnd w:id="443"/>
      <w:bookmarkEnd w:id="444"/>
    </w:p>
    <w:p w14:paraId="597E2A80">
      <w:pPr>
        <w:pStyle w:val="2"/>
        <w:numPr>
          <w:ilvl w:val="0"/>
          <w:numId w:val="0"/>
        </w:numPr>
        <w:bidi w:val="0"/>
        <w:ind w:left="482" w:leftChars="0"/>
      </w:pPr>
      <w:bookmarkStart w:id="445" w:name="bookmark1045"/>
      <w:bookmarkStart w:id="446" w:name="bookmark1046"/>
      <w:bookmarkStart w:id="447" w:name="_Toc14710309"/>
      <w:bookmarkStart w:id="448" w:name="_Toc5421"/>
      <w:bookmarkStart w:id="449" w:name="bookmark1044"/>
      <w:r>
        <w:t>5.1承包人提供的材料和工程设备</w:t>
      </w:r>
      <w:bookmarkEnd w:id="445"/>
      <w:bookmarkEnd w:id="446"/>
      <w:bookmarkEnd w:id="447"/>
      <w:bookmarkEnd w:id="448"/>
      <w:bookmarkEnd w:id="449"/>
    </w:p>
    <w:p w14:paraId="1FD79D1B">
      <w:pPr>
        <w:pStyle w:val="11"/>
      </w:pPr>
      <w:bookmarkStart w:id="450" w:name="bookmark1047"/>
      <w:bookmarkEnd w:id="450"/>
      <w:r>
        <w:t>5.1. 1除第5. 2款约定由发包人提供的材料和工程设备外，承包人负责采购、运输和 保管完成本合同工作所需的材料和工程设备。承包人应对其采购的材料和工程设备负责。</w:t>
      </w:r>
    </w:p>
    <w:p w14:paraId="0AC15348">
      <w:pPr>
        <w:pStyle w:val="11"/>
      </w:pPr>
      <w:r>
        <w:t>5.1.2承包人应按专用合同条款的约定，将各项材料和工程设备的供货人及品种、规 格、数量和供货时间等报送监理人审批。承包人应向监理人提交其负责提供的材料和工程 设备的质量证明文件，并满足合同约定的质量标准。</w:t>
      </w:r>
    </w:p>
    <w:p w14:paraId="703F8D98">
      <w:pPr>
        <w:pStyle w:val="11"/>
      </w:pPr>
      <w:r>
        <w:t>5.1.3对承包人提供的材料和工程设备，承包人应会同监理人进行检验和交货验收, 查验材料合格证明和产品合格证书，并按合同约定和监理人指示，进行材料的抽样检验和工程设备的检验测试，检验和测试结果应提交监理人，所需费用由承包人承担。</w:t>
      </w:r>
    </w:p>
    <w:p w14:paraId="3730CF10">
      <w:pPr>
        <w:pStyle w:val="2"/>
        <w:numPr>
          <w:ilvl w:val="0"/>
          <w:numId w:val="0"/>
        </w:numPr>
        <w:bidi w:val="0"/>
        <w:ind w:left="482" w:leftChars="0"/>
      </w:pPr>
      <w:bookmarkStart w:id="451" w:name="bookmark1050"/>
      <w:bookmarkStart w:id="452" w:name="_Toc14710310"/>
      <w:bookmarkStart w:id="453" w:name="bookmark1049"/>
      <w:bookmarkStart w:id="454" w:name="_Toc18208"/>
      <w:bookmarkStart w:id="455" w:name="bookmark1048"/>
      <w:r>
        <w:t>5.2发包人提供的材料和工程设备</w:t>
      </w:r>
      <w:bookmarkEnd w:id="451"/>
      <w:bookmarkEnd w:id="452"/>
      <w:bookmarkEnd w:id="453"/>
      <w:bookmarkEnd w:id="454"/>
      <w:bookmarkEnd w:id="455"/>
    </w:p>
    <w:p w14:paraId="3767B53A">
      <w:pPr>
        <w:pStyle w:val="11"/>
      </w:pPr>
      <w:bookmarkStart w:id="456" w:name="bookmark1051"/>
      <w:bookmarkEnd w:id="456"/>
      <w:r>
        <w:t>5. 2.1发包人提供的材料和工程设备，应在专用合同条款中写明材料和工程设备的名称、规格、数量、价格、交货方式、交货地点和计划交货日期等。</w:t>
      </w:r>
    </w:p>
    <w:p w14:paraId="1D1E054E">
      <w:pPr>
        <w:pStyle w:val="11"/>
      </w:pPr>
      <w:r>
        <w:t>5. 2.2承包人应根据合同进度计划的安排，向监理人报送要求发包人交货的日期计划。发包人应按照监理人与合同双方当事人商定的交货日期，向承包人提交材料和工程设备。</w:t>
      </w:r>
    </w:p>
    <w:p w14:paraId="4EF5FE32">
      <w:pPr>
        <w:pStyle w:val="11"/>
      </w:pPr>
      <w:r>
        <w:t>5.2.3发包人应在材料和工程设备到货7天前通知承包人，承包人应会同监理人在约定的时间内，赴交货地点共同进行验收。发包人提供的材料和工程设备运至交货地点验收后，由承包人负责接收、卸货、运输和保管。</w:t>
      </w:r>
    </w:p>
    <w:p w14:paraId="7B21CDD4">
      <w:pPr>
        <w:pStyle w:val="11"/>
      </w:pPr>
      <w:r>
        <w:t>5. 2.4发包人要求向承包人提前交货的，承包人不得拒绝，但发包人应承担承包人由此增加的费用。</w:t>
      </w:r>
    </w:p>
    <w:p w14:paraId="12CF748D">
      <w:pPr>
        <w:pStyle w:val="11"/>
      </w:pPr>
      <w:r>
        <w:t>5. 2.5承包人要求更改交货日期或地点的，应事先报请监理人批准。由于承包人要求更改交货时间或地点所增加的费用和（或）工期延误由承包人承担。</w:t>
      </w:r>
    </w:p>
    <w:p w14:paraId="07E7AD96">
      <w:pPr>
        <w:pStyle w:val="11"/>
      </w:pPr>
      <w:r>
        <w:t>5. 2.6发包人提供的材料和工程设备的规格、数量或质量不符合合同要求，或由于发包人原因发生交货日期延误及交货地点变更等情况的，发包人应承担由此增加的费用和（或）工期延误，并向承包人支付合理利润。</w:t>
      </w:r>
    </w:p>
    <w:p w14:paraId="199B0DA8">
      <w:pPr>
        <w:pStyle w:val="2"/>
        <w:numPr>
          <w:ilvl w:val="0"/>
          <w:numId w:val="0"/>
        </w:numPr>
        <w:bidi w:val="0"/>
        <w:ind w:left="482" w:leftChars="0"/>
      </w:pPr>
      <w:bookmarkStart w:id="457" w:name="bookmark1054"/>
      <w:bookmarkStart w:id="458" w:name="bookmark1052"/>
      <w:bookmarkStart w:id="459" w:name="_Toc17795"/>
      <w:bookmarkStart w:id="460" w:name="bookmark1053"/>
      <w:bookmarkStart w:id="461" w:name="_Toc14710311"/>
      <w:r>
        <w:t>5.3材料和工程设备专用于合同工程</w:t>
      </w:r>
      <w:bookmarkEnd w:id="457"/>
      <w:bookmarkEnd w:id="458"/>
      <w:bookmarkEnd w:id="459"/>
      <w:bookmarkEnd w:id="460"/>
      <w:bookmarkEnd w:id="461"/>
    </w:p>
    <w:p w14:paraId="70D05981">
      <w:pPr>
        <w:pStyle w:val="11"/>
      </w:pPr>
      <w:r>
        <w:t>5.3.1运入施工场地的材料、工程设备，包括备品备件、安装专用工器具与随机资料，必须专用于合同工程，未经监理人同意，承包人不得运出施工场地或挪作他用。</w:t>
      </w:r>
    </w:p>
    <w:p w14:paraId="1BB82A81">
      <w:pPr>
        <w:pStyle w:val="11"/>
      </w:pPr>
      <w:r>
        <w:t>5.3.2随同工程设备运入施工场地的备品备件、专用工器具与随机资料，应由承包人会同监理人按供货人的装箱单清点后共同封存，未经监理人同意不得启用。承包人因合同工作需要使用上述物品时，应向监理人提出申请。</w:t>
      </w:r>
    </w:p>
    <w:p w14:paraId="29369789">
      <w:pPr>
        <w:pStyle w:val="2"/>
        <w:numPr>
          <w:ilvl w:val="0"/>
          <w:numId w:val="0"/>
        </w:numPr>
        <w:bidi w:val="0"/>
        <w:ind w:left="482" w:leftChars="0"/>
      </w:pPr>
      <w:bookmarkStart w:id="462" w:name="_Toc30864"/>
      <w:bookmarkStart w:id="463" w:name="bookmark1056"/>
      <w:bookmarkStart w:id="464" w:name="_Toc14710312"/>
      <w:bookmarkStart w:id="465" w:name="bookmark1057"/>
      <w:bookmarkStart w:id="466" w:name="bookmark1055"/>
      <w:r>
        <w:t>5.4禁止使用不合格的材料和工程设备</w:t>
      </w:r>
      <w:bookmarkEnd w:id="462"/>
      <w:bookmarkEnd w:id="463"/>
      <w:bookmarkEnd w:id="464"/>
      <w:bookmarkEnd w:id="465"/>
      <w:bookmarkEnd w:id="466"/>
    </w:p>
    <w:p w14:paraId="0B590C40">
      <w:pPr>
        <w:pStyle w:val="11"/>
      </w:pPr>
      <w:bookmarkStart w:id="467" w:name="bookmark1058"/>
      <w:bookmarkEnd w:id="467"/>
      <w:r>
        <w:t>5.4.1监理人有权拒绝承包人提供的不合格材料或工程设备，并要求承包人立即进行更换。监理人应在更换后再次进行检查和检验，由此增加的费用和（或）工期延误由承包 人承担。</w:t>
      </w:r>
    </w:p>
    <w:p w14:paraId="174FFB91">
      <w:pPr>
        <w:pStyle w:val="11"/>
      </w:pPr>
      <w:bookmarkStart w:id="468" w:name="bookmark1059"/>
      <w:bookmarkEnd w:id="468"/>
      <w:r>
        <w:t>5.4.2监理人发现承包人使用了不合格的材料和工程设备，应即时发出指示要求承包人立即改正，并禁止在工程中继续使用不合格的材料和工程设备。</w:t>
      </w:r>
    </w:p>
    <w:p w14:paraId="527CC3B2">
      <w:pPr>
        <w:pStyle w:val="11"/>
      </w:pPr>
      <w:r>
        <w:t>5.4.3发包人提供的材料或工程设备不符合合同要求的，承包人有权拒绝，并可要求发包人更换，由此增加的费用和（或）工期延误由发包人承担。</w:t>
      </w:r>
    </w:p>
    <w:p w14:paraId="691F463B">
      <w:pPr>
        <w:pStyle w:val="2"/>
        <w:numPr>
          <w:ilvl w:val="0"/>
          <w:numId w:val="0"/>
        </w:numPr>
        <w:bidi w:val="0"/>
        <w:ind w:left="482" w:leftChars="0"/>
      </w:pPr>
      <w:bookmarkStart w:id="469" w:name="bookmark1062"/>
      <w:bookmarkEnd w:id="469"/>
      <w:bookmarkStart w:id="470" w:name="bookmark1063"/>
      <w:bookmarkStart w:id="471" w:name="_Toc14710313"/>
      <w:bookmarkStart w:id="472" w:name="bookmark1060"/>
      <w:bookmarkStart w:id="473" w:name="bookmark1061"/>
      <w:bookmarkStart w:id="474" w:name="_Toc21496"/>
      <w:r>
        <w:t>6.施工设备和临时设施</w:t>
      </w:r>
      <w:bookmarkEnd w:id="470"/>
      <w:bookmarkEnd w:id="471"/>
      <w:bookmarkEnd w:id="472"/>
      <w:bookmarkEnd w:id="473"/>
      <w:bookmarkEnd w:id="474"/>
    </w:p>
    <w:p w14:paraId="108D4D7B">
      <w:pPr>
        <w:pStyle w:val="2"/>
        <w:numPr>
          <w:ilvl w:val="0"/>
          <w:numId w:val="0"/>
        </w:numPr>
        <w:bidi w:val="0"/>
        <w:ind w:left="482" w:leftChars="0"/>
      </w:pPr>
      <w:bookmarkStart w:id="475" w:name="bookmark1065"/>
      <w:bookmarkStart w:id="476" w:name="_Toc9863"/>
      <w:bookmarkStart w:id="477" w:name="bookmark1064"/>
      <w:bookmarkStart w:id="478" w:name="_Toc14710314"/>
      <w:bookmarkStart w:id="479" w:name="bookmark1066"/>
      <w:r>
        <w:t>6.1承包人提供的施工设备和临时设施</w:t>
      </w:r>
      <w:bookmarkEnd w:id="475"/>
      <w:bookmarkEnd w:id="476"/>
      <w:bookmarkEnd w:id="477"/>
      <w:bookmarkEnd w:id="478"/>
      <w:bookmarkEnd w:id="479"/>
    </w:p>
    <w:p w14:paraId="00315C05">
      <w:pPr>
        <w:pStyle w:val="11"/>
      </w:pPr>
      <w:r>
        <w:t>6.1.1承包人应按合同进度计划的要求，及时配置施工设备和修建临时设施。进入施工场地的承包人设备需经监理人核查后才能投入使用。承包人更换合同约定的承包人设备的，应报监理人批准。</w:t>
      </w:r>
    </w:p>
    <w:p w14:paraId="4C3A7083">
      <w:pPr>
        <w:pStyle w:val="11"/>
      </w:pPr>
      <w:r>
        <w:t>6.1.2除专用合同条款另有约定外，承包人应自行承担修建临时设施的费用，需要临时占地的，应由发包人办理申请手续并承担相应费用。</w:t>
      </w:r>
    </w:p>
    <w:p w14:paraId="735C26E7">
      <w:pPr>
        <w:pStyle w:val="2"/>
        <w:numPr>
          <w:ilvl w:val="0"/>
          <w:numId w:val="0"/>
        </w:numPr>
        <w:bidi w:val="0"/>
        <w:ind w:left="482" w:leftChars="0"/>
      </w:pPr>
      <w:bookmarkStart w:id="480" w:name="_Toc14710315"/>
      <w:bookmarkStart w:id="481" w:name="bookmark1067"/>
      <w:bookmarkStart w:id="482" w:name="bookmark1069"/>
      <w:bookmarkStart w:id="483" w:name="_Toc31030"/>
      <w:bookmarkStart w:id="484" w:name="bookmark1068"/>
      <w:r>
        <w:t>6.2发包人提供的施工设备和临时设施</w:t>
      </w:r>
      <w:bookmarkEnd w:id="480"/>
      <w:bookmarkEnd w:id="481"/>
      <w:bookmarkEnd w:id="482"/>
      <w:bookmarkEnd w:id="483"/>
      <w:bookmarkEnd w:id="484"/>
    </w:p>
    <w:p w14:paraId="2BA458A9">
      <w:pPr>
        <w:pStyle w:val="11"/>
      </w:pPr>
      <w:r>
        <w:t>发包人提供的施工设备或临时设施在专用合同条款中约定。</w:t>
      </w:r>
    </w:p>
    <w:p w14:paraId="6EFA9811">
      <w:pPr>
        <w:pStyle w:val="2"/>
        <w:numPr>
          <w:ilvl w:val="0"/>
          <w:numId w:val="0"/>
        </w:numPr>
        <w:bidi w:val="0"/>
        <w:ind w:left="482" w:leftChars="0"/>
      </w:pPr>
      <w:bookmarkStart w:id="485" w:name="bookmark1071"/>
      <w:bookmarkStart w:id="486" w:name="bookmark1072"/>
      <w:bookmarkStart w:id="487" w:name="_Toc14710316"/>
      <w:bookmarkStart w:id="488" w:name="bookmark1070"/>
      <w:bookmarkStart w:id="489" w:name="_Toc30722"/>
      <w:r>
        <w:t>6.3要求承包人增加或更换施工设备</w:t>
      </w:r>
      <w:bookmarkEnd w:id="485"/>
      <w:bookmarkEnd w:id="486"/>
      <w:bookmarkEnd w:id="487"/>
      <w:bookmarkEnd w:id="488"/>
      <w:bookmarkEnd w:id="489"/>
    </w:p>
    <w:p w14:paraId="569724C8">
      <w:pPr>
        <w:pStyle w:val="11"/>
      </w:pPr>
      <w:r>
        <w:t>承包人使用的施工设备不能满足合同进度计划和（或）质量要求时，监理人有权要求承包人增加或更换施工设备，承包人应及时增加或更换，由此增加的费用和（或）工期延误由承包人承担。</w:t>
      </w:r>
    </w:p>
    <w:p w14:paraId="17948E95">
      <w:pPr>
        <w:pStyle w:val="2"/>
        <w:numPr>
          <w:ilvl w:val="0"/>
          <w:numId w:val="0"/>
        </w:numPr>
        <w:bidi w:val="0"/>
        <w:ind w:left="482" w:leftChars="0"/>
      </w:pPr>
      <w:bookmarkStart w:id="490" w:name="bookmark1075"/>
      <w:bookmarkStart w:id="491" w:name="bookmark1073"/>
      <w:bookmarkStart w:id="492" w:name="bookmark1074"/>
      <w:bookmarkStart w:id="493" w:name="_Toc21826"/>
      <w:bookmarkStart w:id="494" w:name="_Toc14710317"/>
      <w:r>
        <w:t>6.4施工设备和临时设施专用于合同工程</w:t>
      </w:r>
      <w:bookmarkEnd w:id="490"/>
      <w:bookmarkEnd w:id="491"/>
      <w:bookmarkEnd w:id="492"/>
      <w:bookmarkEnd w:id="493"/>
      <w:bookmarkEnd w:id="494"/>
    </w:p>
    <w:p w14:paraId="49FCDECA">
      <w:pPr>
        <w:pStyle w:val="11"/>
      </w:pPr>
      <w:bookmarkStart w:id="495" w:name="bookmark1076"/>
      <w:bookmarkEnd w:id="495"/>
      <w:r>
        <w:t>6.4.1除合同另有约定外，运入施工场地的所有施工设备以及在施工场地建设的临时设施应专用于合同工程。未经监理人同意，不得将上述施工设备和临时设施中的任何部分运出施工场地或挪作他用。</w:t>
      </w:r>
    </w:p>
    <w:p w14:paraId="4AF88BC5">
      <w:pPr>
        <w:pStyle w:val="11"/>
      </w:pPr>
      <w:bookmarkStart w:id="496" w:name="bookmark1077"/>
      <w:bookmarkEnd w:id="496"/>
      <w:r>
        <w:t>6.4.2经监理人同意，承包人可根据合同进度计划撤走闲置的施工设备。</w:t>
      </w:r>
    </w:p>
    <w:p w14:paraId="58FEF656">
      <w:pPr>
        <w:pStyle w:val="2"/>
        <w:numPr>
          <w:ilvl w:val="0"/>
          <w:numId w:val="0"/>
        </w:numPr>
        <w:bidi w:val="0"/>
        <w:ind w:left="482" w:leftChars="0"/>
      </w:pPr>
      <w:bookmarkStart w:id="497" w:name="bookmark1080"/>
      <w:bookmarkEnd w:id="497"/>
      <w:bookmarkStart w:id="498" w:name="bookmark1079"/>
      <w:bookmarkStart w:id="499" w:name="bookmark1081"/>
      <w:bookmarkStart w:id="500" w:name="bookmark1078"/>
      <w:bookmarkStart w:id="501" w:name="_Toc14710318"/>
      <w:bookmarkStart w:id="502" w:name="_Toc13833"/>
      <w:r>
        <w:t>7.交通运输</w:t>
      </w:r>
      <w:bookmarkEnd w:id="498"/>
      <w:bookmarkEnd w:id="499"/>
      <w:bookmarkEnd w:id="500"/>
      <w:bookmarkEnd w:id="501"/>
      <w:bookmarkEnd w:id="502"/>
    </w:p>
    <w:p w14:paraId="1B588F8D">
      <w:pPr>
        <w:pStyle w:val="2"/>
        <w:numPr>
          <w:ilvl w:val="0"/>
          <w:numId w:val="0"/>
        </w:numPr>
        <w:bidi w:val="0"/>
        <w:ind w:left="482" w:leftChars="0"/>
      </w:pPr>
      <w:bookmarkStart w:id="503" w:name="bookmark1083"/>
      <w:bookmarkStart w:id="504" w:name="bookmark1082"/>
      <w:bookmarkStart w:id="505" w:name="_Toc22987"/>
      <w:bookmarkStart w:id="506" w:name="bookmark1084"/>
      <w:bookmarkStart w:id="507" w:name="_Toc14710319"/>
      <w:r>
        <w:t>7.1道路通行权和场外设施</w:t>
      </w:r>
      <w:bookmarkEnd w:id="503"/>
      <w:bookmarkEnd w:id="504"/>
      <w:bookmarkEnd w:id="505"/>
      <w:bookmarkEnd w:id="506"/>
      <w:bookmarkEnd w:id="507"/>
    </w:p>
    <w:p w14:paraId="3721D1B4">
      <w:pPr>
        <w:pStyle w:val="11"/>
      </w:pPr>
      <w:r>
        <w:t>除专用合同条款另有约定外，承包人应根据合同工程的施工需要，负责办理取得出入施工场地的专用和临时道路的通行权，以及取得为工程建设所需修建场外设施的权利，并承担相关费用。发包人应协助承包人办理上述手续。</w:t>
      </w:r>
    </w:p>
    <w:p w14:paraId="5C199EE0">
      <w:pPr>
        <w:pStyle w:val="2"/>
        <w:numPr>
          <w:ilvl w:val="0"/>
          <w:numId w:val="0"/>
        </w:numPr>
        <w:bidi w:val="0"/>
        <w:ind w:left="482" w:leftChars="0"/>
      </w:pPr>
      <w:bookmarkStart w:id="508" w:name="bookmark1086"/>
      <w:bookmarkStart w:id="509" w:name="_Toc14710320"/>
      <w:bookmarkStart w:id="510" w:name="bookmark1087"/>
      <w:bookmarkStart w:id="511" w:name="_Toc19760"/>
      <w:bookmarkStart w:id="512" w:name="bookmark1085"/>
      <w:r>
        <w:t>7.2场内施工道路</w:t>
      </w:r>
      <w:bookmarkEnd w:id="508"/>
      <w:bookmarkEnd w:id="509"/>
      <w:bookmarkEnd w:id="510"/>
      <w:bookmarkEnd w:id="511"/>
      <w:bookmarkEnd w:id="512"/>
    </w:p>
    <w:p w14:paraId="1F9AAC09">
      <w:pPr>
        <w:pStyle w:val="11"/>
      </w:pPr>
      <w:r>
        <w:t>7.2.1除本合同约定由发包人提供的部分道路和交通设施外，承包人应负责修建、维 修、养护和管理其施工所需的全部临时道路和交通设施（包括合同约定由发包人提供的部 分道路和交通设施维修、养护和管理），并承担相应费用。</w:t>
      </w:r>
    </w:p>
    <w:p w14:paraId="4C2243EA">
      <w:pPr>
        <w:pStyle w:val="11"/>
      </w:pPr>
      <w:r>
        <w:t>7.2.2承包人修建的临时道路和交通设施，应免费提供发包人、监理人，以及与本合 同有关的其他承包人使用。</w:t>
      </w:r>
    </w:p>
    <w:p w14:paraId="1D46B69A">
      <w:pPr>
        <w:pStyle w:val="2"/>
        <w:numPr>
          <w:ilvl w:val="0"/>
          <w:numId w:val="0"/>
        </w:numPr>
        <w:bidi w:val="0"/>
        <w:ind w:left="482" w:leftChars="0"/>
      </w:pPr>
      <w:bookmarkStart w:id="513" w:name="bookmark1089"/>
      <w:bookmarkStart w:id="514" w:name="bookmark1090"/>
      <w:bookmarkStart w:id="515" w:name="_Toc14710321"/>
      <w:bookmarkStart w:id="516" w:name="_Toc1077"/>
      <w:bookmarkStart w:id="517" w:name="bookmark1088"/>
      <w:r>
        <w:t>7.3场外交通</w:t>
      </w:r>
      <w:bookmarkEnd w:id="513"/>
      <w:bookmarkEnd w:id="514"/>
      <w:bookmarkEnd w:id="515"/>
      <w:bookmarkEnd w:id="516"/>
      <w:bookmarkEnd w:id="517"/>
    </w:p>
    <w:p w14:paraId="46A9AAF3">
      <w:pPr>
        <w:pStyle w:val="11"/>
      </w:pPr>
      <w:r>
        <w:t>7.3.1承包人车辆外出行驶所需的场外公共道路的通行费、养路费和税款等由承包人承担。</w:t>
      </w:r>
    </w:p>
    <w:p w14:paraId="2F383358">
      <w:pPr>
        <w:pStyle w:val="11"/>
      </w:pPr>
      <w:r>
        <w:t>7.3.2承包人应遵守有关交通法规，严格按照道路和桥梁的限制荷重安全行驶，并服从交通管理部门的检查和监督。</w:t>
      </w:r>
    </w:p>
    <w:p w14:paraId="29A99252">
      <w:pPr>
        <w:pStyle w:val="2"/>
        <w:numPr>
          <w:ilvl w:val="0"/>
          <w:numId w:val="0"/>
        </w:numPr>
        <w:bidi w:val="0"/>
        <w:ind w:left="482" w:leftChars="0"/>
      </w:pPr>
      <w:bookmarkStart w:id="518" w:name="bookmark1093"/>
      <w:bookmarkStart w:id="519" w:name="_Toc14710322"/>
      <w:bookmarkStart w:id="520" w:name="bookmark1091"/>
      <w:bookmarkStart w:id="521" w:name="bookmark1092"/>
      <w:bookmarkStart w:id="522" w:name="_Toc25595"/>
      <w:r>
        <w:t>7.4超大件和超重件的运输</w:t>
      </w:r>
      <w:bookmarkEnd w:id="518"/>
      <w:bookmarkEnd w:id="519"/>
      <w:bookmarkEnd w:id="520"/>
      <w:bookmarkEnd w:id="521"/>
      <w:bookmarkEnd w:id="522"/>
    </w:p>
    <w:p w14:paraId="234A1C68">
      <w:pPr>
        <w:pStyle w:val="11"/>
      </w:pPr>
      <w:r>
        <w:t>由承包人负责运输的超大件或超重件，应由承包人负责向交通管理部门办理申请手续, 发包人给予协助。运输超大件或超重件所需的道路和桥梁临时加固改造费用和其他有关费用，由承包人承担，但专用合同条款另有约定除外。</w:t>
      </w:r>
    </w:p>
    <w:p w14:paraId="077A1C6E">
      <w:pPr>
        <w:pStyle w:val="2"/>
        <w:numPr>
          <w:ilvl w:val="0"/>
          <w:numId w:val="0"/>
        </w:numPr>
        <w:bidi w:val="0"/>
        <w:ind w:left="482" w:leftChars="0"/>
      </w:pPr>
      <w:bookmarkStart w:id="523" w:name="_Toc19673"/>
      <w:bookmarkStart w:id="524" w:name="bookmark1095"/>
      <w:bookmarkStart w:id="525" w:name="bookmark1096"/>
      <w:bookmarkStart w:id="526" w:name="_Toc14710323"/>
      <w:bookmarkStart w:id="527" w:name="bookmark1094"/>
      <w:r>
        <w:t>7.5道路和桥梁的损坏责任</w:t>
      </w:r>
      <w:bookmarkEnd w:id="523"/>
      <w:bookmarkEnd w:id="524"/>
      <w:bookmarkEnd w:id="525"/>
      <w:bookmarkEnd w:id="526"/>
      <w:bookmarkEnd w:id="527"/>
    </w:p>
    <w:p w14:paraId="0437666B">
      <w:pPr>
        <w:pStyle w:val="11"/>
      </w:pPr>
      <w:r>
        <w:t>因承包人运输造成施工场地内外公共道路和桥梁损坏的，由承包人承担修复损坏的全部费用和可能引起的赔偿。</w:t>
      </w:r>
    </w:p>
    <w:p w14:paraId="3244E984">
      <w:pPr>
        <w:pStyle w:val="2"/>
        <w:numPr>
          <w:ilvl w:val="0"/>
          <w:numId w:val="0"/>
        </w:numPr>
        <w:bidi w:val="0"/>
        <w:ind w:left="482" w:leftChars="0"/>
      </w:pPr>
      <w:bookmarkStart w:id="528" w:name="bookmark1098"/>
      <w:bookmarkStart w:id="529" w:name="bookmark1099"/>
      <w:bookmarkStart w:id="530" w:name="_Toc30116"/>
      <w:bookmarkStart w:id="531" w:name="_Toc14710324"/>
      <w:bookmarkStart w:id="532" w:name="bookmark1097"/>
      <w:r>
        <w:t>7.6水路和航空运输</w:t>
      </w:r>
      <w:bookmarkEnd w:id="528"/>
      <w:bookmarkEnd w:id="529"/>
      <w:bookmarkEnd w:id="530"/>
      <w:bookmarkEnd w:id="531"/>
      <w:bookmarkEnd w:id="532"/>
    </w:p>
    <w:p w14:paraId="14D43EB7">
      <w:pPr>
        <w:pStyle w:val="11"/>
      </w:pPr>
      <w:r>
        <w:t>本条上述各款的内容适用于水路运输和航空运输，其中“道路” 一词的涵义包括河道、 航线、船闸、机场、码头、堤防以及水路或航空运输中其他相似结构物；“车辆” 一词的涵义包括船舶和飞机等。</w:t>
      </w:r>
    </w:p>
    <w:p w14:paraId="61B8C815">
      <w:pPr>
        <w:pStyle w:val="2"/>
        <w:numPr>
          <w:ilvl w:val="0"/>
          <w:numId w:val="0"/>
        </w:numPr>
        <w:bidi w:val="0"/>
        <w:ind w:left="482" w:leftChars="0"/>
      </w:pPr>
      <w:bookmarkStart w:id="533" w:name="bookmark1102"/>
      <w:bookmarkEnd w:id="533"/>
      <w:bookmarkStart w:id="534" w:name="_Toc7491"/>
      <w:bookmarkStart w:id="535" w:name="bookmark1101"/>
      <w:bookmarkStart w:id="536" w:name="bookmark1103"/>
      <w:bookmarkStart w:id="537" w:name="bookmark1100"/>
      <w:bookmarkStart w:id="538" w:name="_Toc14710325"/>
      <w:r>
        <w:t>8.测量放线</w:t>
      </w:r>
      <w:bookmarkEnd w:id="534"/>
      <w:bookmarkEnd w:id="535"/>
      <w:bookmarkEnd w:id="536"/>
      <w:bookmarkEnd w:id="537"/>
      <w:bookmarkEnd w:id="538"/>
    </w:p>
    <w:p w14:paraId="0091E85F">
      <w:pPr>
        <w:pStyle w:val="2"/>
        <w:numPr>
          <w:ilvl w:val="0"/>
          <w:numId w:val="0"/>
        </w:numPr>
        <w:bidi w:val="0"/>
        <w:ind w:left="482" w:leftChars="0"/>
      </w:pPr>
      <w:bookmarkStart w:id="539" w:name="bookmark1104"/>
      <w:bookmarkStart w:id="540" w:name="_Toc7125"/>
      <w:bookmarkStart w:id="541" w:name="_Toc14710326"/>
      <w:bookmarkStart w:id="542" w:name="bookmark1105"/>
      <w:bookmarkStart w:id="543" w:name="bookmark1106"/>
      <w:r>
        <w:t>8.1施工控制网</w:t>
      </w:r>
      <w:bookmarkEnd w:id="539"/>
      <w:bookmarkEnd w:id="540"/>
      <w:bookmarkEnd w:id="541"/>
      <w:bookmarkEnd w:id="542"/>
      <w:bookmarkEnd w:id="543"/>
    </w:p>
    <w:p w14:paraId="67AE68D0">
      <w:pPr>
        <w:pStyle w:val="11"/>
      </w:pPr>
      <w:r>
        <w:t>8.1.1除专用条款另有约定外，施工控制网由承包人负责测设，发包人应在本合同协议书签订后的14天内，向承包人提供测量基准点、基准线和水准点及其相关资料。承包人应在收到上述资料后的28天内，将施测的施工控制网资料提交监理人审批。监理人应在收到报批件后的14天内批复承包人。</w:t>
      </w:r>
    </w:p>
    <w:p w14:paraId="5A564101">
      <w:pPr>
        <w:pStyle w:val="11"/>
      </w:pPr>
      <w:r>
        <w:t>8.1.2承包人应负责管理施工控制网点。施工控制网点丢失或损坏的，承包人应及时修复。承包人应承担施工控制网点的管理与修复费用，并在工程竣工后将施工控制网点移交发包人。</w:t>
      </w:r>
    </w:p>
    <w:p w14:paraId="39FF6458">
      <w:pPr>
        <w:pStyle w:val="2"/>
        <w:numPr>
          <w:ilvl w:val="0"/>
          <w:numId w:val="0"/>
        </w:numPr>
        <w:bidi w:val="0"/>
        <w:ind w:left="482" w:leftChars="0"/>
      </w:pPr>
      <w:bookmarkStart w:id="544" w:name="bookmark1108"/>
      <w:bookmarkStart w:id="545" w:name="bookmark1109"/>
      <w:bookmarkStart w:id="546" w:name="bookmark1107"/>
      <w:bookmarkStart w:id="547" w:name="_Toc28033"/>
      <w:bookmarkStart w:id="548" w:name="_Toc14710327"/>
      <w:r>
        <w:t>8.2施工测量</w:t>
      </w:r>
      <w:bookmarkEnd w:id="544"/>
      <w:bookmarkEnd w:id="545"/>
      <w:bookmarkEnd w:id="546"/>
      <w:bookmarkEnd w:id="547"/>
      <w:bookmarkEnd w:id="548"/>
    </w:p>
    <w:p w14:paraId="57F97606">
      <w:pPr>
        <w:pStyle w:val="11"/>
      </w:pPr>
      <w:r>
        <w:t>8.2.1承包人应负责施工过程中的全部施工测量放线工作，并配置合格的人员、仪 器、设备和其他物品。</w:t>
      </w:r>
    </w:p>
    <w:p w14:paraId="51041E5C">
      <w:pPr>
        <w:pStyle w:val="11"/>
      </w:pPr>
      <w:r>
        <w:t>8.2.2监理人可以指示承包人进行抽样复测，当复测中发现错误或出现超过合同约定的误差时，承包人应按监理人指示进行修正或补测，并承担相应的复测费用。</w:t>
      </w:r>
    </w:p>
    <w:p w14:paraId="049FE73E">
      <w:pPr>
        <w:pStyle w:val="2"/>
        <w:numPr>
          <w:ilvl w:val="0"/>
          <w:numId w:val="0"/>
        </w:numPr>
        <w:bidi w:val="0"/>
        <w:ind w:left="482" w:leftChars="0"/>
      </w:pPr>
      <w:bookmarkStart w:id="549" w:name="bookmark1110"/>
      <w:bookmarkStart w:id="550" w:name="_Toc14710328"/>
      <w:bookmarkStart w:id="551" w:name="bookmark1111"/>
      <w:bookmarkStart w:id="552" w:name="_Toc18249"/>
      <w:bookmarkStart w:id="553" w:name="bookmark1112"/>
      <w:r>
        <w:t>8.3基准资料错误的责任</w:t>
      </w:r>
      <w:bookmarkEnd w:id="549"/>
      <w:bookmarkEnd w:id="550"/>
      <w:bookmarkEnd w:id="551"/>
      <w:bookmarkEnd w:id="552"/>
      <w:bookmarkEnd w:id="553"/>
    </w:p>
    <w:p w14:paraId="01BE2AC9">
      <w:pPr>
        <w:pStyle w:val="11"/>
      </w:pPr>
      <w:r>
        <w:t>发包人应对其提供的测量基准点、基准线和水准点及其书面资料的真实性、准确性和完整性负责。发包人提供上述基准资料错误导致承包人测量放线工作的返工或造成工程损失的，发包人应当承担由此增加的费用和（或）工期延误，并向承包人支付合理利润。承包人发现发包人提供的上述基准资料存在明显错误或疏忽的，应及时通知监理人。</w:t>
      </w:r>
    </w:p>
    <w:p w14:paraId="790D437B">
      <w:pPr>
        <w:pStyle w:val="2"/>
        <w:numPr>
          <w:ilvl w:val="0"/>
          <w:numId w:val="0"/>
        </w:numPr>
        <w:bidi w:val="0"/>
        <w:ind w:left="482" w:leftChars="0"/>
      </w:pPr>
      <w:bookmarkStart w:id="554" w:name="bookmark1115"/>
      <w:bookmarkStart w:id="555" w:name="_Toc14710329"/>
      <w:bookmarkStart w:id="556" w:name="bookmark1114"/>
      <w:bookmarkStart w:id="557" w:name="_Toc26810"/>
      <w:bookmarkStart w:id="558" w:name="bookmark1113"/>
      <w:r>
        <w:t>8.4监理人使用施工控制网</w:t>
      </w:r>
      <w:bookmarkEnd w:id="554"/>
      <w:bookmarkEnd w:id="555"/>
      <w:bookmarkEnd w:id="556"/>
      <w:bookmarkEnd w:id="557"/>
      <w:bookmarkEnd w:id="558"/>
    </w:p>
    <w:p w14:paraId="43F1C44E">
      <w:pPr>
        <w:pStyle w:val="11"/>
      </w:pPr>
      <w:r>
        <w:t>监理人需要使用施工控制网的，承包人应提供必要的协助，发包人不再为此支付费用。</w:t>
      </w:r>
    </w:p>
    <w:p w14:paraId="2773CA17">
      <w:pPr>
        <w:pStyle w:val="2"/>
        <w:numPr>
          <w:ilvl w:val="0"/>
          <w:numId w:val="0"/>
        </w:numPr>
        <w:bidi w:val="0"/>
        <w:ind w:left="482" w:leftChars="0"/>
      </w:pPr>
      <w:bookmarkStart w:id="559" w:name="bookmark1117"/>
      <w:bookmarkStart w:id="560" w:name="bookmark1118"/>
      <w:bookmarkStart w:id="561" w:name="_Toc26237"/>
      <w:bookmarkStart w:id="562" w:name="_Toc14710330"/>
      <w:bookmarkStart w:id="563" w:name="bookmark1116"/>
      <w:r>
        <w:t>8.5补充地质勘探</w:t>
      </w:r>
      <w:bookmarkEnd w:id="559"/>
      <w:bookmarkEnd w:id="560"/>
      <w:bookmarkEnd w:id="561"/>
      <w:bookmarkEnd w:id="562"/>
      <w:bookmarkEnd w:id="563"/>
    </w:p>
    <w:p w14:paraId="2D2D4387">
      <w:pPr>
        <w:pStyle w:val="11"/>
      </w:pPr>
      <w:r>
        <w:t>在合同实施期间，监理人可以指示承包人进行必要的补充地质勘探和提供有关资料; 承包人为本合同永久工程施工的需要进行补充地质勘探时，须经监理人批准，并应向监理人提交有关资料，上述补充勘探的费用由发包人承担。承包人为其临时工程所需进行的补 充地质勘探，其费用由承包人承担。</w:t>
      </w:r>
    </w:p>
    <w:p w14:paraId="04218E32">
      <w:pPr>
        <w:pStyle w:val="2"/>
        <w:numPr>
          <w:ilvl w:val="0"/>
          <w:numId w:val="0"/>
        </w:numPr>
        <w:bidi w:val="0"/>
        <w:ind w:left="482" w:leftChars="0"/>
      </w:pPr>
      <w:bookmarkStart w:id="564" w:name="bookmark1121"/>
      <w:bookmarkEnd w:id="564"/>
      <w:bookmarkStart w:id="565" w:name="bookmark1122"/>
      <w:bookmarkStart w:id="566" w:name="bookmark1120"/>
      <w:bookmarkStart w:id="567" w:name="bookmark1119"/>
      <w:bookmarkStart w:id="568" w:name="_Toc15267"/>
      <w:bookmarkStart w:id="569" w:name="_Toc14710331"/>
      <w:r>
        <w:t>9.施工安全、治安保卫和环境保护</w:t>
      </w:r>
      <w:bookmarkEnd w:id="565"/>
      <w:bookmarkEnd w:id="566"/>
      <w:bookmarkEnd w:id="567"/>
      <w:bookmarkEnd w:id="568"/>
      <w:bookmarkEnd w:id="569"/>
    </w:p>
    <w:p w14:paraId="07B039DE">
      <w:pPr>
        <w:pStyle w:val="2"/>
        <w:numPr>
          <w:ilvl w:val="0"/>
          <w:numId w:val="0"/>
        </w:numPr>
        <w:bidi w:val="0"/>
        <w:ind w:left="482" w:leftChars="0"/>
      </w:pPr>
      <w:bookmarkStart w:id="570" w:name="bookmark1123"/>
      <w:bookmarkStart w:id="571" w:name="bookmark1124"/>
      <w:bookmarkStart w:id="572" w:name="bookmark1125"/>
      <w:bookmarkStart w:id="573" w:name="_Toc13008"/>
      <w:bookmarkStart w:id="574" w:name="_Toc14710332"/>
      <w:r>
        <w:t>9.1发包人的施工安全责任</w:t>
      </w:r>
      <w:bookmarkEnd w:id="570"/>
      <w:bookmarkEnd w:id="571"/>
      <w:bookmarkEnd w:id="572"/>
      <w:bookmarkEnd w:id="573"/>
      <w:bookmarkEnd w:id="574"/>
    </w:p>
    <w:p w14:paraId="489FACAC">
      <w:pPr>
        <w:pStyle w:val="11"/>
      </w:pPr>
      <w:r>
        <w:t>9.1.1发包人应按合同约定履行安全职责，发包人委托监理人根据国家有关安全的法律、法规、强制性标准以及部门规章，对承包人的安全责任履行情况进行监督和检查。监理人的监督检查不减轻承包人应负的安全责任。</w:t>
      </w:r>
    </w:p>
    <w:p w14:paraId="14590D7A">
      <w:pPr>
        <w:pStyle w:val="11"/>
      </w:pPr>
      <w:r>
        <w:t>9.1.2发包人应对其现场机构雇佣的全部人员的工伤事故承担责任，但由于承包人原因造成发包人人员工伤的，应由承包人承担责任。</w:t>
      </w:r>
    </w:p>
    <w:p w14:paraId="0EDA6923">
      <w:pPr>
        <w:pStyle w:val="11"/>
      </w:pPr>
      <w:r>
        <w:t>9. 1. 3发包人应负责赔偿以下各种情况造成的第三者人身伤亡和财产损失：</w:t>
      </w:r>
    </w:p>
    <w:p w14:paraId="4C5E48ED">
      <w:pPr>
        <w:pStyle w:val="11"/>
      </w:pPr>
      <w:bookmarkStart w:id="575" w:name="bookmark1126"/>
      <w:bookmarkEnd w:id="575"/>
      <w:r>
        <w:rPr>
          <w:b w:val="0"/>
          <w:i w:val="0"/>
          <w:strike w:val="0"/>
          <w:color w:val="000000"/>
          <w:u w:val="none"/>
        </w:rPr>
        <w:t>(1)</w:t>
      </w:r>
      <w:r>
        <w:t>工程或工程的任何部分对土地的占用所造成的第三者财产损失；</w:t>
      </w:r>
    </w:p>
    <w:p w14:paraId="667C18FC">
      <w:pPr>
        <w:pStyle w:val="11"/>
      </w:pPr>
      <w:bookmarkStart w:id="576" w:name="bookmark1127"/>
      <w:bookmarkEnd w:id="576"/>
      <w:r>
        <w:rPr>
          <w:b w:val="0"/>
          <w:i w:val="0"/>
          <w:strike w:val="0"/>
          <w:color w:val="000000"/>
          <w:u w:val="none"/>
        </w:rPr>
        <w:t>(2)</w:t>
      </w:r>
      <w:r>
        <w:t>由于发包人原因在施工场地及其毗邻地带造成的第三者人身伤亡和财产损失。</w:t>
      </w:r>
    </w:p>
    <w:p w14:paraId="09CE112A">
      <w:pPr>
        <w:pStyle w:val="11"/>
      </w:pPr>
      <w:r>
        <w:t>9.1.4除专用合同条款另有约定外，发包人负责向承包人提供施工现场及施工可能影响的毗邻区域内供水、排水、供电、供气、供热、通信、广播电视等地下管线资料，气象 和水文观测资料，拟建工程可能影响的相邻建筑物地下工程的有关资料，并保证有关资料的真实、准确、完整，满足有关技术规程的要求。</w:t>
      </w:r>
    </w:p>
    <w:p w14:paraId="6D0AFCFC">
      <w:pPr>
        <w:pStyle w:val="11"/>
      </w:pPr>
      <w:r>
        <w:t>9.1.5发包人按照已标价工程量清单所列金额和合同约定的计量支付规定，支付安全作业环境及安全施工措施所需费用。</w:t>
      </w:r>
    </w:p>
    <w:p w14:paraId="1D8BCCA8">
      <w:pPr>
        <w:pStyle w:val="11"/>
      </w:pPr>
      <w:r>
        <w:t>9.1.6发包人负责组织工程参建单位编制保证安全生产的措施方案。工程开工前，就 落实安全生产的措施进行全面系统的布置，进一步明确承包人的安全生产责任。</w:t>
      </w:r>
    </w:p>
    <w:p w14:paraId="69D9DD72">
      <w:pPr>
        <w:pStyle w:val="11"/>
      </w:pPr>
      <w:r>
        <w:t>9. 1. 7发包人负责在拆除工程和爆破工程施工14天前向有关部门或机构报送相关备案资料。</w:t>
      </w:r>
    </w:p>
    <w:p w14:paraId="268FBB94">
      <w:pPr>
        <w:pStyle w:val="2"/>
        <w:numPr>
          <w:ilvl w:val="0"/>
          <w:numId w:val="0"/>
        </w:numPr>
        <w:bidi w:val="0"/>
        <w:ind w:left="482" w:leftChars="0"/>
      </w:pPr>
      <w:bookmarkStart w:id="577" w:name="bookmark1129"/>
      <w:bookmarkStart w:id="578" w:name="bookmark1130"/>
      <w:bookmarkStart w:id="579" w:name="bookmark1128"/>
      <w:bookmarkStart w:id="580" w:name="_Toc920"/>
      <w:bookmarkStart w:id="581" w:name="_Toc14710333"/>
      <w:r>
        <w:t>9.2承包人的施工安全责任</w:t>
      </w:r>
      <w:bookmarkEnd w:id="577"/>
      <w:bookmarkEnd w:id="578"/>
      <w:bookmarkEnd w:id="579"/>
      <w:bookmarkEnd w:id="580"/>
      <w:bookmarkEnd w:id="581"/>
    </w:p>
    <w:p w14:paraId="5BD863C8">
      <w:pPr>
        <w:pStyle w:val="11"/>
      </w:pPr>
      <w:r>
        <w:t>9. 2.1承包人应按合同约定履行安全职责，执行监理人有关安全工作的指示。承包人应按技术标准和要求(合同技术条款)约定的内容和期限，以及监理人的指示，编制施工安全技术措施提交监理人审批。监理人应技术标准和要求(合同技术条款)约定的期限内 批复承包人。</w:t>
      </w:r>
    </w:p>
    <w:p w14:paraId="59CAF1A3">
      <w:pPr>
        <w:pStyle w:val="11"/>
      </w:pPr>
      <w:r>
        <w:t>9. 2.2承包人应加强施工作业安全管理，特别应加强易燃、易爆材料、火工器材、有毒与腐蚀性材料和其他危险品的管理，以及对爆破作业和地下工程施工等危险作业的管理。</w:t>
      </w:r>
    </w:p>
    <w:p w14:paraId="5F976FD5">
      <w:pPr>
        <w:pStyle w:val="11"/>
      </w:pPr>
      <w:r>
        <w:t>9.2.3承包人应严格按照国家安全标准制定施工安全操作规程，配备必要的安全生产 和劳动保护设施，加强对承包人人员的安全教育，并发放安全工作手册和劳动保护用具。</w:t>
      </w:r>
    </w:p>
    <w:p w14:paraId="48E3443E">
      <w:pPr>
        <w:pStyle w:val="11"/>
      </w:pPr>
      <w:r>
        <w:t>9.2.4承包人应按监理人的指示制定应对灾害的紧急预案，报送监理人审批。承包人还应按预案做好安全检查，配置必要的救助物资和器材，切实保护好有关人员的人身和财产安全。</w:t>
      </w:r>
    </w:p>
    <w:p w14:paraId="66826C12">
      <w:pPr>
        <w:pStyle w:val="11"/>
      </w:pPr>
      <w:r>
        <w:t>9. 2.5合同约定的安全作业环境及安全施工措施所需费用应遵守有关规定，并包括在相关工作的合同价格中。因采取合同未约定的安全作业环境及安全施工措施增加的费用，由监理人按第3. 5款商定或确定。</w:t>
      </w:r>
    </w:p>
    <w:p w14:paraId="5814FD30">
      <w:pPr>
        <w:pStyle w:val="11"/>
      </w:pPr>
      <w:r>
        <w:t>9.2.6承包人应对其履行合同所雇佣的全部人员，包括分包人人员的工伤事故承担责任，但由于发包人原因造成承包人人员工伤事故的，应由发包人承担责任。</w:t>
      </w:r>
    </w:p>
    <w:p w14:paraId="08DFCE30">
      <w:pPr>
        <w:pStyle w:val="11"/>
      </w:pPr>
      <w:r>
        <w:t>9.2.7由于承包人原因在施工场地内及其毗邻地带造成的第三者人员伤亡和财产损失，由承包人负责赔偿。</w:t>
      </w:r>
    </w:p>
    <w:p w14:paraId="72E1F0ED">
      <w:pPr>
        <w:pStyle w:val="11"/>
      </w:pPr>
      <w:r>
        <w:t>9.2.8承包人已标价工程量清单应包含工程安全作业环境及安全施工措施所需费用。</w:t>
      </w:r>
    </w:p>
    <w:p w14:paraId="2FC86174">
      <w:pPr>
        <w:pStyle w:val="11"/>
      </w:pPr>
      <w:r>
        <w:t>9.2.9承包人应建立健全安全生产责任制度和安全生产教育培训制度，制定安全生产 规章制度和操作规程，保证本单位建立和完善安全生产条件所需资金的投入，对本工程进行定期和专项安全检查，并做好安全检查记录。</w:t>
      </w:r>
    </w:p>
    <w:p w14:paraId="4A1A2261">
      <w:pPr>
        <w:pStyle w:val="11"/>
      </w:pPr>
      <w:r>
        <w:t>9.2.10承包人应设立安全生产管理机构，施工现场应有专职安全生产管理人员。</w:t>
      </w:r>
    </w:p>
    <w:p w14:paraId="384F6472">
      <w:pPr>
        <w:pStyle w:val="11"/>
      </w:pPr>
      <w:r>
        <w:t>9.2.11承包人应负责对特种作业人员进行专门的安全作业培训，并保证特种作业人员持证上岗。</w:t>
      </w:r>
    </w:p>
    <w:p w14:paraId="7A3AB818">
      <w:pPr>
        <w:pStyle w:val="11"/>
      </w:pPr>
      <w:r>
        <w:t>9.2.12承包人应在施工组织设计中编制安全技术措施和施工现场临时用电方案。对专用合同条款约定的工程，应编制专项施工方案报监理人批准。对专用合同条款约定的专项施工方案，还应组织专家进行论证、审查，其中专家1/2人员应经发包人同意。</w:t>
      </w:r>
    </w:p>
    <w:p w14:paraId="6DD38FCD">
      <w:pPr>
        <w:pStyle w:val="11"/>
      </w:pPr>
      <w:r>
        <w:t>9.2.13承包人在使用施工起重机构和整体提升脚手架、模板等自升式架设设施前, 应组织有关单位进行验收。</w:t>
      </w:r>
    </w:p>
    <w:p w14:paraId="0634049D">
      <w:pPr>
        <w:pStyle w:val="2"/>
        <w:numPr>
          <w:ilvl w:val="0"/>
          <w:numId w:val="0"/>
        </w:numPr>
        <w:bidi w:val="0"/>
        <w:ind w:left="482" w:leftChars="0"/>
      </w:pPr>
      <w:bookmarkStart w:id="582" w:name="_Toc24520"/>
      <w:bookmarkStart w:id="583" w:name="bookmark1132"/>
      <w:bookmarkStart w:id="584" w:name="bookmark1131"/>
      <w:bookmarkStart w:id="585" w:name="bookmark1133"/>
      <w:bookmarkStart w:id="586" w:name="_Toc14710334"/>
      <w:r>
        <w:t>9.3治安保卫</w:t>
      </w:r>
      <w:bookmarkEnd w:id="582"/>
      <w:bookmarkEnd w:id="583"/>
      <w:bookmarkEnd w:id="584"/>
      <w:bookmarkEnd w:id="585"/>
      <w:bookmarkEnd w:id="586"/>
    </w:p>
    <w:p w14:paraId="114F398B">
      <w:pPr>
        <w:pStyle w:val="11"/>
      </w:pPr>
      <w:r>
        <w:t>9.3.1除合同另有约定外，发包人应与当地公安部门协商，在现场建立治安管理机构或联防组织，统一管理施工场地的治安保卫事项，履行合同工程的治安保卫职责。</w:t>
      </w:r>
    </w:p>
    <w:p w14:paraId="233BFB79">
      <w:pPr>
        <w:pStyle w:val="11"/>
      </w:pPr>
      <w:r>
        <w:t>9.3.2发包人和承包人除应协助现场治安管理机构或联防组织维护施工场地的社会治安外，还应做好包括生活区在内的各自管辖区的治安保卫工作。</w:t>
      </w:r>
    </w:p>
    <w:p w14:paraId="6D4512FC">
      <w:pPr>
        <w:pStyle w:val="11"/>
      </w:pPr>
      <w:r>
        <w:t>9.3.3除合同另有约定外，发包人和承包人应在工程开工后，共同编制施工场地治安管理计划，并制定应对突发治安事件的紧急预案。在工程施工过程中，发生暴乱、爆炸等恐怖事件，以及群殴、械斗等群体性突发治安事件的，发包人和承包人应立即向当地政府报告。发包人和承包人应积极协助当地有关部门采取措施平息事态，防止事态扩大，尽量减少财产损失和避免人员伤亡。</w:t>
      </w:r>
    </w:p>
    <w:p w14:paraId="7598F40C">
      <w:pPr>
        <w:pStyle w:val="2"/>
        <w:numPr>
          <w:ilvl w:val="0"/>
          <w:numId w:val="0"/>
        </w:numPr>
        <w:bidi w:val="0"/>
        <w:ind w:left="482" w:leftChars="0"/>
      </w:pPr>
      <w:bookmarkStart w:id="587" w:name="bookmark1136"/>
      <w:bookmarkStart w:id="588" w:name="_Toc14710335"/>
      <w:bookmarkStart w:id="589" w:name="_Toc19282"/>
      <w:bookmarkStart w:id="590" w:name="bookmark1135"/>
      <w:bookmarkStart w:id="591" w:name="bookmark1134"/>
      <w:r>
        <w:t>9.4环境保护</w:t>
      </w:r>
      <w:bookmarkEnd w:id="587"/>
      <w:bookmarkEnd w:id="588"/>
      <w:bookmarkEnd w:id="589"/>
      <w:bookmarkEnd w:id="590"/>
      <w:bookmarkEnd w:id="591"/>
    </w:p>
    <w:p w14:paraId="00A735C8">
      <w:pPr>
        <w:pStyle w:val="11"/>
      </w:pPr>
      <w:r>
        <w:t>9.4.1承包人在施工过程中，应遵守有关环境保护的法律，履行合同约定的环境保护义务，并对违反法律和合同约定义务所造成的环境破坏、人身伤害和财产损失负责。</w:t>
      </w:r>
    </w:p>
    <w:p w14:paraId="78B81907">
      <w:pPr>
        <w:pStyle w:val="11"/>
      </w:pPr>
      <w:r>
        <w:t>9.4.2承包人应按合同约定的环保工作内容，编制施工环保措施计划，报送监理人审批。</w:t>
      </w:r>
    </w:p>
    <w:p w14:paraId="771FC6B8">
      <w:pPr>
        <w:pStyle w:val="11"/>
      </w:pPr>
      <w:r>
        <w:t>9.4.3承包人应按照批准的施工环保措施计划有序地堆放和处理施工废弃物，避免对环境造成破坏。因承包人任意堆放或弃置施工废弃物造成妨碍公共交通、影响城镇居民生活、降低河流行洪能力、危及居民安全、破坏周边环境，或者影响其他承包人施工等后果的，承包人应承担责任。</w:t>
      </w:r>
    </w:p>
    <w:p w14:paraId="4002C977">
      <w:pPr>
        <w:pStyle w:val="11"/>
      </w:pPr>
      <w:r>
        <w:t>9.4.4承包人应按合同约定采取有效措施，对施工开挖的边坡及时进行支护，维护排 水设施，并进行水土保护，避免因施工造成的地质灾害。</w:t>
      </w:r>
    </w:p>
    <w:p w14:paraId="09FE0879">
      <w:pPr>
        <w:pStyle w:val="11"/>
      </w:pPr>
      <w:r>
        <w:t>9.4.5承包人应按国家饮用水管理标准定期对饮用水源进行监测，防止施工活动污染</w:t>
      </w:r>
    </w:p>
    <w:p w14:paraId="5B2DD301">
      <w:pPr>
        <w:pStyle w:val="11"/>
      </w:pPr>
      <w:r>
        <w:t>饮用水源。</w:t>
      </w:r>
    </w:p>
    <w:p w14:paraId="52EEFE48">
      <w:pPr>
        <w:pStyle w:val="11"/>
      </w:pPr>
      <w:r>
        <w:t>9.4.6承包人应按合同约定，加强对噪声、粉尘、废气、废水和废油的控制，努力降低噪声，控制粉尘和废气浓度，做好废水和废油的治理和排放。</w:t>
      </w:r>
    </w:p>
    <w:p w14:paraId="20042010">
      <w:pPr>
        <w:pStyle w:val="2"/>
        <w:numPr>
          <w:ilvl w:val="0"/>
          <w:numId w:val="0"/>
        </w:numPr>
        <w:bidi w:val="0"/>
        <w:ind w:left="482" w:leftChars="0"/>
      </w:pPr>
      <w:bookmarkStart w:id="592" w:name="bookmark1138"/>
      <w:bookmarkStart w:id="593" w:name="_Toc14710336"/>
      <w:bookmarkStart w:id="594" w:name="bookmark1137"/>
      <w:bookmarkStart w:id="595" w:name="bookmark1139"/>
      <w:bookmarkStart w:id="596" w:name="_Toc1363"/>
      <w:r>
        <w:t>9.5事故处理</w:t>
      </w:r>
      <w:bookmarkEnd w:id="592"/>
      <w:bookmarkEnd w:id="593"/>
      <w:bookmarkEnd w:id="594"/>
      <w:bookmarkEnd w:id="595"/>
      <w:bookmarkEnd w:id="596"/>
    </w:p>
    <w:p w14:paraId="285A55A0">
      <w:pPr>
        <w:pStyle w:val="11"/>
      </w:pPr>
      <w:r>
        <w:t>9.5.1发包人负责组织参建单位制定本工程的质量与安全事故应急预案，建立质量与安全事故应急处置指挥部。</w:t>
      </w:r>
    </w:p>
    <w:p w14:paraId="5DE87CAB">
      <w:pPr>
        <w:pStyle w:val="11"/>
      </w:pPr>
      <w:r>
        <w:t>9.5.2承包人应对施工现场易发生重大事故的部位、环节的进行监控，配备救援器材、设备，并定期组织演练。</w:t>
      </w:r>
    </w:p>
    <w:p w14:paraId="29960009">
      <w:pPr>
        <w:pStyle w:val="11"/>
      </w:pPr>
      <w:r>
        <w:t>9.5.3工程开工前，承包人应根据本工程特点制定施工现场施工质量与安全事故应急预案，并报发包人备案。</w:t>
      </w:r>
    </w:p>
    <w:p w14:paraId="74DC2D7B">
      <w:pPr>
        <w:pStyle w:val="11"/>
      </w:pPr>
      <w:r>
        <w:t>9.5.4施工过程中发生事故时，发包人、承包人应立即启动应急预案。</w:t>
      </w:r>
    </w:p>
    <w:p w14:paraId="1B5C8079">
      <w:pPr>
        <w:pStyle w:val="11"/>
      </w:pPr>
      <w:r>
        <w:t>9.5.5事故调查处理由发包人按相关规定履行手续，承包人应配合。</w:t>
      </w:r>
    </w:p>
    <w:p w14:paraId="4C5D3D20">
      <w:pPr>
        <w:pStyle w:val="2"/>
        <w:numPr>
          <w:ilvl w:val="0"/>
          <w:numId w:val="0"/>
        </w:numPr>
        <w:bidi w:val="0"/>
        <w:ind w:left="482" w:leftChars="0"/>
      </w:pPr>
      <w:bookmarkStart w:id="597" w:name="_Toc14710337"/>
      <w:bookmarkStart w:id="598" w:name="bookmark1140"/>
      <w:bookmarkStart w:id="599" w:name="_Toc10912"/>
      <w:bookmarkStart w:id="600" w:name="bookmark1141"/>
      <w:bookmarkStart w:id="601" w:name="bookmark1142"/>
      <w:r>
        <w:t>9.6水土保持</w:t>
      </w:r>
      <w:bookmarkEnd w:id="597"/>
      <w:bookmarkEnd w:id="598"/>
      <w:bookmarkEnd w:id="599"/>
      <w:bookmarkEnd w:id="600"/>
      <w:bookmarkEnd w:id="601"/>
    </w:p>
    <w:p w14:paraId="05C40AC5">
      <w:pPr>
        <w:pStyle w:val="11"/>
      </w:pPr>
      <w:r>
        <w:t>9.6.1发包人应及时向承包人提供水土保持方案。</w:t>
      </w:r>
    </w:p>
    <w:p w14:paraId="22E4AA95">
      <w:pPr>
        <w:pStyle w:val="11"/>
      </w:pPr>
      <w:r>
        <w:t>9.6.2承包人在施工过程中，应遵守有关水土保持的法律法规和规章，履行合同约定的水土保持义务，并对其违反法律和合同约定义务所造成的水土流失灾害、人身伤害和财 产损失负责。</w:t>
      </w:r>
    </w:p>
    <w:p w14:paraId="3F93447E">
      <w:pPr>
        <w:pStyle w:val="11"/>
      </w:pPr>
      <w:r>
        <w:t>9.6.3承包人的水土保持措施计划，应满足技术标准和要求（合同技术条款）约定的要求。</w:t>
      </w:r>
    </w:p>
    <w:p w14:paraId="55E33454">
      <w:pPr>
        <w:pStyle w:val="2"/>
        <w:numPr>
          <w:ilvl w:val="0"/>
          <w:numId w:val="0"/>
        </w:numPr>
        <w:bidi w:val="0"/>
        <w:ind w:left="482" w:leftChars="0"/>
      </w:pPr>
      <w:bookmarkStart w:id="602" w:name="_Toc14710338"/>
      <w:bookmarkStart w:id="603" w:name="bookmark1144"/>
      <w:bookmarkStart w:id="604" w:name="_Toc9534"/>
      <w:bookmarkStart w:id="605" w:name="bookmark1143"/>
      <w:bookmarkStart w:id="606" w:name="bookmark1145"/>
      <w:r>
        <w:t>9.7文明工地</w:t>
      </w:r>
      <w:bookmarkEnd w:id="602"/>
      <w:bookmarkEnd w:id="603"/>
      <w:bookmarkEnd w:id="604"/>
      <w:bookmarkEnd w:id="605"/>
      <w:bookmarkEnd w:id="606"/>
    </w:p>
    <w:p w14:paraId="17AE9936">
      <w:pPr>
        <w:pStyle w:val="11"/>
      </w:pPr>
      <w:r>
        <w:t>9.7.1发包人应按专用合同条款的约定，负责建立创建文明建设工地的组织机构，制定创建文明建设工地的规划和办法。</w:t>
      </w:r>
    </w:p>
    <w:p w14:paraId="4604DF7E">
      <w:pPr>
        <w:pStyle w:val="11"/>
      </w:pPr>
      <w:r>
        <w:t>9.7.2承包人应按创建文明建设工地的规划和办法，履行职责，承担相应责任。所需费用应含在已标价工程量清单中。</w:t>
      </w:r>
    </w:p>
    <w:p w14:paraId="33F714C7">
      <w:pPr>
        <w:pStyle w:val="2"/>
        <w:numPr>
          <w:ilvl w:val="0"/>
          <w:numId w:val="0"/>
        </w:numPr>
        <w:bidi w:val="0"/>
        <w:ind w:left="482" w:leftChars="0"/>
      </w:pPr>
      <w:bookmarkStart w:id="607" w:name="_Toc14710339"/>
      <w:bookmarkStart w:id="608" w:name="bookmark1147"/>
      <w:bookmarkStart w:id="609" w:name="bookmark1146"/>
      <w:bookmarkStart w:id="610" w:name="_Toc2182"/>
      <w:bookmarkStart w:id="611" w:name="bookmark1148"/>
      <w:r>
        <w:t>9.8防汛度汛</w:t>
      </w:r>
      <w:bookmarkEnd w:id="607"/>
      <w:bookmarkEnd w:id="608"/>
      <w:bookmarkEnd w:id="609"/>
      <w:bookmarkEnd w:id="610"/>
      <w:bookmarkEnd w:id="611"/>
    </w:p>
    <w:p w14:paraId="76668615">
      <w:pPr>
        <w:pStyle w:val="11"/>
      </w:pPr>
      <w:r>
        <w:t>9.8.1发包人负责组织工程参建单位编制本工程的度汛方案和措施。</w:t>
      </w:r>
    </w:p>
    <w:p w14:paraId="74118158">
      <w:pPr>
        <w:pStyle w:val="11"/>
      </w:pPr>
      <w:r>
        <w:t>9.8.2承包人应根据发包人编制的本工程度汛方案和措施，制定相应的度汛方案，报发包人批准后实施。</w:t>
      </w:r>
    </w:p>
    <w:p w14:paraId="1CBC41DB">
      <w:pPr>
        <w:pStyle w:val="2"/>
        <w:numPr>
          <w:ilvl w:val="0"/>
          <w:numId w:val="0"/>
        </w:numPr>
        <w:bidi w:val="0"/>
        <w:ind w:left="482" w:leftChars="0"/>
      </w:pPr>
      <w:bookmarkStart w:id="612" w:name="bookmark1149"/>
      <w:bookmarkStart w:id="613" w:name="_Toc27960"/>
      <w:bookmarkStart w:id="614" w:name="_Toc14710340"/>
      <w:bookmarkStart w:id="615" w:name="bookmark1151"/>
      <w:bookmarkStart w:id="616" w:name="bookmark1150"/>
      <w:r>
        <w:t>10.进度计划</w:t>
      </w:r>
      <w:bookmarkEnd w:id="612"/>
      <w:bookmarkEnd w:id="613"/>
      <w:bookmarkEnd w:id="614"/>
      <w:bookmarkEnd w:id="615"/>
      <w:bookmarkEnd w:id="616"/>
    </w:p>
    <w:p w14:paraId="7B643FB8">
      <w:pPr>
        <w:pStyle w:val="2"/>
        <w:numPr>
          <w:ilvl w:val="0"/>
          <w:numId w:val="0"/>
        </w:numPr>
        <w:bidi w:val="0"/>
        <w:ind w:left="482" w:leftChars="0"/>
      </w:pPr>
      <w:bookmarkStart w:id="617" w:name="_Toc15277"/>
      <w:bookmarkStart w:id="618" w:name="bookmark1152"/>
      <w:bookmarkStart w:id="619" w:name="bookmark1153"/>
      <w:bookmarkStart w:id="620" w:name="bookmark1154"/>
      <w:bookmarkStart w:id="621" w:name="_Toc14710341"/>
      <w:r>
        <w:t>10.1合同进度计划</w:t>
      </w:r>
      <w:bookmarkEnd w:id="617"/>
      <w:bookmarkEnd w:id="618"/>
      <w:bookmarkEnd w:id="619"/>
      <w:bookmarkEnd w:id="620"/>
      <w:bookmarkEnd w:id="621"/>
    </w:p>
    <w:p w14:paraId="35C9AB4C">
      <w:pPr>
        <w:pStyle w:val="11"/>
      </w:pPr>
      <w:r>
        <w:t>承包人应按技术标准和要求（合同技术条款）约定的内容和期限以及监理人的指示, 编制详细的施工总进度计划及其说明提交监理人审批。监理人应在技术标准和要求（合同 技术条款）约定的期限内批复承包人，否则该进度计划视为已得到批准。经监理人批准的 施工进度计划称为合同进度计划，是控制合同工程进度的依据。承包人还应根据合同进度 计划，编制更为详细的分阶段或单位工程或分部工程进度计划，报监理人审批。</w:t>
      </w:r>
    </w:p>
    <w:p w14:paraId="52008FD7">
      <w:pPr>
        <w:pStyle w:val="2"/>
        <w:numPr>
          <w:ilvl w:val="0"/>
          <w:numId w:val="0"/>
        </w:numPr>
        <w:bidi w:val="0"/>
        <w:ind w:left="482" w:leftChars="0"/>
      </w:pPr>
      <w:bookmarkStart w:id="622" w:name="bookmark1157"/>
      <w:bookmarkStart w:id="623" w:name="_Toc14710342"/>
      <w:bookmarkStart w:id="624" w:name="bookmark1156"/>
      <w:bookmarkStart w:id="625" w:name="bookmark1155"/>
      <w:bookmarkStart w:id="626" w:name="_Toc8733"/>
      <w:r>
        <w:t>10.2合同进度计划的修订</w:t>
      </w:r>
      <w:bookmarkEnd w:id="622"/>
      <w:bookmarkEnd w:id="623"/>
      <w:bookmarkEnd w:id="624"/>
      <w:bookmarkEnd w:id="625"/>
      <w:bookmarkEnd w:id="626"/>
    </w:p>
    <w:p w14:paraId="39EE0752">
      <w:pPr>
        <w:pStyle w:val="11"/>
      </w:pPr>
      <w:r>
        <w:t>不论何种原因造成工程的实际进度与第10. 1款的合同进度计划不符时，承包人均应在 14天内向监理人提交修订合同进度计划的申请报告，并附有关措施和相关资料，报监理人审批；监理人应在收到申请报告后的14天内批复。当监理人认为需要修订合同进度计划 时，承包人应按监理人的指示，在14天内向监理人提交修订的合同进度计划，并附调整计 划的相关资料，提交监理人审批。监理人应在收到进度计划后的14天内批复。</w:t>
      </w:r>
    </w:p>
    <w:p w14:paraId="248045D1">
      <w:pPr>
        <w:pStyle w:val="11"/>
      </w:pPr>
      <w:r>
        <w:t>不论何种原因造成施工进度延迟，承包人均应按监理人的指示，采取有效措施赶上进度。承包人应在向监理人提交修订合同进度计划的同时，编制一份赶工措施报告提交监理人审批。由于发包人原因造成施工进度延迟，应按第11. 3款的约定办理；由于承包人原因造成施工进度延迟，应按第11. 5款的约定办理。</w:t>
      </w:r>
    </w:p>
    <w:p w14:paraId="55C7DEC2">
      <w:pPr>
        <w:pStyle w:val="2"/>
        <w:numPr>
          <w:ilvl w:val="0"/>
          <w:numId w:val="0"/>
        </w:numPr>
        <w:bidi w:val="0"/>
        <w:ind w:left="482" w:leftChars="0"/>
      </w:pPr>
      <w:bookmarkStart w:id="627" w:name="bookmark1159"/>
      <w:bookmarkStart w:id="628" w:name="bookmark1158"/>
      <w:bookmarkStart w:id="629" w:name="_Toc25361"/>
      <w:bookmarkStart w:id="630" w:name="_Toc14710343"/>
      <w:bookmarkStart w:id="631" w:name="bookmark1160"/>
      <w:r>
        <w:t>10.3单位工程进度计划</w:t>
      </w:r>
      <w:bookmarkEnd w:id="627"/>
      <w:bookmarkEnd w:id="628"/>
      <w:bookmarkEnd w:id="629"/>
      <w:bookmarkEnd w:id="630"/>
      <w:bookmarkEnd w:id="631"/>
    </w:p>
    <w:p w14:paraId="0CEBA4E3">
      <w:pPr>
        <w:pStyle w:val="11"/>
      </w:pPr>
      <w:r>
        <w:t>监理人认为有必要时，承包人应按监理人指示的内容和期限，并根据合同进度计划的进度控制要求，编制单位工程进度计划，提交监理人审批。</w:t>
      </w:r>
    </w:p>
    <w:p w14:paraId="14BDA667">
      <w:pPr>
        <w:pStyle w:val="2"/>
        <w:numPr>
          <w:ilvl w:val="0"/>
          <w:numId w:val="0"/>
        </w:numPr>
        <w:bidi w:val="0"/>
        <w:ind w:left="482" w:leftChars="0"/>
      </w:pPr>
      <w:bookmarkStart w:id="632" w:name="bookmark1163"/>
      <w:bookmarkStart w:id="633" w:name="bookmark1162"/>
      <w:bookmarkStart w:id="634" w:name="bookmark1161"/>
      <w:bookmarkStart w:id="635" w:name="_Toc14710344"/>
      <w:bookmarkStart w:id="636" w:name="_Toc18009"/>
      <w:r>
        <w:t>10.4提交资金流估算表</w:t>
      </w:r>
      <w:bookmarkEnd w:id="632"/>
      <w:bookmarkEnd w:id="633"/>
      <w:bookmarkEnd w:id="634"/>
      <w:bookmarkEnd w:id="635"/>
      <w:bookmarkEnd w:id="636"/>
    </w:p>
    <w:p w14:paraId="62E196C7">
      <w:pPr>
        <w:pStyle w:val="11"/>
      </w:pPr>
      <w:r>
        <w:t>承包人应在按第10. 1款约定向监理人提交施工总进度计划的同时，按下表约定的格式，向监理人提交按月的资金流估算表。估算表应包括承包人计划可从发包人处得到的全部款额，以供发包人参考。此后，当监理人提出要求时，承包人应在监理人指定的期限内提交修订的资金流估算表。</w:t>
      </w:r>
    </w:p>
    <w:p w14:paraId="3F0ABD1B">
      <w:pPr>
        <w:pStyle w:val="11"/>
      </w:pPr>
      <w:r>
        <w:t>资金流估算表（参考格式）</w:t>
      </w:r>
      <w:r>
        <w:tab/>
      </w:r>
      <w:r>
        <w:t>金额单位</w:t>
      </w:r>
    </w:p>
    <w:tbl>
      <w:tblPr>
        <w:tblStyle w:val="22"/>
        <w:tblW w:w="0" w:type="auto"/>
        <w:jc w:val="center"/>
        <w:tblLayout w:type="fixed"/>
        <w:tblCellMar>
          <w:top w:w="0" w:type="dxa"/>
          <w:left w:w="10" w:type="dxa"/>
          <w:bottom w:w="0" w:type="dxa"/>
          <w:right w:w="10" w:type="dxa"/>
        </w:tblCellMar>
      </w:tblPr>
      <w:tblGrid>
        <w:gridCol w:w="458"/>
        <w:gridCol w:w="336"/>
        <w:gridCol w:w="1022"/>
        <w:gridCol w:w="1416"/>
        <w:gridCol w:w="1022"/>
        <w:gridCol w:w="1018"/>
        <w:gridCol w:w="1022"/>
        <w:gridCol w:w="451"/>
        <w:gridCol w:w="682"/>
        <w:gridCol w:w="1142"/>
      </w:tblGrid>
      <w:tr w14:paraId="1005AFBA">
        <w:tblPrEx>
          <w:tblCellMar>
            <w:top w:w="0" w:type="dxa"/>
            <w:left w:w="10" w:type="dxa"/>
            <w:bottom w:w="0" w:type="dxa"/>
            <w:right w:w="10" w:type="dxa"/>
          </w:tblCellMar>
        </w:tblPrEx>
        <w:trPr>
          <w:trHeight w:val="1003" w:hRule="exact"/>
          <w:jc w:val="center"/>
        </w:trPr>
        <w:tc>
          <w:tcPr>
            <w:tcW w:w="458" w:type="dxa"/>
            <w:tcBorders>
              <w:top w:val="single" w:color="auto" w:sz="4" w:space="0"/>
              <w:left w:val="single" w:color="auto" w:sz="4" w:space="0"/>
            </w:tcBorders>
            <w:shd w:val="clear" w:color="auto" w:fill="FFFFFF"/>
            <w:noWrap w:val="0"/>
            <w:vAlign w:val="center"/>
          </w:tcPr>
          <w:p w14:paraId="2533CF18">
            <w:pPr>
              <w:pStyle w:val="38"/>
              <w:spacing w:line="440" w:lineRule="exact"/>
              <w:ind w:firstLine="0"/>
              <w:rPr>
                <w:sz w:val="21"/>
                <w:szCs w:val="21"/>
              </w:rPr>
            </w:pPr>
            <w:r>
              <w:rPr>
                <w:rFonts w:hint="eastAsia"/>
                <w:sz w:val="21"/>
                <w:szCs w:val="21"/>
              </w:rPr>
              <w:t>年</w:t>
            </w:r>
          </w:p>
        </w:tc>
        <w:tc>
          <w:tcPr>
            <w:tcW w:w="336" w:type="dxa"/>
            <w:tcBorders>
              <w:top w:val="single" w:color="auto" w:sz="4" w:space="0"/>
              <w:left w:val="single" w:color="auto" w:sz="4" w:space="0"/>
            </w:tcBorders>
            <w:shd w:val="clear" w:color="auto" w:fill="FFFFFF"/>
            <w:noWrap w:val="0"/>
            <w:vAlign w:val="center"/>
          </w:tcPr>
          <w:p w14:paraId="429E1D4B">
            <w:pPr>
              <w:pStyle w:val="38"/>
              <w:spacing w:line="440" w:lineRule="exact"/>
              <w:ind w:firstLine="0"/>
              <w:rPr>
                <w:sz w:val="21"/>
                <w:szCs w:val="21"/>
              </w:rPr>
            </w:pPr>
            <w:r>
              <w:rPr>
                <w:rFonts w:hint="eastAsia"/>
                <w:sz w:val="21"/>
                <w:szCs w:val="21"/>
              </w:rPr>
              <w:t>月</w:t>
            </w:r>
          </w:p>
        </w:tc>
        <w:tc>
          <w:tcPr>
            <w:tcW w:w="1022" w:type="dxa"/>
            <w:tcBorders>
              <w:top w:val="single" w:color="auto" w:sz="4" w:space="0"/>
              <w:left w:val="single" w:color="auto" w:sz="4" w:space="0"/>
            </w:tcBorders>
            <w:shd w:val="clear" w:color="auto" w:fill="FFFFFF"/>
            <w:noWrap w:val="0"/>
            <w:vAlign w:val="center"/>
          </w:tcPr>
          <w:p w14:paraId="4836DA78">
            <w:pPr>
              <w:pStyle w:val="38"/>
              <w:spacing w:line="440" w:lineRule="exact"/>
              <w:ind w:firstLine="0"/>
              <w:rPr>
                <w:sz w:val="21"/>
                <w:szCs w:val="21"/>
              </w:rPr>
            </w:pPr>
            <w:r>
              <w:rPr>
                <w:rFonts w:hint="eastAsia"/>
                <w:sz w:val="21"/>
                <w:szCs w:val="21"/>
              </w:rPr>
              <w:t>工程预付款</w:t>
            </w:r>
          </w:p>
        </w:tc>
        <w:tc>
          <w:tcPr>
            <w:tcW w:w="1416" w:type="dxa"/>
            <w:tcBorders>
              <w:top w:val="single" w:color="auto" w:sz="4" w:space="0"/>
              <w:left w:val="single" w:color="auto" w:sz="4" w:space="0"/>
            </w:tcBorders>
            <w:shd w:val="clear" w:color="auto" w:fill="FFFFFF"/>
            <w:noWrap w:val="0"/>
            <w:vAlign w:val="center"/>
          </w:tcPr>
          <w:p w14:paraId="1BBE03CE">
            <w:pPr>
              <w:pStyle w:val="38"/>
              <w:spacing w:line="440" w:lineRule="exact"/>
              <w:ind w:firstLine="0"/>
              <w:rPr>
                <w:sz w:val="21"/>
                <w:szCs w:val="21"/>
              </w:rPr>
            </w:pPr>
            <w:r>
              <w:rPr>
                <w:rFonts w:hint="eastAsia"/>
                <w:sz w:val="21"/>
                <w:szCs w:val="21"/>
              </w:rPr>
              <w:t>完成工作量付款</w:t>
            </w:r>
          </w:p>
        </w:tc>
        <w:tc>
          <w:tcPr>
            <w:tcW w:w="1022" w:type="dxa"/>
            <w:tcBorders>
              <w:top w:val="single" w:color="auto" w:sz="4" w:space="0"/>
              <w:left w:val="single" w:color="auto" w:sz="4" w:space="0"/>
            </w:tcBorders>
            <w:shd w:val="clear" w:color="auto" w:fill="FFFFFF"/>
            <w:noWrap w:val="0"/>
            <w:vAlign w:val="center"/>
          </w:tcPr>
          <w:p w14:paraId="2C783DDD">
            <w:pPr>
              <w:pStyle w:val="38"/>
              <w:spacing w:line="440" w:lineRule="exact"/>
              <w:ind w:firstLine="0"/>
              <w:rPr>
                <w:sz w:val="21"/>
                <w:szCs w:val="21"/>
              </w:rPr>
            </w:pPr>
            <w:r>
              <w:rPr>
                <w:rFonts w:hint="eastAsia"/>
                <w:sz w:val="21"/>
                <w:szCs w:val="21"/>
              </w:rPr>
              <w:t>保留金扣留</w:t>
            </w:r>
          </w:p>
        </w:tc>
        <w:tc>
          <w:tcPr>
            <w:tcW w:w="1018" w:type="dxa"/>
            <w:tcBorders>
              <w:top w:val="single" w:color="auto" w:sz="4" w:space="0"/>
              <w:left w:val="single" w:color="auto" w:sz="4" w:space="0"/>
            </w:tcBorders>
            <w:shd w:val="clear" w:color="auto" w:fill="FFFFFF"/>
            <w:noWrap w:val="0"/>
            <w:vAlign w:val="center"/>
          </w:tcPr>
          <w:p w14:paraId="09DCC61B">
            <w:pPr>
              <w:pStyle w:val="38"/>
              <w:spacing w:line="440" w:lineRule="exact"/>
              <w:ind w:firstLine="0"/>
              <w:rPr>
                <w:sz w:val="21"/>
                <w:szCs w:val="21"/>
              </w:rPr>
            </w:pPr>
            <w:r>
              <w:rPr>
                <w:rFonts w:hint="eastAsia"/>
                <w:sz w:val="21"/>
                <w:szCs w:val="21"/>
              </w:rPr>
              <w:t>材料款扣除</w:t>
            </w:r>
          </w:p>
        </w:tc>
        <w:tc>
          <w:tcPr>
            <w:tcW w:w="1022" w:type="dxa"/>
            <w:tcBorders>
              <w:top w:val="single" w:color="auto" w:sz="4" w:space="0"/>
              <w:left w:val="single" w:color="auto" w:sz="4" w:space="0"/>
            </w:tcBorders>
            <w:shd w:val="clear" w:color="auto" w:fill="FFFFFF"/>
            <w:noWrap w:val="0"/>
            <w:vAlign w:val="center"/>
          </w:tcPr>
          <w:p w14:paraId="70D210F8">
            <w:pPr>
              <w:pStyle w:val="38"/>
              <w:spacing w:line="440" w:lineRule="exact"/>
              <w:ind w:firstLine="0"/>
              <w:rPr>
                <w:sz w:val="21"/>
                <w:szCs w:val="21"/>
              </w:rPr>
            </w:pPr>
            <w:r>
              <w:rPr>
                <w:rFonts w:hint="eastAsia"/>
                <w:sz w:val="21"/>
                <w:szCs w:val="21"/>
              </w:rPr>
              <w:t>预付款扣还</w:t>
            </w:r>
          </w:p>
        </w:tc>
        <w:tc>
          <w:tcPr>
            <w:tcW w:w="451" w:type="dxa"/>
            <w:tcBorders>
              <w:top w:val="single" w:color="auto" w:sz="4" w:space="0"/>
              <w:left w:val="single" w:color="auto" w:sz="4" w:space="0"/>
            </w:tcBorders>
            <w:shd w:val="clear" w:color="auto" w:fill="FFFFFF"/>
            <w:noWrap w:val="0"/>
            <w:vAlign w:val="center"/>
          </w:tcPr>
          <w:p w14:paraId="1657DA51">
            <w:pPr>
              <w:pStyle w:val="38"/>
              <w:spacing w:line="440" w:lineRule="exact"/>
              <w:ind w:firstLine="0"/>
              <w:rPr>
                <w:sz w:val="21"/>
                <w:szCs w:val="21"/>
              </w:rPr>
            </w:pPr>
            <w:r>
              <w:rPr>
                <w:rFonts w:hint="eastAsia"/>
                <w:sz w:val="21"/>
                <w:szCs w:val="21"/>
              </w:rPr>
              <w:t>其他</w:t>
            </w:r>
          </w:p>
        </w:tc>
        <w:tc>
          <w:tcPr>
            <w:tcW w:w="682" w:type="dxa"/>
            <w:tcBorders>
              <w:top w:val="single" w:color="auto" w:sz="4" w:space="0"/>
              <w:left w:val="single" w:color="auto" w:sz="4" w:space="0"/>
            </w:tcBorders>
            <w:shd w:val="clear" w:color="auto" w:fill="FFFFFF"/>
            <w:noWrap w:val="0"/>
            <w:vAlign w:val="center"/>
          </w:tcPr>
          <w:p w14:paraId="327F71C0">
            <w:pPr>
              <w:pStyle w:val="38"/>
              <w:spacing w:line="440" w:lineRule="exact"/>
              <w:ind w:firstLine="0"/>
              <w:rPr>
                <w:sz w:val="21"/>
                <w:szCs w:val="21"/>
              </w:rPr>
            </w:pPr>
            <w:r>
              <w:rPr>
                <w:rFonts w:hint="eastAsia"/>
                <w:sz w:val="21"/>
                <w:szCs w:val="21"/>
              </w:rPr>
              <w:t>应收款</w:t>
            </w:r>
          </w:p>
        </w:tc>
        <w:tc>
          <w:tcPr>
            <w:tcW w:w="1142" w:type="dxa"/>
            <w:tcBorders>
              <w:top w:val="single" w:color="auto" w:sz="4" w:space="0"/>
              <w:left w:val="single" w:color="auto" w:sz="4" w:space="0"/>
              <w:right w:val="single" w:color="auto" w:sz="4" w:space="0"/>
            </w:tcBorders>
            <w:shd w:val="clear" w:color="auto" w:fill="FFFFFF"/>
            <w:noWrap w:val="0"/>
            <w:vAlign w:val="center"/>
          </w:tcPr>
          <w:p w14:paraId="25A31FAD">
            <w:pPr>
              <w:pStyle w:val="38"/>
              <w:spacing w:line="440" w:lineRule="exact"/>
              <w:ind w:firstLine="0"/>
              <w:rPr>
                <w:sz w:val="21"/>
                <w:szCs w:val="21"/>
              </w:rPr>
            </w:pPr>
            <w:r>
              <w:rPr>
                <w:rFonts w:hint="eastAsia"/>
                <w:sz w:val="21"/>
                <w:szCs w:val="21"/>
              </w:rPr>
              <w:t>累计应收款</w:t>
            </w:r>
          </w:p>
        </w:tc>
      </w:tr>
      <w:tr w14:paraId="47E8EDBE">
        <w:tblPrEx>
          <w:tblCellMar>
            <w:top w:w="0" w:type="dxa"/>
            <w:left w:w="10" w:type="dxa"/>
            <w:bottom w:w="0" w:type="dxa"/>
            <w:right w:w="10" w:type="dxa"/>
          </w:tblCellMar>
        </w:tblPrEx>
        <w:trPr>
          <w:trHeight w:val="456" w:hRule="exact"/>
          <w:jc w:val="center"/>
        </w:trPr>
        <w:tc>
          <w:tcPr>
            <w:tcW w:w="458" w:type="dxa"/>
            <w:tcBorders>
              <w:top w:val="single" w:color="auto" w:sz="4" w:space="0"/>
              <w:left w:val="single" w:color="auto" w:sz="4" w:space="0"/>
            </w:tcBorders>
            <w:shd w:val="clear" w:color="auto" w:fill="FFFFFF"/>
            <w:noWrap w:val="0"/>
            <w:vAlign w:val="top"/>
          </w:tcPr>
          <w:p w14:paraId="69E24CB6">
            <w:pPr>
              <w:spacing w:line="440" w:lineRule="exact"/>
              <w:jc w:val="left"/>
              <w:rPr>
                <w:rFonts w:ascii="宋体" w:hAnsi="宋体" w:cs="宋体"/>
                <w:szCs w:val="21"/>
              </w:rPr>
            </w:pPr>
          </w:p>
        </w:tc>
        <w:tc>
          <w:tcPr>
            <w:tcW w:w="336" w:type="dxa"/>
            <w:tcBorders>
              <w:top w:val="single" w:color="auto" w:sz="4" w:space="0"/>
              <w:left w:val="single" w:color="auto" w:sz="4" w:space="0"/>
            </w:tcBorders>
            <w:shd w:val="clear" w:color="auto" w:fill="FFFFFF"/>
            <w:noWrap w:val="0"/>
            <w:vAlign w:val="top"/>
          </w:tcPr>
          <w:p w14:paraId="5A456B4B">
            <w:pPr>
              <w:spacing w:line="440" w:lineRule="exact"/>
              <w:jc w:val="left"/>
              <w:rPr>
                <w:rFonts w:ascii="宋体" w:hAnsi="宋体" w:cs="宋体"/>
                <w:szCs w:val="21"/>
              </w:rPr>
            </w:pPr>
          </w:p>
        </w:tc>
        <w:tc>
          <w:tcPr>
            <w:tcW w:w="1022" w:type="dxa"/>
            <w:tcBorders>
              <w:top w:val="single" w:color="auto" w:sz="4" w:space="0"/>
              <w:left w:val="single" w:color="auto" w:sz="4" w:space="0"/>
            </w:tcBorders>
            <w:shd w:val="clear" w:color="auto" w:fill="FFFFFF"/>
            <w:noWrap w:val="0"/>
            <w:vAlign w:val="top"/>
          </w:tcPr>
          <w:p w14:paraId="3C29F485">
            <w:pPr>
              <w:spacing w:line="440" w:lineRule="exact"/>
              <w:jc w:val="left"/>
              <w:rPr>
                <w:rFonts w:ascii="宋体" w:hAnsi="宋体" w:cs="宋体"/>
                <w:szCs w:val="21"/>
              </w:rPr>
            </w:pPr>
          </w:p>
        </w:tc>
        <w:tc>
          <w:tcPr>
            <w:tcW w:w="1416" w:type="dxa"/>
            <w:tcBorders>
              <w:top w:val="single" w:color="auto" w:sz="4" w:space="0"/>
              <w:left w:val="single" w:color="auto" w:sz="4" w:space="0"/>
            </w:tcBorders>
            <w:shd w:val="clear" w:color="auto" w:fill="FFFFFF"/>
            <w:noWrap w:val="0"/>
            <w:vAlign w:val="top"/>
          </w:tcPr>
          <w:p w14:paraId="171989F2">
            <w:pPr>
              <w:spacing w:line="440" w:lineRule="exact"/>
              <w:jc w:val="left"/>
              <w:rPr>
                <w:rFonts w:ascii="宋体" w:hAnsi="宋体" w:cs="宋体"/>
                <w:szCs w:val="21"/>
              </w:rPr>
            </w:pPr>
          </w:p>
        </w:tc>
        <w:tc>
          <w:tcPr>
            <w:tcW w:w="1022" w:type="dxa"/>
            <w:tcBorders>
              <w:top w:val="single" w:color="auto" w:sz="4" w:space="0"/>
              <w:left w:val="single" w:color="auto" w:sz="4" w:space="0"/>
            </w:tcBorders>
            <w:shd w:val="clear" w:color="auto" w:fill="FFFFFF"/>
            <w:noWrap w:val="0"/>
            <w:vAlign w:val="top"/>
          </w:tcPr>
          <w:p w14:paraId="539C6D3C">
            <w:pPr>
              <w:spacing w:line="440" w:lineRule="exact"/>
              <w:jc w:val="left"/>
              <w:rPr>
                <w:rFonts w:ascii="宋体" w:hAnsi="宋体" w:cs="宋体"/>
                <w:szCs w:val="21"/>
              </w:rPr>
            </w:pPr>
          </w:p>
        </w:tc>
        <w:tc>
          <w:tcPr>
            <w:tcW w:w="1018" w:type="dxa"/>
            <w:tcBorders>
              <w:top w:val="single" w:color="auto" w:sz="4" w:space="0"/>
              <w:left w:val="single" w:color="auto" w:sz="4" w:space="0"/>
            </w:tcBorders>
            <w:shd w:val="clear" w:color="auto" w:fill="FFFFFF"/>
            <w:noWrap w:val="0"/>
            <w:vAlign w:val="top"/>
          </w:tcPr>
          <w:p w14:paraId="0D1465E1">
            <w:pPr>
              <w:spacing w:line="440" w:lineRule="exact"/>
              <w:jc w:val="left"/>
              <w:rPr>
                <w:rFonts w:ascii="宋体" w:hAnsi="宋体" w:cs="宋体"/>
                <w:szCs w:val="21"/>
              </w:rPr>
            </w:pPr>
          </w:p>
        </w:tc>
        <w:tc>
          <w:tcPr>
            <w:tcW w:w="1022" w:type="dxa"/>
            <w:tcBorders>
              <w:top w:val="single" w:color="auto" w:sz="4" w:space="0"/>
              <w:left w:val="single" w:color="auto" w:sz="4" w:space="0"/>
            </w:tcBorders>
            <w:shd w:val="clear" w:color="auto" w:fill="FFFFFF"/>
            <w:noWrap w:val="0"/>
            <w:vAlign w:val="top"/>
          </w:tcPr>
          <w:p w14:paraId="42DA2512">
            <w:pPr>
              <w:spacing w:line="440" w:lineRule="exact"/>
              <w:jc w:val="left"/>
              <w:rPr>
                <w:rFonts w:ascii="宋体" w:hAnsi="宋体" w:cs="宋体"/>
                <w:szCs w:val="21"/>
              </w:rPr>
            </w:pPr>
          </w:p>
        </w:tc>
        <w:tc>
          <w:tcPr>
            <w:tcW w:w="451" w:type="dxa"/>
            <w:tcBorders>
              <w:top w:val="single" w:color="auto" w:sz="4" w:space="0"/>
              <w:left w:val="single" w:color="auto" w:sz="4" w:space="0"/>
            </w:tcBorders>
            <w:shd w:val="clear" w:color="auto" w:fill="FFFFFF"/>
            <w:noWrap w:val="0"/>
            <w:vAlign w:val="top"/>
          </w:tcPr>
          <w:p w14:paraId="59F61627">
            <w:pPr>
              <w:spacing w:line="440" w:lineRule="exact"/>
              <w:jc w:val="left"/>
              <w:rPr>
                <w:rFonts w:ascii="宋体" w:hAnsi="宋体" w:cs="宋体"/>
                <w:szCs w:val="21"/>
              </w:rPr>
            </w:pPr>
          </w:p>
        </w:tc>
        <w:tc>
          <w:tcPr>
            <w:tcW w:w="682" w:type="dxa"/>
            <w:tcBorders>
              <w:top w:val="single" w:color="auto" w:sz="4" w:space="0"/>
              <w:left w:val="single" w:color="auto" w:sz="4" w:space="0"/>
            </w:tcBorders>
            <w:shd w:val="clear" w:color="auto" w:fill="FFFFFF"/>
            <w:noWrap w:val="0"/>
            <w:vAlign w:val="top"/>
          </w:tcPr>
          <w:p w14:paraId="4B6C85F3">
            <w:pPr>
              <w:spacing w:line="440" w:lineRule="exact"/>
              <w:jc w:val="left"/>
              <w:rPr>
                <w:rFonts w:ascii="宋体" w:hAnsi="宋体" w:cs="宋体"/>
                <w:szCs w:val="21"/>
              </w:rPr>
            </w:pPr>
          </w:p>
        </w:tc>
        <w:tc>
          <w:tcPr>
            <w:tcW w:w="1142" w:type="dxa"/>
            <w:tcBorders>
              <w:top w:val="single" w:color="auto" w:sz="4" w:space="0"/>
              <w:left w:val="single" w:color="auto" w:sz="4" w:space="0"/>
              <w:right w:val="single" w:color="auto" w:sz="4" w:space="0"/>
            </w:tcBorders>
            <w:shd w:val="clear" w:color="auto" w:fill="FFFFFF"/>
            <w:noWrap w:val="0"/>
            <w:vAlign w:val="top"/>
          </w:tcPr>
          <w:p w14:paraId="791A82A3">
            <w:pPr>
              <w:spacing w:line="440" w:lineRule="exact"/>
              <w:jc w:val="left"/>
              <w:rPr>
                <w:rFonts w:ascii="宋体" w:hAnsi="宋体" w:cs="宋体"/>
                <w:szCs w:val="21"/>
              </w:rPr>
            </w:pPr>
          </w:p>
        </w:tc>
      </w:tr>
      <w:tr w14:paraId="7EF77919">
        <w:tblPrEx>
          <w:tblCellMar>
            <w:top w:w="0" w:type="dxa"/>
            <w:left w:w="10" w:type="dxa"/>
            <w:bottom w:w="0" w:type="dxa"/>
            <w:right w:w="10" w:type="dxa"/>
          </w:tblCellMar>
        </w:tblPrEx>
        <w:trPr>
          <w:trHeight w:val="456" w:hRule="exact"/>
          <w:jc w:val="center"/>
        </w:trPr>
        <w:tc>
          <w:tcPr>
            <w:tcW w:w="458" w:type="dxa"/>
            <w:tcBorders>
              <w:top w:val="single" w:color="auto" w:sz="4" w:space="0"/>
              <w:left w:val="single" w:color="auto" w:sz="4" w:space="0"/>
            </w:tcBorders>
            <w:shd w:val="clear" w:color="auto" w:fill="FFFFFF"/>
            <w:noWrap w:val="0"/>
            <w:vAlign w:val="top"/>
          </w:tcPr>
          <w:p w14:paraId="2582BCB8">
            <w:pPr>
              <w:spacing w:line="440" w:lineRule="exact"/>
              <w:jc w:val="left"/>
              <w:rPr>
                <w:rFonts w:ascii="宋体" w:hAnsi="宋体" w:cs="宋体"/>
                <w:szCs w:val="21"/>
              </w:rPr>
            </w:pPr>
          </w:p>
        </w:tc>
        <w:tc>
          <w:tcPr>
            <w:tcW w:w="336" w:type="dxa"/>
            <w:tcBorders>
              <w:top w:val="single" w:color="auto" w:sz="4" w:space="0"/>
              <w:left w:val="single" w:color="auto" w:sz="4" w:space="0"/>
            </w:tcBorders>
            <w:shd w:val="clear" w:color="auto" w:fill="FFFFFF"/>
            <w:noWrap w:val="0"/>
            <w:vAlign w:val="top"/>
          </w:tcPr>
          <w:p w14:paraId="38E92FD8">
            <w:pPr>
              <w:spacing w:line="440" w:lineRule="exact"/>
              <w:jc w:val="left"/>
              <w:rPr>
                <w:rFonts w:ascii="宋体" w:hAnsi="宋体" w:cs="宋体"/>
                <w:szCs w:val="21"/>
              </w:rPr>
            </w:pPr>
          </w:p>
        </w:tc>
        <w:tc>
          <w:tcPr>
            <w:tcW w:w="1022" w:type="dxa"/>
            <w:tcBorders>
              <w:top w:val="single" w:color="auto" w:sz="4" w:space="0"/>
              <w:left w:val="single" w:color="auto" w:sz="4" w:space="0"/>
            </w:tcBorders>
            <w:shd w:val="clear" w:color="auto" w:fill="FFFFFF"/>
            <w:noWrap w:val="0"/>
            <w:vAlign w:val="top"/>
          </w:tcPr>
          <w:p w14:paraId="24A702B9">
            <w:pPr>
              <w:spacing w:line="440" w:lineRule="exact"/>
              <w:jc w:val="left"/>
              <w:rPr>
                <w:rFonts w:ascii="宋体" w:hAnsi="宋体" w:cs="宋体"/>
                <w:szCs w:val="21"/>
              </w:rPr>
            </w:pPr>
          </w:p>
        </w:tc>
        <w:tc>
          <w:tcPr>
            <w:tcW w:w="1416" w:type="dxa"/>
            <w:tcBorders>
              <w:top w:val="single" w:color="auto" w:sz="4" w:space="0"/>
              <w:left w:val="single" w:color="auto" w:sz="4" w:space="0"/>
            </w:tcBorders>
            <w:shd w:val="clear" w:color="auto" w:fill="FFFFFF"/>
            <w:noWrap w:val="0"/>
            <w:vAlign w:val="top"/>
          </w:tcPr>
          <w:p w14:paraId="25168B5A">
            <w:pPr>
              <w:spacing w:line="440" w:lineRule="exact"/>
              <w:jc w:val="left"/>
              <w:rPr>
                <w:rFonts w:ascii="宋体" w:hAnsi="宋体" w:cs="宋体"/>
                <w:szCs w:val="21"/>
              </w:rPr>
            </w:pPr>
          </w:p>
        </w:tc>
        <w:tc>
          <w:tcPr>
            <w:tcW w:w="1022" w:type="dxa"/>
            <w:tcBorders>
              <w:top w:val="single" w:color="auto" w:sz="4" w:space="0"/>
              <w:left w:val="single" w:color="auto" w:sz="4" w:space="0"/>
            </w:tcBorders>
            <w:shd w:val="clear" w:color="auto" w:fill="FFFFFF"/>
            <w:noWrap w:val="0"/>
            <w:vAlign w:val="top"/>
          </w:tcPr>
          <w:p w14:paraId="2593B581">
            <w:pPr>
              <w:spacing w:line="440" w:lineRule="exact"/>
              <w:jc w:val="left"/>
              <w:rPr>
                <w:rFonts w:ascii="宋体" w:hAnsi="宋体" w:cs="宋体"/>
                <w:szCs w:val="21"/>
              </w:rPr>
            </w:pPr>
          </w:p>
        </w:tc>
        <w:tc>
          <w:tcPr>
            <w:tcW w:w="1018" w:type="dxa"/>
            <w:tcBorders>
              <w:top w:val="single" w:color="auto" w:sz="4" w:space="0"/>
              <w:left w:val="single" w:color="auto" w:sz="4" w:space="0"/>
            </w:tcBorders>
            <w:shd w:val="clear" w:color="auto" w:fill="FFFFFF"/>
            <w:noWrap w:val="0"/>
            <w:vAlign w:val="top"/>
          </w:tcPr>
          <w:p w14:paraId="44977321">
            <w:pPr>
              <w:spacing w:line="440" w:lineRule="exact"/>
              <w:jc w:val="left"/>
              <w:rPr>
                <w:rFonts w:ascii="宋体" w:hAnsi="宋体" w:cs="宋体"/>
                <w:szCs w:val="21"/>
              </w:rPr>
            </w:pPr>
          </w:p>
        </w:tc>
        <w:tc>
          <w:tcPr>
            <w:tcW w:w="1022" w:type="dxa"/>
            <w:tcBorders>
              <w:top w:val="single" w:color="auto" w:sz="4" w:space="0"/>
              <w:left w:val="single" w:color="auto" w:sz="4" w:space="0"/>
            </w:tcBorders>
            <w:shd w:val="clear" w:color="auto" w:fill="FFFFFF"/>
            <w:noWrap w:val="0"/>
            <w:vAlign w:val="top"/>
          </w:tcPr>
          <w:p w14:paraId="6AF4ECCB">
            <w:pPr>
              <w:spacing w:line="440" w:lineRule="exact"/>
              <w:jc w:val="left"/>
              <w:rPr>
                <w:rFonts w:ascii="宋体" w:hAnsi="宋体" w:cs="宋体"/>
                <w:szCs w:val="21"/>
              </w:rPr>
            </w:pPr>
          </w:p>
        </w:tc>
        <w:tc>
          <w:tcPr>
            <w:tcW w:w="451" w:type="dxa"/>
            <w:tcBorders>
              <w:top w:val="single" w:color="auto" w:sz="4" w:space="0"/>
              <w:left w:val="single" w:color="auto" w:sz="4" w:space="0"/>
            </w:tcBorders>
            <w:shd w:val="clear" w:color="auto" w:fill="FFFFFF"/>
            <w:noWrap w:val="0"/>
            <w:vAlign w:val="top"/>
          </w:tcPr>
          <w:p w14:paraId="2A2CAAB1">
            <w:pPr>
              <w:spacing w:line="440" w:lineRule="exact"/>
              <w:jc w:val="left"/>
              <w:rPr>
                <w:rFonts w:ascii="宋体" w:hAnsi="宋体" w:cs="宋体"/>
                <w:szCs w:val="21"/>
              </w:rPr>
            </w:pPr>
          </w:p>
        </w:tc>
        <w:tc>
          <w:tcPr>
            <w:tcW w:w="682" w:type="dxa"/>
            <w:tcBorders>
              <w:top w:val="single" w:color="auto" w:sz="4" w:space="0"/>
              <w:left w:val="single" w:color="auto" w:sz="4" w:space="0"/>
            </w:tcBorders>
            <w:shd w:val="clear" w:color="auto" w:fill="FFFFFF"/>
            <w:noWrap w:val="0"/>
            <w:vAlign w:val="top"/>
          </w:tcPr>
          <w:p w14:paraId="03EC06B1">
            <w:pPr>
              <w:spacing w:line="440" w:lineRule="exact"/>
              <w:jc w:val="left"/>
              <w:rPr>
                <w:rFonts w:ascii="宋体" w:hAnsi="宋体" w:cs="宋体"/>
                <w:szCs w:val="21"/>
              </w:rPr>
            </w:pPr>
          </w:p>
        </w:tc>
        <w:tc>
          <w:tcPr>
            <w:tcW w:w="1142" w:type="dxa"/>
            <w:tcBorders>
              <w:top w:val="single" w:color="auto" w:sz="4" w:space="0"/>
              <w:left w:val="single" w:color="auto" w:sz="4" w:space="0"/>
              <w:right w:val="single" w:color="auto" w:sz="4" w:space="0"/>
            </w:tcBorders>
            <w:shd w:val="clear" w:color="auto" w:fill="FFFFFF"/>
            <w:noWrap w:val="0"/>
            <w:vAlign w:val="top"/>
          </w:tcPr>
          <w:p w14:paraId="6CC1C297">
            <w:pPr>
              <w:spacing w:line="440" w:lineRule="exact"/>
              <w:jc w:val="left"/>
              <w:rPr>
                <w:rFonts w:ascii="宋体" w:hAnsi="宋体" w:cs="宋体"/>
                <w:szCs w:val="21"/>
              </w:rPr>
            </w:pPr>
          </w:p>
        </w:tc>
      </w:tr>
      <w:tr w14:paraId="37B9BE52">
        <w:tblPrEx>
          <w:tblCellMar>
            <w:top w:w="0" w:type="dxa"/>
            <w:left w:w="10" w:type="dxa"/>
            <w:bottom w:w="0" w:type="dxa"/>
            <w:right w:w="10" w:type="dxa"/>
          </w:tblCellMar>
        </w:tblPrEx>
        <w:trPr>
          <w:trHeight w:val="461" w:hRule="exact"/>
          <w:jc w:val="center"/>
        </w:trPr>
        <w:tc>
          <w:tcPr>
            <w:tcW w:w="458" w:type="dxa"/>
            <w:tcBorders>
              <w:top w:val="single" w:color="auto" w:sz="4" w:space="0"/>
              <w:left w:val="single" w:color="auto" w:sz="4" w:space="0"/>
              <w:bottom w:val="single" w:color="auto" w:sz="4" w:space="0"/>
            </w:tcBorders>
            <w:shd w:val="clear" w:color="auto" w:fill="FFFFFF"/>
            <w:noWrap w:val="0"/>
            <w:vAlign w:val="top"/>
          </w:tcPr>
          <w:p w14:paraId="5BB32F2A">
            <w:pPr>
              <w:spacing w:line="440" w:lineRule="exact"/>
              <w:jc w:val="left"/>
              <w:rPr>
                <w:rFonts w:ascii="宋体" w:hAnsi="宋体" w:cs="宋体"/>
                <w:szCs w:val="21"/>
              </w:rPr>
            </w:pPr>
          </w:p>
        </w:tc>
        <w:tc>
          <w:tcPr>
            <w:tcW w:w="336" w:type="dxa"/>
            <w:tcBorders>
              <w:top w:val="single" w:color="auto" w:sz="4" w:space="0"/>
              <w:left w:val="single" w:color="auto" w:sz="4" w:space="0"/>
              <w:bottom w:val="single" w:color="auto" w:sz="4" w:space="0"/>
            </w:tcBorders>
            <w:shd w:val="clear" w:color="auto" w:fill="FFFFFF"/>
            <w:noWrap w:val="0"/>
            <w:vAlign w:val="top"/>
          </w:tcPr>
          <w:p w14:paraId="22C20A4F">
            <w:pPr>
              <w:spacing w:line="440" w:lineRule="exact"/>
              <w:jc w:val="left"/>
              <w:rPr>
                <w:rFonts w:ascii="宋体" w:hAnsi="宋体" w:cs="宋体"/>
                <w:szCs w:val="21"/>
              </w:rPr>
            </w:pPr>
          </w:p>
        </w:tc>
        <w:tc>
          <w:tcPr>
            <w:tcW w:w="1022" w:type="dxa"/>
            <w:tcBorders>
              <w:top w:val="single" w:color="auto" w:sz="4" w:space="0"/>
              <w:left w:val="single" w:color="auto" w:sz="4" w:space="0"/>
              <w:bottom w:val="single" w:color="auto" w:sz="4" w:space="0"/>
            </w:tcBorders>
            <w:shd w:val="clear" w:color="auto" w:fill="FFFFFF"/>
            <w:noWrap w:val="0"/>
            <w:vAlign w:val="top"/>
          </w:tcPr>
          <w:p w14:paraId="58DBE2ED">
            <w:pPr>
              <w:spacing w:line="440" w:lineRule="exact"/>
              <w:jc w:val="left"/>
              <w:rPr>
                <w:rFonts w:ascii="宋体" w:hAnsi="宋体" w:cs="宋体"/>
                <w:szCs w:val="21"/>
              </w:rPr>
            </w:pPr>
          </w:p>
        </w:tc>
        <w:tc>
          <w:tcPr>
            <w:tcW w:w="1416" w:type="dxa"/>
            <w:tcBorders>
              <w:top w:val="single" w:color="auto" w:sz="4" w:space="0"/>
              <w:left w:val="single" w:color="auto" w:sz="4" w:space="0"/>
              <w:bottom w:val="single" w:color="auto" w:sz="4" w:space="0"/>
            </w:tcBorders>
            <w:shd w:val="clear" w:color="auto" w:fill="FFFFFF"/>
            <w:noWrap w:val="0"/>
            <w:vAlign w:val="top"/>
          </w:tcPr>
          <w:p w14:paraId="252AEC0D">
            <w:pPr>
              <w:spacing w:line="440" w:lineRule="exact"/>
              <w:jc w:val="left"/>
              <w:rPr>
                <w:rFonts w:ascii="宋体" w:hAnsi="宋体" w:cs="宋体"/>
                <w:szCs w:val="21"/>
              </w:rPr>
            </w:pPr>
          </w:p>
        </w:tc>
        <w:tc>
          <w:tcPr>
            <w:tcW w:w="1022" w:type="dxa"/>
            <w:tcBorders>
              <w:top w:val="single" w:color="auto" w:sz="4" w:space="0"/>
              <w:left w:val="single" w:color="auto" w:sz="4" w:space="0"/>
              <w:bottom w:val="single" w:color="auto" w:sz="4" w:space="0"/>
            </w:tcBorders>
            <w:shd w:val="clear" w:color="auto" w:fill="FFFFFF"/>
            <w:noWrap w:val="0"/>
            <w:vAlign w:val="top"/>
          </w:tcPr>
          <w:p w14:paraId="0F3433CB">
            <w:pPr>
              <w:spacing w:line="440" w:lineRule="exact"/>
              <w:jc w:val="left"/>
              <w:rPr>
                <w:rFonts w:ascii="宋体" w:hAnsi="宋体" w:cs="宋体"/>
                <w:szCs w:val="21"/>
              </w:rPr>
            </w:pPr>
          </w:p>
        </w:tc>
        <w:tc>
          <w:tcPr>
            <w:tcW w:w="1018" w:type="dxa"/>
            <w:tcBorders>
              <w:top w:val="single" w:color="auto" w:sz="4" w:space="0"/>
              <w:left w:val="single" w:color="auto" w:sz="4" w:space="0"/>
              <w:bottom w:val="single" w:color="auto" w:sz="4" w:space="0"/>
            </w:tcBorders>
            <w:shd w:val="clear" w:color="auto" w:fill="FFFFFF"/>
            <w:noWrap w:val="0"/>
            <w:vAlign w:val="top"/>
          </w:tcPr>
          <w:p w14:paraId="349875C8">
            <w:pPr>
              <w:spacing w:line="440" w:lineRule="exact"/>
              <w:jc w:val="left"/>
              <w:rPr>
                <w:rFonts w:ascii="宋体" w:hAnsi="宋体" w:cs="宋体"/>
                <w:szCs w:val="21"/>
              </w:rPr>
            </w:pPr>
          </w:p>
        </w:tc>
        <w:tc>
          <w:tcPr>
            <w:tcW w:w="1022" w:type="dxa"/>
            <w:tcBorders>
              <w:top w:val="single" w:color="auto" w:sz="4" w:space="0"/>
              <w:left w:val="single" w:color="auto" w:sz="4" w:space="0"/>
              <w:bottom w:val="single" w:color="auto" w:sz="4" w:space="0"/>
            </w:tcBorders>
            <w:shd w:val="clear" w:color="auto" w:fill="FFFFFF"/>
            <w:noWrap w:val="0"/>
            <w:vAlign w:val="top"/>
          </w:tcPr>
          <w:p w14:paraId="5B2C95E5">
            <w:pPr>
              <w:spacing w:line="440" w:lineRule="exact"/>
              <w:jc w:val="left"/>
              <w:rPr>
                <w:rFonts w:ascii="宋体" w:hAnsi="宋体" w:cs="宋体"/>
                <w:szCs w:val="21"/>
              </w:rPr>
            </w:pPr>
          </w:p>
        </w:tc>
        <w:tc>
          <w:tcPr>
            <w:tcW w:w="451" w:type="dxa"/>
            <w:tcBorders>
              <w:top w:val="single" w:color="auto" w:sz="4" w:space="0"/>
              <w:left w:val="single" w:color="auto" w:sz="4" w:space="0"/>
              <w:bottom w:val="single" w:color="auto" w:sz="4" w:space="0"/>
            </w:tcBorders>
            <w:shd w:val="clear" w:color="auto" w:fill="FFFFFF"/>
            <w:noWrap w:val="0"/>
            <w:vAlign w:val="top"/>
          </w:tcPr>
          <w:p w14:paraId="206C9424">
            <w:pPr>
              <w:spacing w:line="440" w:lineRule="exact"/>
              <w:jc w:val="left"/>
              <w:rPr>
                <w:rFonts w:ascii="宋体" w:hAnsi="宋体" w:cs="宋体"/>
                <w:szCs w:val="21"/>
              </w:rPr>
            </w:pPr>
          </w:p>
        </w:tc>
        <w:tc>
          <w:tcPr>
            <w:tcW w:w="682" w:type="dxa"/>
            <w:tcBorders>
              <w:top w:val="single" w:color="auto" w:sz="4" w:space="0"/>
              <w:left w:val="single" w:color="auto" w:sz="4" w:space="0"/>
              <w:bottom w:val="single" w:color="auto" w:sz="4" w:space="0"/>
            </w:tcBorders>
            <w:shd w:val="clear" w:color="auto" w:fill="FFFFFF"/>
            <w:noWrap w:val="0"/>
            <w:vAlign w:val="top"/>
          </w:tcPr>
          <w:p w14:paraId="2E622CB6">
            <w:pPr>
              <w:spacing w:line="440" w:lineRule="exact"/>
              <w:jc w:val="left"/>
              <w:rPr>
                <w:rFonts w:ascii="宋体" w:hAnsi="宋体" w:cs="宋体"/>
                <w:szCs w:val="21"/>
              </w:rPr>
            </w:pPr>
          </w:p>
        </w:tc>
        <w:tc>
          <w:tcPr>
            <w:tcW w:w="1142" w:type="dxa"/>
            <w:tcBorders>
              <w:top w:val="single" w:color="auto" w:sz="4" w:space="0"/>
              <w:left w:val="single" w:color="auto" w:sz="4" w:space="0"/>
              <w:bottom w:val="single" w:color="auto" w:sz="4" w:space="0"/>
              <w:right w:val="single" w:color="auto" w:sz="4" w:space="0"/>
            </w:tcBorders>
            <w:shd w:val="clear" w:color="auto" w:fill="FFFFFF"/>
            <w:noWrap w:val="0"/>
            <w:vAlign w:val="top"/>
          </w:tcPr>
          <w:p w14:paraId="2DCB4B49">
            <w:pPr>
              <w:spacing w:line="440" w:lineRule="exact"/>
              <w:jc w:val="left"/>
              <w:rPr>
                <w:rFonts w:ascii="宋体" w:hAnsi="宋体" w:cs="宋体"/>
                <w:szCs w:val="21"/>
              </w:rPr>
            </w:pPr>
          </w:p>
        </w:tc>
      </w:tr>
    </w:tbl>
    <w:p w14:paraId="440888B9">
      <w:pPr>
        <w:pStyle w:val="2"/>
        <w:numPr>
          <w:ilvl w:val="0"/>
          <w:numId w:val="0"/>
        </w:numPr>
        <w:bidi w:val="0"/>
        <w:ind w:left="482" w:leftChars="0"/>
      </w:pPr>
      <w:bookmarkStart w:id="637" w:name="bookmark1166"/>
      <w:bookmarkEnd w:id="637"/>
      <w:bookmarkStart w:id="638" w:name="bookmark1165"/>
      <w:bookmarkStart w:id="639" w:name="bookmark1167"/>
      <w:bookmarkStart w:id="640" w:name="bookmark1164"/>
      <w:bookmarkStart w:id="641" w:name="_Toc24903"/>
      <w:bookmarkStart w:id="642" w:name="_Toc14710345"/>
      <w:r>
        <w:t>11. 开工和竣工（完工）</w:t>
      </w:r>
      <w:bookmarkEnd w:id="638"/>
      <w:bookmarkEnd w:id="639"/>
      <w:bookmarkEnd w:id="640"/>
      <w:bookmarkEnd w:id="641"/>
      <w:bookmarkEnd w:id="642"/>
    </w:p>
    <w:p w14:paraId="6C4CAD1F">
      <w:pPr>
        <w:pStyle w:val="2"/>
        <w:numPr>
          <w:ilvl w:val="0"/>
          <w:numId w:val="0"/>
        </w:numPr>
        <w:bidi w:val="0"/>
        <w:ind w:left="482" w:leftChars="0"/>
      </w:pPr>
      <w:bookmarkStart w:id="643" w:name="_Toc23713"/>
      <w:bookmarkStart w:id="644" w:name="_Toc14710346"/>
      <w:bookmarkStart w:id="645" w:name="bookmark1168"/>
      <w:bookmarkStart w:id="646" w:name="bookmark1170"/>
      <w:bookmarkStart w:id="647" w:name="bookmark1169"/>
      <w:r>
        <w:t>11.1 开工</w:t>
      </w:r>
      <w:bookmarkEnd w:id="643"/>
      <w:bookmarkEnd w:id="644"/>
      <w:bookmarkEnd w:id="645"/>
      <w:bookmarkEnd w:id="646"/>
      <w:bookmarkEnd w:id="647"/>
    </w:p>
    <w:p w14:paraId="78B87EF0">
      <w:pPr>
        <w:pStyle w:val="11"/>
      </w:pPr>
      <w:r>
        <w:t>11.1.1监理人应在开工日期7天前向承包人发出开工通知。监理人在发出开工通知前应获得发包人同意。工期自监理人发出的开工通知中载明的开工日期起计算。承包人应 在开工日期后尽快施工。</w:t>
      </w:r>
    </w:p>
    <w:p w14:paraId="7859395D">
      <w:pPr>
        <w:pStyle w:val="11"/>
      </w:pPr>
      <w:r>
        <w:t>11.1.2承包人应按第10. 1款约定的合同进度计划，向监理人提交工程开工报审表, 经监理人审批后执行。开工报审表应详细说明按合同进度计划正常施工所需的施工道路、临时设施、材料设备、施工人员等施工组织措施的落实情况以及工程的进度安排。</w:t>
      </w:r>
    </w:p>
    <w:p w14:paraId="0F04A25F">
      <w:pPr>
        <w:pStyle w:val="11"/>
      </w:pPr>
      <w:r>
        <w:t>11.1.3若发包人未能按合同约定向承包人提供开工的必要条件，承包人有权要求延 长工期。监理人应在收到承包人的书面要求后，按第3. 5款的约定，与合同双方商定或确定增加的费用和延长的工期。</w:t>
      </w:r>
    </w:p>
    <w:p w14:paraId="303A8D8B">
      <w:pPr>
        <w:pStyle w:val="11"/>
      </w:pPr>
      <w:r>
        <w:t>11.1.4承包人在接到开工通知后14天内未按进度计划要求及时进场组织施工，监理人可通知承包人在接到通知后7天内提交一份说明其进场延误的书面报告，报送监理人。书面报告应说明不能及时进场的原因和补救措施，由此增加的费用和工期延误责任由承包人承担。</w:t>
      </w:r>
    </w:p>
    <w:p w14:paraId="621A8D6B">
      <w:pPr>
        <w:pStyle w:val="2"/>
        <w:numPr>
          <w:ilvl w:val="0"/>
          <w:numId w:val="0"/>
        </w:numPr>
        <w:bidi w:val="0"/>
        <w:ind w:left="482" w:leftChars="0"/>
      </w:pPr>
      <w:bookmarkStart w:id="648" w:name="bookmark1172"/>
      <w:bookmarkStart w:id="649" w:name="bookmark1173"/>
      <w:bookmarkStart w:id="650" w:name="_Toc14710347"/>
      <w:bookmarkStart w:id="651" w:name="bookmark1171"/>
      <w:bookmarkStart w:id="652" w:name="_Toc29025"/>
      <w:r>
        <w:t>11.2竣工(完工)</w:t>
      </w:r>
      <w:bookmarkEnd w:id="648"/>
      <w:bookmarkEnd w:id="649"/>
      <w:bookmarkEnd w:id="650"/>
      <w:bookmarkEnd w:id="651"/>
      <w:bookmarkEnd w:id="652"/>
    </w:p>
    <w:p w14:paraId="51BC016A">
      <w:pPr>
        <w:pStyle w:val="11"/>
      </w:pPr>
      <w:r>
        <w:t>承包人应在第1.1. 4. 3目约定的期限内完成合同工程。合同工程实际完工时间在合同工程完工证书中明确（以完工验收鉴定书或竣工验收鉴定书标明的验收日期为准，没有标明验收日期的则以印发鉴定书的日期为准）。</w:t>
      </w:r>
    </w:p>
    <w:p w14:paraId="41884CCD">
      <w:pPr>
        <w:pStyle w:val="2"/>
        <w:numPr>
          <w:ilvl w:val="0"/>
          <w:numId w:val="0"/>
        </w:numPr>
        <w:bidi w:val="0"/>
        <w:ind w:left="482" w:leftChars="0"/>
      </w:pPr>
      <w:bookmarkStart w:id="653" w:name="_Toc7284"/>
      <w:bookmarkStart w:id="654" w:name="bookmark1174"/>
      <w:bookmarkStart w:id="655" w:name="bookmark1176"/>
      <w:bookmarkStart w:id="656" w:name="bookmark1175"/>
      <w:bookmarkStart w:id="657" w:name="_Toc14710348"/>
      <w:r>
        <w:t>11.3发包人的工期延误</w:t>
      </w:r>
      <w:bookmarkEnd w:id="653"/>
      <w:bookmarkEnd w:id="654"/>
      <w:bookmarkEnd w:id="655"/>
      <w:bookmarkEnd w:id="656"/>
      <w:bookmarkEnd w:id="657"/>
    </w:p>
    <w:p w14:paraId="22A43591">
      <w:pPr>
        <w:pStyle w:val="11"/>
      </w:pPr>
      <w:r>
        <w:t>在履行合同过程中，由于发包人的下列原因造成工期延误的，承包人有权要求发包人延长工期和(或)增加费用，并支付合理利润。需要修订合同进度计划的，按照第10. 2款的约定办理。</w:t>
      </w:r>
    </w:p>
    <w:p w14:paraId="0409C38C">
      <w:pPr>
        <w:pStyle w:val="11"/>
      </w:pPr>
      <w:r>
        <w:rPr>
          <w:b w:val="0"/>
          <w:i w:val="0"/>
          <w:strike w:val="0"/>
          <w:color w:val="000000"/>
          <w:u w:val="none"/>
        </w:rPr>
        <w:t>(1)</w:t>
      </w:r>
      <w:r>
        <w:t>增加合同工作内容；</w:t>
      </w:r>
    </w:p>
    <w:p w14:paraId="047FDD48">
      <w:pPr>
        <w:pStyle w:val="11"/>
      </w:pPr>
      <w:r>
        <w:rPr>
          <w:b w:val="0"/>
          <w:i w:val="0"/>
          <w:strike w:val="0"/>
          <w:color w:val="000000"/>
          <w:u w:val="none"/>
        </w:rPr>
        <w:t>(2)</w:t>
      </w:r>
      <w:r>
        <w:t>改变合同中任何一项工作的质量要求或其他特性；</w:t>
      </w:r>
    </w:p>
    <w:p w14:paraId="53CDA2E7">
      <w:pPr>
        <w:pStyle w:val="11"/>
      </w:pPr>
      <w:r>
        <w:rPr>
          <w:b w:val="0"/>
          <w:i w:val="0"/>
          <w:strike w:val="0"/>
          <w:color w:val="000000"/>
          <w:u w:val="none"/>
        </w:rPr>
        <w:t>(3)</w:t>
      </w:r>
      <w:r>
        <w:t>发包人迟延提供材料、工程设备或变更交货地点的；</w:t>
      </w:r>
    </w:p>
    <w:p w14:paraId="565B7567">
      <w:pPr>
        <w:pStyle w:val="11"/>
      </w:pPr>
      <w:r>
        <w:rPr>
          <w:b w:val="0"/>
          <w:i w:val="0"/>
          <w:strike w:val="0"/>
          <w:color w:val="000000"/>
          <w:u w:val="none"/>
        </w:rPr>
        <w:t>(4)</w:t>
      </w:r>
      <w:r>
        <w:t>因发包人原因导致的暂停施工；</w:t>
      </w:r>
    </w:p>
    <w:p w14:paraId="3DD26290">
      <w:pPr>
        <w:pStyle w:val="11"/>
      </w:pPr>
      <w:r>
        <w:rPr>
          <w:b w:val="0"/>
          <w:i w:val="0"/>
          <w:strike w:val="0"/>
          <w:color w:val="000000"/>
          <w:u w:val="none"/>
        </w:rPr>
        <w:t>(5)</w:t>
      </w:r>
      <w:r>
        <w:t>提供图纸延误；</w:t>
      </w:r>
    </w:p>
    <w:p w14:paraId="09C45C6A">
      <w:pPr>
        <w:pStyle w:val="11"/>
      </w:pPr>
      <w:r>
        <w:rPr>
          <w:b w:val="0"/>
          <w:i w:val="0"/>
          <w:strike w:val="0"/>
          <w:color w:val="000000"/>
          <w:u w:val="none"/>
        </w:rPr>
        <w:t>(6)</w:t>
      </w:r>
      <w:r>
        <w:t>未按合同约定及时支付预付款、进度款；</w:t>
      </w:r>
    </w:p>
    <w:p w14:paraId="0DA7ECE5">
      <w:pPr>
        <w:pStyle w:val="11"/>
      </w:pPr>
      <w:r>
        <w:rPr>
          <w:b w:val="0"/>
          <w:i w:val="0"/>
          <w:strike w:val="0"/>
          <w:color w:val="000000"/>
          <w:u w:val="none"/>
        </w:rPr>
        <w:t>(7)</w:t>
      </w:r>
      <w:r>
        <w:t>发包人造成工期延误的其他原因。</w:t>
      </w:r>
    </w:p>
    <w:p w14:paraId="4D606B58">
      <w:pPr>
        <w:pStyle w:val="2"/>
        <w:numPr>
          <w:ilvl w:val="0"/>
          <w:numId w:val="0"/>
        </w:numPr>
        <w:bidi w:val="0"/>
        <w:ind w:left="482" w:leftChars="0"/>
      </w:pPr>
      <w:bookmarkStart w:id="658" w:name="bookmark1186"/>
      <w:bookmarkStart w:id="659" w:name="bookmark1184"/>
      <w:bookmarkStart w:id="660" w:name="_Toc10371"/>
      <w:bookmarkStart w:id="661" w:name="bookmark1185"/>
      <w:bookmarkStart w:id="662" w:name="_Toc14710349"/>
      <w:r>
        <w:t>11.4异常恶劣的气候条件</w:t>
      </w:r>
      <w:bookmarkEnd w:id="658"/>
      <w:bookmarkEnd w:id="659"/>
      <w:bookmarkEnd w:id="660"/>
      <w:bookmarkEnd w:id="661"/>
      <w:bookmarkEnd w:id="662"/>
    </w:p>
    <w:p w14:paraId="04E8AAC7">
      <w:pPr>
        <w:pStyle w:val="11"/>
      </w:pPr>
      <w:r>
        <w:t>11.4.1当工程所在地发生危及施工安全的异常恶劣气候时，发包人和承包人应按本合同通用合同条款第12条的约定，及时采取暂停施工或部分暂停施工措施。异常恶劣气候条件解除后，承包人应及时安排复工。</w:t>
      </w:r>
    </w:p>
    <w:p w14:paraId="6B95A716">
      <w:pPr>
        <w:pStyle w:val="11"/>
      </w:pPr>
      <w:r>
        <w:t>11.4.2异常恶劣气候条件造成的工期延误和工程损坏，应由发包人与承包人参照本合同通用合同条款第21. 3款的约定共同协商处理。</w:t>
      </w:r>
    </w:p>
    <w:p w14:paraId="749DB8C6">
      <w:pPr>
        <w:pStyle w:val="11"/>
      </w:pPr>
      <w:r>
        <w:t>11.4.3本合同工程界定异常恶劣气候条件的范围在专用合同条款中约定。</w:t>
      </w:r>
    </w:p>
    <w:p w14:paraId="443BE768">
      <w:pPr>
        <w:pStyle w:val="2"/>
        <w:numPr>
          <w:ilvl w:val="0"/>
          <w:numId w:val="0"/>
        </w:numPr>
        <w:bidi w:val="0"/>
        <w:ind w:left="482" w:leftChars="0"/>
      </w:pPr>
      <w:bookmarkStart w:id="663" w:name="_Toc1075"/>
      <w:bookmarkStart w:id="664" w:name="bookmark1187"/>
      <w:bookmarkStart w:id="665" w:name="bookmark1188"/>
      <w:bookmarkStart w:id="666" w:name="bookmark1189"/>
      <w:bookmarkStart w:id="667" w:name="_Toc14710350"/>
      <w:r>
        <w:t>11.5承包人工期延误</w:t>
      </w:r>
      <w:bookmarkEnd w:id="663"/>
      <w:bookmarkEnd w:id="664"/>
      <w:bookmarkEnd w:id="665"/>
      <w:bookmarkEnd w:id="666"/>
      <w:bookmarkEnd w:id="667"/>
    </w:p>
    <w:p w14:paraId="4A693CC6">
      <w:pPr>
        <w:pStyle w:val="11"/>
      </w:pPr>
      <w:r>
        <w:t>由于承包人原因，未能按合同进度计划完成工作，或监理人认为承包人施工进度不能满足合同工期要求的，承包人应采取措施加快进度，并承担加快进度所增加的费用。由于承包人原因造成工期延误，承包人应支付逾期竣工违约金。逾期竣工违约金的计算方法在专用合同条款中约定。承包人支付逾期竣工违约金，不免除承包人完成工程及修补缺陷的义务。</w:t>
      </w:r>
    </w:p>
    <w:p w14:paraId="7018268C">
      <w:pPr>
        <w:pStyle w:val="2"/>
        <w:numPr>
          <w:ilvl w:val="0"/>
          <w:numId w:val="0"/>
        </w:numPr>
        <w:bidi w:val="0"/>
        <w:ind w:left="482" w:leftChars="0"/>
      </w:pPr>
      <w:bookmarkStart w:id="668" w:name="bookmark1190"/>
      <w:bookmarkStart w:id="669" w:name="bookmark1192"/>
      <w:bookmarkStart w:id="670" w:name="_Toc14969"/>
      <w:bookmarkStart w:id="671" w:name="_Toc14710351"/>
      <w:bookmarkStart w:id="672" w:name="bookmark1191"/>
      <w:r>
        <w:t>11.6工期提前</w:t>
      </w:r>
      <w:bookmarkEnd w:id="668"/>
      <w:bookmarkEnd w:id="669"/>
      <w:bookmarkEnd w:id="670"/>
      <w:bookmarkEnd w:id="671"/>
      <w:bookmarkEnd w:id="672"/>
    </w:p>
    <w:p w14:paraId="59DD8795">
      <w:pPr>
        <w:pStyle w:val="11"/>
      </w:pPr>
      <w:r>
        <w:t>发包人要求承包人提前完工，或承包人提出提前完工的建议能够给发包人带来效益的， 应由监理人与承包人共同协商采取加快工程进度的措施和修订合同进度计划。发包人应承担承包人由此增加的费用，并向承包人支付专用合同条款约定的相应奖金。</w:t>
      </w:r>
    </w:p>
    <w:p w14:paraId="5CC12D5B">
      <w:pPr>
        <w:pStyle w:val="11"/>
      </w:pPr>
      <w:r>
        <w:t>发包人要求提前完工的，双方协商一致后应签订提前完工协议，协议内容包括：</w:t>
      </w:r>
    </w:p>
    <w:p w14:paraId="53104BD6">
      <w:pPr>
        <w:pStyle w:val="11"/>
      </w:pPr>
      <w:bookmarkStart w:id="673" w:name="bookmark1193"/>
      <w:bookmarkEnd w:id="673"/>
      <w:r>
        <w:rPr>
          <w:b w:val="0"/>
          <w:i w:val="0"/>
          <w:strike w:val="0"/>
          <w:color w:val="000000"/>
          <w:u w:val="none"/>
        </w:rPr>
        <w:t>(1)</w:t>
      </w:r>
      <w:r>
        <w:t>提前的时间和修订后的进度计划。</w:t>
      </w:r>
    </w:p>
    <w:p w14:paraId="4A6F604A">
      <w:pPr>
        <w:pStyle w:val="11"/>
      </w:pPr>
      <w:bookmarkStart w:id="674" w:name="bookmark1194"/>
      <w:bookmarkEnd w:id="674"/>
      <w:r>
        <w:rPr>
          <w:b w:val="0"/>
          <w:i w:val="0"/>
          <w:strike w:val="0"/>
          <w:color w:val="000000"/>
          <w:u w:val="none"/>
        </w:rPr>
        <w:t>(2)</w:t>
      </w:r>
      <w:r>
        <w:t>承包人的赶工措施。</w:t>
      </w:r>
    </w:p>
    <w:p w14:paraId="562431C7">
      <w:pPr>
        <w:pStyle w:val="11"/>
      </w:pPr>
      <w:r>
        <w:rPr>
          <w:b w:val="0"/>
          <w:i w:val="0"/>
          <w:strike w:val="0"/>
          <w:color w:val="000000"/>
          <w:u w:val="none"/>
        </w:rPr>
        <w:t>(3)</w:t>
      </w:r>
      <w:r>
        <w:t>发包人为赶工提供的条件。</w:t>
      </w:r>
    </w:p>
    <w:p w14:paraId="25D73B0C">
      <w:pPr>
        <w:pStyle w:val="11"/>
      </w:pPr>
      <w:bookmarkStart w:id="675" w:name="bookmark1196"/>
      <w:bookmarkEnd w:id="675"/>
      <w:r>
        <w:rPr>
          <w:b w:val="0"/>
          <w:i w:val="0"/>
          <w:strike w:val="0"/>
          <w:color w:val="000000"/>
          <w:u w:val="none"/>
        </w:rPr>
        <w:t>(4)</w:t>
      </w:r>
      <w:r>
        <w:t>赶工费用(包括利润和奖金)</w:t>
      </w:r>
    </w:p>
    <w:p w14:paraId="708A5D04">
      <w:pPr>
        <w:pStyle w:val="2"/>
        <w:numPr>
          <w:ilvl w:val="0"/>
          <w:numId w:val="0"/>
        </w:numPr>
        <w:bidi w:val="0"/>
        <w:ind w:left="482" w:leftChars="0"/>
      </w:pPr>
      <w:bookmarkStart w:id="676" w:name="_Toc8400"/>
      <w:bookmarkStart w:id="677" w:name="bookmark1199"/>
      <w:bookmarkStart w:id="678" w:name="bookmark1198"/>
      <w:bookmarkStart w:id="679" w:name="_Toc14710352"/>
      <w:bookmarkStart w:id="680" w:name="bookmark1197"/>
      <w:r>
        <w:t>12.暂停施工</w:t>
      </w:r>
      <w:bookmarkEnd w:id="676"/>
      <w:bookmarkEnd w:id="677"/>
      <w:bookmarkEnd w:id="678"/>
      <w:bookmarkEnd w:id="679"/>
      <w:bookmarkEnd w:id="680"/>
    </w:p>
    <w:p w14:paraId="1CA4D9CC">
      <w:pPr>
        <w:pStyle w:val="2"/>
        <w:numPr>
          <w:ilvl w:val="0"/>
          <w:numId w:val="0"/>
        </w:numPr>
        <w:bidi w:val="0"/>
        <w:ind w:left="482" w:leftChars="0"/>
      </w:pPr>
      <w:bookmarkStart w:id="681" w:name="bookmark1201"/>
      <w:bookmarkStart w:id="682" w:name="bookmark1200"/>
      <w:bookmarkStart w:id="683" w:name="bookmark1202"/>
      <w:bookmarkStart w:id="684" w:name="_Toc14710353"/>
      <w:bookmarkStart w:id="685" w:name="_Toc25279"/>
      <w:r>
        <w:t>12.1承包人暂停施工的责任</w:t>
      </w:r>
      <w:bookmarkEnd w:id="681"/>
      <w:bookmarkEnd w:id="682"/>
      <w:bookmarkEnd w:id="683"/>
      <w:bookmarkEnd w:id="684"/>
      <w:bookmarkEnd w:id="685"/>
    </w:p>
    <w:p w14:paraId="3FBF8A63">
      <w:pPr>
        <w:pStyle w:val="11"/>
      </w:pPr>
      <w:r>
        <w:t>因下列暂停施工增加的费用和(或)工期延误由承包人承担：</w:t>
      </w:r>
    </w:p>
    <w:p w14:paraId="5A596D35">
      <w:pPr>
        <w:pStyle w:val="11"/>
      </w:pPr>
      <w:bookmarkStart w:id="686" w:name="bookmark1203"/>
      <w:bookmarkEnd w:id="686"/>
      <w:r>
        <w:rPr>
          <w:b w:val="0"/>
          <w:i w:val="0"/>
          <w:strike w:val="0"/>
          <w:color w:val="000000"/>
          <w:u w:val="none"/>
        </w:rPr>
        <w:t>(1)</w:t>
      </w:r>
      <w:r>
        <w:t>承包人违约引起的暂停施工；</w:t>
      </w:r>
    </w:p>
    <w:p w14:paraId="70E56D12">
      <w:pPr>
        <w:pStyle w:val="11"/>
      </w:pPr>
      <w:bookmarkStart w:id="687" w:name="bookmark1204"/>
      <w:bookmarkEnd w:id="687"/>
      <w:r>
        <w:rPr>
          <w:b w:val="0"/>
          <w:i w:val="0"/>
          <w:strike w:val="0"/>
          <w:color w:val="000000"/>
          <w:u w:val="none"/>
        </w:rPr>
        <w:t>(2)</w:t>
      </w:r>
      <w:r>
        <w:t>由于承包人原因为工程合理施工和安全保障所必需的暂停施工；</w:t>
      </w:r>
    </w:p>
    <w:p w14:paraId="1FDCE8F4">
      <w:pPr>
        <w:pStyle w:val="11"/>
      </w:pPr>
      <w:bookmarkStart w:id="688" w:name="bookmark1205"/>
      <w:bookmarkEnd w:id="688"/>
      <w:r>
        <w:rPr>
          <w:b w:val="0"/>
          <w:i w:val="0"/>
          <w:strike w:val="0"/>
          <w:color w:val="000000"/>
          <w:u w:val="none"/>
        </w:rPr>
        <w:t>(3)</w:t>
      </w:r>
      <w:r>
        <w:t>承包人擅自暂停施工；</w:t>
      </w:r>
    </w:p>
    <w:p w14:paraId="4379EF37">
      <w:pPr>
        <w:pStyle w:val="11"/>
      </w:pPr>
      <w:bookmarkStart w:id="689" w:name="bookmark1206"/>
      <w:bookmarkEnd w:id="689"/>
      <w:r>
        <w:rPr>
          <w:b w:val="0"/>
          <w:i w:val="0"/>
          <w:strike w:val="0"/>
          <w:color w:val="000000"/>
          <w:u w:val="none"/>
        </w:rPr>
        <w:t>(4)</w:t>
      </w:r>
      <w:r>
        <w:t>承包人其他原因引起的暂停施工；</w:t>
      </w:r>
    </w:p>
    <w:p w14:paraId="7BD2A371">
      <w:pPr>
        <w:pStyle w:val="11"/>
      </w:pPr>
      <w:bookmarkStart w:id="690" w:name="bookmark1207"/>
      <w:bookmarkEnd w:id="690"/>
      <w:r>
        <w:rPr>
          <w:b w:val="0"/>
          <w:i w:val="0"/>
          <w:strike w:val="0"/>
          <w:color w:val="000000"/>
          <w:u w:val="none"/>
        </w:rPr>
        <w:t>(5)</w:t>
      </w:r>
      <w:r>
        <w:t>专用合同条款约定由承包人承担的其他暂停施工。</w:t>
      </w:r>
    </w:p>
    <w:p w14:paraId="189E39A1">
      <w:pPr>
        <w:pStyle w:val="2"/>
        <w:numPr>
          <w:ilvl w:val="0"/>
          <w:numId w:val="0"/>
        </w:numPr>
        <w:bidi w:val="0"/>
        <w:ind w:left="482" w:leftChars="0"/>
      </w:pPr>
      <w:bookmarkStart w:id="691" w:name="_Toc14710354"/>
      <w:bookmarkStart w:id="692" w:name="bookmark1208"/>
      <w:bookmarkStart w:id="693" w:name="_Toc19655"/>
      <w:bookmarkStart w:id="694" w:name="bookmark1210"/>
      <w:bookmarkStart w:id="695" w:name="bookmark1209"/>
      <w:r>
        <w:t>12.2发包人暂停施工的责任</w:t>
      </w:r>
      <w:bookmarkEnd w:id="691"/>
      <w:bookmarkEnd w:id="692"/>
      <w:bookmarkEnd w:id="693"/>
      <w:bookmarkEnd w:id="694"/>
      <w:bookmarkEnd w:id="695"/>
    </w:p>
    <w:p w14:paraId="61664F9E">
      <w:pPr>
        <w:pStyle w:val="11"/>
      </w:pPr>
      <w:r>
        <w:t>由于发包人原因引起的暂停施工造成工期延误的，承包人有权要求发包人延长工期和 (或)增加费用，并支付合理利润。属于下列任何一种情况引起的暂停施工，均为发包人的责任：</w:t>
      </w:r>
    </w:p>
    <w:p w14:paraId="3051C34C">
      <w:pPr>
        <w:pStyle w:val="11"/>
      </w:pPr>
      <w:bookmarkStart w:id="696" w:name="bookmark1211"/>
      <w:bookmarkEnd w:id="696"/>
      <w:r>
        <w:rPr>
          <w:b w:val="0"/>
          <w:i w:val="0"/>
          <w:strike w:val="0"/>
          <w:color w:val="000000"/>
          <w:u w:val="none"/>
        </w:rPr>
        <w:t>(1)</w:t>
      </w:r>
      <w:r>
        <w:t>由于发包人违约引起的暂停施工。</w:t>
      </w:r>
    </w:p>
    <w:p w14:paraId="52A86A46">
      <w:pPr>
        <w:pStyle w:val="11"/>
      </w:pPr>
      <w:bookmarkStart w:id="697" w:name="bookmark1212"/>
      <w:bookmarkEnd w:id="697"/>
      <w:r>
        <w:rPr>
          <w:b w:val="0"/>
          <w:i w:val="0"/>
          <w:strike w:val="0"/>
          <w:color w:val="000000"/>
          <w:u w:val="none"/>
        </w:rPr>
        <w:t>(2)</w:t>
      </w:r>
      <w:r>
        <w:t>由于不可抗力的自然或社会因素引起的暂停施工。</w:t>
      </w:r>
    </w:p>
    <w:p w14:paraId="293D3A4D">
      <w:pPr>
        <w:pStyle w:val="11"/>
      </w:pPr>
      <w:bookmarkStart w:id="698" w:name="bookmark1213"/>
      <w:bookmarkEnd w:id="698"/>
      <w:r>
        <w:rPr>
          <w:b w:val="0"/>
          <w:i w:val="0"/>
          <w:strike w:val="0"/>
          <w:color w:val="000000"/>
          <w:u w:val="none"/>
        </w:rPr>
        <w:t>(3)</w:t>
      </w:r>
      <w:r>
        <w:t>专用合同条款中约定的其它由于发包人原因引起的暂停施工。</w:t>
      </w:r>
    </w:p>
    <w:p w14:paraId="5F38DD83">
      <w:pPr>
        <w:pStyle w:val="2"/>
        <w:numPr>
          <w:ilvl w:val="0"/>
          <w:numId w:val="0"/>
        </w:numPr>
        <w:bidi w:val="0"/>
        <w:ind w:left="482" w:leftChars="0"/>
      </w:pPr>
      <w:bookmarkStart w:id="699" w:name="_Toc4901"/>
      <w:bookmarkStart w:id="700" w:name="bookmark1216"/>
      <w:bookmarkStart w:id="701" w:name="bookmark1215"/>
      <w:bookmarkStart w:id="702" w:name="bookmark1214"/>
      <w:bookmarkStart w:id="703" w:name="_Toc14710355"/>
      <w:r>
        <w:t>12.3监理人暂停施工指示</w:t>
      </w:r>
      <w:bookmarkEnd w:id="699"/>
      <w:bookmarkEnd w:id="700"/>
      <w:bookmarkEnd w:id="701"/>
      <w:bookmarkEnd w:id="702"/>
      <w:bookmarkEnd w:id="703"/>
    </w:p>
    <w:p w14:paraId="34A134B2">
      <w:pPr>
        <w:pStyle w:val="11"/>
      </w:pPr>
      <w:r>
        <w:t>12.3.1监理人认为有必要时，可向承包人作出暂停施工的指示，承包人应按监理人指示暂停施工。不论由于何种原因引起的暂停施工，暂停施工期间承包人应负责妥善保护工程并提供安全保障。</w:t>
      </w:r>
    </w:p>
    <w:p w14:paraId="12FA82FA">
      <w:pPr>
        <w:pStyle w:val="11"/>
      </w:pPr>
      <w:r>
        <w:t>12.3.2由于发包人的原因发生暂停施工的紧急情况，且监理人未及时下达暂停施工指示的，承包人可先暂停施工，并及时向监理人提出暂停施工的书面请求。监理人应在接到书面请求后的24小时内予以答复，逾期未答复的，视为同意承包人的暂停施工请求。</w:t>
      </w:r>
    </w:p>
    <w:p w14:paraId="06F6C0D4">
      <w:pPr>
        <w:pStyle w:val="2"/>
        <w:numPr>
          <w:ilvl w:val="0"/>
          <w:numId w:val="0"/>
        </w:numPr>
        <w:bidi w:val="0"/>
        <w:ind w:left="482" w:leftChars="0"/>
      </w:pPr>
      <w:bookmarkStart w:id="704" w:name="bookmark1217"/>
      <w:bookmarkStart w:id="705" w:name="bookmark1218"/>
      <w:bookmarkStart w:id="706" w:name="bookmark1219"/>
      <w:bookmarkStart w:id="707" w:name="_Toc14048"/>
      <w:bookmarkStart w:id="708" w:name="_Toc14710356"/>
      <w:r>
        <w:t>12.4暂停施工后的复工</w:t>
      </w:r>
      <w:bookmarkEnd w:id="704"/>
      <w:bookmarkEnd w:id="705"/>
      <w:bookmarkEnd w:id="706"/>
      <w:bookmarkEnd w:id="707"/>
      <w:bookmarkEnd w:id="708"/>
    </w:p>
    <w:p w14:paraId="558B1E3C">
      <w:pPr>
        <w:pStyle w:val="11"/>
      </w:pPr>
      <w:bookmarkStart w:id="709" w:name="bookmark1220"/>
      <w:bookmarkEnd w:id="709"/>
      <w:r>
        <w:t>12.4.1暂停施工后，监理人应与发包人和承包人协商，采取有效措施积极消除暂停施工的影响。当工程具备复工条件时，监理人应立即向承包人发出复工通知。承包人收到复工通知后，应在监理人指定的期限内复工。</w:t>
      </w:r>
    </w:p>
    <w:p w14:paraId="45E20162">
      <w:pPr>
        <w:pStyle w:val="11"/>
      </w:pPr>
      <w:bookmarkStart w:id="710" w:name="bookmark1221"/>
      <w:bookmarkEnd w:id="710"/>
      <w:r>
        <w:t>12.4. 2承包人无故拖延和拒绝复工的，由此增加的费用和工期延误由承包人承担；因发包人原因无法按时复工的，承包人有权要求发包人延长工期和(或)增加费用，并支付合理利润。</w:t>
      </w:r>
    </w:p>
    <w:p w14:paraId="5D86FF77">
      <w:pPr>
        <w:pStyle w:val="2"/>
        <w:numPr>
          <w:ilvl w:val="0"/>
          <w:numId w:val="0"/>
        </w:numPr>
        <w:bidi w:val="0"/>
        <w:ind w:left="482" w:leftChars="0"/>
      </w:pPr>
      <w:bookmarkStart w:id="711" w:name="bookmark1195"/>
      <w:bookmarkEnd w:id="711"/>
      <w:bookmarkStart w:id="712" w:name="_Toc6811"/>
      <w:bookmarkStart w:id="713" w:name="bookmark1222"/>
      <w:bookmarkStart w:id="714" w:name="bookmark1223"/>
      <w:bookmarkStart w:id="715" w:name="_Toc14710357"/>
      <w:bookmarkStart w:id="716" w:name="bookmark1224"/>
      <w:r>
        <w:t>12.5暂停施工持续56天以上</w:t>
      </w:r>
      <w:bookmarkEnd w:id="712"/>
      <w:bookmarkEnd w:id="713"/>
      <w:bookmarkEnd w:id="714"/>
      <w:bookmarkEnd w:id="715"/>
      <w:bookmarkEnd w:id="716"/>
    </w:p>
    <w:p w14:paraId="3F60C078">
      <w:pPr>
        <w:pStyle w:val="11"/>
      </w:pPr>
      <w:r>
        <w:t>12.5.1监理人发出暂停施工指示后56天内未向承包人发出复工通知，除了该项停工属于第12.1款的情况外，承包人可向监理人提交书面通知，要求监理人在收到书面通知后 28天内准许已暂停施工的工程或其中一部分工程继续施工。如监理人逾期不予批准，则承包人可以通知监理人，将工程受影响的部分视为按第15.1 (1)项的可取消工作。如暂停 施工影响到整个工程，可视为发包人违约，应按第22. 2款的约定办理。</w:t>
      </w:r>
    </w:p>
    <w:p w14:paraId="69F208FE">
      <w:pPr>
        <w:pStyle w:val="11"/>
      </w:pPr>
      <w:r>
        <w:t>12.5.2由于承包人责任引起的暂停施工，如承包人在收到监理人暂停施工指示后56 天内不认真采取有效的复工措施，造成工期延误，可视为承包人违约，应按第22.1款的约定办理。</w:t>
      </w:r>
    </w:p>
    <w:p w14:paraId="377A7F68">
      <w:pPr>
        <w:pStyle w:val="2"/>
        <w:numPr>
          <w:ilvl w:val="0"/>
          <w:numId w:val="0"/>
        </w:numPr>
        <w:bidi w:val="0"/>
        <w:ind w:left="482" w:leftChars="0"/>
      </w:pPr>
      <w:bookmarkStart w:id="717" w:name="bookmark1225"/>
      <w:bookmarkStart w:id="718" w:name="bookmark1226"/>
      <w:bookmarkStart w:id="719" w:name="_Toc10322"/>
      <w:bookmarkStart w:id="720" w:name="bookmark1227"/>
      <w:bookmarkStart w:id="721" w:name="_Toc14710358"/>
      <w:r>
        <w:t>13.工程质量</w:t>
      </w:r>
      <w:bookmarkEnd w:id="717"/>
      <w:bookmarkEnd w:id="718"/>
      <w:bookmarkEnd w:id="719"/>
      <w:bookmarkEnd w:id="720"/>
      <w:bookmarkEnd w:id="721"/>
    </w:p>
    <w:p w14:paraId="47F5D14E">
      <w:pPr>
        <w:pStyle w:val="2"/>
        <w:numPr>
          <w:ilvl w:val="0"/>
          <w:numId w:val="0"/>
        </w:numPr>
        <w:bidi w:val="0"/>
        <w:ind w:left="482" w:leftChars="0"/>
      </w:pPr>
      <w:bookmarkStart w:id="722" w:name="bookmark1230"/>
      <w:bookmarkStart w:id="723" w:name="_Toc9064"/>
      <w:bookmarkStart w:id="724" w:name="bookmark1228"/>
      <w:bookmarkStart w:id="725" w:name="bookmark1229"/>
      <w:bookmarkStart w:id="726" w:name="_Toc14710359"/>
      <w:r>
        <w:t>13.1工程质量要求</w:t>
      </w:r>
      <w:bookmarkEnd w:id="722"/>
      <w:bookmarkEnd w:id="723"/>
      <w:bookmarkEnd w:id="724"/>
      <w:bookmarkEnd w:id="725"/>
      <w:bookmarkEnd w:id="726"/>
    </w:p>
    <w:p w14:paraId="2F0A9856">
      <w:pPr>
        <w:pStyle w:val="11"/>
      </w:pPr>
      <w:bookmarkStart w:id="727" w:name="bookmark1231"/>
      <w:bookmarkEnd w:id="727"/>
      <w:r>
        <w:t>13.1.1工程质量验收按合同约定验收标准执行。</w:t>
      </w:r>
    </w:p>
    <w:p w14:paraId="779B234D">
      <w:pPr>
        <w:pStyle w:val="11"/>
      </w:pPr>
      <w:r>
        <w:t>13.1.2因承包人原因造成工程质量达不到合同约定验收标准的，监理人有权要求承包人返工直至符合合同要求为止，由此造成的费用增加和（或）工期延误由承包人承担。</w:t>
      </w:r>
    </w:p>
    <w:p w14:paraId="7DC0DDD7">
      <w:pPr>
        <w:pStyle w:val="11"/>
      </w:pPr>
      <w:r>
        <w:t>13.1.3因发包人原因造成工程质量达不到合同约定验收标准的，发包人应承担由于承包人返工造成的费用增加和（或）工期延误，并支付承包人合理利润。</w:t>
      </w:r>
    </w:p>
    <w:p w14:paraId="3601BF7E">
      <w:pPr>
        <w:pStyle w:val="2"/>
        <w:numPr>
          <w:ilvl w:val="0"/>
          <w:numId w:val="0"/>
        </w:numPr>
        <w:bidi w:val="0"/>
        <w:ind w:left="482" w:leftChars="0"/>
      </w:pPr>
      <w:bookmarkStart w:id="728" w:name="bookmark1232"/>
      <w:bookmarkStart w:id="729" w:name="_Toc6308"/>
      <w:bookmarkStart w:id="730" w:name="bookmark1234"/>
      <w:bookmarkStart w:id="731" w:name="_Toc14710360"/>
      <w:bookmarkStart w:id="732" w:name="bookmark1233"/>
      <w:r>
        <w:t>13.2承包人的质量管理</w:t>
      </w:r>
      <w:bookmarkEnd w:id="728"/>
      <w:bookmarkEnd w:id="729"/>
      <w:bookmarkEnd w:id="730"/>
      <w:bookmarkEnd w:id="731"/>
      <w:bookmarkEnd w:id="732"/>
    </w:p>
    <w:p w14:paraId="11840574">
      <w:pPr>
        <w:pStyle w:val="11"/>
      </w:pPr>
      <w:r>
        <w:t>13.2.1承包人应在施工场地设置专门的质量检查机构，配备专职质量检查人员，建立完善的质量检查制度。承包人应按技术标准和要求（合同技术条款）约定的内容和期限, 编制工程质量保证措施文件，包括质量检查机构的组织和岗位责任、质量检查人员的组成、质量检查程序和实施细则等，提交监理人监批。监理人应在技术标准和要求（合同技术条 款）约定期限内批复承包人。</w:t>
      </w:r>
    </w:p>
    <w:p w14:paraId="394E5EA8">
      <w:pPr>
        <w:pStyle w:val="11"/>
      </w:pPr>
      <w:bookmarkStart w:id="733" w:name="bookmark1235"/>
      <w:bookmarkEnd w:id="733"/>
      <w:r>
        <w:t>13.2. 2承包人应加强对施工人员的质量教育和技术培训，定期考核施工人员的劳动 技能，严格执行规范和操作规程。</w:t>
      </w:r>
    </w:p>
    <w:p w14:paraId="35016632">
      <w:pPr>
        <w:pStyle w:val="2"/>
        <w:numPr>
          <w:ilvl w:val="0"/>
          <w:numId w:val="0"/>
        </w:numPr>
        <w:bidi w:val="0"/>
        <w:ind w:left="482" w:leftChars="0"/>
      </w:pPr>
      <w:bookmarkStart w:id="734" w:name="bookmark1238"/>
      <w:bookmarkStart w:id="735" w:name="bookmark1236"/>
      <w:bookmarkStart w:id="736" w:name="bookmark1237"/>
      <w:bookmarkStart w:id="737" w:name="_Toc19429"/>
      <w:bookmarkStart w:id="738" w:name="_Toc14710361"/>
      <w:r>
        <w:t>13.3承包人的质量检查</w:t>
      </w:r>
      <w:bookmarkEnd w:id="734"/>
      <w:bookmarkEnd w:id="735"/>
      <w:bookmarkEnd w:id="736"/>
      <w:bookmarkEnd w:id="737"/>
      <w:bookmarkEnd w:id="738"/>
    </w:p>
    <w:p w14:paraId="3EC6D91C">
      <w:pPr>
        <w:pStyle w:val="11"/>
      </w:pPr>
      <w:r>
        <w:t>承包人应按合同约定对材料、工程设备以及工程的所有部位及其施工工艺进行全过程的质量检查和检验，并作详细记录，编制工程质量报表，报送监理人审查。</w:t>
      </w:r>
    </w:p>
    <w:p w14:paraId="73040FD0">
      <w:pPr>
        <w:pStyle w:val="2"/>
        <w:numPr>
          <w:ilvl w:val="0"/>
          <w:numId w:val="0"/>
        </w:numPr>
        <w:bidi w:val="0"/>
        <w:ind w:left="482" w:leftChars="0"/>
      </w:pPr>
      <w:bookmarkStart w:id="739" w:name="bookmark1239"/>
      <w:bookmarkStart w:id="740" w:name="_Toc14710362"/>
      <w:bookmarkStart w:id="741" w:name="bookmark1240"/>
      <w:bookmarkStart w:id="742" w:name="_Toc26103"/>
      <w:bookmarkStart w:id="743" w:name="bookmark1241"/>
      <w:r>
        <w:t>13.4监理人的质量检查</w:t>
      </w:r>
      <w:bookmarkEnd w:id="739"/>
      <w:bookmarkEnd w:id="740"/>
      <w:bookmarkEnd w:id="741"/>
      <w:bookmarkEnd w:id="742"/>
      <w:bookmarkEnd w:id="743"/>
    </w:p>
    <w:p w14:paraId="625A82EE">
      <w:pPr>
        <w:pStyle w:val="11"/>
      </w:pPr>
      <w:r>
        <w:t>监理人有权对工程的所有部位及其施工工艺、材料和工程设备进行检查和检验。承包人应为监理人的检查和检验提供方便，包括监理人到施工场地，或制造、加工地点，或合同约定的其他地方进行察看和查阅施工原始记录。承包人还应按监理人指示，进行施工场地取样试验、工程复核测量和设备性能检测，提供试验样品、提交试验报告和测量成果以及监理人要求进行的其他工作。监理人的检查和检验，不免除承包人按合同约定应负的责任。</w:t>
      </w:r>
    </w:p>
    <w:p w14:paraId="17F0EECF">
      <w:pPr>
        <w:pStyle w:val="2"/>
        <w:numPr>
          <w:ilvl w:val="0"/>
          <w:numId w:val="0"/>
        </w:numPr>
        <w:bidi w:val="0"/>
        <w:ind w:left="482" w:leftChars="0"/>
      </w:pPr>
      <w:bookmarkStart w:id="744" w:name="bookmark1242"/>
      <w:bookmarkStart w:id="745" w:name="_Toc14710363"/>
      <w:bookmarkStart w:id="746" w:name="_Toc30255"/>
      <w:bookmarkStart w:id="747" w:name="bookmark1244"/>
      <w:bookmarkStart w:id="748" w:name="bookmark1243"/>
      <w:r>
        <w:t>13.5工程隐蔽部位覆盖前的检查</w:t>
      </w:r>
      <w:bookmarkEnd w:id="744"/>
      <w:bookmarkEnd w:id="745"/>
      <w:bookmarkEnd w:id="746"/>
      <w:bookmarkEnd w:id="747"/>
      <w:bookmarkEnd w:id="748"/>
    </w:p>
    <w:p w14:paraId="11EE4DD8">
      <w:pPr>
        <w:pStyle w:val="2"/>
        <w:numPr>
          <w:ilvl w:val="0"/>
          <w:numId w:val="0"/>
        </w:numPr>
        <w:bidi w:val="0"/>
        <w:ind w:left="482" w:leftChars="0"/>
      </w:pPr>
      <w:bookmarkStart w:id="749" w:name="bookmark1245"/>
      <w:bookmarkEnd w:id="749"/>
      <w:r>
        <w:t>13.5. 1通知监理人检查</w:t>
      </w:r>
    </w:p>
    <w:p w14:paraId="7853BE5C">
      <w:pPr>
        <w:pStyle w:val="11"/>
      </w:pPr>
      <w:r>
        <w:t>经承包人自检确认的工程隐蔽部位具备覆盖条件后，承包人应通知监理人在约定的期 限内检查。承包人的通知应附有自检记录和必要的检查资料。监理人应按时到场检查。经监理人检查确认质量符合隐蔽要求，并在检查记录上签字后，承包人才能进行覆盖。监理人检查确认质量不合格的，承包人应在监理人指示的时间内修整返工后，由监理人重新检查。</w:t>
      </w:r>
    </w:p>
    <w:p w14:paraId="5B27F416">
      <w:pPr>
        <w:pStyle w:val="2"/>
        <w:numPr>
          <w:ilvl w:val="0"/>
          <w:numId w:val="0"/>
        </w:numPr>
        <w:bidi w:val="0"/>
        <w:ind w:left="482" w:leftChars="0"/>
      </w:pPr>
      <w:r>
        <w:t>13.5.2监理人未到场检查</w:t>
      </w:r>
    </w:p>
    <w:p w14:paraId="25FD380B">
      <w:pPr>
        <w:pStyle w:val="11"/>
      </w:pPr>
      <w:r>
        <w:t>监理人未按第13.5.1项约定的时间进行检查的，除监理人另有指示外，承包人可自行完成覆盖工作，并作相应记录报送监理人，监理人应签字确认。监理人事后对检查记录有疑问的，可按第13.5.3项的约定重新检查。</w:t>
      </w:r>
    </w:p>
    <w:p w14:paraId="6148FF1E">
      <w:pPr>
        <w:pStyle w:val="2"/>
        <w:numPr>
          <w:ilvl w:val="0"/>
          <w:numId w:val="0"/>
        </w:numPr>
        <w:bidi w:val="0"/>
        <w:ind w:left="482" w:leftChars="0"/>
      </w:pPr>
      <w:r>
        <w:t>13.5.3监理人重新检查</w:t>
      </w:r>
    </w:p>
    <w:p w14:paraId="76CA7A4E">
      <w:pPr>
        <w:pStyle w:val="11"/>
      </w:pPr>
      <w:r>
        <w:t>承包人按第13. 5. 1项或第13. 5. 2项覆盖工程隐蔽部位后，监理人对质量有疑问的，可要求承包人对已覆盖的部位进行钻孔探测或揭开重新检验，承包人应遵照执行，并在检 验后重新覆盖恢复原状。经检验证明工程质量符合合同要求的，由发包人承担由此增加的费用和（或）工期延误，并支付承包人合理利润；经检验证明工程质量不符合合同要求的，由此增加的费用和（或）工期延误由承包人承担。</w:t>
      </w:r>
    </w:p>
    <w:p w14:paraId="04669669">
      <w:pPr>
        <w:pStyle w:val="2"/>
        <w:numPr>
          <w:ilvl w:val="0"/>
          <w:numId w:val="0"/>
        </w:numPr>
        <w:bidi w:val="0"/>
        <w:ind w:left="482" w:leftChars="0"/>
      </w:pPr>
      <w:r>
        <w:t>13.5.4承包人私自覆盖</w:t>
      </w:r>
    </w:p>
    <w:p w14:paraId="5E542E54">
      <w:pPr>
        <w:pStyle w:val="11"/>
      </w:pPr>
      <w:r>
        <w:t>承包人未通知监理人到场检查，私自将工程隐蔽部位覆盖的，监理人有权指示承包人钻孔探测或揭开检查，由此增加的费用和（或）工期延误由承包人承担。</w:t>
      </w:r>
    </w:p>
    <w:p w14:paraId="28E5C17E">
      <w:pPr>
        <w:pStyle w:val="2"/>
        <w:numPr>
          <w:ilvl w:val="0"/>
          <w:numId w:val="0"/>
        </w:numPr>
        <w:bidi w:val="0"/>
        <w:ind w:left="482" w:leftChars="0"/>
      </w:pPr>
      <w:bookmarkStart w:id="750" w:name="bookmark1247"/>
      <w:bookmarkStart w:id="751" w:name="_Toc14710364"/>
      <w:bookmarkStart w:id="752" w:name="bookmark1246"/>
      <w:bookmarkStart w:id="753" w:name="bookmark1248"/>
      <w:bookmarkStart w:id="754" w:name="_Toc31851"/>
      <w:r>
        <w:t>13.6清除不合格工程</w:t>
      </w:r>
      <w:bookmarkEnd w:id="750"/>
      <w:bookmarkEnd w:id="751"/>
      <w:bookmarkEnd w:id="752"/>
      <w:bookmarkEnd w:id="753"/>
      <w:bookmarkEnd w:id="754"/>
    </w:p>
    <w:p w14:paraId="0D98B65C">
      <w:pPr>
        <w:pStyle w:val="11"/>
      </w:pPr>
      <w:r>
        <w:t>13.6.1承包人使用不合格材料、工程设备，或采用不适当的施工工艺，或施工不当， 造成工程不合格的，监理人可以随时发出指示，要求承包人立即采取措施进行补救，直至达到合同要求的质量标准，由此增加的费用和（或）工期延误由承包人承担。</w:t>
      </w:r>
    </w:p>
    <w:p w14:paraId="4F130047">
      <w:pPr>
        <w:pStyle w:val="11"/>
      </w:pPr>
      <w:r>
        <w:t>13.6.2由于发包人提供的材料或工程设备不合格造成的工程不合格，需要承包人采取措施补救的，发包人应承担由此增加的费用和（或）工期延误，并支付承包人合理利润。</w:t>
      </w:r>
    </w:p>
    <w:p w14:paraId="34B492E0">
      <w:pPr>
        <w:pStyle w:val="2"/>
        <w:numPr>
          <w:ilvl w:val="0"/>
          <w:numId w:val="0"/>
        </w:numPr>
        <w:bidi w:val="0"/>
        <w:ind w:left="482" w:leftChars="0"/>
      </w:pPr>
      <w:bookmarkStart w:id="755" w:name="_Toc14710365"/>
      <w:bookmarkStart w:id="756" w:name="_Toc3708"/>
      <w:r>
        <w:t>13.7质量评定</w:t>
      </w:r>
      <w:bookmarkEnd w:id="755"/>
      <w:bookmarkEnd w:id="756"/>
    </w:p>
    <w:p w14:paraId="036147DB">
      <w:pPr>
        <w:pStyle w:val="11"/>
      </w:pPr>
      <w:r>
        <w:t>13.7.1发包人应组织承包人进行工程项目划分，并确定单位工程、主要分部工程、重要隐蔽单元工程和关键部位单元工程。</w:t>
      </w:r>
    </w:p>
    <w:p w14:paraId="35B2E0B2">
      <w:pPr>
        <w:pStyle w:val="11"/>
      </w:pPr>
      <w:r>
        <w:t>13.7.2工程实施过程中，单位工程、主要分部工程、重要隐蔽单元工程和关键部位单元工程的项目划分需要调整时，承包人应报发包人确认。</w:t>
      </w:r>
    </w:p>
    <w:p w14:paraId="6535BB99">
      <w:pPr>
        <w:pStyle w:val="11"/>
      </w:pPr>
      <w:r>
        <w:t>13.7.3承包人应在单元（工序）工程质量自评合格后，报监理人核定质量等级并签证认可。</w:t>
      </w:r>
    </w:p>
    <w:p w14:paraId="0C334FCF">
      <w:pPr>
        <w:pStyle w:val="11"/>
      </w:pPr>
      <w:r>
        <w:t>13.7.4除专用合同条款另有约定外，承包人应在重要隐蔽单元工程和关键部位单元工程质量自评合格后以及监理人抽检后，由监理人组织承包人等单位组成的联合小组，共同检查核定其质量等级并填写签证表。发包人按有关规定完成质量结论报工程质量监督机构核备手续。</w:t>
      </w:r>
    </w:p>
    <w:p w14:paraId="1C319D39">
      <w:pPr>
        <w:pStyle w:val="11"/>
      </w:pPr>
      <w:r>
        <w:t>13.7.5承包人应在分部工程质量自评合格后，报监理人复核和发包人认定。发包人负责按有关规定完成分部工程质量结论报工程质量监督机构核备（核定）手续。</w:t>
      </w:r>
    </w:p>
    <w:p w14:paraId="6230D233">
      <w:pPr>
        <w:pStyle w:val="11"/>
      </w:pPr>
      <w:r>
        <w:t>13.7.6承包人应在单位工程质量自评合格后，报监理人复核和发包人认定。发包人负责按有关规定完成单位工程质量结论报工程质量监督机构核定手续。</w:t>
      </w:r>
    </w:p>
    <w:p w14:paraId="511697C5">
      <w:pPr>
        <w:pStyle w:val="11"/>
      </w:pPr>
      <w:r>
        <w:t>13.7.7除专用合同条款另有约定外，工程质量等级分为合格和优良，应分别达到约定的标准。</w:t>
      </w:r>
    </w:p>
    <w:p w14:paraId="439C6FF7">
      <w:pPr>
        <w:pStyle w:val="2"/>
        <w:numPr>
          <w:ilvl w:val="0"/>
          <w:numId w:val="0"/>
        </w:numPr>
        <w:bidi w:val="0"/>
        <w:ind w:left="482" w:leftChars="0"/>
      </w:pPr>
      <w:bookmarkStart w:id="757" w:name="bookmark1250"/>
      <w:bookmarkStart w:id="758" w:name="bookmark1249"/>
      <w:bookmarkStart w:id="759" w:name="_Toc19883"/>
      <w:bookmarkStart w:id="760" w:name="_Toc14710366"/>
      <w:bookmarkStart w:id="761" w:name="bookmark1251"/>
      <w:r>
        <w:t>13.8质量事故处理</w:t>
      </w:r>
      <w:bookmarkEnd w:id="757"/>
      <w:bookmarkEnd w:id="758"/>
      <w:bookmarkEnd w:id="759"/>
      <w:bookmarkEnd w:id="760"/>
      <w:bookmarkEnd w:id="761"/>
    </w:p>
    <w:p w14:paraId="4B242631">
      <w:pPr>
        <w:pStyle w:val="11"/>
      </w:pPr>
      <w:r>
        <w:t>13.8.1发生质量事故时，承包人应及时向发包人和监理人报告。</w:t>
      </w:r>
    </w:p>
    <w:p w14:paraId="2042D812">
      <w:pPr>
        <w:pStyle w:val="11"/>
      </w:pPr>
      <w:r>
        <w:t>13.8.2质量事故调查处理由发包人按相关规定履行手续，承包人应配合。</w:t>
      </w:r>
    </w:p>
    <w:p w14:paraId="57E48EFC">
      <w:pPr>
        <w:pStyle w:val="11"/>
      </w:pPr>
      <w:r>
        <w:t>13.8.3承包人应对质量缺陷进行备案。发包人委托监理人对质量缺陷备案情况进行监督检查并履行相关手续。</w:t>
      </w:r>
    </w:p>
    <w:p w14:paraId="4E5D5EAD">
      <w:pPr>
        <w:pStyle w:val="11"/>
      </w:pPr>
      <w:r>
        <w:t>13.8.4除专用合同条款另有约定外，工程竣工验收时，发包人负责向竣工验收委员会汇报并提交历次质量缺陷处理的备案资料。</w:t>
      </w:r>
    </w:p>
    <w:p w14:paraId="062F9C36">
      <w:pPr>
        <w:pStyle w:val="2"/>
        <w:numPr>
          <w:ilvl w:val="0"/>
          <w:numId w:val="0"/>
        </w:numPr>
        <w:bidi w:val="0"/>
        <w:ind w:left="482" w:leftChars="0"/>
      </w:pPr>
      <w:bookmarkStart w:id="762" w:name="_Toc17645"/>
      <w:bookmarkStart w:id="763" w:name="bookmark1253"/>
      <w:bookmarkStart w:id="764" w:name="bookmark1254"/>
      <w:bookmarkStart w:id="765" w:name="bookmark1252"/>
      <w:bookmarkStart w:id="766" w:name="_Toc14710367"/>
      <w:r>
        <w:t>14 .试验和检验</w:t>
      </w:r>
      <w:bookmarkEnd w:id="762"/>
      <w:bookmarkEnd w:id="763"/>
      <w:bookmarkEnd w:id="764"/>
      <w:bookmarkEnd w:id="765"/>
      <w:bookmarkEnd w:id="766"/>
    </w:p>
    <w:p w14:paraId="216D766B">
      <w:pPr>
        <w:pStyle w:val="2"/>
        <w:numPr>
          <w:ilvl w:val="0"/>
          <w:numId w:val="0"/>
        </w:numPr>
        <w:bidi w:val="0"/>
        <w:ind w:left="482" w:leftChars="0"/>
      </w:pPr>
      <w:bookmarkStart w:id="767" w:name="bookmark1257"/>
      <w:bookmarkStart w:id="768" w:name="_Toc16875"/>
      <w:bookmarkStart w:id="769" w:name="_Toc14710368"/>
      <w:bookmarkStart w:id="770" w:name="bookmark1256"/>
      <w:bookmarkStart w:id="771" w:name="bookmark1255"/>
      <w:r>
        <w:t>14.1材料、工程设备和工程的试验和检验</w:t>
      </w:r>
      <w:bookmarkEnd w:id="767"/>
      <w:bookmarkEnd w:id="768"/>
      <w:bookmarkEnd w:id="769"/>
      <w:bookmarkEnd w:id="770"/>
      <w:bookmarkEnd w:id="771"/>
    </w:p>
    <w:p w14:paraId="65371204">
      <w:pPr>
        <w:pStyle w:val="11"/>
      </w:pPr>
      <w:bookmarkStart w:id="772" w:name="bookmark1258"/>
      <w:bookmarkEnd w:id="772"/>
      <w:r>
        <w:t>14.1.1承包人应按合同约定进行材料、工程设备和工程的试验和检验，并为监理人对上述材料、工程设备和工程的质量检查提供必要的试验资料和原始记录。按合同约定应由监理人与承包人共同进行试验和检验的，由承包人负责提供必要的试验资料和原始记录。</w:t>
      </w:r>
    </w:p>
    <w:p w14:paraId="0FE59DFC">
      <w:pPr>
        <w:pStyle w:val="11"/>
      </w:pPr>
      <w:r>
        <w:t>14.1.2监理人未按合同约定派员参加试验和检验的，除监理人另有指示外，承包人可自行试验和检验，并应立即将试验和检验结果报送监理人，监理人应签字确认。</w:t>
      </w:r>
    </w:p>
    <w:p w14:paraId="108DFA26">
      <w:pPr>
        <w:pStyle w:val="11"/>
      </w:pPr>
      <w:r>
        <w:t>14.1.3监理人对承包人的试验和检验结果有疑问的，或为查清承包人试验和检验成果的可靠性要求承包人重新试验和检验的，可按合同约定由监理人与承包人共同进行。重新试验和检验的结果证明该项材料、工程设备或工程的质量不符合合同要求的，由此增加的费用和（或）工期延误由承包人承担；重新试验和检验结果证明该项材料、工程设备和工程符合合同要求，由发包人承担由此增加的费用和（或）工期延误，并支付承包人合理利润。</w:t>
      </w:r>
    </w:p>
    <w:p w14:paraId="79EE36B3">
      <w:pPr>
        <w:pStyle w:val="11"/>
      </w:pPr>
      <w:r>
        <w:t>14.1.4承包人应按相关规定和标准对水泥、钢材等原材料与中间产品质量进行检验, 并报监理人复核。</w:t>
      </w:r>
    </w:p>
    <w:p w14:paraId="1C52D6BB">
      <w:pPr>
        <w:pStyle w:val="11"/>
      </w:pPr>
      <w:r>
        <w:t>14.1.5除专用合同条款另有约定外，水工金属结构、启闭机及机电产品进场后，监理人组织发包人按合同进行交货检查和验收。安装前，承包人应检查产品是否有出厂合格证、设备安装说明书及有关技术文件，对在运输和存放过程中发生的变形、受潮、损坏等问题应作好记录，并进行妥善处理。</w:t>
      </w:r>
    </w:p>
    <w:p w14:paraId="464EA109">
      <w:pPr>
        <w:pStyle w:val="11"/>
      </w:pPr>
      <w:r>
        <w:t>14.1.6对专用合同条款约定的试块、试件及有关材料，监理人实行见证取样。见证取样资料由承包人制备，记录应真实齐全，监理人、承包人等参与见证取样人员均应在相关文件上签字。</w:t>
      </w:r>
    </w:p>
    <w:p w14:paraId="66D9148F">
      <w:pPr>
        <w:pStyle w:val="2"/>
        <w:numPr>
          <w:ilvl w:val="0"/>
          <w:numId w:val="0"/>
        </w:numPr>
        <w:bidi w:val="0"/>
        <w:ind w:left="482" w:leftChars="0"/>
      </w:pPr>
      <w:bookmarkStart w:id="773" w:name="bookmark1259"/>
      <w:bookmarkStart w:id="774" w:name="bookmark1261"/>
      <w:bookmarkStart w:id="775" w:name="_Toc24338"/>
      <w:bookmarkStart w:id="776" w:name="bookmark1260"/>
      <w:bookmarkStart w:id="777" w:name="_Toc14710369"/>
      <w:r>
        <w:t>14.2现场材料试验</w:t>
      </w:r>
      <w:bookmarkEnd w:id="773"/>
      <w:bookmarkEnd w:id="774"/>
      <w:bookmarkEnd w:id="775"/>
      <w:bookmarkEnd w:id="776"/>
      <w:bookmarkEnd w:id="777"/>
    </w:p>
    <w:p w14:paraId="20E64F5B">
      <w:pPr>
        <w:pStyle w:val="11"/>
      </w:pPr>
      <w:bookmarkStart w:id="778" w:name="bookmark1262"/>
      <w:bookmarkEnd w:id="778"/>
      <w:r>
        <w:t>14.2.1承包人根据合同约定或监理人指示进行的现场材料试验，应由承包人提供试 验场所、试验人员、试验设备器材以及其他必要的试验条件。</w:t>
      </w:r>
    </w:p>
    <w:p w14:paraId="40013149">
      <w:pPr>
        <w:pStyle w:val="11"/>
      </w:pPr>
      <w:bookmarkStart w:id="779" w:name="bookmark1263"/>
      <w:bookmarkEnd w:id="779"/>
      <w:r>
        <w:t>14.2.2监理人在必要时可以使用承包人的试验场所、试验设备器材以及其他试验条件，进行以工程质量检查为目的的复核性材料试验，承包人应予以协助。</w:t>
      </w:r>
    </w:p>
    <w:p w14:paraId="0804F31C">
      <w:pPr>
        <w:pStyle w:val="2"/>
        <w:numPr>
          <w:ilvl w:val="0"/>
          <w:numId w:val="0"/>
        </w:numPr>
        <w:bidi w:val="0"/>
        <w:ind w:left="482" w:leftChars="0"/>
      </w:pPr>
      <w:bookmarkStart w:id="780" w:name="bookmark1266"/>
      <w:bookmarkStart w:id="781" w:name="_Toc14710370"/>
      <w:bookmarkStart w:id="782" w:name="_Toc21991"/>
      <w:bookmarkStart w:id="783" w:name="bookmark1264"/>
      <w:bookmarkStart w:id="784" w:name="bookmark1265"/>
      <w:r>
        <w:t>14.3现场工艺试验</w:t>
      </w:r>
      <w:bookmarkEnd w:id="780"/>
      <w:bookmarkEnd w:id="781"/>
      <w:bookmarkEnd w:id="782"/>
      <w:bookmarkEnd w:id="783"/>
      <w:bookmarkEnd w:id="784"/>
    </w:p>
    <w:p w14:paraId="78B3613E">
      <w:pPr>
        <w:pStyle w:val="11"/>
      </w:pPr>
      <w:r>
        <w:t>承包人应按合同约定或监理人指示进行现场工艺试验。对大型的现场工艺试验，监理人认为必要时，应由承包人根据监理人提出的工艺试验要求，编制工艺试验措施计划，报送监理人审批。</w:t>
      </w:r>
    </w:p>
    <w:p w14:paraId="366DC35F">
      <w:pPr>
        <w:pStyle w:val="2"/>
        <w:numPr>
          <w:ilvl w:val="0"/>
          <w:numId w:val="0"/>
        </w:numPr>
        <w:bidi w:val="0"/>
        <w:ind w:left="482" w:leftChars="0"/>
      </w:pPr>
      <w:bookmarkStart w:id="785" w:name="_Toc14710371"/>
      <w:bookmarkStart w:id="786" w:name="_Toc9858"/>
      <w:bookmarkStart w:id="787" w:name="bookmark1269"/>
      <w:bookmarkStart w:id="788" w:name="bookmark1268"/>
      <w:bookmarkStart w:id="789" w:name="bookmark1267"/>
      <w:r>
        <w:t>15.变更</w:t>
      </w:r>
      <w:bookmarkEnd w:id="785"/>
      <w:bookmarkEnd w:id="786"/>
      <w:bookmarkEnd w:id="787"/>
    </w:p>
    <w:p w14:paraId="745D3F75">
      <w:pPr>
        <w:pStyle w:val="2"/>
        <w:numPr>
          <w:ilvl w:val="0"/>
          <w:numId w:val="0"/>
        </w:numPr>
        <w:bidi w:val="0"/>
        <w:ind w:left="482" w:leftChars="0"/>
      </w:pPr>
      <w:bookmarkStart w:id="790" w:name="bookmark1270"/>
      <w:bookmarkStart w:id="791" w:name="_Toc14710372"/>
      <w:bookmarkStart w:id="792" w:name="_Toc30097"/>
      <w:r>
        <w:t>15.1变更的范围和内容</w:t>
      </w:r>
      <w:bookmarkEnd w:id="788"/>
      <w:bookmarkEnd w:id="789"/>
      <w:bookmarkEnd w:id="790"/>
      <w:bookmarkEnd w:id="791"/>
      <w:bookmarkEnd w:id="792"/>
    </w:p>
    <w:p w14:paraId="50F8B8A2">
      <w:pPr>
        <w:pStyle w:val="11"/>
      </w:pPr>
      <w:r>
        <w:t>在履行合同中发生以下情形之一，应按照本条规定进行变更。</w:t>
      </w:r>
    </w:p>
    <w:p w14:paraId="6511C534">
      <w:pPr>
        <w:pStyle w:val="11"/>
      </w:pPr>
      <w:bookmarkStart w:id="793" w:name="bookmark1271"/>
      <w:bookmarkEnd w:id="793"/>
      <w:r>
        <w:rPr>
          <w:b w:val="0"/>
          <w:i w:val="0"/>
          <w:strike w:val="0"/>
          <w:color w:val="000000"/>
          <w:u w:val="none"/>
        </w:rPr>
        <w:t>(1)</w:t>
      </w:r>
      <w:r>
        <w:t>取消合同中任何一项工作，但被取消的工作不能转由发包人或其它人实施；</w:t>
      </w:r>
    </w:p>
    <w:p w14:paraId="039216A5">
      <w:pPr>
        <w:pStyle w:val="11"/>
      </w:pPr>
      <w:bookmarkStart w:id="794" w:name="bookmark1272"/>
      <w:bookmarkEnd w:id="794"/>
      <w:r>
        <w:rPr>
          <w:b w:val="0"/>
          <w:i w:val="0"/>
          <w:strike w:val="0"/>
          <w:color w:val="000000"/>
          <w:u w:val="none"/>
        </w:rPr>
        <w:t>(2)</w:t>
      </w:r>
      <w:r>
        <w:t>改变合同中任何一项工作的质量或其它特性；</w:t>
      </w:r>
    </w:p>
    <w:p w14:paraId="31D3552A">
      <w:pPr>
        <w:pStyle w:val="11"/>
      </w:pPr>
      <w:bookmarkStart w:id="795" w:name="bookmark1273"/>
      <w:bookmarkEnd w:id="795"/>
      <w:r>
        <w:rPr>
          <w:b w:val="0"/>
          <w:i w:val="0"/>
          <w:strike w:val="0"/>
          <w:color w:val="000000"/>
          <w:u w:val="none"/>
        </w:rPr>
        <w:t>(3)</w:t>
      </w:r>
      <w:r>
        <w:t>改变合同工程的基线、标高、位置或尺寸；</w:t>
      </w:r>
    </w:p>
    <w:p w14:paraId="62EB1BFB">
      <w:pPr>
        <w:pStyle w:val="11"/>
      </w:pPr>
      <w:bookmarkStart w:id="796" w:name="bookmark1274"/>
      <w:bookmarkEnd w:id="796"/>
      <w:r>
        <w:rPr>
          <w:b w:val="0"/>
          <w:i w:val="0"/>
          <w:strike w:val="0"/>
          <w:color w:val="000000"/>
          <w:u w:val="none"/>
        </w:rPr>
        <w:t>(4)</w:t>
      </w:r>
      <w:r>
        <w:t>改变合同中任何一项工作的施工时间或改变已批准的施工工艺或顺序；</w:t>
      </w:r>
    </w:p>
    <w:p w14:paraId="3F31F586">
      <w:pPr>
        <w:pStyle w:val="11"/>
      </w:pPr>
      <w:bookmarkStart w:id="797" w:name="bookmark1275"/>
      <w:bookmarkEnd w:id="797"/>
      <w:r>
        <w:rPr>
          <w:b w:val="0"/>
          <w:i w:val="0"/>
          <w:strike w:val="0"/>
          <w:color w:val="000000"/>
          <w:u w:val="none"/>
        </w:rPr>
        <w:t>(5)</w:t>
      </w:r>
      <w:r>
        <w:t>为完成工程需要追加的额外工作；</w:t>
      </w:r>
    </w:p>
    <w:p w14:paraId="4215626C">
      <w:pPr>
        <w:pStyle w:val="11"/>
      </w:pPr>
      <w:bookmarkStart w:id="798" w:name="bookmark1276"/>
      <w:bookmarkEnd w:id="798"/>
      <w:r>
        <w:rPr>
          <w:b w:val="0"/>
          <w:i w:val="0"/>
          <w:strike w:val="0"/>
          <w:color w:val="000000"/>
          <w:u w:val="none"/>
        </w:rPr>
        <w:t>(6)</w:t>
      </w:r>
      <w:r>
        <w:t>增加或减少专用合同条款中约定的关键项目工程量超过其工程总量的一定数量的百分比。</w:t>
      </w:r>
    </w:p>
    <w:p w14:paraId="16114A48">
      <w:pPr>
        <w:pStyle w:val="11"/>
      </w:pPr>
      <w:r>
        <w:t>上述第(1) ~ (6)目的变更内容引起工程施工组织和进度计划发生实质性变动和影响其原定的价格时，才予调整该项目的单价。第(6)目情形下单价调整方式在专用合同条款中约定。</w:t>
      </w:r>
    </w:p>
    <w:p w14:paraId="397EB432">
      <w:pPr>
        <w:pStyle w:val="2"/>
        <w:numPr>
          <w:ilvl w:val="0"/>
          <w:numId w:val="0"/>
        </w:numPr>
        <w:bidi w:val="0"/>
        <w:ind w:left="482" w:leftChars="0"/>
      </w:pPr>
      <w:bookmarkStart w:id="799" w:name="bookmark1278"/>
      <w:bookmarkStart w:id="800" w:name="_Toc14710373"/>
      <w:bookmarkStart w:id="801" w:name="bookmark1277"/>
      <w:bookmarkStart w:id="802" w:name="_Toc25903"/>
      <w:bookmarkStart w:id="803" w:name="bookmark1279"/>
      <w:r>
        <w:t>15.2变更权</w:t>
      </w:r>
      <w:bookmarkEnd w:id="799"/>
      <w:bookmarkEnd w:id="800"/>
      <w:bookmarkEnd w:id="801"/>
      <w:bookmarkEnd w:id="802"/>
      <w:bookmarkEnd w:id="803"/>
    </w:p>
    <w:p w14:paraId="43686455">
      <w:pPr>
        <w:pStyle w:val="11"/>
      </w:pPr>
      <w:r>
        <w:t>在履行合同过程中，经发包人同意，监理人可按第15. 3款约定的变更程序向承包人作出变更指示，承包人应遵照执行。没有监理人的变更指示，承包人不得擅自变更。</w:t>
      </w:r>
    </w:p>
    <w:p w14:paraId="16CDE76F">
      <w:pPr>
        <w:pStyle w:val="2"/>
        <w:numPr>
          <w:ilvl w:val="0"/>
          <w:numId w:val="0"/>
        </w:numPr>
        <w:bidi w:val="0"/>
        <w:ind w:left="482" w:leftChars="0"/>
      </w:pPr>
      <w:bookmarkStart w:id="804" w:name="_Toc24991"/>
      <w:bookmarkStart w:id="805" w:name="bookmark1280"/>
      <w:bookmarkStart w:id="806" w:name="_Toc14710374"/>
      <w:bookmarkStart w:id="807" w:name="bookmark1282"/>
      <w:bookmarkStart w:id="808" w:name="bookmark1281"/>
      <w:r>
        <w:t>15.3变更程序</w:t>
      </w:r>
      <w:bookmarkEnd w:id="804"/>
      <w:bookmarkEnd w:id="805"/>
      <w:bookmarkEnd w:id="806"/>
      <w:bookmarkEnd w:id="807"/>
      <w:bookmarkEnd w:id="808"/>
    </w:p>
    <w:p w14:paraId="2C1B96C0">
      <w:pPr>
        <w:pStyle w:val="2"/>
        <w:numPr>
          <w:ilvl w:val="0"/>
          <w:numId w:val="0"/>
        </w:numPr>
        <w:bidi w:val="0"/>
        <w:ind w:left="482" w:leftChars="0"/>
      </w:pPr>
      <w:r>
        <w:t>15.3.1变更的提出</w:t>
      </w:r>
    </w:p>
    <w:p w14:paraId="227917F2">
      <w:pPr>
        <w:pStyle w:val="11"/>
      </w:pPr>
      <w:bookmarkStart w:id="809" w:name="bookmark1283"/>
      <w:bookmarkEnd w:id="809"/>
      <w:r>
        <w:rPr>
          <w:b w:val="0"/>
          <w:i w:val="0"/>
          <w:strike w:val="0"/>
          <w:color w:val="000000"/>
          <w:u w:val="none"/>
        </w:rPr>
        <w:t>(1)</w:t>
      </w:r>
      <w:r>
        <w:t>在合同履行过程中，可能发生第15.1款约定情形的，监理人可向承包人发出变更意向书。变更意向书应说明变更的具体内容和发包人对变更的时间要求，并附必要的图纸和相关资料。变更意向书应要求承包人提交包括拟实施变更工作的计划、措施和竣工时间等内容的实施方案。发包人同意承包人根据变更意向书要求提交的变更实施方案的，由监理人按第15. 3. 3项约定发出变更指示。</w:t>
      </w:r>
    </w:p>
    <w:p w14:paraId="54907F38">
      <w:pPr>
        <w:pStyle w:val="11"/>
      </w:pPr>
      <w:bookmarkStart w:id="810" w:name="bookmark1284"/>
      <w:bookmarkEnd w:id="810"/>
      <w:r>
        <w:rPr>
          <w:b w:val="0"/>
          <w:i w:val="0"/>
          <w:strike w:val="0"/>
          <w:color w:val="000000"/>
          <w:u w:val="none"/>
        </w:rPr>
        <w:t>(2)</w:t>
      </w:r>
      <w:r>
        <w:t>在合同履行过程中，发生第15. 1款约定情形的，监理人应按照第15. 3. 3项约定向承包人发出变更指示。</w:t>
      </w:r>
    </w:p>
    <w:p w14:paraId="2045D07A">
      <w:pPr>
        <w:pStyle w:val="11"/>
      </w:pPr>
      <w:bookmarkStart w:id="811" w:name="bookmark1285"/>
      <w:bookmarkEnd w:id="811"/>
      <w:r>
        <w:rPr>
          <w:b w:val="0"/>
          <w:i w:val="0"/>
          <w:strike w:val="0"/>
          <w:color w:val="000000"/>
          <w:u w:val="none"/>
        </w:rPr>
        <w:t>(3)</w:t>
      </w:r>
      <w:r>
        <w:t>承包人收到监理人按合同约定发出的图纸和文件，经检查认为其中存在第15. 1款 约定情形的，可向监理人提出书面变更建议。变更建议应阐明要求变更的依据，并附必要的图纸和说明。监理人收到承包人书面建议后，应与发包人共同研究，确认存在变更的，应在收到承包人书面建议后的14天内作出变更指示。经研究后不同意作为变更的，应由监理人书面答复承包人。</w:t>
      </w:r>
    </w:p>
    <w:p w14:paraId="18579951">
      <w:pPr>
        <w:pStyle w:val="11"/>
      </w:pPr>
      <w:bookmarkStart w:id="812" w:name="bookmark1286"/>
      <w:bookmarkEnd w:id="812"/>
      <w:r>
        <w:rPr>
          <w:b w:val="0"/>
          <w:i w:val="0"/>
          <w:strike w:val="0"/>
          <w:color w:val="000000"/>
          <w:u w:val="none"/>
        </w:rPr>
        <w:t>(4)</w:t>
      </w:r>
      <w:r>
        <w:t>若承包人收到监理人的变更意向书后认为难以实施此项变更，应立即通知监理人, 说明原因并附详细依据。监理人与承包人和发包人协商后确定撤销、改变或不改变原变更 意向书。</w:t>
      </w:r>
    </w:p>
    <w:p w14:paraId="2DF09B56">
      <w:pPr>
        <w:pStyle w:val="2"/>
        <w:numPr>
          <w:ilvl w:val="0"/>
          <w:numId w:val="0"/>
        </w:numPr>
        <w:bidi w:val="0"/>
        <w:ind w:left="482" w:leftChars="0"/>
      </w:pPr>
      <w:r>
        <w:t>15.3.2变更估价</w:t>
      </w:r>
    </w:p>
    <w:p w14:paraId="1BE06C4D">
      <w:pPr>
        <w:pStyle w:val="11"/>
      </w:pPr>
      <w:bookmarkStart w:id="813" w:name="bookmark1287"/>
      <w:bookmarkEnd w:id="813"/>
      <w:r>
        <w:rPr>
          <w:b w:val="0"/>
          <w:i w:val="0"/>
          <w:strike w:val="0"/>
          <w:color w:val="000000"/>
          <w:u w:val="none"/>
        </w:rPr>
        <w:t>(1)</w:t>
      </w:r>
      <w:r>
        <w:t>除专用合同条款对期限另有约定外，承包人应在收到变更指示或变更意向书后的14天内，向监理人提交变更报价书，报价内容应根据第15. 4款约定的估价原则，详细开列变更工作的价格组成及其依据，并附必要的施工方法说明和有关图纸。</w:t>
      </w:r>
    </w:p>
    <w:p w14:paraId="620D4A49">
      <w:pPr>
        <w:pStyle w:val="11"/>
      </w:pPr>
      <w:bookmarkStart w:id="814" w:name="bookmark1288"/>
      <w:bookmarkEnd w:id="814"/>
      <w:r>
        <w:rPr>
          <w:b w:val="0"/>
          <w:i w:val="0"/>
          <w:strike w:val="0"/>
          <w:color w:val="000000"/>
          <w:u w:val="none"/>
        </w:rPr>
        <w:t>(2)</w:t>
      </w:r>
      <w:r>
        <w:t>变更工作影响工期的，承包人应提出调整工期的具体细节。监理人认为有必要时, 可要求承包人提交要求提前或延长工期的施工进度计划及相应施工措施等详细资料。</w:t>
      </w:r>
    </w:p>
    <w:p w14:paraId="6D86025D">
      <w:pPr>
        <w:pStyle w:val="11"/>
      </w:pPr>
      <w:bookmarkStart w:id="815" w:name="bookmark1289"/>
      <w:bookmarkEnd w:id="815"/>
      <w:r>
        <w:rPr>
          <w:b w:val="0"/>
          <w:i w:val="0"/>
          <w:strike w:val="0"/>
          <w:color w:val="000000"/>
          <w:u w:val="none"/>
        </w:rPr>
        <w:t>(3)</w:t>
      </w:r>
      <w:r>
        <w:t>除专用合同条款对期限另有约定外，监理人收到承包人变更报价书后的14天内，根据第15. 4款约定的估价原则，按照第3. 5款商定或确定变更价格。</w:t>
      </w:r>
    </w:p>
    <w:p w14:paraId="6291D9E0">
      <w:pPr>
        <w:pStyle w:val="2"/>
        <w:numPr>
          <w:ilvl w:val="0"/>
          <w:numId w:val="0"/>
        </w:numPr>
        <w:bidi w:val="0"/>
        <w:ind w:left="482" w:leftChars="0"/>
      </w:pPr>
      <w:r>
        <w:t>15.3.3变更指示</w:t>
      </w:r>
    </w:p>
    <w:p w14:paraId="62E1638B">
      <w:pPr>
        <w:pStyle w:val="11"/>
      </w:pPr>
      <w:bookmarkStart w:id="816" w:name="bookmark1290"/>
      <w:bookmarkEnd w:id="816"/>
      <w:r>
        <w:rPr>
          <w:b w:val="0"/>
          <w:i w:val="0"/>
          <w:strike w:val="0"/>
          <w:color w:val="000000"/>
          <w:u w:val="none"/>
        </w:rPr>
        <w:t>(1)</w:t>
      </w:r>
      <w:r>
        <w:t>变更指示只能由监理人发出。</w:t>
      </w:r>
    </w:p>
    <w:p w14:paraId="28D1A5A4">
      <w:pPr>
        <w:pStyle w:val="11"/>
      </w:pPr>
      <w:bookmarkStart w:id="817" w:name="bookmark1291"/>
      <w:bookmarkEnd w:id="817"/>
      <w:r>
        <w:rPr>
          <w:b w:val="0"/>
          <w:i w:val="0"/>
          <w:strike w:val="0"/>
          <w:color w:val="000000"/>
          <w:u w:val="none"/>
        </w:rPr>
        <w:t>(2)</w:t>
      </w:r>
      <w:r>
        <w:t>变更指示应说明变更的目的、范围、变更内容以及变更的工程量及其进度和技术要求，并附有关图纸和文件。承包人收到变更指示后，应按变更指示进行变更工作。</w:t>
      </w:r>
    </w:p>
    <w:p w14:paraId="1BB1275E">
      <w:pPr>
        <w:pStyle w:val="2"/>
        <w:numPr>
          <w:ilvl w:val="0"/>
          <w:numId w:val="0"/>
        </w:numPr>
        <w:bidi w:val="0"/>
        <w:ind w:left="482" w:leftChars="0"/>
      </w:pPr>
      <w:bookmarkStart w:id="818" w:name="bookmark1292"/>
      <w:bookmarkStart w:id="819" w:name="bookmark1293"/>
      <w:bookmarkStart w:id="820" w:name="_Toc9569"/>
      <w:bookmarkStart w:id="821" w:name="_Toc14710375"/>
      <w:bookmarkStart w:id="822" w:name="bookmark1294"/>
      <w:r>
        <w:t>15.4变更的估价原则</w:t>
      </w:r>
      <w:bookmarkEnd w:id="818"/>
      <w:bookmarkEnd w:id="819"/>
      <w:bookmarkEnd w:id="820"/>
      <w:bookmarkEnd w:id="821"/>
      <w:bookmarkEnd w:id="822"/>
    </w:p>
    <w:p w14:paraId="2FE7232D">
      <w:pPr>
        <w:pStyle w:val="11"/>
      </w:pPr>
      <w:r>
        <w:t>除专用合同条款另有约定外，因变更引起的价格调整按照本款约定处理。</w:t>
      </w:r>
    </w:p>
    <w:p w14:paraId="0293510F">
      <w:pPr>
        <w:pStyle w:val="11"/>
      </w:pPr>
      <w:r>
        <w:t>15.4.1已标价工程量清单中有适用于变更工作的子目的，采用该子目的单价。</w:t>
      </w:r>
    </w:p>
    <w:p w14:paraId="2BAAA260">
      <w:pPr>
        <w:pStyle w:val="11"/>
      </w:pPr>
      <w:r>
        <w:t>15.4.2已标价工程量清单中无适用于变更工作的子目，但有类似子目的，可在合理范围内参照类似子目的单价，由监理人按第3. 5款商定或确定变更工作的单价。</w:t>
      </w:r>
    </w:p>
    <w:p w14:paraId="42A0A7F4">
      <w:pPr>
        <w:pStyle w:val="11"/>
      </w:pPr>
      <w:r>
        <w:t>15.4.3已标价工程量清单中无适用或类似子目的单价，可按照成本加利润的原则，由监理人按第3. 5款商定或确定变更工作的单价。</w:t>
      </w:r>
    </w:p>
    <w:p w14:paraId="1A1CEC82">
      <w:pPr>
        <w:pStyle w:val="2"/>
        <w:numPr>
          <w:ilvl w:val="0"/>
          <w:numId w:val="0"/>
        </w:numPr>
        <w:bidi w:val="0"/>
        <w:ind w:left="482" w:leftChars="0"/>
      </w:pPr>
      <w:bookmarkStart w:id="823" w:name="bookmark1297"/>
      <w:bookmarkStart w:id="824" w:name="bookmark1296"/>
      <w:bookmarkStart w:id="825" w:name="bookmark1295"/>
      <w:r>
        <w:t>15.5承包人的合理化建议</w:t>
      </w:r>
      <w:bookmarkEnd w:id="823"/>
      <w:bookmarkEnd w:id="824"/>
      <w:bookmarkEnd w:id="825"/>
    </w:p>
    <w:p w14:paraId="3E03533E">
      <w:pPr>
        <w:pStyle w:val="11"/>
      </w:pPr>
      <w:bookmarkStart w:id="826" w:name="bookmark1298"/>
      <w:bookmarkEnd w:id="826"/>
      <w:r>
        <w:t>15.5. 1在履行合同过程中，承包人对发包人提供的图纸、技术要求以及其他方面提出的合理化建议，均应以书面形式提交监理人。合理化建议书的内容应包括建议工作的详细说明、进度计划和效益以及与其他工作的协调等，并附必要的设计文件。监理人应与发包人协商是否采纳建议。建议被采纳并构成变更的，应按第15. 3. 3项约定向承包人发出变更指示。</w:t>
      </w:r>
    </w:p>
    <w:p w14:paraId="1A5C10F9">
      <w:pPr>
        <w:pStyle w:val="11"/>
      </w:pPr>
      <w:r>
        <w:t>15.5.2承包人提出的合理化建议降低了合同价格、缩短了工期或者提高了工程经济效益的，发包人可按国家有关规定在专用合同条款中约定给予奖励。</w:t>
      </w:r>
    </w:p>
    <w:p w14:paraId="033FC89D">
      <w:pPr>
        <w:pStyle w:val="2"/>
        <w:numPr>
          <w:ilvl w:val="0"/>
          <w:numId w:val="0"/>
        </w:numPr>
        <w:bidi w:val="0"/>
        <w:ind w:left="482" w:leftChars="0"/>
      </w:pPr>
      <w:bookmarkStart w:id="827" w:name="_Toc14710376"/>
      <w:bookmarkStart w:id="828" w:name="bookmark1300"/>
      <w:bookmarkStart w:id="829" w:name="_Toc7702"/>
      <w:bookmarkStart w:id="830" w:name="bookmark1301"/>
      <w:bookmarkStart w:id="831" w:name="bookmark1299"/>
      <w:r>
        <w:t>15.6暂列金额</w:t>
      </w:r>
      <w:bookmarkEnd w:id="827"/>
      <w:bookmarkEnd w:id="828"/>
      <w:bookmarkEnd w:id="829"/>
      <w:bookmarkEnd w:id="830"/>
      <w:bookmarkEnd w:id="831"/>
    </w:p>
    <w:p w14:paraId="5B0CC5F0">
      <w:pPr>
        <w:pStyle w:val="11"/>
      </w:pPr>
      <w:r>
        <w:t>暂列金额只能按照监理人的指示使用，并对合同价格进行相应调整。</w:t>
      </w:r>
    </w:p>
    <w:p w14:paraId="595458E7">
      <w:pPr>
        <w:pStyle w:val="2"/>
        <w:numPr>
          <w:ilvl w:val="0"/>
          <w:numId w:val="0"/>
        </w:numPr>
        <w:bidi w:val="0"/>
        <w:ind w:left="482" w:leftChars="0"/>
      </w:pPr>
      <w:bookmarkStart w:id="832" w:name="_Toc23161"/>
      <w:bookmarkStart w:id="833" w:name="bookmark1303"/>
      <w:bookmarkStart w:id="834" w:name="_Toc14710377"/>
      <w:bookmarkStart w:id="835" w:name="bookmark1304"/>
      <w:bookmarkStart w:id="836" w:name="bookmark1302"/>
      <w:r>
        <w:t>15.7计日工</w:t>
      </w:r>
      <w:bookmarkEnd w:id="832"/>
      <w:bookmarkEnd w:id="833"/>
      <w:bookmarkEnd w:id="834"/>
      <w:bookmarkEnd w:id="835"/>
      <w:bookmarkEnd w:id="836"/>
    </w:p>
    <w:p w14:paraId="018E84FC">
      <w:pPr>
        <w:pStyle w:val="11"/>
      </w:pPr>
      <w:r>
        <w:t>15.7.1发包人认为有必要时，由监理人通知承包人以计日工方式实施变更的零星工作。其价款按列入已标价工程量清单中的计日工计价子目及其单价进行计算。</w:t>
      </w:r>
    </w:p>
    <w:p w14:paraId="12ED1108">
      <w:pPr>
        <w:pStyle w:val="11"/>
      </w:pPr>
      <w:r>
        <w:t>15.7.2采用计日工计价的任何一项变更工作，应从暂列金额中支付，承包人应在该项变更的实施过程中，每天提交以下报表和有关凭证报送监理人审批：</w:t>
      </w:r>
    </w:p>
    <w:p w14:paraId="0FE471E6">
      <w:pPr>
        <w:pStyle w:val="11"/>
      </w:pPr>
      <w:bookmarkStart w:id="837" w:name="bookmark1305"/>
      <w:bookmarkEnd w:id="837"/>
      <w:r>
        <w:rPr>
          <w:b w:val="0"/>
          <w:i w:val="0"/>
          <w:strike w:val="0"/>
          <w:color w:val="000000"/>
          <w:u w:val="none"/>
        </w:rPr>
        <w:t>(1)</w:t>
      </w:r>
      <w:r>
        <w:t>工作名称、内容和数量；</w:t>
      </w:r>
    </w:p>
    <w:p w14:paraId="78861C96">
      <w:pPr>
        <w:pStyle w:val="11"/>
      </w:pPr>
      <w:bookmarkStart w:id="838" w:name="bookmark1306"/>
      <w:bookmarkEnd w:id="838"/>
      <w:r>
        <w:rPr>
          <w:b w:val="0"/>
          <w:i w:val="0"/>
          <w:strike w:val="0"/>
          <w:color w:val="000000"/>
          <w:u w:val="none"/>
        </w:rPr>
        <w:t>(2)</w:t>
      </w:r>
      <w:r>
        <w:t>投入该工作所有人员的姓名、工种、级别和耗用工时；</w:t>
      </w:r>
    </w:p>
    <w:p w14:paraId="00F0AD9A">
      <w:pPr>
        <w:pStyle w:val="11"/>
      </w:pPr>
      <w:bookmarkStart w:id="839" w:name="bookmark1307"/>
      <w:bookmarkEnd w:id="839"/>
      <w:r>
        <w:rPr>
          <w:b w:val="0"/>
          <w:i w:val="0"/>
          <w:strike w:val="0"/>
          <w:color w:val="000000"/>
          <w:u w:val="none"/>
        </w:rPr>
        <w:t>(3)</w:t>
      </w:r>
      <w:r>
        <w:t>投入该工作的材料类别和数量；</w:t>
      </w:r>
    </w:p>
    <w:p w14:paraId="5A6169A3">
      <w:pPr>
        <w:pStyle w:val="11"/>
      </w:pPr>
      <w:bookmarkStart w:id="840" w:name="bookmark1308"/>
      <w:bookmarkEnd w:id="840"/>
      <w:r>
        <w:rPr>
          <w:b w:val="0"/>
          <w:i w:val="0"/>
          <w:strike w:val="0"/>
          <w:color w:val="000000"/>
          <w:u w:val="none"/>
        </w:rPr>
        <w:t>(4)</w:t>
      </w:r>
      <w:r>
        <w:t>投入该工作的施工设备型号、台数和耗用台时；</w:t>
      </w:r>
    </w:p>
    <w:p w14:paraId="5D625B8B">
      <w:pPr>
        <w:pStyle w:val="11"/>
      </w:pPr>
      <w:bookmarkStart w:id="841" w:name="bookmark1309"/>
      <w:bookmarkEnd w:id="841"/>
      <w:r>
        <w:rPr>
          <w:b w:val="0"/>
          <w:i w:val="0"/>
          <w:strike w:val="0"/>
          <w:color w:val="000000"/>
          <w:u w:val="none"/>
        </w:rPr>
        <w:t>(5)</w:t>
      </w:r>
      <w:r>
        <w:t>监理人要求提交的其他资料和凭证。</w:t>
      </w:r>
    </w:p>
    <w:p w14:paraId="5C963911">
      <w:pPr>
        <w:pStyle w:val="11"/>
      </w:pPr>
      <w:r>
        <w:t>15.7.3计日工由承包人汇总后，按第17.3.2项的约定列入进度付款申请单，由监理人复核并经发包人同意后列入进度付款。</w:t>
      </w:r>
    </w:p>
    <w:p w14:paraId="57A2F1CF">
      <w:pPr>
        <w:pStyle w:val="2"/>
        <w:numPr>
          <w:ilvl w:val="0"/>
          <w:numId w:val="0"/>
        </w:numPr>
        <w:bidi w:val="0"/>
        <w:ind w:left="482" w:leftChars="0"/>
      </w:pPr>
      <w:bookmarkStart w:id="842" w:name="_Toc14710378"/>
      <w:bookmarkStart w:id="843" w:name="bookmark1312"/>
      <w:bookmarkStart w:id="844" w:name="bookmark1311"/>
      <w:bookmarkStart w:id="845" w:name="bookmark1310"/>
      <w:bookmarkStart w:id="846" w:name="_Toc6776"/>
      <w:r>
        <w:t>15.8暂估价</w:t>
      </w:r>
      <w:bookmarkEnd w:id="842"/>
      <w:bookmarkEnd w:id="843"/>
      <w:bookmarkEnd w:id="844"/>
      <w:bookmarkEnd w:id="845"/>
      <w:bookmarkEnd w:id="846"/>
    </w:p>
    <w:p w14:paraId="4C0BB48E">
      <w:pPr>
        <w:pStyle w:val="11"/>
      </w:pPr>
      <w:bookmarkStart w:id="847" w:name="bookmark1313"/>
      <w:bookmarkEnd w:id="847"/>
      <w:r>
        <w:t>15.8.1发包人在工程量清单中给定暂估价的材料、工程设备和专业工程属于依法必须招标的范围并达到规定的规模标准的，若承包人不具备承担暂估价项目的能力或具备承担暂估价项目的能力但明确不参与投标的，由发包人和承包人组织招标；若承包人具备承担暂估价项目的能力且明确参与投标的，由发包人组织招标。暂估价项目成交金额与工程 量清单中所列金额差以及相应的税金等其他费用列入合同价格。必须招标的暂估价项目招标组织形式、发包人和承包人组织招标时双方的权利义务关系在专用合同条款中约定。</w:t>
      </w:r>
    </w:p>
    <w:p w14:paraId="792893BF">
      <w:pPr>
        <w:pStyle w:val="11"/>
      </w:pPr>
      <w:bookmarkStart w:id="848" w:name="bookmark1314"/>
      <w:bookmarkEnd w:id="848"/>
      <w:r>
        <w:t>15.8.2发包人在工程量清单中给定暂估价的材料和工程设备不属于依法必须招标的范围或未达到规定的规模标准的，应由承包人按第5.1款的约定提供。经监理人确认的材料、工程设备的价格与工程量清单中所列的暂估价的金额差以及相应的税金等其他费用列入合同价格。</w:t>
      </w:r>
    </w:p>
    <w:p w14:paraId="7C78176F">
      <w:pPr>
        <w:pStyle w:val="11"/>
      </w:pPr>
      <w:bookmarkStart w:id="849" w:name="bookmark1315"/>
      <w:bookmarkEnd w:id="849"/>
      <w:r>
        <w:t>15.8.3发包人在工程量清单中给定暂估价的专业工程不属于依法必须招标的范围或未达到规定的规模标准的，由监理人按照第15.4款进行估价，但专用合同条款另有约定的除外。经估价的专业工程与工程量清单中所列的暂估价的金额差以及相应的税金等其他费用列入合同价格。</w:t>
      </w:r>
    </w:p>
    <w:p w14:paraId="290F8C49">
      <w:pPr>
        <w:pStyle w:val="2"/>
        <w:numPr>
          <w:ilvl w:val="0"/>
          <w:numId w:val="0"/>
        </w:numPr>
        <w:bidi w:val="0"/>
        <w:ind w:left="482" w:leftChars="0"/>
      </w:pPr>
      <w:bookmarkStart w:id="850" w:name="_Toc14710379"/>
      <w:bookmarkStart w:id="851" w:name="_Toc242"/>
      <w:bookmarkStart w:id="852" w:name="bookmark1318"/>
      <w:bookmarkStart w:id="853" w:name="bookmark1316"/>
      <w:bookmarkStart w:id="854" w:name="bookmark1317"/>
      <w:r>
        <w:t>16 .价格调整</w:t>
      </w:r>
      <w:bookmarkEnd w:id="850"/>
      <w:bookmarkEnd w:id="851"/>
      <w:bookmarkEnd w:id="852"/>
      <w:bookmarkEnd w:id="853"/>
      <w:bookmarkEnd w:id="854"/>
    </w:p>
    <w:p w14:paraId="22B79E87">
      <w:pPr>
        <w:pStyle w:val="2"/>
        <w:numPr>
          <w:ilvl w:val="0"/>
          <w:numId w:val="0"/>
        </w:numPr>
        <w:bidi w:val="0"/>
        <w:ind w:left="482" w:leftChars="0"/>
      </w:pPr>
      <w:bookmarkStart w:id="855" w:name="_Toc14710380"/>
      <w:bookmarkStart w:id="856" w:name="bookmark1320"/>
      <w:bookmarkStart w:id="857" w:name="bookmark1321"/>
      <w:bookmarkStart w:id="858" w:name="bookmark1319"/>
      <w:bookmarkStart w:id="859" w:name="_Toc2131"/>
      <w:r>
        <w:t>16.1物价波动引起的价格调整</w:t>
      </w:r>
      <w:bookmarkEnd w:id="855"/>
      <w:bookmarkEnd w:id="856"/>
      <w:bookmarkEnd w:id="857"/>
      <w:bookmarkEnd w:id="858"/>
      <w:bookmarkEnd w:id="859"/>
    </w:p>
    <w:p w14:paraId="258E276E">
      <w:pPr>
        <w:pStyle w:val="11"/>
      </w:pPr>
      <w:r>
        <w:t>由于物价波动原因引起合同价格需要调整的，其价格调整方式在专用合同条款中约定；除专用合同条款另有约定外，因物价波动引起的价格调整按照本款约定处理。</w:t>
      </w:r>
    </w:p>
    <w:p w14:paraId="3683745F">
      <w:pPr>
        <w:pStyle w:val="2"/>
        <w:numPr>
          <w:ilvl w:val="0"/>
          <w:numId w:val="0"/>
        </w:numPr>
        <w:bidi w:val="0"/>
        <w:ind w:left="482" w:leftChars="0"/>
      </w:pPr>
      <w:bookmarkStart w:id="860" w:name="bookmark1322"/>
      <w:bookmarkEnd w:id="860"/>
      <w:r>
        <w:t>16.1.1采用价格指数调整价格差额</w:t>
      </w:r>
    </w:p>
    <w:p w14:paraId="6F1CFBD8">
      <w:pPr>
        <w:pStyle w:val="2"/>
        <w:numPr>
          <w:ilvl w:val="0"/>
          <w:numId w:val="0"/>
        </w:numPr>
        <w:bidi w:val="0"/>
        <w:ind w:left="482" w:leftChars="0"/>
      </w:pPr>
      <w:bookmarkStart w:id="861" w:name="bookmark1323"/>
      <w:bookmarkEnd w:id="861"/>
      <w:r>
        <w:t>16.1.1.1价格调整公式</w:t>
      </w:r>
    </w:p>
    <w:p w14:paraId="702EDCE4">
      <w:pPr>
        <w:pStyle w:val="11"/>
      </w:pPr>
      <w:r>
        <w:t>因人工、材料和设备等价格波动影响合同价格时，根据投标函附录中的价格指数和权重表约定的数据，按以下公式计算差额并调整合同价格。</w:t>
      </w:r>
    </w:p>
    <w:p w14:paraId="4A3FFBE9">
      <w:pPr>
        <w:pStyle w:val="36"/>
        <w:spacing w:line="440" w:lineRule="exact"/>
        <w:ind w:firstLine="420"/>
        <w:rPr>
          <w:sz w:val="21"/>
          <w:szCs w:val="21"/>
          <w:lang w:val="en-US"/>
        </w:rPr>
      </w:pPr>
      <w:r>
        <w:rPr>
          <w:rFonts w:hint="eastAsia"/>
          <w:position w:val="-34"/>
          <w:sz w:val="21"/>
          <w:szCs w:val="21"/>
        </w:rPr>
        <w:object>
          <v:shape id="_x0000_i1025" o:spt="75" type="#_x0000_t75" style="height:49.5pt;width:324pt;" o:ole="t" filled="f" o:preferrelative="t" stroked="f" coordsize="21600,21600">
            <v:path/>
            <v:fill on="f" focussize="0,0"/>
            <v:stroke on="f"/>
            <v:imagedata r:id="rId14" o:title=""/>
            <o:lock v:ext="edit" aspectratio="t"/>
            <w10:wrap type="none"/>
            <w10:anchorlock/>
          </v:shape>
          <o:OLEObject Type="Embed" ProgID="Equations" ShapeID="_x0000_i1025" DrawAspect="Content" ObjectID="_1468075725" r:id="rId13">
            <o:LockedField>false</o:LockedField>
          </o:OLEObject>
        </w:object>
      </w:r>
    </w:p>
    <w:p w14:paraId="38D6621F">
      <w:pPr>
        <w:pStyle w:val="11"/>
      </w:pPr>
      <w:r>
        <w:t>式中： △P -- 需调整的价格差额；</w:t>
      </w:r>
    </w:p>
    <w:p w14:paraId="5D72E784">
      <w:pPr>
        <w:pStyle w:val="11"/>
      </w:pPr>
      <w:r>
        <w:t>P0 -- 第17.3.3项、第17.5.2项和第17.6.2项约定的付款证书中承包人应得到的已完成工程量的金额。此项金额应不包括价格调整、不计质量保证金的扣留和支付、预付款的支付和扣回。第15条约定的变更及其他金额已按现行价格计价的，也不计在内；</w:t>
      </w:r>
    </w:p>
    <w:p w14:paraId="2F232DA3">
      <w:pPr>
        <w:pStyle w:val="11"/>
      </w:pPr>
      <w:bookmarkStart w:id="862" w:name="_Toc144974686"/>
      <w:bookmarkStart w:id="863" w:name="_Toc152042495"/>
      <w:r>
        <w:t>A -- 定值权重(即不调部分的权重)；</w:t>
      </w:r>
      <w:bookmarkEnd w:id="862"/>
      <w:bookmarkEnd w:id="863"/>
    </w:p>
    <w:p w14:paraId="5A05170A">
      <w:pPr>
        <w:pStyle w:val="11"/>
      </w:pPr>
      <w:r>
        <w:t>B1；B2；B3·····Bn -- 各可调因子的变值权重(即可调部分的权重)为各可调因子在投标函投标总报价中所占的比例；</w:t>
      </w:r>
    </w:p>
    <w:p w14:paraId="14E3DB0B">
      <w:pPr>
        <w:pStyle w:val="11"/>
      </w:pPr>
      <w:r>
        <w:t>Ft1；Ft2；Ft3·····Ftn -- 各可调因子的现行价格指数，指第17.3.3项、第17.5.2项和第17.6.2项约定的付款证书相关周期最后一天的前42天的各可调因子的价格指数；</w:t>
      </w:r>
    </w:p>
    <w:p w14:paraId="2590A4B9">
      <w:pPr>
        <w:pStyle w:val="11"/>
      </w:pPr>
      <w:r>
        <w:t>Fo1；Fo2; Fo3·····Fon -- 各可调因子的基本价格指数，指基准日期的各可调因子的价格指数。</w:t>
      </w:r>
    </w:p>
    <w:p w14:paraId="79E14530">
      <w:pPr>
        <w:pStyle w:val="11"/>
      </w:pPr>
      <w:r>
        <w:t>以上价格调整公式中的各可调因子、定值和变值权重，以及基本价格指数及其来源在投标函附录价格指数和权重表中约定。价格指数应首先采用有关部门提供的价格指数，缺乏上述价格指数时，可采用有关部门提供的价格代替。</w:t>
      </w:r>
    </w:p>
    <w:p w14:paraId="38549B7F">
      <w:pPr>
        <w:pStyle w:val="2"/>
        <w:numPr>
          <w:ilvl w:val="0"/>
          <w:numId w:val="0"/>
        </w:numPr>
        <w:bidi w:val="0"/>
        <w:ind w:left="482" w:leftChars="0"/>
      </w:pPr>
      <w:r>
        <w:t>16.1.1.2暂时确定调整差额</w:t>
      </w:r>
    </w:p>
    <w:p w14:paraId="0FB47273">
      <w:pPr>
        <w:pStyle w:val="11"/>
      </w:pPr>
      <w:r>
        <w:t>在计算调整差额时得不到现行价格指数的，可暂用上一次价格指数计算，并在以后的付款中再按实际价格指数进行调整。</w:t>
      </w:r>
    </w:p>
    <w:p w14:paraId="2898D593">
      <w:pPr>
        <w:pStyle w:val="2"/>
        <w:numPr>
          <w:ilvl w:val="0"/>
          <w:numId w:val="0"/>
        </w:numPr>
        <w:bidi w:val="0"/>
        <w:ind w:left="482" w:leftChars="0"/>
      </w:pPr>
      <w:r>
        <w:t>16.1.1.3权重的调整</w:t>
      </w:r>
    </w:p>
    <w:p w14:paraId="03CE7076">
      <w:pPr>
        <w:pStyle w:val="11"/>
      </w:pPr>
      <w:r>
        <w:t>按第15. 1款约定的变更导致原定合同中的权重不合理时，由监理人与承包人和发包人协商后进行调整。</w:t>
      </w:r>
    </w:p>
    <w:p w14:paraId="45C82067">
      <w:pPr>
        <w:pStyle w:val="2"/>
        <w:numPr>
          <w:ilvl w:val="0"/>
          <w:numId w:val="0"/>
        </w:numPr>
        <w:bidi w:val="0"/>
        <w:ind w:left="482" w:leftChars="0"/>
      </w:pPr>
      <w:r>
        <w:t>16.1.1.4承包人工期延误后的价格调整</w:t>
      </w:r>
    </w:p>
    <w:p w14:paraId="03FD5151">
      <w:pPr>
        <w:pStyle w:val="11"/>
      </w:pPr>
      <w:r>
        <w:t>由于承包人原因未在约定的工期内竣工的，则对原约定竣工日期后继续施工的工程, 在使用第16. 1. 1. 1目价格调整公式时，应采用原约定竣工日期与实际竣工日期的两个价格指数中较低的一个作为现行价格指数。</w:t>
      </w:r>
    </w:p>
    <w:p w14:paraId="18E93DF5">
      <w:pPr>
        <w:pStyle w:val="2"/>
        <w:numPr>
          <w:ilvl w:val="0"/>
          <w:numId w:val="0"/>
        </w:numPr>
        <w:bidi w:val="0"/>
        <w:ind w:left="482" w:leftChars="0"/>
      </w:pPr>
      <w:bookmarkStart w:id="864" w:name="bookmark1325"/>
      <w:bookmarkEnd w:id="864"/>
      <w:r>
        <w:t>16.1.2采用造价信息调整价格差额</w:t>
      </w:r>
    </w:p>
    <w:p w14:paraId="5C38EDB7">
      <w:pPr>
        <w:pStyle w:val="11"/>
      </w:pPr>
      <w:r>
        <w:t>施工期内，因人工、材料、设备和机械台班价格波动影响合同价格时，人工、机械使用费按照国家或省(自治区、直辖市)建设行政管理部门、行业建设管理部门或其授权的工程造价管理机构发布的人工成本信息、机械台班单价或机械使用费系数进行调整；需要进行价格调整的材料，其单价和采购数应由监理人复核，监理人确认需调整的材料单价及 数量，作为调整工程合同价格差额的依据。</w:t>
      </w:r>
    </w:p>
    <w:p w14:paraId="1988D6C5">
      <w:pPr>
        <w:pStyle w:val="11"/>
      </w:pPr>
      <w:r>
        <w:t>工程造价信息的来源以及价格调整的项目和系数在专用合同条款中约定。</w:t>
      </w:r>
    </w:p>
    <w:p w14:paraId="5E65F9EE">
      <w:pPr>
        <w:pStyle w:val="2"/>
        <w:numPr>
          <w:ilvl w:val="0"/>
          <w:numId w:val="0"/>
        </w:numPr>
        <w:bidi w:val="0"/>
        <w:ind w:left="482" w:leftChars="0"/>
      </w:pPr>
      <w:bookmarkStart w:id="865" w:name="_Toc30516"/>
      <w:bookmarkStart w:id="866" w:name="_Toc14710381"/>
      <w:bookmarkStart w:id="867" w:name="bookmark1326"/>
      <w:bookmarkStart w:id="868" w:name="bookmark1327"/>
      <w:bookmarkStart w:id="869" w:name="bookmark1328"/>
      <w:r>
        <w:t>16.2法律变化引起的价格调整</w:t>
      </w:r>
      <w:bookmarkEnd w:id="865"/>
      <w:bookmarkEnd w:id="866"/>
      <w:bookmarkEnd w:id="867"/>
      <w:bookmarkEnd w:id="868"/>
      <w:bookmarkEnd w:id="869"/>
    </w:p>
    <w:p w14:paraId="39145035">
      <w:pPr>
        <w:pStyle w:val="11"/>
      </w:pPr>
      <w:r>
        <w:t>在基准日后，因法律变化导致承包人在合同履行中所需要的工程费用发生除第16. 1款约定以外的增减时，监理人应根据法律、国家或省、自治区、直辖市有关部门的规定，按第3. 5款商定或确定需调整的合同价款。</w:t>
      </w:r>
    </w:p>
    <w:p w14:paraId="48A12C24">
      <w:pPr>
        <w:pStyle w:val="2"/>
        <w:numPr>
          <w:ilvl w:val="0"/>
          <w:numId w:val="0"/>
        </w:numPr>
        <w:bidi w:val="0"/>
        <w:ind w:left="482" w:leftChars="0"/>
      </w:pPr>
      <w:bookmarkStart w:id="870" w:name="_Toc15158"/>
      <w:bookmarkStart w:id="871" w:name="bookmark1330"/>
      <w:bookmarkStart w:id="872" w:name="bookmark1331"/>
      <w:bookmarkStart w:id="873" w:name="_Toc14710382"/>
      <w:bookmarkStart w:id="874" w:name="bookmark1329"/>
      <w:r>
        <w:t>17.计量与支付</w:t>
      </w:r>
      <w:bookmarkEnd w:id="870"/>
      <w:bookmarkEnd w:id="871"/>
      <w:bookmarkEnd w:id="872"/>
      <w:bookmarkEnd w:id="873"/>
      <w:bookmarkEnd w:id="874"/>
    </w:p>
    <w:p w14:paraId="5725D67E">
      <w:pPr>
        <w:pStyle w:val="2"/>
        <w:numPr>
          <w:ilvl w:val="0"/>
          <w:numId w:val="0"/>
        </w:numPr>
        <w:bidi w:val="0"/>
        <w:ind w:left="482" w:leftChars="0"/>
      </w:pPr>
      <w:bookmarkStart w:id="875" w:name="_Toc14710383"/>
      <w:bookmarkStart w:id="876" w:name="bookmark1334"/>
      <w:bookmarkStart w:id="877" w:name="_Toc7733"/>
      <w:bookmarkStart w:id="878" w:name="bookmark1333"/>
      <w:bookmarkStart w:id="879" w:name="bookmark1332"/>
      <w:r>
        <w:t>17.1计量</w:t>
      </w:r>
      <w:bookmarkEnd w:id="875"/>
      <w:bookmarkEnd w:id="876"/>
      <w:bookmarkEnd w:id="877"/>
      <w:bookmarkEnd w:id="878"/>
      <w:bookmarkEnd w:id="879"/>
    </w:p>
    <w:p w14:paraId="57123A4D">
      <w:pPr>
        <w:pStyle w:val="2"/>
        <w:numPr>
          <w:ilvl w:val="0"/>
          <w:numId w:val="0"/>
        </w:numPr>
        <w:bidi w:val="0"/>
        <w:ind w:left="482" w:leftChars="0"/>
      </w:pPr>
      <w:bookmarkStart w:id="880" w:name="bookmark1335"/>
      <w:bookmarkEnd w:id="880"/>
      <w:r>
        <w:t>17.1.1计量单位</w:t>
      </w:r>
    </w:p>
    <w:p w14:paraId="74E59E3F">
      <w:pPr>
        <w:pStyle w:val="11"/>
      </w:pPr>
      <w:r>
        <w:t>计量采用国家法定的计量单位。</w:t>
      </w:r>
    </w:p>
    <w:p w14:paraId="54EC1554">
      <w:pPr>
        <w:pStyle w:val="2"/>
        <w:numPr>
          <w:ilvl w:val="0"/>
          <w:numId w:val="0"/>
        </w:numPr>
        <w:bidi w:val="0"/>
        <w:ind w:left="482" w:leftChars="0"/>
      </w:pPr>
      <w:bookmarkStart w:id="881" w:name="bookmark1336"/>
      <w:bookmarkEnd w:id="881"/>
      <w:r>
        <w:t>17.1.2计量方法</w:t>
      </w:r>
    </w:p>
    <w:p w14:paraId="669F3D01">
      <w:pPr>
        <w:pStyle w:val="11"/>
      </w:pPr>
      <w:r>
        <w:t>结算工程量应按工程量清单中约定的方法计算。</w:t>
      </w:r>
    </w:p>
    <w:p w14:paraId="0282B7A0">
      <w:pPr>
        <w:pStyle w:val="2"/>
        <w:numPr>
          <w:ilvl w:val="0"/>
          <w:numId w:val="0"/>
        </w:numPr>
        <w:bidi w:val="0"/>
        <w:ind w:left="482" w:leftChars="0"/>
      </w:pPr>
      <w:r>
        <w:t>17.1.3计量周期</w:t>
      </w:r>
    </w:p>
    <w:p w14:paraId="219D7B89">
      <w:pPr>
        <w:pStyle w:val="11"/>
      </w:pPr>
      <w:r>
        <w:t>除专用合同条款另有约定外，单价子目已完成工程量按月计量，总价子目的计量周期 按批准的支付分解报告确定。</w:t>
      </w:r>
    </w:p>
    <w:p w14:paraId="5F95B091">
      <w:pPr>
        <w:pStyle w:val="2"/>
        <w:numPr>
          <w:ilvl w:val="0"/>
          <w:numId w:val="0"/>
        </w:numPr>
        <w:bidi w:val="0"/>
        <w:ind w:left="482" w:leftChars="0"/>
      </w:pPr>
      <w:r>
        <w:t>17.1.4单价子目的计量</w:t>
      </w:r>
    </w:p>
    <w:p w14:paraId="4674272B">
      <w:pPr>
        <w:pStyle w:val="11"/>
      </w:pPr>
      <w:bookmarkStart w:id="882" w:name="bookmark1337"/>
      <w:bookmarkEnd w:id="882"/>
      <w:r>
        <w:rPr>
          <w:b w:val="0"/>
          <w:i w:val="0"/>
          <w:strike w:val="0"/>
          <w:color w:val="000000"/>
          <w:u w:val="none"/>
        </w:rPr>
        <w:t>(1)</w:t>
      </w:r>
      <w:r>
        <w:t>已标价工程量清单中的单价子目工程量为估算工程量。结算工程量是承包人实际完成的，并按合同约定的计量方法进行计量的工程量。</w:t>
      </w:r>
    </w:p>
    <w:p w14:paraId="390F3C36">
      <w:pPr>
        <w:pStyle w:val="11"/>
      </w:pPr>
      <w:bookmarkStart w:id="883" w:name="bookmark1338"/>
      <w:bookmarkEnd w:id="883"/>
      <w:r>
        <w:rPr>
          <w:b w:val="0"/>
          <w:i w:val="0"/>
          <w:strike w:val="0"/>
          <w:color w:val="000000"/>
          <w:u w:val="none"/>
        </w:rPr>
        <w:t>(2)</w:t>
      </w:r>
      <w:r>
        <w:t>承包人对已完成的工程进行计量，向监理人提交进度付款申请单、已完成工程量报表和有关计量资料。</w:t>
      </w:r>
    </w:p>
    <w:p w14:paraId="5F530CC6">
      <w:pPr>
        <w:pStyle w:val="11"/>
      </w:pPr>
      <w:r>
        <w:rPr>
          <w:b w:val="0"/>
          <w:i w:val="0"/>
          <w:strike w:val="0"/>
          <w:color w:val="000000"/>
          <w:u w:val="none"/>
        </w:rPr>
        <w:t>(3)</w:t>
      </w:r>
      <w:r>
        <w:t>监理人对承包人提交的工程量报表进行复核，以确定实际完成的工程量。对数量</w:t>
      </w:r>
      <w:bookmarkStart w:id="884" w:name="bookmark1339"/>
      <w:bookmarkEnd w:id="884"/>
      <w:r>
        <w:t>有异议的，可要求承包人按第8. 2款约定进行共同复核和抽样复测。承包人应协助监理人进行复核并按监理人要求提供补充计量资料。承包人未按监理人要求参加复核，监理人复核或修正的工程量视为承包人实际完成的工程量。</w:t>
      </w:r>
    </w:p>
    <w:p w14:paraId="01C1CA3E">
      <w:pPr>
        <w:pStyle w:val="11"/>
      </w:pPr>
      <w:bookmarkStart w:id="885" w:name="bookmark1340"/>
      <w:bookmarkEnd w:id="885"/>
      <w:r>
        <w:rPr>
          <w:b w:val="0"/>
          <w:i w:val="0"/>
          <w:strike w:val="0"/>
          <w:color w:val="000000"/>
          <w:u w:val="none"/>
        </w:rPr>
        <w:t>(4)</w:t>
      </w:r>
      <w:r>
        <w:t>监理人认为有必要时，可通知承包人共同进行联合测量、计量，承包人应遵照执行。</w:t>
      </w:r>
    </w:p>
    <w:p w14:paraId="34EAF0D5">
      <w:pPr>
        <w:pStyle w:val="11"/>
      </w:pPr>
      <w:bookmarkStart w:id="886" w:name="bookmark1341"/>
      <w:bookmarkEnd w:id="886"/>
      <w:r>
        <w:rPr>
          <w:b w:val="0"/>
          <w:i w:val="0"/>
          <w:strike w:val="0"/>
          <w:color w:val="000000"/>
          <w:u w:val="none"/>
        </w:rPr>
        <w:t>(5)</w:t>
      </w:r>
      <w:r>
        <w:t>承包人完成工程量清单中每个子目的工程量后，监理人应要求承包人派员共同对每个子目的历次计量报表进行汇总，以核实最终结算工程量。监理人可要求承包人提供补充计量资料，以确定最后一次进度付款的准确工程量。承包人未按监理人要求派员参加的，监理人最终核实的工程量视为承包人完成该子目的准确工程量。</w:t>
      </w:r>
    </w:p>
    <w:p w14:paraId="425893E7">
      <w:pPr>
        <w:pStyle w:val="11"/>
      </w:pPr>
      <w:bookmarkStart w:id="887" w:name="bookmark1342"/>
      <w:bookmarkEnd w:id="887"/>
      <w:r>
        <w:rPr>
          <w:b w:val="0"/>
          <w:i w:val="0"/>
          <w:strike w:val="0"/>
          <w:color w:val="000000"/>
          <w:u w:val="none"/>
        </w:rPr>
        <w:t>(6)</w:t>
      </w:r>
      <w:r>
        <w:t>监理人应在收到承包人提交的工程量报表后的7天内进行复核，监理人未在约定时间内复核的，承包人提交的工程量报表中的工程量视为承包人实际完成的工程量，据此计算工程价款。</w:t>
      </w:r>
    </w:p>
    <w:p w14:paraId="50487B5D">
      <w:pPr>
        <w:pStyle w:val="2"/>
        <w:numPr>
          <w:ilvl w:val="0"/>
          <w:numId w:val="0"/>
        </w:numPr>
        <w:bidi w:val="0"/>
        <w:ind w:left="482" w:leftChars="0"/>
      </w:pPr>
      <w:r>
        <w:t>17.1.5总价子目的计量</w:t>
      </w:r>
    </w:p>
    <w:p w14:paraId="16982B42">
      <w:pPr>
        <w:pStyle w:val="11"/>
      </w:pPr>
      <w:r>
        <w:t>总价子目的分解和计量按照下述约定进行。</w:t>
      </w:r>
    </w:p>
    <w:p w14:paraId="50328C19">
      <w:pPr>
        <w:pStyle w:val="11"/>
      </w:pPr>
      <w:bookmarkStart w:id="888" w:name="bookmark1343"/>
      <w:bookmarkEnd w:id="888"/>
      <w:r>
        <w:rPr>
          <w:b w:val="0"/>
          <w:i w:val="0"/>
          <w:strike w:val="0"/>
          <w:color w:val="000000"/>
          <w:u w:val="none"/>
        </w:rPr>
        <w:t>(1)</w:t>
      </w:r>
      <w:r>
        <w:t>总价子目的计量和支付应以总价为基础，不因第16.1款中的因素而进行调整。承包人实际完成的工程量，是进行工程目标管理和控制进度支付的依据。</w:t>
      </w:r>
    </w:p>
    <w:p w14:paraId="6072CF27">
      <w:pPr>
        <w:pStyle w:val="11"/>
      </w:pPr>
      <w:bookmarkStart w:id="889" w:name="bookmark1344"/>
      <w:bookmarkEnd w:id="889"/>
      <w:r>
        <w:rPr>
          <w:b w:val="0"/>
          <w:i w:val="0"/>
          <w:strike w:val="0"/>
          <w:color w:val="000000"/>
          <w:u w:val="none"/>
        </w:rPr>
        <w:t>(2)</w:t>
      </w:r>
      <w:r>
        <w:t>承包人应按工程量清单的要求对总价子目进行分解，并在签订协议书后的28天内将各子目的总价支付分解表提交监理人审批。分解表应标明其所属子目和分阶段需支付的金额。承包人应按批准的各总价子目支付周期，对已完成的总价子目进行计量，确定分项的应付金额列入进度付款申请单中。</w:t>
      </w:r>
    </w:p>
    <w:p w14:paraId="478FAFAF">
      <w:pPr>
        <w:pStyle w:val="11"/>
      </w:pPr>
      <w:bookmarkStart w:id="890" w:name="bookmark1345"/>
      <w:bookmarkEnd w:id="890"/>
      <w:r>
        <w:rPr>
          <w:b w:val="0"/>
          <w:i w:val="0"/>
          <w:strike w:val="0"/>
          <w:color w:val="000000"/>
          <w:u w:val="none"/>
        </w:rPr>
        <w:t>(3)</w:t>
      </w:r>
      <w:r>
        <w:t>监理人对承包人提交的上述资料进行复核，以确定分阶段实际完成的工程量和工程形象目标。对其有异议的，可要求承包人按第8. 2款约定进行共同复核和抽样复测。</w:t>
      </w:r>
    </w:p>
    <w:p w14:paraId="186C9B64">
      <w:pPr>
        <w:pStyle w:val="11"/>
      </w:pPr>
      <w:bookmarkStart w:id="891" w:name="bookmark1346"/>
      <w:bookmarkEnd w:id="891"/>
      <w:r>
        <w:rPr>
          <w:b w:val="0"/>
          <w:i w:val="0"/>
          <w:strike w:val="0"/>
          <w:color w:val="000000"/>
          <w:u w:val="none"/>
        </w:rPr>
        <w:t>(4)</w:t>
      </w:r>
      <w:r>
        <w:t>除按照第15条约定的变更外，总价子目的工程量是承包人用于结算的最终工程量。</w:t>
      </w:r>
    </w:p>
    <w:p w14:paraId="1D3FC3A7">
      <w:pPr>
        <w:pStyle w:val="2"/>
        <w:numPr>
          <w:ilvl w:val="0"/>
          <w:numId w:val="0"/>
        </w:numPr>
        <w:bidi w:val="0"/>
        <w:ind w:left="482" w:leftChars="0"/>
      </w:pPr>
      <w:bookmarkStart w:id="892" w:name="bookmark1349"/>
      <w:bookmarkStart w:id="893" w:name="bookmark1348"/>
      <w:bookmarkStart w:id="894" w:name="_Toc1366"/>
      <w:bookmarkStart w:id="895" w:name="bookmark1347"/>
      <w:bookmarkStart w:id="896" w:name="_Toc14710384"/>
      <w:r>
        <w:t>17.2预付款</w:t>
      </w:r>
      <w:bookmarkEnd w:id="892"/>
      <w:bookmarkEnd w:id="893"/>
      <w:bookmarkEnd w:id="894"/>
      <w:bookmarkEnd w:id="895"/>
      <w:bookmarkEnd w:id="896"/>
    </w:p>
    <w:p w14:paraId="601F8805">
      <w:pPr>
        <w:pStyle w:val="2"/>
        <w:numPr>
          <w:ilvl w:val="0"/>
          <w:numId w:val="0"/>
        </w:numPr>
        <w:bidi w:val="0"/>
        <w:ind w:left="482" w:leftChars="0"/>
      </w:pPr>
      <w:r>
        <w:t>17.2.1预付款</w:t>
      </w:r>
    </w:p>
    <w:p w14:paraId="6FAAA381">
      <w:pPr>
        <w:pStyle w:val="11"/>
      </w:pPr>
      <w:r>
        <w:t>预付款用于承包人为合同工程施工购置材料、工程设备、施工设备、修建临时设施以及组织施工队伍进场等，分为工程预付款和工程材料预付款。预付款必须专用于合同工程。预付款的额度和预付办法在专用合同条款中约定。</w:t>
      </w:r>
    </w:p>
    <w:p w14:paraId="7D058880">
      <w:pPr>
        <w:pStyle w:val="2"/>
        <w:numPr>
          <w:ilvl w:val="0"/>
          <w:numId w:val="0"/>
        </w:numPr>
        <w:bidi w:val="0"/>
        <w:ind w:left="482" w:leftChars="0"/>
      </w:pPr>
      <w:r>
        <w:t>17.2.2预付款保函(担保)</w:t>
      </w:r>
    </w:p>
    <w:p w14:paraId="11F5F8D5">
      <w:pPr>
        <w:pStyle w:val="11"/>
      </w:pPr>
      <w:bookmarkStart w:id="897" w:name="bookmark1350"/>
      <w:bookmarkEnd w:id="897"/>
      <w:r>
        <w:rPr>
          <w:b w:val="0"/>
          <w:i w:val="0"/>
          <w:strike w:val="0"/>
          <w:color w:val="000000"/>
          <w:u w:val="none"/>
        </w:rPr>
        <w:t>(1)</w:t>
      </w:r>
      <w:r>
        <w:t>承包人应在收到第一次工程预付款的同时向发包人提交工程预付款担保，担保金额应与第一次工程预付款金额相同，工程预付款担保在第一次工程预付款被发包人扣回前一直有效。</w:t>
      </w:r>
    </w:p>
    <w:p w14:paraId="70893AA0">
      <w:pPr>
        <w:pStyle w:val="11"/>
      </w:pPr>
      <w:bookmarkStart w:id="898" w:name="bookmark1351"/>
      <w:bookmarkEnd w:id="898"/>
      <w:r>
        <w:rPr>
          <w:b w:val="0"/>
          <w:i w:val="0"/>
          <w:strike w:val="0"/>
          <w:color w:val="000000"/>
          <w:u w:val="none"/>
        </w:rPr>
        <w:t>(2)</w:t>
      </w:r>
      <w:r>
        <w:t>工程材料预付款的担保在专用合同条款中约定。</w:t>
      </w:r>
    </w:p>
    <w:p w14:paraId="3C5F6913">
      <w:pPr>
        <w:pStyle w:val="11"/>
      </w:pPr>
      <w:bookmarkStart w:id="899" w:name="bookmark1352"/>
      <w:bookmarkEnd w:id="899"/>
      <w:r>
        <w:rPr>
          <w:b w:val="0"/>
          <w:i w:val="0"/>
          <w:strike w:val="0"/>
          <w:color w:val="000000"/>
          <w:u w:val="none"/>
        </w:rPr>
        <w:t>(3)</w:t>
      </w:r>
      <w:r>
        <w:t>预付款担保的担保金额可根据预付款扣回的金额相应递减。</w:t>
      </w:r>
    </w:p>
    <w:p w14:paraId="66FB6C52">
      <w:pPr>
        <w:pStyle w:val="2"/>
        <w:numPr>
          <w:ilvl w:val="0"/>
          <w:numId w:val="0"/>
        </w:numPr>
        <w:bidi w:val="0"/>
        <w:ind w:left="482" w:leftChars="0"/>
      </w:pPr>
      <w:r>
        <w:t>17.2.3预付款的扣回与还清</w:t>
      </w:r>
    </w:p>
    <w:p w14:paraId="0AE4DEAB">
      <w:pPr>
        <w:pStyle w:val="11"/>
      </w:pPr>
      <w:r>
        <w:t>预付款在进度付款中扣回，扣回与还清办法在专用合同条款中约定。在颁发合同工程 完工证书前，由于不可抗力或其它原因解除合同时，预付款尚未扣清的，尚未扣清的预付款余额应作为承包人的到期应付款。</w:t>
      </w:r>
    </w:p>
    <w:p w14:paraId="30B0C774">
      <w:pPr>
        <w:pStyle w:val="2"/>
        <w:numPr>
          <w:ilvl w:val="0"/>
          <w:numId w:val="0"/>
        </w:numPr>
        <w:bidi w:val="0"/>
        <w:ind w:left="482" w:leftChars="0"/>
      </w:pPr>
      <w:bookmarkStart w:id="900" w:name="_Toc2053"/>
      <w:bookmarkStart w:id="901" w:name="_Toc14710385"/>
      <w:bookmarkStart w:id="902" w:name="bookmark1353"/>
      <w:bookmarkStart w:id="903" w:name="bookmark1355"/>
      <w:bookmarkStart w:id="904" w:name="bookmark1354"/>
      <w:r>
        <w:t>17.3工程进度付款</w:t>
      </w:r>
      <w:bookmarkEnd w:id="900"/>
      <w:bookmarkEnd w:id="901"/>
      <w:bookmarkEnd w:id="902"/>
      <w:bookmarkEnd w:id="903"/>
      <w:bookmarkEnd w:id="904"/>
    </w:p>
    <w:p w14:paraId="75F4730A">
      <w:pPr>
        <w:pStyle w:val="2"/>
        <w:numPr>
          <w:ilvl w:val="0"/>
          <w:numId w:val="0"/>
        </w:numPr>
        <w:bidi w:val="0"/>
        <w:ind w:left="482" w:leftChars="0"/>
      </w:pPr>
      <w:r>
        <w:t>17.3.1付款周期</w:t>
      </w:r>
    </w:p>
    <w:p w14:paraId="48D7DA49">
      <w:pPr>
        <w:pStyle w:val="11"/>
      </w:pPr>
      <w:r>
        <w:t>付款周期同计量周期。</w:t>
      </w:r>
    </w:p>
    <w:p w14:paraId="73ED5BAA">
      <w:pPr>
        <w:pStyle w:val="2"/>
        <w:numPr>
          <w:ilvl w:val="0"/>
          <w:numId w:val="0"/>
        </w:numPr>
        <w:bidi w:val="0"/>
        <w:ind w:left="482" w:leftChars="0"/>
      </w:pPr>
      <w:r>
        <w:t>17.3.2进度付款申请单</w:t>
      </w:r>
    </w:p>
    <w:p w14:paraId="4591C117">
      <w:pPr>
        <w:pStyle w:val="11"/>
      </w:pPr>
      <w:r>
        <w:t>承包人应在每个付款周期末，按监理人批准的格式和专用合同条款约定的份数，向监理人提交进度付款申请单，并附相应的支持性证明文件。除专用合同条款另有约定外，进度付款申请单应包括下列内容：</w:t>
      </w:r>
    </w:p>
    <w:p w14:paraId="024D08E6">
      <w:pPr>
        <w:pStyle w:val="11"/>
      </w:pPr>
      <w:bookmarkStart w:id="905" w:name="bookmark1356"/>
      <w:bookmarkEnd w:id="905"/>
      <w:r>
        <w:rPr>
          <w:b w:val="0"/>
          <w:i w:val="0"/>
          <w:strike w:val="0"/>
          <w:color w:val="000000"/>
          <w:u w:val="none"/>
        </w:rPr>
        <w:t>(1)</w:t>
      </w:r>
      <w:r>
        <w:t>截至本次付款周期末已实施工程的价款；</w:t>
      </w:r>
    </w:p>
    <w:p w14:paraId="5F9E3873">
      <w:pPr>
        <w:pStyle w:val="11"/>
      </w:pPr>
      <w:bookmarkStart w:id="906" w:name="bookmark1357"/>
      <w:bookmarkEnd w:id="906"/>
      <w:r>
        <w:rPr>
          <w:b w:val="0"/>
          <w:i w:val="0"/>
          <w:strike w:val="0"/>
          <w:color w:val="000000"/>
          <w:u w:val="none"/>
        </w:rPr>
        <w:t>(2)</w:t>
      </w:r>
      <w:r>
        <w:t>根据第15条应增加和扣减的变更金额；</w:t>
      </w:r>
    </w:p>
    <w:p w14:paraId="1783E6E0">
      <w:pPr>
        <w:pStyle w:val="11"/>
      </w:pPr>
      <w:bookmarkStart w:id="907" w:name="bookmark1358"/>
      <w:bookmarkEnd w:id="907"/>
      <w:r>
        <w:rPr>
          <w:b w:val="0"/>
          <w:i w:val="0"/>
          <w:strike w:val="0"/>
          <w:color w:val="000000"/>
          <w:u w:val="none"/>
        </w:rPr>
        <w:t>(3)</w:t>
      </w:r>
      <w:r>
        <w:t>根据第23条应增加和扣减的索赔金额；</w:t>
      </w:r>
    </w:p>
    <w:p w14:paraId="6C125F81">
      <w:pPr>
        <w:pStyle w:val="11"/>
      </w:pPr>
      <w:bookmarkStart w:id="908" w:name="bookmark1359"/>
      <w:bookmarkEnd w:id="908"/>
      <w:r>
        <w:rPr>
          <w:b w:val="0"/>
          <w:i w:val="0"/>
          <w:strike w:val="0"/>
          <w:color w:val="000000"/>
          <w:u w:val="none"/>
        </w:rPr>
        <w:t>(4)</w:t>
      </w:r>
      <w:r>
        <w:t>根据第17. 2款约定应支付的预付款和扣减的返还预付款；</w:t>
      </w:r>
    </w:p>
    <w:p w14:paraId="3120F318">
      <w:pPr>
        <w:pStyle w:val="11"/>
      </w:pPr>
      <w:bookmarkStart w:id="909" w:name="bookmark1360"/>
      <w:bookmarkEnd w:id="909"/>
      <w:r>
        <w:rPr>
          <w:b w:val="0"/>
          <w:i w:val="0"/>
          <w:strike w:val="0"/>
          <w:color w:val="000000"/>
          <w:u w:val="none"/>
        </w:rPr>
        <w:t>(5)</w:t>
      </w:r>
      <w:r>
        <w:t>根据第17.4. 1项约定应扣减的质量保证金；</w:t>
      </w:r>
    </w:p>
    <w:p w14:paraId="2B784B22">
      <w:pPr>
        <w:pStyle w:val="11"/>
      </w:pPr>
      <w:bookmarkStart w:id="910" w:name="bookmark1361"/>
      <w:bookmarkEnd w:id="910"/>
      <w:r>
        <w:rPr>
          <w:b w:val="0"/>
          <w:i w:val="0"/>
          <w:strike w:val="0"/>
          <w:color w:val="000000"/>
          <w:u w:val="none"/>
        </w:rPr>
        <w:t>(6)</w:t>
      </w:r>
      <w:r>
        <w:t>根据合同应增加和扣减的其他金额。</w:t>
      </w:r>
    </w:p>
    <w:p w14:paraId="587C12EB">
      <w:pPr>
        <w:pStyle w:val="2"/>
        <w:numPr>
          <w:ilvl w:val="0"/>
          <w:numId w:val="0"/>
        </w:numPr>
        <w:bidi w:val="0"/>
        <w:ind w:left="482" w:leftChars="0"/>
      </w:pPr>
      <w:r>
        <w:t>17.3.3进度付款证书和支付时间</w:t>
      </w:r>
    </w:p>
    <w:p w14:paraId="16C3FD4F">
      <w:pPr>
        <w:pStyle w:val="11"/>
      </w:pPr>
      <w:bookmarkStart w:id="911" w:name="bookmark1362"/>
      <w:bookmarkEnd w:id="911"/>
      <w:r>
        <w:rPr>
          <w:b w:val="0"/>
          <w:i w:val="0"/>
          <w:strike w:val="0"/>
          <w:color w:val="000000"/>
          <w:u w:val="none"/>
        </w:rPr>
        <w:t>(1)</w:t>
      </w:r>
      <w:r>
        <w:t>监理人在收到承包人进度付款申请单以及相应的支持性证明文件后的14天内完成核查，提出发包人到期应支付给承包人的金额以及相应的支持性材料，经发包人审查同意后，由监理人向承包人出具经发包人签认的进度付款证书。监理人有权扣发承包人未能按照合同要求履行任何工作或义务的相应金额。</w:t>
      </w:r>
    </w:p>
    <w:p w14:paraId="0124247A">
      <w:pPr>
        <w:pStyle w:val="11"/>
      </w:pPr>
      <w:bookmarkStart w:id="912" w:name="bookmark1363"/>
      <w:bookmarkEnd w:id="912"/>
      <w:r>
        <w:rPr>
          <w:b w:val="0"/>
          <w:i w:val="0"/>
          <w:strike w:val="0"/>
          <w:color w:val="000000"/>
          <w:u w:val="none"/>
        </w:rPr>
        <w:t>(2)</w:t>
      </w:r>
      <w:r>
        <w:t>发包人应在监理人收到进度付款申请单后的28天内，将进度应付款支付给承包人。发包人不按期支付的，按专用合同条款的约定支付逾期付款违约金。</w:t>
      </w:r>
    </w:p>
    <w:p w14:paraId="71E77590">
      <w:pPr>
        <w:pStyle w:val="11"/>
      </w:pPr>
      <w:bookmarkStart w:id="913" w:name="bookmark1364"/>
      <w:bookmarkEnd w:id="913"/>
      <w:r>
        <w:rPr>
          <w:b w:val="0"/>
          <w:i w:val="0"/>
          <w:strike w:val="0"/>
          <w:color w:val="000000"/>
          <w:u w:val="none"/>
        </w:rPr>
        <w:t>(3)</w:t>
      </w:r>
      <w:r>
        <w:t>监理人出具进度付款证书，不应视为监理人已同意、批准或接受了承包人完成的该部分工作。</w:t>
      </w:r>
    </w:p>
    <w:p w14:paraId="14F9E00B">
      <w:pPr>
        <w:pStyle w:val="11"/>
      </w:pPr>
      <w:bookmarkStart w:id="914" w:name="bookmark1365"/>
      <w:bookmarkEnd w:id="914"/>
      <w:r>
        <w:rPr>
          <w:b w:val="0"/>
          <w:i w:val="0"/>
          <w:strike w:val="0"/>
          <w:color w:val="000000"/>
          <w:u w:val="none"/>
        </w:rPr>
        <w:t>(4)</w:t>
      </w:r>
      <w:r>
        <w:t>进度付款涉及政府投资资金的，按照国库集中支付等国家相关规定和专用合同条款的约定办理。</w:t>
      </w:r>
    </w:p>
    <w:p w14:paraId="4DC88245">
      <w:pPr>
        <w:pStyle w:val="2"/>
        <w:numPr>
          <w:ilvl w:val="0"/>
          <w:numId w:val="0"/>
        </w:numPr>
        <w:bidi w:val="0"/>
        <w:ind w:left="482" w:leftChars="0"/>
      </w:pPr>
      <w:r>
        <w:t>17.3.4工程进度付款的修正</w:t>
      </w:r>
    </w:p>
    <w:p w14:paraId="6A42729B">
      <w:pPr>
        <w:pStyle w:val="11"/>
      </w:pPr>
      <w:r>
        <w:t>在对以往历次已签发的进度付款证书进行汇总和复核中发现错、漏或重复的，监理人有权予以修正，承包人也有权提出修正申请。经双方复核同意的修正，应在本次进度付款中支付或扣除。</w:t>
      </w:r>
    </w:p>
    <w:p w14:paraId="56D163E9">
      <w:pPr>
        <w:pStyle w:val="2"/>
        <w:numPr>
          <w:ilvl w:val="0"/>
          <w:numId w:val="0"/>
        </w:numPr>
        <w:bidi w:val="0"/>
        <w:ind w:left="482" w:leftChars="0"/>
      </w:pPr>
      <w:bookmarkStart w:id="915" w:name="bookmark1366"/>
      <w:bookmarkStart w:id="916" w:name="_Toc24179"/>
      <w:bookmarkStart w:id="917" w:name="bookmark1367"/>
      <w:bookmarkStart w:id="918" w:name="bookmark1368"/>
      <w:bookmarkStart w:id="919" w:name="_Toc14710386"/>
      <w:r>
        <w:t>17.4质量保证金</w:t>
      </w:r>
      <w:bookmarkEnd w:id="915"/>
      <w:bookmarkEnd w:id="916"/>
      <w:bookmarkEnd w:id="917"/>
      <w:bookmarkEnd w:id="918"/>
      <w:bookmarkEnd w:id="919"/>
    </w:p>
    <w:p w14:paraId="7C6BFB59">
      <w:pPr>
        <w:pStyle w:val="11"/>
      </w:pPr>
      <w:r>
        <w:t>17.4.1监理人应从第一个工程进度付款周期开始，在发包人的进度付款中，按专用合同条款约定扣留质量保证金，直至扣留的工程质量保证金总额达到专用合同条款约定的金额或比例为止。质量保证金的计算额度不包括预付款的支付与扣回金额。</w:t>
      </w:r>
    </w:p>
    <w:p w14:paraId="7C58C3BF">
      <w:pPr>
        <w:pStyle w:val="11"/>
      </w:pPr>
      <w:r>
        <w:t>17.4.2竣工验收鉴定书签署后14天内，发包人将质量保证金总额的一半支付给承包人。在第1.1. 4. 5目约定的缺陷责任期(工程质量保修期)满时，发包人将在30个工作日内会同承包人按照合同约定的内容核实承包人是否完成保修责任。如无异议，发包人应当在核实后将剩余的质量保证金支付给承包人。</w:t>
      </w:r>
    </w:p>
    <w:p w14:paraId="20098B11">
      <w:pPr>
        <w:pStyle w:val="11"/>
      </w:pPr>
      <w:r>
        <w:t>17.4.3在第1.1. 4. 5目约定的缺陷责任期满时，承包人没有完成缺陷责任的，发包人有权扣留与未履行责任剩余工作所需金额相应的质量保证金余额，并有权根据第19. 3款约定要求延长缺陷责任期，直至完成剩余工作为止。</w:t>
      </w:r>
    </w:p>
    <w:p w14:paraId="2C80A102">
      <w:pPr>
        <w:pStyle w:val="2"/>
        <w:numPr>
          <w:ilvl w:val="0"/>
          <w:numId w:val="0"/>
        </w:numPr>
        <w:bidi w:val="0"/>
        <w:ind w:left="482" w:leftChars="0"/>
      </w:pPr>
      <w:bookmarkStart w:id="920" w:name="_Toc14710387"/>
      <w:bookmarkStart w:id="921" w:name="_Toc27561"/>
      <w:bookmarkStart w:id="922" w:name="bookmark1371"/>
      <w:bookmarkStart w:id="923" w:name="bookmark1370"/>
      <w:bookmarkStart w:id="924" w:name="bookmark1369"/>
      <w:r>
        <w:t>17.5竣工结算(完工结算)</w:t>
      </w:r>
      <w:bookmarkEnd w:id="920"/>
      <w:bookmarkEnd w:id="921"/>
      <w:bookmarkEnd w:id="922"/>
      <w:bookmarkEnd w:id="923"/>
      <w:bookmarkEnd w:id="924"/>
    </w:p>
    <w:p w14:paraId="28EF1247">
      <w:pPr>
        <w:pStyle w:val="2"/>
        <w:numPr>
          <w:ilvl w:val="0"/>
          <w:numId w:val="0"/>
        </w:numPr>
        <w:bidi w:val="0"/>
        <w:ind w:left="482" w:leftChars="0"/>
      </w:pPr>
      <w:r>
        <w:t>17.5.1竣工(完工)付款申请单</w:t>
      </w:r>
    </w:p>
    <w:p w14:paraId="4FD3EF6B">
      <w:pPr>
        <w:pStyle w:val="11"/>
      </w:pPr>
      <w:bookmarkStart w:id="925" w:name="bookmark1372"/>
      <w:bookmarkEnd w:id="925"/>
      <w:r>
        <w:rPr>
          <w:b w:val="0"/>
          <w:i w:val="0"/>
          <w:strike w:val="0"/>
          <w:color w:val="000000"/>
          <w:u w:val="none"/>
        </w:rPr>
        <w:t>(1)</w:t>
      </w:r>
      <w:r>
        <w:t>承包人应在合同工程完工证书颁发后28天内，按专用合同条款约定的份数向监理人提交完工付款申请单，并提供相关证明材料。完工付款申请单应包括下列内容：完工结算合同总价、发包人已支付承包人的工程价款、应扣留的质量保证金、应支付的完工付款金额。</w:t>
      </w:r>
    </w:p>
    <w:p w14:paraId="012A407B">
      <w:pPr>
        <w:pStyle w:val="11"/>
      </w:pPr>
      <w:bookmarkStart w:id="926" w:name="bookmark1373"/>
      <w:bookmarkEnd w:id="926"/>
      <w:r>
        <w:rPr>
          <w:b w:val="0"/>
          <w:i w:val="0"/>
          <w:strike w:val="0"/>
          <w:color w:val="000000"/>
          <w:u w:val="none"/>
        </w:rPr>
        <w:t>(2)</w:t>
      </w:r>
      <w:r>
        <w:t>监理人对完工付款申请单有异议的，有权要求承包人进行修正和提供补充资料。经监理人和承包人协商后，由承包人向监理人提交修正后的完工付款申请单。</w:t>
      </w:r>
    </w:p>
    <w:p w14:paraId="37081678">
      <w:pPr>
        <w:pStyle w:val="2"/>
        <w:numPr>
          <w:ilvl w:val="0"/>
          <w:numId w:val="0"/>
        </w:numPr>
        <w:bidi w:val="0"/>
        <w:ind w:left="482" w:leftChars="0"/>
      </w:pPr>
      <w:r>
        <w:t>17.5.2竣工(完工)付款证书及支付时间</w:t>
      </w:r>
    </w:p>
    <w:p w14:paraId="25FE97F3">
      <w:pPr>
        <w:pStyle w:val="11"/>
      </w:pPr>
      <w:bookmarkStart w:id="927" w:name="bookmark1374"/>
      <w:bookmarkEnd w:id="927"/>
      <w:r>
        <w:rPr>
          <w:b w:val="0"/>
          <w:i w:val="0"/>
          <w:strike w:val="0"/>
          <w:color w:val="000000"/>
          <w:u w:val="none"/>
        </w:rPr>
        <w:t>(1)</w:t>
      </w:r>
      <w:r>
        <w:t>监理人在收到承包人提交的完工付款申请单后的14天内完成核查，提出发包人到期应支付给承包人的价款送发包人审核并抄送承包人。发包人应在收到后14天内审核完毕，由监理人向承包人出具经发包人签认的完工付款证书。监理人未在约定时间内核查, 又未提出具体意见的，视为承包人提交的完工付款申请单已经监理人核查同意。发包人未 在约定时间内审核又未提出具体意见的，监理人提出发包人到期应支付给承包人的价款视 为已经发包人同意。</w:t>
      </w:r>
    </w:p>
    <w:p w14:paraId="7A065D27">
      <w:pPr>
        <w:pStyle w:val="11"/>
      </w:pPr>
      <w:bookmarkStart w:id="928" w:name="bookmark1375"/>
      <w:bookmarkEnd w:id="928"/>
      <w:r>
        <w:rPr>
          <w:b w:val="0"/>
          <w:i w:val="0"/>
          <w:strike w:val="0"/>
          <w:color w:val="000000"/>
          <w:u w:val="none"/>
        </w:rPr>
        <w:t>(2)</w:t>
      </w:r>
      <w:r>
        <w:t>发包人应在监理人出具完工付款证书后的14天内，将应支付款支付给承包人。发包人不按期支付的，按第17.3.3 (2)目的约定，将逾期付款违约金支付给承包人。</w:t>
      </w:r>
    </w:p>
    <w:p w14:paraId="5348D777">
      <w:pPr>
        <w:pStyle w:val="11"/>
      </w:pPr>
      <w:bookmarkStart w:id="929" w:name="bookmark1376"/>
      <w:bookmarkEnd w:id="929"/>
      <w:r>
        <w:rPr>
          <w:b w:val="0"/>
          <w:i w:val="0"/>
          <w:strike w:val="0"/>
          <w:color w:val="000000"/>
          <w:u w:val="none"/>
        </w:rPr>
        <w:t>(3)</w:t>
      </w:r>
      <w:r>
        <w:t>承包人对发包人签认的完工付款证书有异议的，发包人可出具完工付款申请单中承包人已同意部分的临时付款证书。存在争议的部分，按第24条的约定办理。</w:t>
      </w:r>
    </w:p>
    <w:p w14:paraId="7A4CFD4D">
      <w:pPr>
        <w:pStyle w:val="11"/>
      </w:pPr>
      <w:bookmarkStart w:id="930" w:name="bookmark1377"/>
      <w:bookmarkEnd w:id="930"/>
      <w:r>
        <w:rPr>
          <w:b w:val="0"/>
          <w:i w:val="0"/>
          <w:strike w:val="0"/>
          <w:color w:val="000000"/>
          <w:u w:val="none"/>
        </w:rPr>
        <w:t>(4)</w:t>
      </w:r>
      <w:r>
        <w:t>完工付款涉及政府投资资金的，按第17.3.3 (4)目的约定办理。</w:t>
      </w:r>
    </w:p>
    <w:p w14:paraId="55CE199A">
      <w:pPr>
        <w:pStyle w:val="2"/>
        <w:numPr>
          <w:ilvl w:val="0"/>
          <w:numId w:val="0"/>
        </w:numPr>
        <w:bidi w:val="0"/>
        <w:ind w:left="482" w:leftChars="0"/>
      </w:pPr>
      <w:bookmarkStart w:id="931" w:name="bookmark1380"/>
      <w:bookmarkStart w:id="932" w:name="_Toc20149"/>
      <w:bookmarkStart w:id="933" w:name="bookmark1379"/>
      <w:bookmarkStart w:id="934" w:name="bookmark1378"/>
      <w:bookmarkStart w:id="935" w:name="_Toc14710388"/>
      <w:r>
        <w:t>17.6最终结清</w:t>
      </w:r>
      <w:bookmarkEnd w:id="931"/>
      <w:bookmarkEnd w:id="932"/>
      <w:bookmarkEnd w:id="933"/>
      <w:bookmarkEnd w:id="934"/>
      <w:bookmarkEnd w:id="935"/>
    </w:p>
    <w:p w14:paraId="29B083B7">
      <w:pPr>
        <w:pStyle w:val="2"/>
        <w:numPr>
          <w:ilvl w:val="0"/>
          <w:numId w:val="0"/>
        </w:numPr>
        <w:bidi w:val="0"/>
        <w:ind w:left="482" w:leftChars="0"/>
      </w:pPr>
      <w:r>
        <w:t>17.6.1最终结清申请单</w:t>
      </w:r>
    </w:p>
    <w:p w14:paraId="205FFED9">
      <w:pPr>
        <w:pStyle w:val="11"/>
      </w:pPr>
      <w:bookmarkStart w:id="936" w:name="bookmark1381"/>
      <w:bookmarkEnd w:id="936"/>
      <w:r>
        <w:rPr>
          <w:b w:val="0"/>
          <w:i w:val="0"/>
          <w:strike w:val="0"/>
          <w:color w:val="000000"/>
          <w:u w:val="none"/>
        </w:rPr>
        <w:t>(1)</w:t>
      </w:r>
      <w:r>
        <w:t>工程质量保修责任终止证书签发后，承包人应按监理人批准的格式提交最终结清申请单。提交最终结清申请单的份数在专用合同条款中约定。</w:t>
      </w:r>
    </w:p>
    <w:p w14:paraId="0F3CFB71">
      <w:pPr>
        <w:pStyle w:val="11"/>
      </w:pPr>
      <w:bookmarkStart w:id="937" w:name="bookmark1382"/>
      <w:bookmarkEnd w:id="937"/>
      <w:r>
        <w:rPr>
          <w:b w:val="0"/>
          <w:i w:val="0"/>
          <w:strike w:val="0"/>
          <w:color w:val="000000"/>
          <w:u w:val="none"/>
        </w:rPr>
        <w:t>(2)</w:t>
      </w:r>
      <w:r>
        <w:t>发包人对最终结清申请单内容有异议的，有权要求承包人进行修正和提供补充资料，由承包人向监理人提交修正后的最终结清申请单。</w:t>
      </w:r>
    </w:p>
    <w:p w14:paraId="526D0996">
      <w:pPr>
        <w:pStyle w:val="2"/>
        <w:numPr>
          <w:ilvl w:val="0"/>
          <w:numId w:val="0"/>
        </w:numPr>
        <w:bidi w:val="0"/>
        <w:ind w:left="482" w:leftChars="0"/>
      </w:pPr>
      <w:r>
        <w:t>17.6.2最终结清证书和支付时间</w:t>
      </w:r>
    </w:p>
    <w:p w14:paraId="30F33855">
      <w:pPr>
        <w:pStyle w:val="11"/>
      </w:pPr>
      <w:bookmarkStart w:id="938" w:name="bookmark1383"/>
      <w:bookmarkEnd w:id="938"/>
      <w:r>
        <w:rPr>
          <w:b w:val="0"/>
          <w:i w:val="0"/>
          <w:strike w:val="0"/>
          <w:color w:val="000000"/>
          <w:u w:val="none"/>
        </w:rPr>
        <w:t>(1)</w:t>
      </w:r>
      <w:r>
        <w:t>监理人收到承包人提交的最终结清申请单后的14天内，提出发包人应支付给承包人的价款送发包人审核并抄送承包人。发包人应在收到后14天内审核完毕，由监理人向承包人出具经发包人签认的最终结清证书。监理人未在约定时间内核查，又未提出具体意见的，视为承包人提交的最终结清申请已经监理人核查同意；发包人未在约定时间内审核又未提出具体意见的，监理人提出应支付给承包人的价款视为已经发包人同意。</w:t>
      </w:r>
    </w:p>
    <w:p w14:paraId="7D4D79B6">
      <w:pPr>
        <w:pStyle w:val="11"/>
      </w:pPr>
      <w:bookmarkStart w:id="939" w:name="bookmark1384"/>
      <w:bookmarkEnd w:id="939"/>
      <w:r>
        <w:rPr>
          <w:b w:val="0"/>
          <w:i w:val="0"/>
          <w:strike w:val="0"/>
          <w:color w:val="000000"/>
          <w:u w:val="none"/>
        </w:rPr>
        <w:t>(2)</w:t>
      </w:r>
      <w:r>
        <w:t>发包人应在监理人出具最终结清证书后的14天内，将应支付款支付给承包人。发包人不按期支付的，按第17.3.3 (2)目的约定，将逾期付款违约金支付给承包人。</w:t>
      </w:r>
    </w:p>
    <w:p w14:paraId="38CBA633">
      <w:pPr>
        <w:pStyle w:val="11"/>
      </w:pPr>
      <w:bookmarkStart w:id="940" w:name="bookmark1385"/>
      <w:bookmarkEnd w:id="940"/>
      <w:r>
        <w:rPr>
          <w:b w:val="0"/>
          <w:i w:val="0"/>
          <w:strike w:val="0"/>
          <w:color w:val="000000"/>
          <w:u w:val="none"/>
        </w:rPr>
        <w:t>(3)</w:t>
      </w:r>
      <w:r>
        <w:t>承包人对发包人签认的最终结清证书有异议的，按第24条的约定办理。</w:t>
      </w:r>
    </w:p>
    <w:p w14:paraId="370F31CB">
      <w:pPr>
        <w:pStyle w:val="11"/>
      </w:pPr>
      <w:bookmarkStart w:id="941" w:name="bookmark1386"/>
      <w:bookmarkEnd w:id="941"/>
      <w:r>
        <w:rPr>
          <w:b w:val="0"/>
          <w:i w:val="0"/>
          <w:strike w:val="0"/>
          <w:color w:val="000000"/>
          <w:u w:val="none"/>
        </w:rPr>
        <w:t>(4)</w:t>
      </w:r>
      <w:r>
        <w:t>最终结清付款涉及政府投资资金的，按第17.3.3 (4)目的约定办理。</w:t>
      </w:r>
    </w:p>
    <w:p w14:paraId="60E4EE70">
      <w:pPr>
        <w:pStyle w:val="2"/>
        <w:numPr>
          <w:ilvl w:val="0"/>
          <w:numId w:val="0"/>
        </w:numPr>
        <w:bidi w:val="0"/>
        <w:ind w:left="482" w:leftChars="0"/>
      </w:pPr>
      <w:bookmarkStart w:id="942" w:name="bookmark1389"/>
      <w:bookmarkStart w:id="943" w:name="_Toc14710389"/>
      <w:bookmarkStart w:id="944" w:name="bookmark1387"/>
      <w:bookmarkStart w:id="945" w:name="_Toc4347"/>
      <w:bookmarkStart w:id="946" w:name="bookmark1388"/>
      <w:r>
        <w:t>17.7竣工财务决算</w:t>
      </w:r>
      <w:bookmarkEnd w:id="942"/>
      <w:bookmarkEnd w:id="943"/>
      <w:bookmarkEnd w:id="944"/>
      <w:bookmarkEnd w:id="945"/>
      <w:bookmarkEnd w:id="946"/>
    </w:p>
    <w:p w14:paraId="5BBD097F">
      <w:pPr>
        <w:pStyle w:val="11"/>
      </w:pPr>
      <w:r>
        <w:t>发包人负责编制本工程项目竣工财务决算，承包人应按专用合同条款的约定提供竣工财务决算编制所需的相关材料。</w:t>
      </w:r>
    </w:p>
    <w:p w14:paraId="2738A2DF">
      <w:pPr>
        <w:pStyle w:val="2"/>
        <w:numPr>
          <w:ilvl w:val="0"/>
          <w:numId w:val="0"/>
        </w:numPr>
        <w:bidi w:val="0"/>
        <w:ind w:left="482" w:leftChars="0"/>
      </w:pPr>
      <w:bookmarkStart w:id="947" w:name="bookmark1392"/>
      <w:bookmarkStart w:id="948" w:name="_Toc14710390"/>
      <w:bookmarkStart w:id="949" w:name="bookmark1391"/>
      <w:bookmarkStart w:id="950" w:name="bookmark1390"/>
      <w:bookmarkStart w:id="951" w:name="_Toc9623"/>
      <w:r>
        <w:t>17.8竣工审计</w:t>
      </w:r>
      <w:bookmarkEnd w:id="947"/>
      <w:bookmarkEnd w:id="948"/>
      <w:bookmarkEnd w:id="949"/>
      <w:bookmarkEnd w:id="950"/>
      <w:bookmarkEnd w:id="951"/>
    </w:p>
    <w:p w14:paraId="474DBF2A">
      <w:pPr>
        <w:pStyle w:val="11"/>
      </w:pPr>
      <w:r>
        <w:t>发包人负责完成本工程竣工审计手续，承包人应完成相关配合工作。</w:t>
      </w:r>
    </w:p>
    <w:p w14:paraId="5AB10260">
      <w:pPr>
        <w:pStyle w:val="2"/>
        <w:numPr>
          <w:ilvl w:val="0"/>
          <w:numId w:val="0"/>
        </w:numPr>
        <w:bidi w:val="0"/>
        <w:ind w:left="482" w:leftChars="0"/>
      </w:pPr>
      <w:bookmarkStart w:id="952" w:name="_Toc15468"/>
      <w:bookmarkStart w:id="953" w:name="_Toc14710391"/>
      <w:bookmarkStart w:id="954" w:name="bookmark1393"/>
      <w:bookmarkStart w:id="955" w:name="bookmark1394"/>
      <w:bookmarkStart w:id="956" w:name="bookmark1395"/>
      <w:r>
        <w:t>18.竣工验收（验收）</w:t>
      </w:r>
      <w:bookmarkEnd w:id="952"/>
      <w:bookmarkEnd w:id="953"/>
      <w:bookmarkEnd w:id="954"/>
      <w:bookmarkEnd w:id="955"/>
      <w:bookmarkEnd w:id="956"/>
    </w:p>
    <w:p w14:paraId="4DD17B5A">
      <w:pPr>
        <w:pStyle w:val="2"/>
        <w:numPr>
          <w:ilvl w:val="0"/>
          <w:numId w:val="0"/>
        </w:numPr>
        <w:bidi w:val="0"/>
        <w:ind w:left="482" w:leftChars="0"/>
      </w:pPr>
      <w:bookmarkStart w:id="957" w:name="bookmark1398"/>
      <w:bookmarkStart w:id="958" w:name="_Toc1314"/>
      <w:bookmarkStart w:id="959" w:name="bookmark1397"/>
      <w:bookmarkStart w:id="960" w:name="bookmark1396"/>
      <w:bookmarkStart w:id="961" w:name="_Toc14710392"/>
      <w:r>
        <w:t>18.1验收工作分类</w:t>
      </w:r>
      <w:bookmarkEnd w:id="957"/>
      <w:bookmarkEnd w:id="958"/>
      <w:bookmarkEnd w:id="959"/>
      <w:bookmarkEnd w:id="960"/>
      <w:bookmarkEnd w:id="961"/>
    </w:p>
    <w:p w14:paraId="18B076F8">
      <w:pPr>
        <w:pStyle w:val="11"/>
      </w:pPr>
      <w:r>
        <w:t>本工程验收工作按主持单位分为法人验收和政府验收。法人验收和政府验收的类别在专用合同条款中约定。除专用合同条款另有约定外，法人验收由发包人主持。承包人应完成法人验收和政府验收的配合工作，所需费用应含在已标价工程量清单中。</w:t>
      </w:r>
    </w:p>
    <w:p w14:paraId="7BE22690">
      <w:pPr>
        <w:pStyle w:val="2"/>
        <w:numPr>
          <w:ilvl w:val="0"/>
          <w:numId w:val="0"/>
        </w:numPr>
        <w:bidi w:val="0"/>
        <w:ind w:left="482" w:leftChars="0"/>
      </w:pPr>
      <w:bookmarkStart w:id="962" w:name="bookmark1400"/>
      <w:bookmarkStart w:id="963" w:name="bookmark1399"/>
      <w:bookmarkStart w:id="964" w:name="bookmark1401"/>
      <w:bookmarkStart w:id="965" w:name="_Toc8655"/>
      <w:bookmarkStart w:id="966" w:name="_Toc14710393"/>
      <w:r>
        <w:t>18.2分部工程验收</w:t>
      </w:r>
      <w:bookmarkEnd w:id="962"/>
      <w:bookmarkEnd w:id="963"/>
      <w:bookmarkEnd w:id="964"/>
      <w:bookmarkEnd w:id="965"/>
      <w:bookmarkEnd w:id="966"/>
    </w:p>
    <w:p w14:paraId="715443D0">
      <w:pPr>
        <w:pStyle w:val="11"/>
      </w:pPr>
      <w:r>
        <w:t>18.2.1分部工程具备验收条件时，承包人应向发包人提交验收申请报告，发包人应在收到验收申请报告之日起10个工作日内决定是否同意进行验收。</w:t>
      </w:r>
    </w:p>
    <w:p w14:paraId="5DB08953">
      <w:pPr>
        <w:pStyle w:val="11"/>
      </w:pPr>
      <w:r>
        <w:t>18.2.2除专用合同条款另有约定外，监理人主持分部工程验收，承包人应派符合条件的代表参加验收工作组。</w:t>
      </w:r>
    </w:p>
    <w:p w14:paraId="4A5117D1">
      <w:pPr>
        <w:pStyle w:val="11"/>
      </w:pPr>
      <w:r>
        <w:t>18.2.3分部工程验收通过后，发包人向承包人发送分部工程验收鉴定书。承包人应及时完成分部工程验收鉴定书载明应由承包人处理的遗留问题。</w:t>
      </w:r>
    </w:p>
    <w:p w14:paraId="632B295C">
      <w:pPr>
        <w:pStyle w:val="2"/>
        <w:numPr>
          <w:ilvl w:val="0"/>
          <w:numId w:val="0"/>
        </w:numPr>
        <w:bidi w:val="0"/>
        <w:ind w:left="482" w:leftChars="0"/>
      </w:pPr>
      <w:bookmarkStart w:id="967" w:name="_Toc19460"/>
      <w:bookmarkStart w:id="968" w:name="bookmark1402"/>
      <w:bookmarkStart w:id="969" w:name="bookmark1404"/>
      <w:bookmarkStart w:id="970" w:name="_Toc14710394"/>
      <w:bookmarkStart w:id="971" w:name="bookmark1403"/>
      <w:r>
        <w:t>18.3单位工程验收</w:t>
      </w:r>
      <w:bookmarkEnd w:id="967"/>
      <w:bookmarkEnd w:id="968"/>
      <w:bookmarkEnd w:id="969"/>
      <w:bookmarkEnd w:id="970"/>
      <w:bookmarkEnd w:id="971"/>
    </w:p>
    <w:p w14:paraId="08EB0F68">
      <w:pPr>
        <w:pStyle w:val="11"/>
      </w:pPr>
      <w:r>
        <w:t>18.3.1单位工程具备验收条件时，承包人应向发包人提交验收申请报告，发包人应在收到验收申请报告之日起10个工作日内决定是否同意进行验收。</w:t>
      </w:r>
    </w:p>
    <w:p w14:paraId="42A90D81">
      <w:pPr>
        <w:pStyle w:val="11"/>
      </w:pPr>
      <w:r>
        <w:t>18.3.2发包人主持单位工程验收，承包人应派符合条件的代表参加验收工作组。</w:t>
      </w:r>
    </w:p>
    <w:p w14:paraId="03AAFF47">
      <w:pPr>
        <w:pStyle w:val="11"/>
      </w:pPr>
      <w:r>
        <w:t>18.3.3单位工程验收通过后，发包人向承包人发送单位工程验收鉴定书。承包人应及时完成单位工程验收鉴定书载明应由承包人处理的遗留问题。</w:t>
      </w:r>
    </w:p>
    <w:p w14:paraId="6737577F">
      <w:pPr>
        <w:pStyle w:val="11"/>
      </w:pPr>
      <w:r>
        <w:t>18.3.4需提前投入使用的单位工程在专用合同条款中明确。</w:t>
      </w:r>
    </w:p>
    <w:p w14:paraId="70E95081">
      <w:pPr>
        <w:pStyle w:val="2"/>
        <w:numPr>
          <w:ilvl w:val="0"/>
          <w:numId w:val="0"/>
        </w:numPr>
        <w:bidi w:val="0"/>
        <w:ind w:left="482" w:leftChars="0"/>
      </w:pPr>
      <w:bookmarkStart w:id="972" w:name="bookmark1407"/>
      <w:bookmarkStart w:id="973" w:name="_Toc14710395"/>
      <w:bookmarkStart w:id="974" w:name="_Toc24227"/>
      <w:bookmarkStart w:id="975" w:name="bookmark1406"/>
      <w:bookmarkStart w:id="976" w:name="bookmark1405"/>
      <w:r>
        <w:t>18.4合同工程完工验收</w:t>
      </w:r>
      <w:bookmarkEnd w:id="972"/>
      <w:bookmarkEnd w:id="973"/>
      <w:bookmarkEnd w:id="974"/>
      <w:bookmarkEnd w:id="975"/>
      <w:bookmarkEnd w:id="976"/>
    </w:p>
    <w:p w14:paraId="6C7FA51A">
      <w:pPr>
        <w:pStyle w:val="11"/>
      </w:pPr>
      <w:r>
        <w:t>18.4.1合同工程具备验收条件时，承包人应向发包人提交验收申请报告，发包人应在收到验收申请报告之日起20个工作日内决定是否同意进行验收。</w:t>
      </w:r>
    </w:p>
    <w:p w14:paraId="3658BE6B">
      <w:pPr>
        <w:pStyle w:val="11"/>
      </w:pPr>
      <w:r>
        <w:t>18.4.2发包人主持合同工程完工验收，承包人应派项目经理参加验收工作组。</w:t>
      </w:r>
    </w:p>
    <w:p w14:paraId="37ACCE8F">
      <w:pPr>
        <w:pStyle w:val="11"/>
      </w:pPr>
      <w:r>
        <w:t>18.4.3合同工程完工验收通过后，发包人向承包人发送合同工程完工验收鉴定书。承包人应及时完成合同工程完工验收鉴定书载明应由承包人处理的遗留问题。</w:t>
      </w:r>
    </w:p>
    <w:p w14:paraId="4298128F">
      <w:pPr>
        <w:pStyle w:val="11"/>
      </w:pPr>
      <w:r>
        <w:t>18.4.4合同工程完工验收通过后，发包人与承包人应在30个工作日内组织专人负责工程交接，双方交接负责人应在交接记录上签字。承包人应按验收鉴定书约定的时间及时 移交工程及其档案资料。工程移交时，承包人应向发包人递交工程质量保修书。在承包人 递交了工程质量保修书、完成施工场地清理以及提交有关资料后，发包人应30个工作日内 向承包人颁发合同工程完工证书。</w:t>
      </w:r>
    </w:p>
    <w:p w14:paraId="216968E3">
      <w:pPr>
        <w:pStyle w:val="2"/>
        <w:numPr>
          <w:ilvl w:val="0"/>
          <w:numId w:val="0"/>
        </w:numPr>
        <w:bidi w:val="0"/>
        <w:ind w:left="482" w:leftChars="0"/>
      </w:pPr>
      <w:bookmarkStart w:id="977" w:name="_Toc14710396"/>
      <w:bookmarkStart w:id="978" w:name="_Toc32064"/>
      <w:bookmarkStart w:id="979" w:name="bookmark1408"/>
      <w:bookmarkStart w:id="980" w:name="bookmark1410"/>
      <w:bookmarkStart w:id="981" w:name="bookmark1409"/>
      <w:r>
        <w:t>18.5阶段验收</w:t>
      </w:r>
      <w:bookmarkEnd w:id="977"/>
      <w:bookmarkEnd w:id="978"/>
      <w:bookmarkEnd w:id="979"/>
      <w:bookmarkEnd w:id="980"/>
      <w:bookmarkEnd w:id="981"/>
    </w:p>
    <w:p w14:paraId="1A57FF1D">
      <w:pPr>
        <w:pStyle w:val="11"/>
      </w:pPr>
      <w:r>
        <w:t>18.5.1工程建设具备阶段验收条件时，发包人负责提出阶段验收申请报告。承包人应派代表参加阶段验收，并作为被验收单位在验收鉴定书上签字。阶段验收的具体类别在专用合同条款中约定。</w:t>
      </w:r>
    </w:p>
    <w:p w14:paraId="66B14A2C">
      <w:pPr>
        <w:pStyle w:val="11"/>
      </w:pPr>
      <w:r>
        <w:t>18.5. 2承包人应及时完成阶段验收鉴定书载明应由承包人处理的遗留问题。</w:t>
      </w:r>
    </w:p>
    <w:p w14:paraId="63FE6CBB">
      <w:pPr>
        <w:pStyle w:val="2"/>
        <w:numPr>
          <w:ilvl w:val="0"/>
          <w:numId w:val="0"/>
        </w:numPr>
        <w:bidi w:val="0"/>
        <w:ind w:left="482" w:leftChars="0"/>
      </w:pPr>
      <w:bookmarkStart w:id="982" w:name="bookmark1413"/>
      <w:bookmarkStart w:id="983" w:name="bookmark1412"/>
      <w:bookmarkStart w:id="984" w:name="bookmark1414"/>
      <w:bookmarkStart w:id="985" w:name="_Toc16235"/>
      <w:bookmarkStart w:id="986" w:name="_Toc14710397"/>
      <w:r>
        <w:t>18.6专项验收</w:t>
      </w:r>
      <w:bookmarkEnd w:id="982"/>
      <w:bookmarkEnd w:id="983"/>
      <w:bookmarkEnd w:id="984"/>
      <w:bookmarkEnd w:id="985"/>
      <w:bookmarkEnd w:id="986"/>
    </w:p>
    <w:p w14:paraId="1F11B2C4">
      <w:pPr>
        <w:pStyle w:val="11"/>
      </w:pPr>
      <w:r>
        <w:t>18.6.1发包人负责提出专项验收申请报告。承包人应按专项验收的相关规定参加专项验收。专项验收的具体类别在专用合同条款中约定。</w:t>
      </w:r>
    </w:p>
    <w:p w14:paraId="03A089A3">
      <w:pPr>
        <w:pStyle w:val="11"/>
      </w:pPr>
      <w:r>
        <w:t>18.6.2承包应及时完成专项验收成果性文件载明应由承包人处理的遗留问题。</w:t>
      </w:r>
    </w:p>
    <w:p w14:paraId="2F57B129">
      <w:pPr>
        <w:pStyle w:val="2"/>
        <w:numPr>
          <w:ilvl w:val="0"/>
          <w:numId w:val="0"/>
        </w:numPr>
        <w:bidi w:val="0"/>
        <w:ind w:left="482" w:leftChars="0"/>
      </w:pPr>
      <w:bookmarkStart w:id="987" w:name="_Toc31377"/>
      <w:bookmarkStart w:id="988" w:name="bookmark1415"/>
      <w:bookmarkStart w:id="989" w:name="_Toc14710398"/>
      <w:bookmarkStart w:id="990" w:name="bookmark1416"/>
      <w:bookmarkStart w:id="991" w:name="bookmark1417"/>
      <w:r>
        <w:t>18.7竣工验收</w:t>
      </w:r>
      <w:bookmarkEnd w:id="987"/>
      <w:bookmarkEnd w:id="988"/>
      <w:bookmarkEnd w:id="989"/>
      <w:bookmarkEnd w:id="990"/>
      <w:bookmarkEnd w:id="991"/>
    </w:p>
    <w:p w14:paraId="08C6972D">
      <w:pPr>
        <w:pStyle w:val="11"/>
      </w:pPr>
      <w:r>
        <w:t>18.7.1申请竣工验收前，发包人组织竣工验收自查，承包人应派项目经理或技术负责人参加。</w:t>
      </w:r>
    </w:p>
    <w:p w14:paraId="5244BFE5">
      <w:pPr>
        <w:pStyle w:val="11"/>
      </w:pPr>
      <w:r>
        <w:t>18.7.2竣工验收分为竣工技术预验收和竣工验收两个阶段，发包人应通知承包人派法定代表人或项目经理参加技术预验收和竣工验收。</w:t>
      </w:r>
    </w:p>
    <w:p w14:paraId="480C02FD">
      <w:pPr>
        <w:pStyle w:val="11"/>
      </w:pPr>
      <w:r>
        <w:t>18.7.3专用合同条款约定工程需要进行技术鉴定的，承包人应提交有关资料并完成配合工作。</w:t>
      </w:r>
    </w:p>
    <w:p w14:paraId="530725B3">
      <w:pPr>
        <w:pStyle w:val="11"/>
      </w:pPr>
      <w:r>
        <w:t>18.7.4竣工验收需要进行质量检测的，所需费用由发包人承担，但因承包人原因造成质量不合格的除外。</w:t>
      </w:r>
    </w:p>
    <w:p w14:paraId="655F5B14">
      <w:pPr>
        <w:pStyle w:val="11"/>
      </w:pPr>
      <w:r>
        <w:t>18.7.5工程质量保修期满以及竣工验收遗留问题和尾工处理完成并通过验收后，发包人负责将处理情况和验收成果报送竣工验收主持单位，申请领取工程竣工证书，并发送承包人。</w:t>
      </w:r>
    </w:p>
    <w:p w14:paraId="183D4D3E">
      <w:pPr>
        <w:pStyle w:val="2"/>
        <w:numPr>
          <w:ilvl w:val="0"/>
          <w:numId w:val="0"/>
        </w:numPr>
        <w:bidi w:val="0"/>
        <w:ind w:left="482" w:leftChars="0"/>
      </w:pPr>
      <w:bookmarkStart w:id="992" w:name="bookmark1419"/>
      <w:bookmarkStart w:id="993" w:name="bookmark1418"/>
      <w:bookmarkStart w:id="994" w:name="_Toc14710399"/>
      <w:bookmarkStart w:id="995" w:name="bookmark1420"/>
      <w:bookmarkStart w:id="996" w:name="_Toc28956"/>
      <w:r>
        <w:t>18.8施工期运行</w:t>
      </w:r>
      <w:bookmarkEnd w:id="992"/>
      <w:bookmarkEnd w:id="993"/>
      <w:bookmarkEnd w:id="994"/>
      <w:bookmarkEnd w:id="995"/>
      <w:bookmarkEnd w:id="996"/>
    </w:p>
    <w:p w14:paraId="2E763C69">
      <w:pPr>
        <w:pStyle w:val="11"/>
      </w:pPr>
      <w:r>
        <w:t>18.8.1施工期运行是指合同工程尚未全部完工，其中某单位工程或部分工程已完工, 需要投入施工期运行的，经发包人按第18. 2款或第18. 3款的约定验收合格，证明能确保安全后，才能在施工期投入运行。需要在施工期运行的单位工程或部分工程在专用合同条款中约定。</w:t>
      </w:r>
    </w:p>
    <w:p w14:paraId="6A75549F">
      <w:pPr>
        <w:pStyle w:val="11"/>
      </w:pPr>
      <w:r>
        <w:t>18.8.2在施工期运行中发现工程或工程设备损坏或存在缺陷的，由承包人按第19. 2 款约定进行修复。</w:t>
      </w:r>
    </w:p>
    <w:p w14:paraId="3AE40342">
      <w:pPr>
        <w:pStyle w:val="2"/>
        <w:numPr>
          <w:ilvl w:val="0"/>
          <w:numId w:val="0"/>
        </w:numPr>
        <w:bidi w:val="0"/>
        <w:ind w:left="482" w:leftChars="0"/>
      </w:pPr>
      <w:bookmarkStart w:id="997" w:name="_Toc14710400"/>
      <w:bookmarkStart w:id="998" w:name="bookmark1422"/>
      <w:bookmarkStart w:id="999" w:name="bookmark1421"/>
      <w:bookmarkStart w:id="1000" w:name="bookmark1423"/>
      <w:bookmarkStart w:id="1001" w:name="_Toc20150"/>
      <w:r>
        <w:t>18.9试运行</w:t>
      </w:r>
      <w:bookmarkEnd w:id="997"/>
      <w:bookmarkEnd w:id="998"/>
      <w:bookmarkEnd w:id="999"/>
      <w:bookmarkEnd w:id="1000"/>
      <w:bookmarkEnd w:id="1001"/>
    </w:p>
    <w:p w14:paraId="672AC419">
      <w:pPr>
        <w:pStyle w:val="11"/>
      </w:pPr>
      <w:r>
        <w:t>18.9.1除专用合同条款另有约定外，承包人应按规定进行工程及工程设备试运行, 负责提供试运行所需的人员、器材和必要的条件，并承担全部试运行费用。</w:t>
      </w:r>
    </w:p>
    <w:p w14:paraId="6665E729">
      <w:pPr>
        <w:pStyle w:val="11"/>
      </w:pPr>
      <w:r>
        <w:t>18.9.2由于承包人的原因导致试运行失败的，承包人应采取措施保证试运行合格, 并承担相应费用。由于发包人的原因导致试运行失败的，承包人应当采取措施保证试运行合格，发包人应承担由此产生的费用，并支付承包人合理利润。</w:t>
      </w:r>
      <w:bookmarkStart w:id="1002" w:name="bookmark1411"/>
      <w:bookmarkEnd w:id="1002"/>
    </w:p>
    <w:p w14:paraId="79CC2E8E">
      <w:pPr>
        <w:pStyle w:val="2"/>
        <w:numPr>
          <w:ilvl w:val="0"/>
          <w:numId w:val="0"/>
        </w:numPr>
        <w:bidi w:val="0"/>
        <w:ind w:left="482" w:leftChars="0"/>
      </w:pPr>
      <w:bookmarkStart w:id="1003" w:name="bookmark1425"/>
      <w:bookmarkStart w:id="1004" w:name="_Toc14710401"/>
      <w:bookmarkStart w:id="1005" w:name="bookmark1424"/>
      <w:bookmarkStart w:id="1006" w:name="bookmark1426"/>
      <w:bookmarkStart w:id="1007" w:name="_Toc1706"/>
      <w:r>
        <w:t>18.10竣工（完工）清场</w:t>
      </w:r>
      <w:bookmarkEnd w:id="1003"/>
      <w:bookmarkEnd w:id="1004"/>
      <w:bookmarkEnd w:id="1005"/>
      <w:bookmarkEnd w:id="1006"/>
      <w:bookmarkEnd w:id="1007"/>
    </w:p>
    <w:p w14:paraId="42145979">
      <w:pPr>
        <w:pStyle w:val="11"/>
      </w:pPr>
      <w:r>
        <w:t>18.10.1工程项目竣工（完工）清场的工作范围和内容在技术标准和要求（合同技术条款）中约定。</w:t>
      </w:r>
    </w:p>
    <w:p w14:paraId="6497C469">
      <w:pPr>
        <w:pStyle w:val="11"/>
      </w:pPr>
      <w:r>
        <w:t>18.10.2承包未按监理人的要求恢复临时占地，或者场地清理未达到合同约定的，发包人有权委托其它人恢复或清理，所发生的金额从拟支付给承包人的款项中扣除。</w:t>
      </w:r>
    </w:p>
    <w:p w14:paraId="2A09FF10">
      <w:pPr>
        <w:pStyle w:val="2"/>
        <w:numPr>
          <w:ilvl w:val="0"/>
          <w:numId w:val="0"/>
        </w:numPr>
        <w:bidi w:val="0"/>
        <w:ind w:left="482" w:leftChars="0"/>
      </w:pPr>
      <w:bookmarkStart w:id="1008" w:name="_Toc14710402"/>
      <w:bookmarkStart w:id="1009" w:name="bookmark1427"/>
      <w:bookmarkStart w:id="1010" w:name="bookmark1428"/>
      <w:bookmarkStart w:id="1011" w:name="bookmark1429"/>
      <w:bookmarkStart w:id="1012" w:name="_Toc28474"/>
      <w:r>
        <w:t>18.11施工队伍的撤离</w:t>
      </w:r>
      <w:bookmarkEnd w:id="1008"/>
      <w:bookmarkEnd w:id="1009"/>
      <w:bookmarkEnd w:id="1010"/>
      <w:bookmarkEnd w:id="1011"/>
      <w:bookmarkEnd w:id="1012"/>
    </w:p>
    <w:p w14:paraId="4488D334">
      <w:pPr>
        <w:pStyle w:val="11"/>
      </w:pPr>
      <w:r>
        <w:t>合同工程完工证书颁发后的56天内，除了经监理人同意需在缺陷责任期（工程质量保修期）内继续工作和使用的人员、施工设备和临时工程外，其余的人员、施工设备和临时工程均应撤离施工场地或拆除。除合同另有约定外，缺陷责任期（工程质量保修期）满时, 承包人的人员和施工设备应全部撤离施工场地。</w:t>
      </w:r>
    </w:p>
    <w:p w14:paraId="2462415D">
      <w:pPr>
        <w:pStyle w:val="2"/>
        <w:numPr>
          <w:ilvl w:val="0"/>
          <w:numId w:val="0"/>
        </w:numPr>
        <w:bidi w:val="0"/>
        <w:ind w:left="482" w:leftChars="0"/>
      </w:pPr>
      <w:bookmarkStart w:id="1013" w:name="bookmark1431"/>
      <w:bookmarkStart w:id="1014" w:name="_Toc15410"/>
      <w:bookmarkStart w:id="1015" w:name="_Toc14710403"/>
      <w:bookmarkStart w:id="1016" w:name="bookmark1430"/>
      <w:bookmarkStart w:id="1017" w:name="bookmark1432"/>
      <w:r>
        <w:t>19.缺陷责任与保修责任</w:t>
      </w:r>
      <w:bookmarkEnd w:id="1013"/>
      <w:bookmarkEnd w:id="1014"/>
      <w:bookmarkEnd w:id="1015"/>
      <w:bookmarkEnd w:id="1016"/>
      <w:bookmarkEnd w:id="1017"/>
    </w:p>
    <w:p w14:paraId="494BEF84">
      <w:pPr>
        <w:pStyle w:val="2"/>
        <w:numPr>
          <w:ilvl w:val="0"/>
          <w:numId w:val="0"/>
        </w:numPr>
        <w:bidi w:val="0"/>
        <w:ind w:left="482" w:leftChars="0"/>
      </w:pPr>
      <w:bookmarkStart w:id="1018" w:name="bookmark1435"/>
      <w:bookmarkStart w:id="1019" w:name="_Toc14710404"/>
      <w:bookmarkStart w:id="1020" w:name="_Toc22913"/>
      <w:bookmarkStart w:id="1021" w:name="bookmark1434"/>
      <w:bookmarkStart w:id="1022" w:name="bookmark1433"/>
      <w:r>
        <w:t>19.1缺陷责任期（工程质量保修期）的起算时间</w:t>
      </w:r>
      <w:bookmarkEnd w:id="1018"/>
      <w:bookmarkEnd w:id="1019"/>
      <w:bookmarkEnd w:id="1020"/>
      <w:bookmarkEnd w:id="1021"/>
      <w:bookmarkEnd w:id="1022"/>
    </w:p>
    <w:p w14:paraId="32E940E2">
      <w:pPr>
        <w:pStyle w:val="11"/>
      </w:pPr>
      <w:r>
        <w:t>除专用合同条款另有约定外，缺陷责任期（工程质量保修期）从工程通过合同工程完 工验收后开始计算。在合同工程完工验收前，已经发包人提前验收的单位工程或部分工程, 若未投入使用，其缺陷责任期（工程质量保修期）亦从工程通过合同工程完工验收后开始计算；若已投入使用，其缺陷责任期（工程质量保修期）从通过单位工程或部分工程投入使用验收后开始计算。缺陷责任期（工程质量保修期）的期限在专用合同条款中约定。</w:t>
      </w:r>
    </w:p>
    <w:p w14:paraId="39FCA87C">
      <w:pPr>
        <w:pStyle w:val="2"/>
        <w:numPr>
          <w:ilvl w:val="0"/>
          <w:numId w:val="0"/>
        </w:numPr>
        <w:bidi w:val="0"/>
        <w:ind w:left="482" w:leftChars="0"/>
      </w:pPr>
      <w:bookmarkStart w:id="1023" w:name="bookmark1437"/>
      <w:bookmarkStart w:id="1024" w:name="_Toc27743"/>
      <w:bookmarkStart w:id="1025" w:name="bookmark1438"/>
      <w:bookmarkStart w:id="1026" w:name="bookmark1436"/>
      <w:bookmarkStart w:id="1027" w:name="_Toc14710405"/>
      <w:r>
        <w:t>19.2缺陷责任</w:t>
      </w:r>
      <w:bookmarkEnd w:id="1023"/>
      <w:bookmarkEnd w:id="1024"/>
      <w:bookmarkEnd w:id="1025"/>
      <w:bookmarkEnd w:id="1026"/>
      <w:bookmarkEnd w:id="1027"/>
    </w:p>
    <w:p w14:paraId="68607520">
      <w:pPr>
        <w:pStyle w:val="11"/>
      </w:pPr>
      <w:bookmarkStart w:id="1028" w:name="bookmark1439"/>
      <w:bookmarkEnd w:id="1028"/>
      <w:r>
        <w:t>19.2.1承包人应在缺陷责任期内对已交付使用的工程承担缺陷责任。</w:t>
      </w:r>
    </w:p>
    <w:p w14:paraId="4A88B74E">
      <w:pPr>
        <w:pStyle w:val="11"/>
      </w:pPr>
      <w:r>
        <w:t>19.2.2缺陷责任期内，发包人对已接收使用的工程负责日常维护工作。发包人在使用过程中，发现已接收的工程存在新的缺陷或已修复的缺陷部位或部件又遭损坏的，承包人应负责修复，直至检验合格为止。</w:t>
      </w:r>
    </w:p>
    <w:p w14:paraId="0B296A09">
      <w:pPr>
        <w:pStyle w:val="11"/>
      </w:pPr>
      <w:r>
        <w:t>19.2.3监理人和承包人应共同查清缺陷和（或）损坏的原因。经查明属承包人原因造成的，应由承包人承担修复和查验的费用。经查验属发包人原因造成的，发包人应承担修复和查验的费用，并支付承包人合理利润。</w:t>
      </w:r>
    </w:p>
    <w:p w14:paraId="1AC6A322">
      <w:pPr>
        <w:pStyle w:val="11"/>
      </w:pPr>
      <w:r>
        <w:t>19.2.4承包人不能在合理时间内修复缺陷的，发包人可自行修复或委托其他人修复, 所需费用和利润的承担，按第19. 2. 3项约定办理。</w:t>
      </w:r>
    </w:p>
    <w:p w14:paraId="583E4AB6">
      <w:pPr>
        <w:pStyle w:val="2"/>
        <w:numPr>
          <w:ilvl w:val="0"/>
          <w:numId w:val="0"/>
        </w:numPr>
        <w:bidi w:val="0"/>
        <w:ind w:left="482" w:leftChars="0"/>
      </w:pPr>
      <w:bookmarkStart w:id="1029" w:name="bookmark1441"/>
      <w:bookmarkStart w:id="1030" w:name="_Toc19734"/>
      <w:bookmarkStart w:id="1031" w:name="_Toc14710406"/>
      <w:bookmarkStart w:id="1032" w:name="bookmark1440"/>
      <w:bookmarkStart w:id="1033" w:name="bookmark1442"/>
      <w:r>
        <w:t>19.3缺陷责任期的延长</w:t>
      </w:r>
      <w:bookmarkEnd w:id="1029"/>
      <w:bookmarkEnd w:id="1030"/>
      <w:bookmarkEnd w:id="1031"/>
      <w:bookmarkEnd w:id="1032"/>
      <w:bookmarkEnd w:id="1033"/>
    </w:p>
    <w:p w14:paraId="4D6416C8">
      <w:pPr>
        <w:pStyle w:val="11"/>
      </w:pPr>
      <w:r>
        <w:t>由于承包人原因造成某项缺陷或损坏使某项工程或工程设备不能按原定目标使用而需要再次检查、检验和修复的，发包人有权要求承包人相应延长缺陷责任期，但缺陷责任期最长不超过2年。</w:t>
      </w:r>
    </w:p>
    <w:p w14:paraId="5B437657">
      <w:pPr>
        <w:pStyle w:val="2"/>
        <w:numPr>
          <w:ilvl w:val="0"/>
          <w:numId w:val="0"/>
        </w:numPr>
        <w:bidi w:val="0"/>
        <w:ind w:left="482" w:leftChars="0"/>
      </w:pPr>
      <w:bookmarkStart w:id="1034" w:name="bookmark1444"/>
      <w:bookmarkStart w:id="1035" w:name="bookmark1445"/>
      <w:bookmarkStart w:id="1036" w:name="_Toc14710407"/>
      <w:bookmarkStart w:id="1037" w:name="_Toc4593"/>
      <w:bookmarkStart w:id="1038" w:name="bookmark1443"/>
      <w:r>
        <w:t>19.4进一步试验和试运行</w:t>
      </w:r>
      <w:bookmarkEnd w:id="1034"/>
      <w:bookmarkEnd w:id="1035"/>
      <w:bookmarkEnd w:id="1036"/>
      <w:bookmarkEnd w:id="1037"/>
      <w:bookmarkEnd w:id="1038"/>
    </w:p>
    <w:p w14:paraId="0352FFA3">
      <w:pPr>
        <w:pStyle w:val="11"/>
      </w:pPr>
      <w:r>
        <w:t>任何一项缺陷或损坏修复后，经检查证明其影响了工程或工程设备的使用性能，承包人应重新进行合同约定的试验和试运行，试验和试运行的全部费用应由责任方承担。</w:t>
      </w:r>
    </w:p>
    <w:p w14:paraId="75E94345">
      <w:pPr>
        <w:pStyle w:val="2"/>
        <w:numPr>
          <w:ilvl w:val="0"/>
          <w:numId w:val="0"/>
        </w:numPr>
        <w:bidi w:val="0"/>
        <w:ind w:left="482" w:leftChars="0"/>
      </w:pPr>
      <w:bookmarkStart w:id="1039" w:name="bookmark1448"/>
      <w:bookmarkStart w:id="1040" w:name="bookmark1446"/>
      <w:bookmarkStart w:id="1041" w:name="_Toc14710408"/>
      <w:bookmarkStart w:id="1042" w:name="bookmark1447"/>
      <w:bookmarkStart w:id="1043" w:name="_Toc13710"/>
      <w:r>
        <w:t>19.5承包人的进入权</w:t>
      </w:r>
      <w:bookmarkEnd w:id="1039"/>
      <w:bookmarkEnd w:id="1040"/>
      <w:bookmarkEnd w:id="1041"/>
      <w:bookmarkEnd w:id="1042"/>
      <w:bookmarkEnd w:id="1043"/>
    </w:p>
    <w:p w14:paraId="05C1D2BF">
      <w:pPr>
        <w:pStyle w:val="11"/>
      </w:pPr>
      <w:r>
        <w:t>缺陷责任期内承包人为缺陷修复工作需要，有权进入工程现场，但应遵守发包人的保安和保密规定。</w:t>
      </w:r>
    </w:p>
    <w:p w14:paraId="6D2A9FB0">
      <w:pPr>
        <w:pStyle w:val="2"/>
        <w:numPr>
          <w:ilvl w:val="0"/>
          <w:numId w:val="0"/>
        </w:numPr>
        <w:bidi w:val="0"/>
        <w:ind w:left="482" w:leftChars="0"/>
      </w:pPr>
      <w:bookmarkStart w:id="1044" w:name="_Toc16024"/>
      <w:bookmarkStart w:id="1045" w:name="bookmark1449"/>
      <w:bookmarkStart w:id="1046" w:name="bookmark1450"/>
      <w:bookmarkStart w:id="1047" w:name="_Toc14710409"/>
      <w:bookmarkStart w:id="1048" w:name="bookmark1451"/>
      <w:r>
        <w:t>19.6缺陷责任期终止证书（工程质量保修责任终止证书）</w:t>
      </w:r>
      <w:bookmarkEnd w:id="1044"/>
      <w:bookmarkEnd w:id="1045"/>
      <w:bookmarkEnd w:id="1046"/>
      <w:bookmarkEnd w:id="1047"/>
      <w:bookmarkEnd w:id="1048"/>
    </w:p>
    <w:p w14:paraId="489C0693">
      <w:pPr>
        <w:pStyle w:val="11"/>
      </w:pPr>
      <w:r>
        <w:t>合同工程完工验收后，发包人与承包人应办理工程交接手续，承包人应向发包人递交工程质量保修书。</w:t>
      </w:r>
    </w:p>
    <w:p w14:paraId="4BBCC4E9">
      <w:pPr>
        <w:pStyle w:val="11"/>
      </w:pPr>
      <w:r>
        <w:t>缺陷责任期（工程质量保修期）满后30个工作日内，发包人应向承包人颁发工程质量保修责任终止证书，并退还剩余的质量保证金，但保修责任范围内的质量缺陷未处理完成的应除外。</w:t>
      </w:r>
    </w:p>
    <w:p w14:paraId="2FDFD46B">
      <w:pPr>
        <w:pStyle w:val="2"/>
        <w:numPr>
          <w:ilvl w:val="0"/>
          <w:numId w:val="0"/>
        </w:numPr>
        <w:bidi w:val="0"/>
        <w:ind w:left="482" w:leftChars="0"/>
      </w:pPr>
      <w:bookmarkStart w:id="1049" w:name="_Toc10377"/>
      <w:bookmarkStart w:id="1050" w:name="bookmark1454"/>
      <w:bookmarkStart w:id="1051" w:name="bookmark1452"/>
      <w:bookmarkStart w:id="1052" w:name="bookmark1453"/>
      <w:bookmarkStart w:id="1053" w:name="_Toc14710410"/>
      <w:r>
        <w:t>19.7保修责任</w:t>
      </w:r>
      <w:bookmarkEnd w:id="1049"/>
      <w:bookmarkEnd w:id="1050"/>
      <w:bookmarkEnd w:id="1051"/>
      <w:bookmarkEnd w:id="1052"/>
      <w:bookmarkEnd w:id="1053"/>
    </w:p>
    <w:p w14:paraId="46A6C177">
      <w:pPr>
        <w:pStyle w:val="11"/>
      </w:pPr>
      <w:r>
        <w:t>合同当事人根据有关法律规定，在专用合同条款中约定工程质量保修范围、期限和责任。保修期自实际完工验收日期起计算。在全部工程竣工验收前，已经发包人提前验收的单位工程，其保修期的起算日期相应提前。</w:t>
      </w:r>
    </w:p>
    <w:p w14:paraId="129BD31D">
      <w:pPr>
        <w:pStyle w:val="2"/>
        <w:numPr>
          <w:ilvl w:val="0"/>
          <w:numId w:val="0"/>
        </w:numPr>
        <w:bidi w:val="0"/>
        <w:ind w:left="482" w:leftChars="0"/>
      </w:pPr>
      <w:bookmarkStart w:id="1054" w:name="_Toc31099"/>
      <w:bookmarkStart w:id="1055" w:name="bookmark1457"/>
      <w:bookmarkStart w:id="1056" w:name="_Toc14710411"/>
      <w:bookmarkStart w:id="1057" w:name="bookmark1456"/>
      <w:bookmarkStart w:id="1058" w:name="bookmark1455"/>
      <w:r>
        <w:t>20.保险</w:t>
      </w:r>
      <w:bookmarkEnd w:id="1054"/>
      <w:bookmarkEnd w:id="1055"/>
      <w:bookmarkEnd w:id="1056"/>
    </w:p>
    <w:p w14:paraId="68414968">
      <w:pPr>
        <w:pStyle w:val="2"/>
        <w:numPr>
          <w:ilvl w:val="0"/>
          <w:numId w:val="0"/>
        </w:numPr>
        <w:bidi w:val="0"/>
        <w:ind w:left="482" w:leftChars="0"/>
      </w:pPr>
      <w:bookmarkStart w:id="1059" w:name="_Toc14710412"/>
      <w:bookmarkStart w:id="1060" w:name="bookmark1458"/>
      <w:bookmarkStart w:id="1061" w:name="_Toc16520"/>
      <w:r>
        <w:t>20.1工程保险</w:t>
      </w:r>
      <w:bookmarkEnd w:id="1057"/>
      <w:bookmarkEnd w:id="1058"/>
      <w:bookmarkEnd w:id="1059"/>
      <w:bookmarkEnd w:id="1060"/>
      <w:bookmarkEnd w:id="1061"/>
    </w:p>
    <w:p w14:paraId="65B66C01">
      <w:pPr>
        <w:pStyle w:val="11"/>
      </w:pPr>
      <w:r>
        <w:t>除专用合同条款另有约定外，承包人应以发包人和承包人的共同名义向双方同意的保险人投保建筑工程一切险、安装工程一切险。其具体的投保内容、保险金额、保险费率、 保险期限等有关内容在专用合同条款中约定。</w:t>
      </w:r>
    </w:p>
    <w:p w14:paraId="2A841C57">
      <w:pPr>
        <w:pStyle w:val="2"/>
        <w:numPr>
          <w:ilvl w:val="0"/>
          <w:numId w:val="0"/>
        </w:numPr>
        <w:bidi w:val="0"/>
        <w:ind w:left="482" w:leftChars="0"/>
      </w:pPr>
      <w:bookmarkStart w:id="1062" w:name="bookmark1460"/>
      <w:bookmarkStart w:id="1063" w:name="bookmark1459"/>
      <w:bookmarkStart w:id="1064" w:name="_Toc14710413"/>
      <w:bookmarkStart w:id="1065" w:name="_Toc19236"/>
      <w:bookmarkStart w:id="1066" w:name="bookmark1461"/>
      <w:r>
        <w:t>20.2人员工伤事故的保险</w:t>
      </w:r>
      <w:bookmarkEnd w:id="1062"/>
      <w:bookmarkEnd w:id="1063"/>
      <w:bookmarkEnd w:id="1064"/>
      <w:bookmarkEnd w:id="1065"/>
      <w:bookmarkEnd w:id="1066"/>
    </w:p>
    <w:p w14:paraId="48B57B8B">
      <w:pPr>
        <w:pStyle w:val="2"/>
        <w:numPr>
          <w:ilvl w:val="0"/>
          <w:numId w:val="0"/>
        </w:numPr>
        <w:bidi w:val="0"/>
        <w:ind w:left="482" w:leftChars="0"/>
      </w:pPr>
      <w:bookmarkStart w:id="1067" w:name="bookmark1462"/>
      <w:bookmarkEnd w:id="1067"/>
      <w:r>
        <w:t>20.2.1承包人员工伤事故的保险</w:t>
      </w:r>
    </w:p>
    <w:p w14:paraId="37DFD6D7">
      <w:pPr>
        <w:pStyle w:val="11"/>
      </w:pPr>
      <w:r>
        <w:t>承包人应依照有关法律规定参加工伤保险，为其履行合同所雇佣的全部人员，缴纳工 伤保险费，并要求其分包人也进行此项保险。</w:t>
      </w:r>
    </w:p>
    <w:p w14:paraId="14850002">
      <w:pPr>
        <w:pStyle w:val="2"/>
        <w:numPr>
          <w:ilvl w:val="0"/>
          <w:numId w:val="0"/>
        </w:numPr>
        <w:bidi w:val="0"/>
        <w:ind w:left="482" w:leftChars="0"/>
      </w:pPr>
      <w:r>
        <w:t>20.2.2发包人员工伤事故的保险</w:t>
      </w:r>
    </w:p>
    <w:p w14:paraId="6E7B9FA5">
      <w:pPr>
        <w:pStyle w:val="11"/>
      </w:pPr>
      <w:r>
        <w:t>发包人应依照有关法律规定参加工伤保险，为其现场机构雇佣的全部人员，缴纳工伤保险费，并要求其监理人也进行此项保险。</w:t>
      </w:r>
    </w:p>
    <w:p w14:paraId="39D473A7">
      <w:pPr>
        <w:pStyle w:val="2"/>
        <w:numPr>
          <w:ilvl w:val="0"/>
          <w:numId w:val="0"/>
        </w:numPr>
        <w:bidi w:val="0"/>
        <w:ind w:left="482" w:leftChars="0"/>
      </w:pPr>
      <w:bookmarkStart w:id="1068" w:name="_Toc9146"/>
      <w:bookmarkStart w:id="1069" w:name="bookmark1463"/>
      <w:bookmarkStart w:id="1070" w:name="_Toc14710414"/>
      <w:bookmarkStart w:id="1071" w:name="bookmark1465"/>
      <w:bookmarkStart w:id="1072" w:name="bookmark1464"/>
      <w:r>
        <w:t>20.3人身意外伤害险</w:t>
      </w:r>
      <w:bookmarkEnd w:id="1068"/>
      <w:bookmarkEnd w:id="1069"/>
      <w:bookmarkEnd w:id="1070"/>
      <w:bookmarkEnd w:id="1071"/>
      <w:bookmarkEnd w:id="1072"/>
    </w:p>
    <w:p w14:paraId="3954D12B">
      <w:pPr>
        <w:pStyle w:val="11"/>
      </w:pPr>
      <w:r>
        <w:t>20.3.1发包人应在整个施工期间为其现场机构雇用的全部人员，投保人身意外伤害险，缴纳保险费，并要求其监理人也进行此项保险。</w:t>
      </w:r>
    </w:p>
    <w:p w14:paraId="0F373B39">
      <w:pPr>
        <w:pStyle w:val="11"/>
      </w:pPr>
      <w:r>
        <w:t>20.3.2承包人应在整个施工期间为其现场机构雇用的全部人员，投保人身意外伤害险，缴纳保险费，并要求其分包人也进行此项保险。</w:t>
      </w:r>
    </w:p>
    <w:p w14:paraId="54711A3A">
      <w:pPr>
        <w:pStyle w:val="2"/>
        <w:numPr>
          <w:ilvl w:val="0"/>
          <w:numId w:val="0"/>
        </w:numPr>
        <w:bidi w:val="0"/>
        <w:ind w:left="482" w:leftChars="0"/>
      </w:pPr>
      <w:bookmarkStart w:id="1073" w:name="_Toc14710415"/>
      <w:bookmarkStart w:id="1074" w:name="_Toc10666"/>
      <w:bookmarkStart w:id="1075" w:name="bookmark1466"/>
      <w:bookmarkStart w:id="1076" w:name="bookmark1468"/>
      <w:bookmarkStart w:id="1077" w:name="bookmark1467"/>
      <w:r>
        <w:t>20.4第三者责任险</w:t>
      </w:r>
      <w:bookmarkEnd w:id="1073"/>
      <w:bookmarkEnd w:id="1074"/>
      <w:bookmarkEnd w:id="1075"/>
      <w:bookmarkEnd w:id="1076"/>
      <w:bookmarkEnd w:id="1077"/>
    </w:p>
    <w:p w14:paraId="52E75ACB">
      <w:pPr>
        <w:pStyle w:val="11"/>
      </w:pPr>
      <w:r>
        <w:t>20.4.1第三者责任系指在保险期内，对因工程意外事故造成的、依法应由被保险人负责的工地上及毗邻地区的第三者人身伤亡、疾病或财产损失（本工程除外），以及被保险人因此而支付的诉讼费用和事先经保险人书面同意支付的其他费用等赔偿责任。</w:t>
      </w:r>
    </w:p>
    <w:p w14:paraId="25755ECC">
      <w:pPr>
        <w:pStyle w:val="11"/>
      </w:pPr>
      <w:r>
        <w:t>20.4.2在缺陷责任期终止证书颁发前，承包人应以承包人和发包人的共同名义，投保第20. 4.1项约定的第三者责任险，其保险费率、保险金额等有关内容在专用合同条款中约定。</w:t>
      </w:r>
    </w:p>
    <w:p w14:paraId="66C581C7">
      <w:pPr>
        <w:pStyle w:val="2"/>
        <w:numPr>
          <w:ilvl w:val="0"/>
          <w:numId w:val="0"/>
        </w:numPr>
        <w:bidi w:val="0"/>
        <w:ind w:left="482" w:leftChars="0"/>
      </w:pPr>
      <w:bookmarkStart w:id="1078" w:name="_Toc15855"/>
      <w:bookmarkStart w:id="1079" w:name="_Toc14710416"/>
      <w:bookmarkStart w:id="1080" w:name="bookmark1471"/>
      <w:bookmarkStart w:id="1081" w:name="bookmark1469"/>
      <w:bookmarkStart w:id="1082" w:name="bookmark1470"/>
      <w:r>
        <w:t>20.5其他保险</w:t>
      </w:r>
      <w:bookmarkEnd w:id="1078"/>
      <w:bookmarkEnd w:id="1079"/>
      <w:bookmarkEnd w:id="1080"/>
      <w:bookmarkEnd w:id="1081"/>
      <w:bookmarkEnd w:id="1082"/>
    </w:p>
    <w:p w14:paraId="7E1A1D8C">
      <w:pPr>
        <w:pStyle w:val="11"/>
      </w:pPr>
      <w:r>
        <w:t>除专用合同条款另有约定外，承包人应为其施工设备、进场的材料和工程设备等办理保险。</w:t>
      </w:r>
    </w:p>
    <w:p w14:paraId="3DC7180F">
      <w:pPr>
        <w:pStyle w:val="2"/>
        <w:numPr>
          <w:ilvl w:val="0"/>
          <w:numId w:val="0"/>
        </w:numPr>
        <w:bidi w:val="0"/>
        <w:ind w:left="482" w:leftChars="0"/>
      </w:pPr>
      <w:bookmarkStart w:id="1083" w:name="_Toc20306"/>
      <w:bookmarkStart w:id="1084" w:name="bookmark1473"/>
      <w:bookmarkStart w:id="1085" w:name="bookmark1474"/>
      <w:bookmarkStart w:id="1086" w:name="bookmark1472"/>
      <w:bookmarkStart w:id="1087" w:name="_Toc14710417"/>
      <w:r>
        <w:t>20.6对各项保险的一般要求</w:t>
      </w:r>
      <w:bookmarkEnd w:id="1083"/>
      <w:bookmarkEnd w:id="1084"/>
      <w:bookmarkEnd w:id="1085"/>
      <w:bookmarkEnd w:id="1086"/>
      <w:bookmarkEnd w:id="1087"/>
    </w:p>
    <w:p w14:paraId="1DA8175D">
      <w:pPr>
        <w:pStyle w:val="2"/>
        <w:numPr>
          <w:ilvl w:val="0"/>
          <w:numId w:val="0"/>
        </w:numPr>
        <w:bidi w:val="0"/>
        <w:ind w:left="482" w:leftChars="0"/>
      </w:pPr>
      <w:r>
        <w:t>20.6.1保险凭证</w:t>
      </w:r>
    </w:p>
    <w:p w14:paraId="00037316">
      <w:pPr>
        <w:pStyle w:val="11"/>
      </w:pPr>
      <w:r>
        <w:t>承包人应在专用合同条款约定的期限内向发包人提交各项保险生效的证据和保险单副本，保险单必须与专用合同条款约定的条件保持一致。</w:t>
      </w:r>
    </w:p>
    <w:p w14:paraId="08E87269">
      <w:pPr>
        <w:pStyle w:val="2"/>
        <w:numPr>
          <w:ilvl w:val="0"/>
          <w:numId w:val="0"/>
        </w:numPr>
        <w:bidi w:val="0"/>
        <w:ind w:left="482" w:leftChars="0"/>
      </w:pPr>
      <w:r>
        <w:t>20.6.2保险合同条款的变动</w:t>
      </w:r>
    </w:p>
    <w:p w14:paraId="3E76D994">
      <w:pPr>
        <w:pStyle w:val="11"/>
      </w:pPr>
      <w:r>
        <w:t>承包人需要变动保险合同条款时，应事先征得发包人同意，并通知监理人。保险人作出变动的，承包人应在收到保险人通知后立即通知发包人和监理人。</w:t>
      </w:r>
    </w:p>
    <w:p w14:paraId="78D84CE1">
      <w:pPr>
        <w:pStyle w:val="2"/>
        <w:numPr>
          <w:ilvl w:val="0"/>
          <w:numId w:val="0"/>
        </w:numPr>
        <w:bidi w:val="0"/>
        <w:ind w:left="482" w:leftChars="0"/>
      </w:pPr>
      <w:r>
        <w:t>20.6.3持续保险</w:t>
      </w:r>
    </w:p>
    <w:p w14:paraId="346FCECB">
      <w:pPr>
        <w:pStyle w:val="11"/>
      </w:pPr>
      <w:r>
        <w:t>承包人应与保险人保持联系，使保险人能够随时了解工程实施中的变动，并确保按保险合同条款要求持续保险。</w:t>
      </w:r>
    </w:p>
    <w:p w14:paraId="6E57DE3E">
      <w:pPr>
        <w:pStyle w:val="2"/>
        <w:numPr>
          <w:ilvl w:val="0"/>
          <w:numId w:val="0"/>
        </w:numPr>
        <w:bidi w:val="0"/>
        <w:ind w:left="482" w:leftChars="0"/>
      </w:pPr>
      <w:r>
        <w:t>20.6.4保险金不足的补偿</w:t>
      </w:r>
    </w:p>
    <w:p w14:paraId="39E53E3F">
      <w:pPr>
        <w:pStyle w:val="11"/>
      </w:pPr>
      <w:r>
        <w:t>保险金不足以补偿损失时，应由承包人和发包人各自负责补偿的范围和金额在专用合 同条款中约定。</w:t>
      </w:r>
    </w:p>
    <w:p w14:paraId="49DD8F37">
      <w:pPr>
        <w:pStyle w:val="2"/>
        <w:numPr>
          <w:ilvl w:val="0"/>
          <w:numId w:val="0"/>
        </w:numPr>
        <w:bidi w:val="0"/>
        <w:ind w:left="482" w:leftChars="0"/>
      </w:pPr>
      <w:r>
        <w:t>20.6.5未按约定投保的补救</w:t>
      </w:r>
    </w:p>
    <w:p w14:paraId="78FE8BBF">
      <w:pPr>
        <w:pStyle w:val="11"/>
      </w:pPr>
      <w:bookmarkStart w:id="1088" w:name="bookmark1475"/>
      <w:bookmarkEnd w:id="1088"/>
      <w:r>
        <w:rPr>
          <w:b w:val="0"/>
          <w:i w:val="0"/>
          <w:strike w:val="0"/>
          <w:color w:val="000000"/>
          <w:u w:val="none"/>
        </w:rPr>
        <w:t>(1)</w:t>
      </w:r>
      <w:r>
        <w:t>由于负有投保义务的一方当事人未按合同约定办理保险，或未能使保险持续有效的，另一方当事人可代为办理，所需费用由对方当事人承担。</w:t>
      </w:r>
    </w:p>
    <w:p w14:paraId="740DDDEC">
      <w:pPr>
        <w:pStyle w:val="11"/>
      </w:pPr>
      <w:bookmarkStart w:id="1089" w:name="bookmark1476"/>
      <w:bookmarkEnd w:id="1089"/>
      <w:r>
        <w:rPr>
          <w:b w:val="0"/>
          <w:i w:val="0"/>
          <w:strike w:val="0"/>
          <w:color w:val="000000"/>
          <w:u w:val="none"/>
        </w:rPr>
        <w:t>(2)</w:t>
      </w:r>
      <w:r>
        <w:t>由于负有投保义务的一方当事人未按合同约定办理某项保险，导致受益人未能得到保险人的赔偿，原应从该项保险得到的保险金应由负有投保义务的一方当事人支付。</w:t>
      </w:r>
    </w:p>
    <w:p w14:paraId="121CC2C2">
      <w:pPr>
        <w:pStyle w:val="2"/>
        <w:numPr>
          <w:ilvl w:val="0"/>
          <w:numId w:val="0"/>
        </w:numPr>
        <w:bidi w:val="0"/>
        <w:ind w:left="482" w:leftChars="0"/>
      </w:pPr>
      <w:r>
        <w:t>20.6.6报告义务</w:t>
      </w:r>
    </w:p>
    <w:p w14:paraId="6F57AAE9">
      <w:pPr>
        <w:pStyle w:val="11"/>
      </w:pPr>
      <w:r>
        <w:t>当保险事故发生时，投保人应按照保险单规定的条件和期限及时向保险人报告。</w:t>
      </w:r>
    </w:p>
    <w:p w14:paraId="796CF8C7">
      <w:pPr>
        <w:pStyle w:val="2"/>
        <w:numPr>
          <w:ilvl w:val="0"/>
          <w:numId w:val="0"/>
        </w:numPr>
        <w:bidi w:val="0"/>
        <w:ind w:left="482" w:leftChars="0"/>
      </w:pPr>
      <w:bookmarkStart w:id="1090" w:name="bookmark1479"/>
      <w:bookmarkStart w:id="1091" w:name="_Toc12103"/>
      <w:bookmarkStart w:id="1092" w:name="_Toc14710418"/>
      <w:bookmarkStart w:id="1093" w:name="bookmark1478"/>
      <w:bookmarkStart w:id="1094" w:name="bookmark1477"/>
      <w:r>
        <w:t>20.7风险责任的转移</w:t>
      </w:r>
      <w:bookmarkEnd w:id="1090"/>
      <w:bookmarkEnd w:id="1091"/>
      <w:bookmarkEnd w:id="1092"/>
      <w:bookmarkEnd w:id="1093"/>
      <w:bookmarkEnd w:id="1094"/>
    </w:p>
    <w:p w14:paraId="7389A9F3">
      <w:pPr>
        <w:pStyle w:val="11"/>
      </w:pPr>
      <w:r>
        <w:t>工程通过合同工程完工验收并移交给发包人后，原由承包人应承担的风险责任，以及保险的责任、权利和义务同时转移给发包人，但承包人在缺陷责任期(工程质量保修期) 前造成损失和损坏情形除外。</w:t>
      </w:r>
    </w:p>
    <w:p w14:paraId="51A12A50">
      <w:pPr>
        <w:pStyle w:val="2"/>
        <w:numPr>
          <w:ilvl w:val="0"/>
          <w:numId w:val="0"/>
        </w:numPr>
        <w:bidi w:val="0"/>
        <w:ind w:left="482" w:leftChars="0"/>
      </w:pPr>
      <w:bookmarkStart w:id="1095" w:name="_Toc5879"/>
      <w:bookmarkStart w:id="1096" w:name="bookmark1481"/>
      <w:bookmarkStart w:id="1097" w:name="bookmark1480"/>
      <w:bookmarkStart w:id="1098" w:name="bookmark1482"/>
      <w:bookmarkStart w:id="1099" w:name="_Toc14710419"/>
      <w:r>
        <w:t>21.不可抗力</w:t>
      </w:r>
      <w:bookmarkEnd w:id="1095"/>
      <w:bookmarkEnd w:id="1096"/>
      <w:bookmarkEnd w:id="1097"/>
      <w:bookmarkEnd w:id="1098"/>
      <w:bookmarkEnd w:id="1099"/>
    </w:p>
    <w:p w14:paraId="697732DF">
      <w:pPr>
        <w:pStyle w:val="2"/>
        <w:numPr>
          <w:ilvl w:val="0"/>
          <w:numId w:val="0"/>
        </w:numPr>
        <w:bidi w:val="0"/>
        <w:ind w:left="482" w:leftChars="0"/>
      </w:pPr>
      <w:bookmarkStart w:id="1100" w:name="_Toc15722"/>
      <w:bookmarkStart w:id="1101" w:name="bookmark1483"/>
      <w:bookmarkStart w:id="1102" w:name="_Toc14710420"/>
      <w:bookmarkStart w:id="1103" w:name="bookmark1485"/>
      <w:bookmarkStart w:id="1104" w:name="bookmark1484"/>
      <w:r>
        <w:t>21.1不可抗力的确认</w:t>
      </w:r>
      <w:bookmarkEnd w:id="1100"/>
      <w:bookmarkEnd w:id="1101"/>
      <w:bookmarkEnd w:id="1102"/>
      <w:bookmarkEnd w:id="1103"/>
      <w:bookmarkEnd w:id="1104"/>
    </w:p>
    <w:p w14:paraId="05A34B9A">
      <w:pPr>
        <w:pStyle w:val="11"/>
      </w:pPr>
      <w:r>
        <w:t>21.1.1不可抗力是指承包人和发包人在订立合同时不可预见，在工程施工过程中不可避免发生并不能克服的自然灾害和社会性突发事件，如地震、海啸、瘟疫、水灾、骚乱、 暴动、战争和专用合同条款约定的其他情形。</w:t>
      </w:r>
    </w:p>
    <w:p w14:paraId="28486ECB">
      <w:pPr>
        <w:pStyle w:val="11"/>
      </w:pPr>
      <w:r>
        <w:t>21.1.2不可抗力发生后，发包人和承包人应及时认真统计所造成的损失，收集不可抗力造成损失的证据。合同双方对是否属于不可抗力或其损失的意见不一致的，由监理人按第3. 5款商定或确定。发生争议时，按第24条的约定办理。</w:t>
      </w:r>
    </w:p>
    <w:p w14:paraId="02CC793B">
      <w:pPr>
        <w:pStyle w:val="2"/>
        <w:numPr>
          <w:ilvl w:val="0"/>
          <w:numId w:val="0"/>
        </w:numPr>
        <w:bidi w:val="0"/>
        <w:ind w:left="482" w:leftChars="0"/>
      </w:pPr>
      <w:bookmarkStart w:id="1105" w:name="bookmark1487"/>
      <w:bookmarkStart w:id="1106" w:name="_Toc5372"/>
      <w:bookmarkStart w:id="1107" w:name="bookmark1488"/>
      <w:bookmarkStart w:id="1108" w:name="_Toc14710421"/>
      <w:bookmarkStart w:id="1109" w:name="bookmark1486"/>
      <w:r>
        <w:t>21.2不可抗力的通知</w:t>
      </w:r>
      <w:bookmarkEnd w:id="1105"/>
      <w:bookmarkEnd w:id="1106"/>
      <w:bookmarkEnd w:id="1107"/>
      <w:bookmarkEnd w:id="1108"/>
      <w:bookmarkEnd w:id="1109"/>
    </w:p>
    <w:p w14:paraId="0DF15C30">
      <w:pPr>
        <w:pStyle w:val="11"/>
      </w:pPr>
      <w:r>
        <w:t>21.2.1合同一方当事人遇到不可抗力事件，使其履行合同义务受到阻碍时，应立即通知合同另一方当事人和监理人，书面说明不可抗力和受阻碍的详细情况，并提供必要的证明。</w:t>
      </w:r>
    </w:p>
    <w:p w14:paraId="45F544B3">
      <w:pPr>
        <w:pStyle w:val="11"/>
      </w:pPr>
      <w:r>
        <w:t>21.2.2如不可抗力持续发生，合同一方当事人应及时向合同另一方当事人和监理人提交中间报告，说明不可抗力和履行合同受阻的情况，并于不可抗力事件结束后28天内提交最终报告及有关资料。</w:t>
      </w:r>
    </w:p>
    <w:p w14:paraId="5126CB48">
      <w:pPr>
        <w:pStyle w:val="2"/>
        <w:numPr>
          <w:ilvl w:val="0"/>
          <w:numId w:val="0"/>
        </w:numPr>
        <w:bidi w:val="0"/>
        <w:ind w:left="482" w:leftChars="0"/>
      </w:pPr>
      <w:bookmarkStart w:id="1110" w:name="bookmark1490"/>
      <w:bookmarkStart w:id="1111" w:name="bookmark1489"/>
      <w:bookmarkStart w:id="1112" w:name="bookmark1491"/>
      <w:bookmarkStart w:id="1113" w:name="_Toc17208"/>
      <w:bookmarkStart w:id="1114" w:name="_Toc14710422"/>
      <w:r>
        <w:t>21.3不可抗力后果及其处理</w:t>
      </w:r>
      <w:bookmarkEnd w:id="1110"/>
      <w:bookmarkEnd w:id="1111"/>
      <w:bookmarkEnd w:id="1112"/>
      <w:bookmarkEnd w:id="1113"/>
      <w:bookmarkEnd w:id="1114"/>
    </w:p>
    <w:p w14:paraId="7C6D9A55">
      <w:pPr>
        <w:pStyle w:val="2"/>
        <w:numPr>
          <w:ilvl w:val="0"/>
          <w:numId w:val="0"/>
        </w:numPr>
        <w:bidi w:val="0"/>
        <w:ind w:left="482" w:leftChars="0"/>
      </w:pPr>
      <w:r>
        <w:t>21.3.1不可抗力造成损害的责任</w:t>
      </w:r>
    </w:p>
    <w:p w14:paraId="74518CFD">
      <w:pPr>
        <w:pStyle w:val="11"/>
      </w:pPr>
      <w:r>
        <w:t>除专用合同条款另有约定外，不可抗力导致的人员伤亡、财产损失、费用增加和(或) 工期延误等后果，由合同双方按以下原则承担：</w:t>
      </w:r>
    </w:p>
    <w:p w14:paraId="0570C8E4">
      <w:pPr>
        <w:pStyle w:val="11"/>
      </w:pPr>
      <w:bookmarkStart w:id="1115" w:name="bookmark1492"/>
      <w:bookmarkEnd w:id="1115"/>
      <w:r>
        <w:rPr>
          <w:b w:val="0"/>
          <w:i w:val="0"/>
          <w:strike w:val="0"/>
          <w:color w:val="000000"/>
          <w:u w:val="none"/>
        </w:rPr>
        <w:t>(1)</w:t>
      </w:r>
      <w:r>
        <w:t>永久工程，包括已运至施工场地的材料和工程设备的损害，以及因工程损害造成的第三者人员伤亡和财产损失由发包人承担；</w:t>
      </w:r>
    </w:p>
    <w:p w14:paraId="04F6768D">
      <w:pPr>
        <w:pStyle w:val="11"/>
      </w:pPr>
      <w:bookmarkStart w:id="1116" w:name="bookmark1493"/>
      <w:bookmarkEnd w:id="1116"/>
      <w:r>
        <w:rPr>
          <w:b w:val="0"/>
          <w:i w:val="0"/>
          <w:strike w:val="0"/>
          <w:color w:val="000000"/>
          <w:u w:val="none"/>
        </w:rPr>
        <w:t>(2)</w:t>
      </w:r>
      <w:r>
        <w:t>承包人设备的损坏由承包人承担；</w:t>
      </w:r>
    </w:p>
    <w:p w14:paraId="70E818A0">
      <w:pPr>
        <w:pStyle w:val="11"/>
      </w:pPr>
      <w:bookmarkStart w:id="1117" w:name="bookmark1494"/>
      <w:bookmarkEnd w:id="1117"/>
      <w:r>
        <w:rPr>
          <w:b w:val="0"/>
          <w:i w:val="0"/>
          <w:strike w:val="0"/>
          <w:color w:val="000000"/>
          <w:u w:val="none"/>
        </w:rPr>
        <w:t>(3)</w:t>
      </w:r>
      <w:r>
        <w:t>发包人和承包人各自承担其人员伤亡和其他财产损失及其相关费用；</w:t>
      </w:r>
    </w:p>
    <w:p w14:paraId="1A107565">
      <w:pPr>
        <w:pStyle w:val="11"/>
      </w:pPr>
      <w:bookmarkStart w:id="1118" w:name="bookmark1495"/>
      <w:bookmarkEnd w:id="1118"/>
      <w:r>
        <w:rPr>
          <w:b w:val="0"/>
          <w:i w:val="0"/>
          <w:strike w:val="0"/>
          <w:color w:val="000000"/>
          <w:u w:val="none"/>
        </w:rPr>
        <w:t>(4)</w:t>
      </w:r>
      <w:r>
        <w:t>承包人的停工损失由承包人承担，但停工期间应监理人要求照管工程和清理、修复工程的金额由发包人承担；</w:t>
      </w:r>
    </w:p>
    <w:p w14:paraId="5ECC0108">
      <w:pPr>
        <w:pStyle w:val="11"/>
      </w:pPr>
      <w:bookmarkStart w:id="1119" w:name="bookmark1496"/>
      <w:bookmarkEnd w:id="1119"/>
      <w:r>
        <w:rPr>
          <w:b w:val="0"/>
          <w:i w:val="0"/>
          <w:strike w:val="0"/>
          <w:color w:val="000000"/>
          <w:u w:val="none"/>
        </w:rPr>
        <w:t>(5)</w:t>
      </w:r>
      <w:r>
        <w:t>不能按期竣工的，应合理延长工期，承包人不需支付逾期竣工违约金。发包人要求赶工的，承包人应采取赶工措施，赶工费用由发包人承担。</w:t>
      </w:r>
    </w:p>
    <w:p w14:paraId="3E8D7B83">
      <w:pPr>
        <w:pStyle w:val="2"/>
        <w:numPr>
          <w:ilvl w:val="0"/>
          <w:numId w:val="0"/>
        </w:numPr>
        <w:bidi w:val="0"/>
        <w:ind w:left="482" w:leftChars="0"/>
      </w:pPr>
      <w:r>
        <w:t>21.3.2延迟履行期间发生的不可抗力</w:t>
      </w:r>
    </w:p>
    <w:p w14:paraId="1D8B168E">
      <w:pPr>
        <w:pStyle w:val="11"/>
      </w:pPr>
      <w:r>
        <w:t>合同一方当事人延迟履行，在延迟履行期间发生不可抗力的，不免除其责任。</w:t>
      </w:r>
    </w:p>
    <w:p w14:paraId="4F1584F8">
      <w:pPr>
        <w:pStyle w:val="2"/>
        <w:numPr>
          <w:ilvl w:val="0"/>
          <w:numId w:val="0"/>
        </w:numPr>
        <w:bidi w:val="0"/>
        <w:ind w:left="482" w:leftChars="0"/>
      </w:pPr>
      <w:r>
        <w:t>21.3.3避免和减少不可抗力损失</w:t>
      </w:r>
    </w:p>
    <w:p w14:paraId="70F51EF8">
      <w:pPr>
        <w:pStyle w:val="11"/>
      </w:pPr>
      <w:r>
        <w:t>不可抗力发生后，发包人和承包人均应采取措施尽量避免和减少损失的扩大，任何一 方没有采取有效措施导致损失扩大的，应对扩大的损失承担责任。</w:t>
      </w:r>
    </w:p>
    <w:p w14:paraId="287B9519">
      <w:pPr>
        <w:pStyle w:val="2"/>
        <w:numPr>
          <w:ilvl w:val="0"/>
          <w:numId w:val="0"/>
        </w:numPr>
        <w:bidi w:val="0"/>
        <w:ind w:left="482" w:leftChars="0"/>
      </w:pPr>
      <w:r>
        <w:t>21.3.4因不可抗力解除合同</w:t>
      </w:r>
    </w:p>
    <w:p w14:paraId="2DE3F2F7">
      <w:pPr>
        <w:pStyle w:val="11"/>
      </w:pPr>
      <w:r>
        <w:t>合同一方当事人因不可抗力不能履行合同的，应当及时通知对方解除合同。合同解除后，承包人应按照第22.2.5项约定撤离施工场地。已经订货的材料、设备由订货方负责退货或解除订货合同，不能退还的货款和因退货、解除订货合同发生的费用，由发包人承担, 因未及时退货造成的损失由责任方承担。合同解除后的付款，参照第22. 2.4项约定，由监理人按第3. 5款商定或确定。</w:t>
      </w:r>
    </w:p>
    <w:p w14:paraId="1BD812B6">
      <w:pPr>
        <w:pStyle w:val="2"/>
        <w:numPr>
          <w:ilvl w:val="0"/>
          <w:numId w:val="0"/>
        </w:numPr>
        <w:bidi w:val="0"/>
        <w:ind w:left="482" w:leftChars="0"/>
      </w:pPr>
      <w:bookmarkStart w:id="1120" w:name="_Toc14710423"/>
      <w:bookmarkStart w:id="1121" w:name="_Toc6299"/>
      <w:bookmarkStart w:id="1122" w:name="bookmark1499"/>
      <w:bookmarkStart w:id="1123" w:name="bookmark1497"/>
      <w:bookmarkStart w:id="1124" w:name="bookmark1498"/>
      <w:r>
        <w:t>22.违约</w:t>
      </w:r>
      <w:bookmarkEnd w:id="1120"/>
      <w:bookmarkEnd w:id="1121"/>
      <w:bookmarkEnd w:id="1122"/>
    </w:p>
    <w:p w14:paraId="6C0B096F">
      <w:pPr>
        <w:pStyle w:val="2"/>
        <w:numPr>
          <w:ilvl w:val="0"/>
          <w:numId w:val="0"/>
        </w:numPr>
        <w:bidi w:val="0"/>
        <w:ind w:left="482" w:leftChars="0"/>
      </w:pPr>
      <w:bookmarkStart w:id="1125" w:name="_Toc15198"/>
      <w:bookmarkStart w:id="1126" w:name="_Toc14710424"/>
      <w:bookmarkStart w:id="1127" w:name="bookmark1500"/>
      <w:r>
        <w:t>22.1承包人违约</w:t>
      </w:r>
      <w:bookmarkEnd w:id="1123"/>
      <w:bookmarkEnd w:id="1124"/>
      <w:bookmarkEnd w:id="1125"/>
      <w:bookmarkEnd w:id="1126"/>
      <w:bookmarkEnd w:id="1127"/>
    </w:p>
    <w:p w14:paraId="16C2F668">
      <w:pPr>
        <w:pStyle w:val="2"/>
        <w:numPr>
          <w:ilvl w:val="0"/>
          <w:numId w:val="0"/>
        </w:numPr>
        <w:bidi w:val="0"/>
        <w:ind w:left="482" w:leftChars="0"/>
      </w:pPr>
      <w:r>
        <w:t>22.1.1承包人违约的情形</w:t>
      </w:r>
    </w:p>
    <w:p w14:paraId="7B3BE2FA">
      <w:pPr>
        <w:pStyle w:val="11"/>
      </w:pPr>
      <w:r>
        <w:t>在履行合同过程中发生的下列情况属承包人违约：</w:t>
      </w:r>
    </w:p>
    <w:p w14:paraId="6DE0F155">
      <w:pPr>
        <w:pStyle w:val="11"/>
      </w:pPr>
      <w:bookmarkStart w:id="1128" w:name="bookmark1501"/>
      <w:bookmarkEnd w:id="1128"/>
      <w:r>
        <w:rPr>
          <w:b w:val="0"/>
          <w:i w:val="0"/>
          <w:strike w:val="0"/>
          <w:color w:val="000000"/>
          <w:u w:val="none"/>
        </w:rPr>
        <w:t>(1)</w:t>
      </w:r>
      <w:r>
        <w:t>承包人违反第1.8款或第4. 3款的约定，私自将合同的全部或部分权利转让给其他人，或私自将合同的全部或部分义务转移给其他人；</w:t>
      </w:r>
    </w:p>
    <w:p w14:paraId="1D1FF4E7">
      <w:pPr>
        <w:pStyle w:val="11"/>
      </w:pPr>
      <w:bookmarkStart w:id="1129" w:name="bookmark1502"/>
      <w:bookmarkEnd w:id="1129"/>
      <w:r>
        <w:rPr>
          <w:b w:val="0"/>
          <w:i w:val="0"/>
          <w:strike w:val="0"/>
          <w:color w:val="000000"/>
          <w:u w:val="none"/>
        </w:rPr>
        <w:t>(2)</w:t>
      </w:r>
      <w:r>
        <w:t>承包人违反第5. 3款或第6. 4款的约定，未经监理人批准，私自将已按合同约定进入施工场地的施工设备、临时设施或材料撤离施工场地；</w:t>
      </w:r>
    </w:p>
    <w:p w14:paraId="6C97F42C">
      <w:pPr>
        <w:pStyle w:val="11"/>
      </w:pPr>
      <w:bookmarkStart w:id="1130" w:name="bookmark1503"/>
      <w:bookmarkEnd w:id="1130"/>
      <w:r>
        <w:rPr>
          <w:b w:val="0"/>
          <w:i w:val="0"/>
          <w:strike w:val="0"/>
          <w:color w:val="000000"/>
          <w:u w:val="none"/>
        </w:rPr>
        <w:t>(3)</w:t>
      </w:r>
      <w:r>
        <w:t>承包人违反第5. 4款的约定使用了不合格材料或工程设备，工程质量达不到标准要求，又拒绝清除不合格工程；</w:t>
      </w:r>
    </w:p>
    <w:p w14:paraId="394830A0">
      <w:pPr>
        <w:pStyle w:val="11"/>
      </w:pPr>
      <w:bookmarkStart w:id="1131" w:name="bookmark1504"/>
      <w:bookmarkEnd w:id="1131"/>
      <w:r>
        <w:rPr>
          <w:b w:val="0"/>
          <w:i w:val="0"/>
          <w:strike w:val="0"/>
          <w:color w:val="000000"/>
          <w:u w:val="none"/>
        </w:rPr>
        <w:t>(4)</w:t>
      </w:r>
      <w:r>
        <w:t>承包人未能按合同进度计划及时完成合同约定的工作，已造成或预期造成工期延误；</w:t>
      </w:r>
    </w:p>
    <w:p w14:paraId="41009C5B">
      <w:pPr>
        <w:pStyle w:val="11"/>
      </w:pPr>
      <w:bookmarkStart w:id="1132" w:name="bookmark1505"/>
      <w:bookmarkEnd w:id="1132"/>
      <w:r>
        <w:rPr>
          <w:b w:val="0"/>
          <w:i w:val="0"/>
          <w:strike w:val="0"/>
          <w:color w:val="000000"/>
          <w:u w:val="none"/>
        </w:rPr>
        <w:t>(5)</w:t>
      </w:r>
      <w:r>
        <w:t>承包人在缺陷责任期(工程质量保修期)内，未能对合同工程完工验收鉴定书中所列的缺陷清单的内容或缺陷责任期(工程质量保修期)内发生的缺陷进行修复，而又拒绝按监理人指示再进行修补；</w:t>
      </w:r>
    </w:p>
    <w:p w14:paraId="6484C404">
      <w:pPr>
        <w:pStyle w:val="11"/>
      </w:pPr>
      <w:bookmarkStart w:id="1133" w:name="bookmark1506"/>
      <w:bookmarkEnd w:id="1133"/>
      <w:r>
        <w:rPr>
          <w:b w:val="0"/>
          <w:i w:val="0"/>
          <w:strike w:val="0"/>
          <w:color w:val="000000"/>
          <w:u w:val="none"/>
        </w:rPr>
        <w:t>(6)</w:t>
      </w:r>
      <w:r>
        <w:t>承包人无法继续履行或明确表示不履行或实质上已停止履行合同；</w:t>
      </w:r>
    </w:p>
    <w:p w14:paraId="294FDF69">
      <w:pPr>
        <w:pStyle w:val="11"/>
      </w:pPr>
      <w:bookmarkStart w:id="1134" w:name="bookmark1507"/>
      <w:bookmarkEnd w:id="1134"/>
      <w:r>
        <w:rPr>
          <w:b w:val="0"/>
          <w:i w:val="0"/>
          <w:strike w:val="0"/>
          <w:color w:val="000000"/>
          <w:u w:val="none"/>
        </w:rPr>
        <w:t>(7)</w:t>
      </w:r>
      <w:r>
        <w:t>承包人不按合同约定履行义务的其他情况。</w:t>
      </w:r>
    </w:p>
    <w:p w14:paraId="5B0715C0">
      <w:pPr>
        <w:pStyle w:val="2"/>
        <w:numPr>
          <w:ilvl w:val="0"/>
          <w:numId w:val="0"/>
        </w:numPr>
        <w:bidi w:val="0"/>
        <w:ind w:left="482" w:leftChars="0"/>
      </w:pPr>
      <w:r>
        <w:t>22.1.2对承包人违约的处理</w:t>
      </w:r>
    </w:p>
    <w:p w14:paraId="10F802CD">
      <w:pPr>
        <w:pStyle w:val="11"/>
      </w:pPr>
      <w:bookmarkStart w:id="1135" w:name="bookmark1508"/>
      <w:bookmarkEnd w:id="1135"/>
      <w:r>
        <w:rPr>
          <w:b w:val="0"/>
          <w:i w:val="0"/>
          <w:strike w:val="0"/>
          <w:color w:val="000000"/>
          <w:u w:val="none"/>
        </w:rPr>
        <w:t>(1)</w:t>
      </w:r>
      <w:r>
        <w:t>承包人发生第22.1.1 (6)目约定的违约情况时，发包人可通知承包人立即解除合同，并按有关法律处理。</w:t>
      </w:r>
    </w:p>
    <w:p w14:paraId="343F1937">
      <w:pPr>
        <w:pStyle w:val="11"/>
      </w:pPr>
      <w:bookmarkStart w:id="1136" w:name="bookmark1509"/>
      <w:bookmarkEnd w:id="1136"/>
      <w:r>
        <w:rPr>
          <w:b w:val="0"/>
          <w:i w:val="0"/>
          <w:strike w:val="0"/>
          <w:color w:val="000000"/>
          <w:u w:val="none"/>
        </w:rPr>
        <w:t>(2)</w:t>
      </w:r>
      <w:r>
        <w:t>承包人发生除第22. 1. 1 (6)目约定以外的其他违约情况时，监理人可向承包人发出整改通知，要求其在指定的期限内改正。承包人应承担其违约所引起的费用增加和 (或)工期延误。</w:t>
      </w:r>
    </w:p>
    <w:p w14:paraId="7C8C104B">
      <w:pPr>
        <w:pStyle w:val="11"/>
      </w:pPr>
      <w:bookmarkStart w:id="1137" w:name="bookmark1510"/>
      <w:bookmarkEnd w:id="1137"/>
      <w:r>
        <w:rPr>
          <w:b w:val="0"/>
          <w:i w:val="0"/>
          <w:strike w:val="0"/>
          <w:color w:val="000000"/>
          <w:u w:val="none"/>
        </w:rPr>
        <w:t>(3)</w:t>
      </w:r>
      <w:r>
        <w:t>经检查证明承包人已采取了有效措施纠正违约行为，具备复工条件的，可由监理人签发复工通知复工。</w:t>
      </w:r>
    </w:p>
    <w:p w14:paraId="78F913E0">
      <w:pPr>
        <w:pStyle w:val="2"/>
        <w:numPr>
          <w:ilvl w:val="0"/>
          <w:numId w:val="0"/>
        </w:numPr>
        <w:bidi w:val="0"/>
        <w:ind w:left="482" w:leftChars="0"/>
      </w:pPr>
      <w:r>
        <w:t>22.1.3承包人违约解除合同</w:t>
      </w:r>
    </w:p>
    <w:p w14:paraId="505C7274">
      <w:pPr>
        <w:pStyle w:val="11"/>
      </w:pPr>
      <w:r>
        <w:t>监理人发出整改通知28天后，承包人仍不纠正违约行为的，发包人可向承包人发出解除合同通知。合同解除后，发包人可派员进驻施工场地，另行组织人员或委托其他承包人施工。发包人因继续完成该工程的需要，有权扣留使用承包人在现场的材料、设备和临时设施。但发包人的这一行动不免除承包人应承担的违约责任，也不影响发包人根据合同约 定享有的索赔权利。</w:t>
      </w:r>
    </w:p>
    <w:p w14:paraId="70F2B754">
      <w:pPr>
        <w:pStyle w:val="2"/>
        <w:numPr>
          <w:ilvl w:val="0"/>
          <w:numId w:val="0"/>
        </w:numPr>
        <w:bidi w:val="0"/>
        <w:ind w:left="482" w:leftChars="0"/>
      </w:pPr>
      <w:r>
        <w:t>22.1.4合同解除后的估价、付款和结清</w:t>
      </w:r>
    </w:p>
    <w:p w14:paraId="44A70E80">
      <w:pPr>
        <w:pStyle w:val="11"/>
      </w:pPr>
      <w:bookmarkStart w:id="1138" w:name="bookmark1511"/>
      <w:bookmarkEnd w:id="1138"/>
      <w:r>
        <w:rPr>
          <w:b w:val="0"/>
          <w:i w:val="0"/>
          <w:strike w:val="0"/>
          <w:color w:val="000000"/>
          <w:u w:val="none"/>
        </w:rPr>
        <w:t>(1)</w:t>
      </w:r>
      <w:r>
        <w:t>合同解除后，监理人按第3. 5款商定或确定承包人实际完成工作的价值，以及承包人已提供的材料、施工设备、工程设备和临时工程等的价值。</w:t>
      </w:r>
    </w:p>
    <w:p w14:paraId="1B2769E8">
      <w:pPr>
        <w:pStyle w:val="11"/>
      </w:pPr>
      <w:bookmarkStart w:id="1139" w:name="bookmark1512"/>
      <w:bookmarkEnd w:id="1139"/>
      <w:r>
        <w:rPr>
          <w:b w:val="0"/>
          <w:i w:val="0"/>
          <w:strike w:val="0"/>
          <w:color w:val="000000"/>
          <w:u w:val="none"/>
        </w:rPr>
        <w:t>(2)</w:t>
      </w:r>
      <w:r>
        <w:t>合同解除后，发包人应暂停对承包人的一切付款，查清各项付款和已扣款金额, 包括承包人应支付的违约金。</w:t>
      </w:r>
    </w:p>
    <w:p w14:paraId="7F4219DF">
      <w:pPr>
        <w:pStyle w:val="11"/>
      </w:pPr>
      <w:bookmarkStart w:id="1140" w:name="bookmark1513"/>
      <w:bookmarkEnd w:id="1140"/>
      <w:r>
        <w:rPr>
          <w:b w:val="0"/>
          <w:i w:val="0"/>
          <w:strike w:val="0"/>
          <w:color w:val="000000"/>
          <w:u w:val="none"/>
        </w:rPr>
        <w:t>(3)</w:t>
      </w:r>
      <w:r>
        <w:t>合同解除后，发包人应按第23. 4款的约定向承包人索赔由于解除合同给发包人造成的损失。</w:t>
      </w:r>
    </w:p>
    <w:p w14:paraId="6D07544B">
      <w:pPr>
        <w:pStyle w:val="11"/>
      </w:pPr>
      <w:bookmarkStart w:id="1141" w:name="bookmark1514"/>
      <w:bookmarkEnd w:id="1141"/>
      <w:r>
        <w:rPr>
          <w:b w:val="0"/>
          <w:i w:val="0"/>
          <w:strike w:val="0"/>
          <w:color w:val="000000"/>
          <w:u w:val="none"/>
        </w:rPr>
        <w:t>(4)</w:t>
      </w:r>
      <w:r>
        <w:t>合同双方确认上述往来款项后，出具最终结清付款证书，结清全部合同款项。</w:t>
      </w:r>
    </w:p>
    <w:p w14:paraId="079CEDEE">
      <w:pPr>
        <w:pStyle w:val="11"/>
      </w:pPr>
      <w:bookmarkStart w:id="1142" w:name="bookmark1515"/>
      <w:bookmarkEnd w:id="1142"/>
      <w:r>
        <w:rPr>
          <w:b w:val="0"/>
          <w:i w:val="0"/>
          <w:strike w:val="0"/>
          <w:color w:val="000000"/>
          <w:u w:val="none"/>
        </w:rPr>
        <w:t>(5)</w:t>
      </w:r>
      <w:r>
        <w:t>发包人和承包人未能就解除合同后的结清达成一致而形成争议的，按第24条的约定办理。</w:t>
      </w:r>
    </w:p>
    <w:p w14:paraId="1001A2B7">
      <w:pPr>
        <w:pStyle w:val="2"/>
        <w:numPr>
          <w:ilvl w:val="0"/>
          <w:numId w:val="0"/>
        </w:numPr>
        <w:bidi w:val="0"/>
        <w:ind w:left="482" w:leftChars="0"/>
      </w:pPr>
      <w:r>
        <w:t>22.1.5协议利益的转让</w:t>
      </w:r>
    </w:p>
    <w:p w14:paraId="3956E681">
      <w:pPr>
        <w:pStyle w:val="11"/>
      </w:pPr>
      <w:r>
        <w:t>因承包人违约解除合同的，发包人有权要求承包人将其为实施合同而签订的材料和设备的订货协议或任何服务协议利益转让给发包人，并在解除合同后的14天内，依法办理转让手续。</w:t>
      </w:r>
    </w:p>
    <w:p w14:paraId="121B84FC">
      <w:pPr>
        <w:pStyle w:val="2"/>
        <w:numPr>
          <w:ilvl w:val="0"/>
          <w:numId w:val="0"/>
        </w:numPr>
        <w:bidi w:val="0"/>
        <w:ind w:left="482" w:leftChars="0"/>
      </w:pPr>
      <w:bookmarkStart w:id="1143" w:name="bookmark1516"/>
      <w:bookmarkEnd w:id="1143"/>
      <w:r>
        <w:t>22.1.6紧急情况下无能力或不愿进行抢救</w:t>
      </w:r>
    </w:p>
    <w:p w14:paraId="2D553EDE">
      <w:pPr>
        <w:pStyle w:val="11"/>
      </w:pPr>
      <w:r>
        <w:t>在工程实施期间或缺陷责任期内发生危及工程安全的事件，监理人通知承包人进行抢救，承包人声明无能力或不愿立即执行的，发包人有权雇佣其他人员进行抢救。此类抢救按合同约定属于承包人义务的，由此发生的金额和(或)工期延误由承包人承担。</w:t>
      </w:r>
    </w:p>
    <w:p w14:paraId="66F09AB0">
      <w:pPr>
        <w:pStyle w:val="2"/>
        <w:numPr>
          <w:ilvl w:val="0"/>
          <w:numId w:val="0"/>
        </w:numPr>
        <w:bidi w:val="0"/>
        <w:ind w:left="482" w:leftChars="0"/>
      </w:pPr>
      <w:bookmarkStart w:id="1144" w:name="bookmark1519"/>
      <w:bookmarkStart w:id="1145" w:name="bookmark1518"/>
      <w:bookmarkStart w:id="1146" w:name="_Toc24772"/>
      <w:bookmarkStart w:id="1147" w:name="bookmark1517"/>
      <w:bookmarkStart w:id="1148" w:name="_Toc14710425"/>
      <w:r>
        <w:t>22.2发包人违约</w:t>
      </w:r>
      <w:bookmarkEnd w:id="1144"/>
      <w:bookmarkEnd w:id="1145"/>
      <w:bookmarkEnd w:id="1146"/>
      <w:bookmarkEnd w:id="1147"/>
      <w:bookmarkEnd w:id="1148"/>
    </w:p>
    <w:p w14:paraId="69DA5DBF">
      <w:pPr>
        <w:pStyle w:val="2"/>
        <w:numPr>
          <w:ilvl w:val="0"/>
          <w:numId w:val="0"/>
        </w:numPr>
        <w:bidi w:val="0"/>
        <w:ind w:left="482" w:leftChars="0"/>
      </w:pPr>
      <w:r>
        <w:t>22.2.1发包人违约的情形</w:t>
      </w:r>
    </w:p>
    <w:p w14:paraId="7EDB5805">
      <w:pPr>
        <w:pStyle w:val="11"/>
      </w:pPr>
      <w:r>
        <w:t>在履行合同过程中发生的下列情形，属发包人违约：</w:t>
      </w:r>
    </w:p>
    <w:p w14:paraId="4E2D7103">
      <w:pPr>
        <w:pStyle w:val="11"/>
      </w:pPr>
      <w:bookmarkStart w:id="1149" w:name="bookmark1520"/>
      <w:bookmarkEnd w:id="1149"/>
      <w:r>
        <w:rPr>
          <w:b w:val="0"/>
          <w:i w:val="0"/>
          <w:strike w:val="0"/>
          <w:color w:val="000000"/>
          <w:u w:val="none"/>
        </w:rPr>
        <w:t>(1)</w:t>
      </w:r>
      <w:r>
        <w:t>发包人未能按合同约定支付预付款或合同价款，或拖延、拒绝批准付款申请和支付凭证，导致付款延误的；</w:t>
      </w:r>
    </w:p>
    <w:p w14:paraId="69B40122">
      <w:pPr>
        <w:pStyle w:val="11"/>
      </w:pPr>
      <w:bookmarkStart w:id="1150" w:name="bookmark1521"/>
      <w:bookmarkEnd w:id="1150"/>
      <w:r>
        <w:rPr>
          <w:b w:val="0"/>
          <w:i w:val="0"/>
          <w:strike w:val="0"/>
          <w:color w:val="000000"/>
          <w:u w:val="none"/>
        </w:rPr>
        <w:t>(2)</w:t>
      </w:r>
      <w:r>
        <w:t>发包人原因造成停工的；</w:t>
      </w:r>
    </w:p>
    <w:p w14:paraId="063F687D">
      <w:pPr>
        <w:pStyle w:val="11"/>
      </w:pPr>
      <w:bookmarkStart w:id="1151" w:name="bookmark1522"/>
      <w:bookmarkEnd w:id="1151"/>
      <w:r>
        <w:rPr>
          <w:b w:val="0"/>
          <w:i w:val="0"/>
          <w:strike w:val="0"/>
          <w:color w:val="000000"/>
          <w:u w:val="none"/>
        </w:rPr>
        <w:t>(3)</w:t>
      </w:r>
      <w:r>
        <w:t>监理人无正当理由没有在约定期限内发出复工指示，导致承包人无法复工的；</w:t>
      </w:r>
    </w:p>
    <w:p w14:paraId="7538270A">
      <w:pPr>
        <w:pStyle w:val="11"/>
      </w:pPr>
      <w:bookmarkStart w:id="1152" w:name="bookmark1523"/>
      <w:bookmarkEnd w:id="1152"/>
      <w:r>
        <w:rPr>
          <w:b w:val="0"/>
          <w:i w:val="0"/>
          <w:strike w:val="0"/>
          <w:color w:val="000000"/>
          <w:u w:val="none"/>
        </w:rPr>
        <w:t>(4)</w:t>
      </w:r>
      <w:r>
        <w:t>发包人无法继续履行或明确表示不履行或实质上已停止履行合同的；</w:t>
      </w:r>
    </w:p>
    <w:p w14:paraId="123F7689">
      <w:pPr>
        <w:pStyle w:val="11"/>
      </w:pPr>
      <w:bookmarkStart w:id="1153" w:name="bookmark1524"/>
      <w:bookmarkEnd w:id="1153"/>
      <w:r>
        <w:rPr>
          <w:b w:val="0"/>
          <w:i w:val="0"/>
          <w:strike w:val="0"/>
          <w:color w:val="000000"/>
          <w:u w:val="none"/>
        </w:rPr>
        <w:t>(5)</w:t>
      </w:r>
      <w:r>
        <w:t>发包人不履行合同约定其他义务的。</w:t>
      </w:r>
    </w:p>
    <w:p w14:paraId="51A66E48">
      <w:pPr>
        <w:pStyle w:val="2"/>
        <w:numPr>
          <w:ilvl w:val="0"/>
          <w:numId w:val="0"/>
        </w:numPr>
        <w:bidi w:val="0"/>
        <w:ind w:left="482" w:leftChars="0"/>
      </w:pPr>
      <w:r>
        <w:t>22.2.2承包人有权暂停施工</w:t>
      </w:r>
    </w:p>
    <w:p w14:paraId="680135D7">
      <w:pPr>
        <w:pStyle w:val="11"/>
      </w:pPr>
      <w:r>
        <w:t>发包人发生除第22.2.1 (4)目以外的违约情况时，承包人可向发包人发出通知，要求发包人采取有效措施纠正违约行为。发包人收到承包人通知后的28天内仍不履行合同义 务，承包人有权暂停施工，并通知监理人，发包人应承担由此增加的费用和(或)工期延误，并支付承包人合理利润。</w:t>
      </w:r>
    </w:p>
    <w:p w14:paraId="550B2D37">
      <w:pPr>
        <w:pStyle w:val="2"/>
        <w:numPr>
          <w:ilvl w:val="0"/>
          <w:numId w:val="0"/>
        </w:numPr>
        <w:bidi w:val="0"/>
        <w:ind w:left="482" w:leftChars="0"/>
      </w:pPr>
      <w:r>
        <w:t>22.2.3发包人违约解除合同</w:t>
      </w:r>
    </w:p>
    <w:p w14:paraId="4E8CB7D0">
      <w:pPr>
        <w:pStyle w:val="11"/>
      </w:pPr>
      <w:bookmarkStart w:id="1154" w:name="bookmark1525"/>
      <w:bookmarkEnd w:id="1154"/>
      <w:r>
        <w:rPr>
          <w:b w:val="0"/>
          <w:i w:val="0"/>
          <w:strike w:val="0"/>
          <w:color w:val="000000"/>
          <w:u w:val="none"/>
        </w:rPr>
        <w:t>(1)</w:t>
      </w:r>
      <w:r>
        <w:t>发生第22.2.1 (4)目的违约情况时，承包人可书面通知发包人解除合同。</w:t>
      </w:r>
    </w:p>
    <w:p w14:paraId="68B8EB79">
      <w:pPr>
        <w:pStyle w:val="11"/>
      </w:pPr>
      <w:bookmarkStart w:id="1155" w:name="bookmark1526"/>
      <w:bookmarkEnd w:id="1155"/>
      <w:r>
        <w:rPr>
          <w:b w:val="0"/>
          <w:i w:val="0"/>
          <w:strike w:val="0"/>
          <w:color w:val="000000"/>
          <w:u w:val="none"/>
        </w:rPr>
        <w:t>(2)</w:t>
      </w:r>
      <w:r>
        <w:t>承包人按22. 2. 2项暂停施工28天后，发包人仍不纠正违约行为的，承包人可向发包人发出解除合同通知。但承包人的这一行动不免除发包人承担的违约责任，也不影响承包人根据合同约定享有的索赔权利。</w:t>
      </w:r>
    </w:p>
    <w:p w14:paraId="555AA19A">
      <w:pPr>
        <w:pStyle w:val="2"/>
        <w:numPr>
          <w:ilvl w:val="0"/>
          <w:numId w:val="0"/>
        </w:numPr>
        <w:bidi w:val="0"/>
        <w:ind w:left="482" w:leftChars="0"/>
      </w:pPr>
      <w:r>
        <w:t>22.2.4解除合同后的付款</w:t>
      </w:r>
    </w:p>
    <w:p w14:paraId="0FF5DE57">
      <w:pPr>
        <w:pStyle w:val="11"/>
      </w:pPr>
      <w:r>
        <w:t>因发包人违约解除合同的，发包人应在解除合同后28天内向承包人支付下列金额，承包人应在此期限内及时向发包人提交要求支付下列金额的有关资料和凭证：</w:t>
      </w:r>
    </w:p>
    <w:p w14:paraId="4758CD8E">
      <w:pPr>
        <w:pStyle w:val="11"/>
      </w:pPr>
      <w:bookmarkStart w:id="1156" w:name="bookmark1527"/>
      <w:bookmarkEnd w:id="1156"/>
      <w:r>
        <w:rPr>
          <w:b w:val="0"/>
          <w:i w:val="0"/>
          <w:strike w:val="0"/>
          <w:color w:val="000000"/>
          <w:u w:val="none"/>
        </w:rPr>
        <w:t>(1)</w:t>
      </w:r>
      <w:r>
        <w:t>合同解除日以前所完成工作的价款；</w:t>
      </w:r>
    </w:p>
    <w:p w14:paraId="502F29A8">
      <w:pPr>
        <w:pStyle w:val="11"/>
      </w:pPr>
      <w:bookmarkStart w:id="1157" w:name="bookmark1528"/>
      <w:bookmarkEnd w:id="1157"/>
      <w:r>
        <w:rPr>
          <w:b w:val="0"/>
          <w:i w:val="0"/>
          <w:strike w:val="0"/>
          <w:color w:val="000000"/>
          <w:u w:val="none"/>
        </w:rPr>
        <w:t>(2)</w:t>
      </w:r>
      <w:r>
        <w:t>承包人为该工程施工订购并已付款的材料、工程设备和其他物品的金额。发包人付还后，该材料、工程设备和其他物品归发包人所有；</w:t>
      </w:r>
    </w:p>
    <w:p w14:paraId="1584445D">
      <w:pPr>
        <w:pStyle w:val="11"/>
      </w:pPr>
      <w:bookmarkStart w:id="1158" w:name="bookmark1529"/>
      <w:bookmarkEnd w:id="1158"/>
      <w:r>
        <w:rPr>
          <w:b w:val="0"/>
          <w:i w:val="0"/>
          <w:strike w:val="0"/>
          <w:color w:val="000000"/>
          <w:u w:val="none"/>
        </w:rPr>
        <w:t>(3)</w:t>
      </w:r>
      <w:r>
        <w:t>承包人为完成工程所发生的，而发包人未支付的金额；</w:t>
      </w:r>
    </w:p>
    <w:p w14:paraId="75BB1EE5">
      <w:pPr>
        <w:pStyle w:val="11"/>
      </w:pPr>
      <w:bookmarkStart w:id="1159" w:name="bookmark1530"/>
      <w:bookmarkEnd w:id="1159"/>
      <w:r>
        <w:rPr>
          <w:b w:val="0"/>
          <w:i w:val="0"/>
          <w:strike w:val="0"/>
          <w:color w:val="000000"/>
          <w:u w:val="none"/>
        </w:rPr>
        <w:t>(4)</w:t>
      </w:r>
      <w:r>
        <w:t>承包人撤离施工场地以及遣散承包人人员的金额；</w:t>
      </w:r>
    </w:p>
    <w:p w14:paraId="3A3DD7D9">
      <w:pPr>
        <w:pStyle w:val="11"/>
      </w:pPr>
      <w:bookmarkStart w:id="1160" w:name="bookmark1531"/>
      <w:bookmarkEnd w:id="1160"/>
      <w:r>
        <w:rPr>
          <w:b w:val="0"/>
          <w:i w:val="0"/>
          <w:strike w:val="0"/>
          <w:color w:val="000000"/>
          <w:u w:val="none"/>
        </w:rPr>
        <w:t>(5)</w:t>
      </w:r>
      <w:r>
        <w:t>由于解除合同应赔偿的承包人损失；</w:t>
      </w:r>
    </w:p>
    <w:p w14:paraId="3360C835">
      <w:pPr>
        <w:pStyle w:val="11"/>
      </w:pPr>
      <w:bookmarkStart w:id="1161" w:name="bookmark1532"/>
      <w:bookmarkEnd w:id="1161"/>
      <w:r>
        <w:rPr>
          <w:b w:val="0"/>
          <w:i w:val="0"/>
          <w:strike w:val="0"/>
          <w:color w:val="000000"/>
          <w:u w:val="none"/>
        </w:rPr>
        <w:t>(6)</w:t>
      </w:r>
      <w:r>
        <w:t>按合同约定在合同解除日前应支付给承包人的其他金额。</w:t>
      </w:r>
    </w:p>
    <w:p w14:paraId="62FD3827">
      <w:pPr>
        <w:pStyle w:val="11"/>
      </w:pPr>
      <w:r>
        <w:t>发包人应按本项约定支付上述金额并退还质量保证金和履约担保，但有权要求承包人支付应偿还给发包人的各项金额。</w:t>
      </w:r>
    </w:p>
    <w:p w14:paraId="367B1DA2">
      <w:pPr>
        <w:pStyle w:val="2"/>
        <w:numPr>
          <w:ilvl w:val="0"/>
          <w:numId w:val="0"/>
        </w:numPr>
        <w:bidi w:val="0"/>
        <w:ind w:left="482" w:leftChars="0"/>
      </w:pPr>
      <w:r>
        <w:t>22.2.5解除合同后的承包人撤离</w:t>
      </w:r>
    </w:p>
    <w:p w14:paraId="049E81AF">
      <w:pPr>
        <w:pStyle w:val="11"/>
      </w:pPr>
      <w:r>
        <w:t>因发包人违约而解除合同后，承包人应妥善做好已竣工工程和已购材料、设备的保护和移交工作，按发包人要求将承包人设备和人员撤出施工场地。承包人撤出施工场地应遵 守第18. 7. 1项的约定，发包人应为承包人撤出提供必要条件。</w:t>
      </w:r>
    </w:p>
    <w:p w14:paraId="304D5AF0">
      <w:pPr>
        <w:pStyle w:val="2"/>
        <w:numPr>
          <w:ilvl w:val="0"/>
          <w:numId w:val="0"/>
        </w:numPr>
        <w:bidi w:val="0"/>
        <w:ind w:left="482" w:leftChars="0"/>
      </w:pPr>
      <w:bookmarkStart w:id="1162" w:name="bookmark1535"/>
      <w:bookmarkStart w:id="1163" w:name="bookmark1534"/>
      <w:bookmarkStart w:id="1164" w:name="_Toc14710426"/>
      <w:bookmarkStart w:id="1165" w:name="_Toc9266"/>
      <w:bookmarkStart w:id="1166" w:name="bookmark1533"/>
      <w:r>
        <w:t>22.3第三人造成的违约</w:t>
      </w:r>
      <w:bookmarkEnd w:id="1162"/>
      <w:bookmarkEnd w:id="1163"/>
      <w:bookmarkEnd w:id="1164"/>
      <w:bookmarkEnd w:id="1165"/>
      <w:bookmarkEnd w:id="1166"/>
    </w:p>
    <w:p w14:paraId="15943285">
      <w:pPr>
        <w:pStyle w:val="11"/>
      </w:pPr>
      <w:r>
        <w:t>在履行合同过程中，一方当事人因第三人的原因造成违约的，应当向对方当事人承担违约责任。一方当事人和第三人之间的纠纷，依照法律规定或者按照约定解决。</w:t>
      </w:r>
    </w:p>
    <w:p w14:paraId="126A9BEA">
      <w:pPr>
        <w:pStyle w:val="2"/>
        <w:numPr>
          <w:ilvl w:val="0"/>
          <w:numId w:val="0"/>
        </w:numPr>
        <w:bidi w:val="0"/>
        <w:ind w:left="482" w:leftChars="0"/>
      </w:pPr>
      <w:bookmarkStart w:id="1167" w:name="_Toc14710427"/>
      <w:bookmarkStart w:id="1168" w:name="_Toc26868"/>
      <w:r>
        <w:t>23.索赔</w:t>
      </w:r>
      <w:bookmarkEnd w:id="1167"/>
      <w:bookmarkEnd w:id="1168"/>
    </w:p>
    <w:p w14:paraId="19A706B7">
      <w:pPr>
        <w:pStyle w:val="2"/>
        <w:numPr>
          <w:ilvl w:val="0"/>
          <w:numId w:val="0"/>
        </w:numPr>
        <w:bidi w:val="0"/>
        <w:ind w:left="482" w:leftChars="0"/>
      </w:pPr>
      <w:bookmarkStart w:id="1169" w:name="bookmark1538"/>
      <w:bookmarkStart w:id="1170" w:name="bookmark1536"/>
      <w:bookmarkStart w:id="1171" w:name="_Toc12223"/>
      <w:bookmarkStart w:id="1172" w:name="_Toc14710428"/>
      <w:bookmarkStart w:id="1173" w:name="bookmark1537"/>
      <w:r>
        <w:t>23.1承包人索赔的提出</w:t>
      </w:r>
      <w:bookmarkEnd w:id="1169"/>
      <w:bookmarkEnd w:id="1170"/>
      <w:bookmarkEnd w:id="1171"/>
      <w:bookmarkEnd w:id="1172"/>
      <w:bookmarkEnd w:id="1173"/>
    </w:p>
    <w:p w14:paraId="76810609">
      <w:pPr>
        <w:pStyle w:val="11"/>
      </w:pPr>
      <w:r>
        <w:t>根据合同约定，承包人认为有权得到追加付款和(或)延长工期的，应按以下程序向发包人提出索赔：</w:t>
      </w:r>
    </w:p>
    <w:p w14:paraId="2FBE9A08">
      <w:pPr>
        <w:pStyle w:val="11"/>
      </w:pPr>
      <w:bookmarkStart w:id="1174" w:name="bookmark1539"/>
      <w:bookmarkEnd w:id="1174"/>
      <w:r>
        <w:rPr>
          <w:b w:val="0"/>
          <w:i w:val="0"/>
          <w:strike w:val="0"/>
          <w:color w:val="000000"/>
          <w:u w:val="none"/>
        </w:rPr>
        <w:t>(1)</w:t>
      </w:r>
      <w:r>
        <w:t>承包人应在知道或应当知道索赔事件发生后28天内，向监理人递交索赔意向通知书，并说明发生索赔事件的事由。承包人未在前述28天内发出索赔意向通知书的，丧失要求追加付款和(或)延长工期的权利；</w:t>
      </w:r>
    </w:p>
    <w:p w14:paraId="3A7597BE">
      <w:pPr>
        <w:pStyle w:val="11"/>
      </w:pPr>
      <w:bookmarkStart w:id="1175" w:name="bookmark1540"/>
      <w:bookmarkEnd w:id="1175"/>
      <w:r>
        <w:rPr>
          <w:b w:val="0"/>
          <w:i w:val="0"/>
          <w:strike w:val="0"/>
          <w:color w:val="000000"/>
          <w:u w:val="none"/>
        </w:rPr>
        <w:t>(2)</w:t>
      </w:r>
      <w:r>
        <w:t>承包人应在发出索赔意向通知书后28天内，向监理人正式递交索赔通知书。索赔通知书应详细说明索赔理由以及要求追加的付款金额和(或)延长的工期，并附必要的记 录和证明材料；</w:t>
      </w:r>
    </w:p>
    <w:p w14:paraId="3759F8D1">
      <w:pPr>
        <w:pStyle w:val="11"/>
      </w:pPr>
      <w:bookmarkStart w:id="1176" w:name="bookmark1541"/>
      <w:bookmarkEnd w:id="1176"/>
      <w:r>
        <w:rPr>
          <w:b w:val="0"/>
          <w:i w:val="0"/>
          <w:strike w:val="0"/>
          <w:color w:val="000000"/>
          <w:u w:val="none"/>
        </w:rPr>
        <w:t>(3)</w:t>
      </w:r>
      <w:r>
        <w:t>索赔事件具有连续影响的，承包人应按合理时间间隔继续递交延续索赔通知，说明连续影响的实际情况和记录，列出累计的追加付款金额和(或)工期延长天数；</w:t>
      </w:r>
    </w:p>
    <w:p w14:paraId="0E0187D6">
      <w:pPr>
        <w:pStyle w:val="11"/>
      </w:pPr>
      <w:bookmarkStart w:id="1177" w:name="bookmark1542"/>
      <w:bookmarkEnd w:id="1177"/>
      <w:r>
        <w:rPr>
          <w:b w:val="0"/>
          <w:i w:val="0"/>
          <w:strike w:val="0"/>
          <w:color w:val="000000"/>
          <w:u w:val="none"/>
        </w:rPr>
        <w:t>(4)</w:t>
      </w:r>
      <w:r>
        <w:t>在索赔事件影响结束后的28天内，承包人应向监理人递交最终索赔通知书，说明最终要求索赔的追加付款金额和延长的工期，并附必要的记录和证明材料。</w:t>
      </w:r>
    </w:p>
    <w:p w14:paraId="78584A92">
      <w:pPr>
        <w:pStyle w:val="2"/>
        <w:numPr>
          <w:ilvl w:val="0"/>
          <w:numId w:val="0"/>
        </w:numPr>
        <w:bidi w:val="0"/>
        <w:ind w:left="482" w:leftChars="0"/>
      </w:pPr>
      <w:bookmarkStart w:id="1178" w:name="_Toc14710429"/>
      <w:bookmarkStart w:id="1179" w:name="bookmark1545"/>
      <w:bookmarkStart w:id="1180" w:name="bookmark1543"/>
      <w:bookmarkStart w:id="1181" w:name="bookmark1544"/>
      <w:bookmarkStart w:id="1182" w:name="_Toc5534"/>
      <w:r>
        <w:t>23.2承包人索赔处理程序</w:t>
      </w:r>
      <w:bookmarkEnd w:id="1178"/>
      <w:bookmarkEnd w:id="1179"/>
      <w:bookmarkEnd w:id="1180"/>
      <w:bookmarkEnd w:id="1181"/>
      <w:bookmarkEnd w:id="1182"/>
    </w:p>
    <w:p w14:paraId="2A79C9ED">
      <w:pPr>
        <w:pStyle w:val="11"/>
      </w:pPr>
      <w:bookmarkStart w:id="1183" w:name="bookmark1546"/>
      <w:bookmarkEnd w:id="1183"/>
      <w:r>
        <w:rPr>
          <w:b w:val="0"/>
          <w:i w:val="0"/>
          <w:strike w:val="0"/>
          <w:color w:val="000000"/>
          <w:u w:val="none"/>
        </w:rPr>
        <w:t>(1)</w:t>
      </w:r>
      <w:r>
        <w:t>监理人收到承包人提交的索赔通知书后，应及时审查索赔通知书的内容、查验承包人的记录和证明材料，必要时监理人可要求承包人提交全部原始记录副本。</w:t>
      </w:r>
    </w:p>
    <w:p w14:paraId="31B84EFD">
      <w:pPr>
        <w:pStyle w:val="11"/>
      </w:pPr>
      <w:bookmarkStart w:id="1184" w:name="bookmark1547"/>
      <w:bookmarkEnd w:id="1184"/>
      <w:r>
        <w:rPr>
          <w:b w:val="0"/>
          <w:i w:val="0"/>
          <w:strike w:val="0"/>
          <w:color w:val="000000"/>
          <w:u w:val="none"/>
        </w:rPr>
        <w:t>(2)</w:t>
      </w:r>
      <w:r>
        <w:t>监理人应按第3. 5款商定或确定追加的付款和(或)延长的工期，并在收到上述索赔通知书或有关索赔的进一步证明材料后的42天内，将索赔处理结果答复承包人。</w:t>
      </w:r>
    </w:p>
    <w:p w14:paraId="3A25AED7">
      <w:pPr>
        <w:pStyle w:val="11"/>
      </w:pPr>
      <w:bookmarkStart w:id="1185" w:name="bookmark1548"/>
      <w:bookmarkEnd w:id="1185"/>
      <w:r>
        <w:rPr>
          <w:b w:val="0"/>
          <w:i w:val="0"/>
          <w:strike w:val="0"/>
          <w:color w:val="000000"/>
          <w:u w:val="none"/>
        </w:rPr>
        <w:t>(3)</w:t>
      </w:r>
      <w:r>
        <w:t>承包人接受索赔处理结果的，发包人应在作出索赔处理结果答复后28天内完成赔付。承包人不接受索赔处理结果的，按第24条的约定办理。</w:t>
      </w:r>
    </w:p>
    <w:p w14:paraId="0C9FA7D2">
      <w:pPr>
        <w:pStyle w:val="2"/>
        <w:numPr>
          <w:ilvl w:val="0"/>
          <w:numId w:val="0"/>
        </w:numPr>
        <w:bidi w:val="0"/>
        <w:ind w:left="482" w:leftChars="0"/>
      </w:pPr>
      <w:bookmarkStart w:id="1186" w:name="bookmark1549"/>
      <w:bookmarkStart w:id="1187" w:name="_Toc2285"/>
      <w:bookmarkStart w:id="1188" w:name="bookmark1551"/>
      <w:bookmarkStart w:id="1189" w:name="bookmark1550"/>
      <w:bookmarkStart w:id="1190" w:name="_Toc14710430"/>
      <w:r>
        <w:t>23.3承包人提出索赔的期限</w:t>
      </w:r>
      <w:bookmarkEnd w:id="1186"/>
      <w:bookmarkEnd w:id="1187"/>
      <w:bookmarkEnd w:id="1188"/>
      <w:bookmarkEnd w:id="1189"/>
      <w:bookmarkEnd w:id="1190"/>
    </w:p>
    <w:p w14:paraId="3CB485A6">
      <w:pPr>
        <w:pStyle w:val="11"/>
      </w:pPr>
      <w:bookmarkStart w:id="1191" w:name="bookmark1552"/>
      <w:bookmarkEnd w:id="1191"/>
      <w:r>
        <w:rPr>
          <w:b w:val="0"/>
          <w:i w:val="0"/>
          <w:strike w:val="0"/>
          <w:color w:val="000000"/>
          <w:u w:val="none"/>
        </w:rPr>
        <w:t>22.</w:t>
      </w:r>
      <w:r>
        <w:t>3.1承包人按第17. 5款的约定接受了完工付款证书后，应被认为已无权再提出在合同工程完工证书颁发前所发生的任何索赔。</w:t>
      </w:r>
    </w:p>
    <w:p w14:paraId="0B4D2974">
      <w:pPr>
        <w:pStyle w:val="11"/>
      </w:pPr>
      <w:r>
        <w:t>23.3.2承包人按第17. 6款的约定提交的最终结清申请单中，只限于提出合同工程完工证书颁发后发生的索赔。提出索赔的期限自接受最终结清证书时终止。</w:t>
      </w:r>
    </w:p>
    <w:p w14:paraId="41624E45">
      <w:pPr>
        <w:pStyle w:val="2"/>
        <w:numPr>
          <w:ilvl w:val="0"/>
          <w:numId w:val="0"/>
        </w:numPr>
        <w:bidi w:val="0"/>
        <w:ind w:left="482" w:leftChars="0"/>
      </w:pPr>
      <w:bookmarkStart w:id="1192" w:name="bookmark1553"/>
      <w:bookmarkStart w:id="1193" w:name="_Toc14710431"/>
      <w:bookmarkStart w:id="1194" w:name="bookmark1555"/>
      <w:bookmarkStart w:id="1195" w:name="_Toc1321"/>
      <w:bookmarkStart w:id="1196" w:name="bookmark1554"/>
      <w:r>
        <w:t>23.4发包人的索赔</w:t>
      </w:r>
      <w:bookmarkEnd w:id="1192"/>
      <w:bookmarkEnd w:id="1193"/>
      <w:bookmarkEnd w:id="1194"/>
      <w:bookmarkEnd w:id="1195"/>
      <w:bookmarkEnd w:id="1196"/>
    </w:p>
    <w:p w14:paraId="1B1DF9E7">
      <w:pPr>
        <w:pStyle w:val="11"/>
      </w:pPr>
      <w:r>
        <w:t>23.4.1发生索赔事件后，监理人应及时书面通知承包人，详细说明发包人有权得到的索赔金额和(或)延长缺陷责任期的细节和依据。发包人提出索赔的期限和要求与第</w:t>
      </w:r>
      <w:bookmarkStart w:id="1197" w:name="bookmark1556"/>
      <w:bookmarkEnd w:id="1197"/>
      <w:r>
        <w:t>23.3款的约定相同，延长缺陷责任期的通知应在缺陷责任期届满前发出。</w:t>
      </w:r>
    </w:p>
    <w:p w14:paraId="644F11B4">
      <w:pPr>
        <w:pStyle w:val="11"/>
      </w:pPr>
      <w:r>
        <w:t>23.4.2监理人按第3. 5款商定或确定发包人从承包人处得到赔付的金额和(或)缺陷责任期的延长期。承包人应付给发包人的金额可从拟支付给承包人的合同价款中扣除, 或由承包人以其他方式支付给发包人。</w:t>
      </w:r>
    </w:p>
    <w:p w14:paraId="7CBF418A">
      <w:pPr>
        <w:pStyle w:val="11"/>
      </w:pPr>
      <w:r>
        <w:t>23.4.3承包人对监理人按第23.4. 1项发出的索赔书面通知内容持异议时，应在收到书面通知后的14天内，将持有异议的书面报告及其证明材料提交监理人。监理人应在收到 承包人书面报告后的14天内，将异议的处理意见通知承包人，并按第23.4.2项的约定执 行赔付。若承包人不接受监理人的索赔处理意见，可按本合同第24条的规定办理。</w:t>
      </w:r>
      <w:bookmarkStart w:id="1198" w:name="bookmark1559"/>
      <w:bookmarkEnd w:id="1198"/>
      <w:bookmarkStart w:id="1199" w:name="bookmark1557"/>
      <w:bookmarkStart w:id="1200" w:name="bookmark1558"/>
      <w:bookmarkStart w:id="1201" w:name="_Toc14710432"/>
      <w:bookmarkStart w:id="1202" w:name="_Toc32550"/>
      <w:bookmarkStart w:id="1203" w:name="bookmark1560"/>
    </w:p>
    <w:p w14:paraId="275AE9E7">
      <w:pPr>
        <w:pStyle w:val="2"/>
        <w:numPr>
          <w:ilvl w:val="0"/>
          <w:numId w:val="0"/>
        </w:numPr>
        <w:bidi w:val="0"/>
        <w:ind w:left="482" w:leftChars="0"/>
      </w:pPr>
      <w:r>
        <w:t>24.争议的解决</w:t>
      </w:r>
      <w:bookmarkEnd w:id="1199"/>
      <w:bookmarkEnd w:id="1200"/>
      <w:bookmarkEnd w:id="1201"/>
      <w:bookmarkEnd w:id="1202"/>
      <w:bookmarkEnd w:id="1203"/>
    </w:p>
    <w:p w14:paraId="0A202E5B">
      <w:pPr>
        <w:pStyle w:val="2"/>
        <w:numPr>
          <w:ilvl w:val="0"/>
          <w:numId w:val="0"/>
        </w:numPr>
        <w:bidi w:val="0"/>
        <w:ind w:left="482" w:leftChars="0"/>
      </w:pPr>
      <w:bookmarkStart w:id="1204" w:name="_Toc12687"/>
      <w:bookmarkStart w:id="1205" w:name="bookmark1561"/>
      <w:bookmarkStart w:id="1206" w:name="_Toc14710433"/>
      <w:bookmarkStart w:id="1207" w:name="bookmark1563"/>
      <w:bookmarkStart w:id="1208" w:name="bookmark1562"/>
      <w:r>
        <w:t>24.1争议的解决方式</w:t>
      </w:r>
      <w:bookmarkEnd w:id="1204"/>
      <w:bookmarkEnd w:id="1205"/>
      <w:bookmarkEnd w:id="1206"/>
      <w:bookmarkEnd w:id="1207"/>
      <w:bookmarkEnd w:id="1208"/>
    </w:p>
    <w:p w14:paraId="2D31476A">
      <w:pPr>
        <w:pStyle w:val="11"/>
      </w:pPr>
      <w:r>
        <w:t>发包人和承包人在履行合同中发生争议的，可以友好协商解决或者提请争议评审组评审。合同当事人友好协商解决不成、不愿提请争议评审或者不接受争议评审组意见的，可在专用合同条款中约定下列一种方式解决。</w:t>
      </w:r>
    </w:p>
    <w:p w14:paraId="4D02BF1D">
      <w:pPr>
        <w:pStyle w:val="11"/>
      </w:pPr>
      <w:bookmarkStart w:id="1209" w:name="bookmark1564"/>
      <w:bookmarkEnd w:id="1209"/>
      <w:r>
        <w:rPr>
          <w:b w:val="0"/>
          <w:i w:val="0"/>
          <w:strike w:val="0"/>
          <w:color w:val="000000"/>
          <w:u w:val="none"/>
        </w:rPr>
        <w:t>(1)</w:t>
      </w:r>
      <w:r>
        <w:t>向约定的仲裁委员会申请仲裁；</w:t>
      </w:r>
    </w:p>
    <w:p w14:paraId="1EDEDA7A">
      <w:pPr>
        <w:pStyle w:val="11"/>
      </w:pPr>
      <w:bookmarkStart w:id="1210" w:name="bookmark1565"/>
      <w:bookmarkEnd w:id="1210"/>
      <w:r>
        <w:rPr>
          <w:b w:val="0"/>
          <w:i w:val="0"/>
          <w:strike w:val="0"/>
          <w:color w:val="000000"/>
          <w:u w:val="none"/>
        </w:rPr>
        <w:t>(2)</w:t>
      </w:r>
      <w:r>
        <w:t>向有管辖权的人民法院提起诉讼。</w:t>
      </w:r>
    </w:p>
    <w:p w14:paraId="756FBB51">
      <w:pPr>
        <w:pStyle w:val="2"/>
        <w:keepNext w:val="0"/>
        <w:keepLines w:val="0"/>
        <w:pageBreakBefore w:val="0"/>
        <w:widowControl w:val="0"/>
        <w:numPr>
          <w:ilvl w:val="0"/>
          <w:numId w:val="0"/>
        </w:numPr>
        <w:kinsoku/>
        <w:wordWrap/>
        <w:overflowPunct/>
        <w:topLinePunct w:val="0"/>
        <w:autoSpaceDE/>
        <w:autoSpaceDN/>
        <w:bidi w:val="0"/>
        <w:adjustRightInd/>
        <w:snapToGrid/>
        <w:spacing w:line="288" w:lineRule="auto"/>
        <w:ind w:left="482" w:leftChars="0"/>
        <w:textAlignment w:val="auto"/>
      </w:pPr>
      <w:bookmarkStart w:id="1211" w:name="_Toc14710434"/>
      <w:bookmarkStart w:id="1212" w:name="bookmark1568"/>
      <w:bookmarkStart w:id="1213" w:name="bookmark1567"/>
      <w:bookmarkStart w:id="1214" w:name="bookmark1566"/>
      <w:bookmarkStart w:id="1215" w:name="_Toc13288"/>
      <w:r>
        <w:t>24.2友好解决</w:t>
      </w:r>
      <w:bookmarkEnd w:id="1211"/>
      <w:bookmarkEnd w:id="1212"/>
      <w:bookmarkEnd w:id="1213"/>
      <w:bookmarkEnd w:id="1214"/>
      <w:bookmarkEnd w:id="1215"/>
    </w:p>
    <w:p w14:paraId="3DEE3622">
      <w:pPr>
        <w:pStyle w:val="11"/>
      </w:pPr>
      <w:r>
        <w:t>在提请争议评审、仲裁或者诉讼前，以及在争议评审、仲裁或诉讼过程中，发包人和承包人均可共同努力友好协商解决争议。</w:t>
      </w:r>
    </w:p>
    <w:p w14:paraId="7546A93E">
      <w:pPr>
        <w:pStyle w:val="2"/>
        <w:keepNext w:val="0"/>
        <w:keepLines w:val="0"/>
        <w:pageBreakBefore w:val="0"/>
        <w:widowControl w:val="0"/>
        <w:numPr>
          <w:ilvl w:val="0"/>
          <w:numId w:val="0"/>
        </w:numPr>
        <w:kinsoku/>
        <w:wordWrap/>
        <w:overflowPunct/>
        <w:topLinePunct w:val="0"/>
        <w:autoSpaceDE/>
        <w:autoSpaceDN/>
        <w:bidi w:val="0"/>
        <w:adjustRightInd/>
        <w:snapToGrid/>
        <w:spacing w:line="288" w:lineRule="auto"/>
        <w:ind w:left="482" w:leftChars="0"/>
        <w:textAlignment w:val="auto"/>
      </w:pPr>
      <w:bookmarkStart w:id="1216" w:name="bookmark1571"/>
      <w:bookmarkStart w:id="1217" w:name="bookmark1570"/>
      <w:bookmarkStart w:id="1218" w:name="_Toc14710435"/>
      <w:bookmarkStart w:id="1219" w:name="bookmark1569"/>
      <w:bookmarkStart w:id="1220" w:name="_Toc12305"/>
      <w:r>
        <w:t>24.3争议评审</w:t>
      </w:r>
      <w:bookmarkEnd w:id="1216"/>
      <w:bookmarkEnd w:id="1217"/>
      <w:bookmarkEnd w:id="1218"/>
      <w:bookmarkEnd w:id="1219"/>
      <w:bookmarkEnd w:id="1220"/>
    </w:p>
    <w:p w14:paraId="2F73CC21">
      <w:pPr>
        <w:pStyle w:val="11"/>
      </w:pPr>
      <w:r>
        <w:t>24.3.1采用争议评审的，发包人和承包人应在开工日后的28天内或在争议发生后, 协商成立争议评审组。争议评审组由有合同管理和工程实践经验的专家组成。</w:t>
      </w:r>
    </w:p>
    <w:p w14:paraId="758D62DD">
      <w:pPr>
        <w:pStyle w:val="11"/>
      </w:pPr>
      <w:r>
        <w:t>24.3.2合同双方的争议，应首先由申请人向争议评审组提交一份详细的评审申请报告，并附必要的文件、图纸和证明材料，申请人还应将上述报告的副本同时提交给被申请人和监理人。</w:t>
      </w:r>
    </w:p>
    <w:p w14:paraId="1750A8FC">
      <w:pPr>
        <w:pStyle w:val="11"/>
      </w:pPr>
      <w:r>
        <w:t>24.3.3被申请人在收到申请人评审申请报告副本后的28天内，向争议评审组提交一份答辩报告，并附证明材料。被申请人应将答辩报告的副本同时提交给申请人和监理人。</w:t>
      </w:r>
    </w:p>
    <w:p w14:paraId="61A3143F">
      <w:pPr>
        <w:pStyle w:val="11"/>
      </w:pPr>
      <w:r>
        <w:t>24.3.4除专用合同条款另有约定外，争议评审组在收到合同双方报告后的14天内， 邀请双方代表和有关人员举行调查会，向双方调查争议细节；必要时争议评审组可要求双方进一步提供补充材料。</w:t>
      </w:r>
    </w:p>
    <w:p w14:paraId="1769B29F">
      <w:pPr>
        <w:pStyle w:val="11"/>
      </w:pPr>
      <w:bookmarkStart w:id="1221" w:name="bookmark1572"/>
      <w:bookmarkEnd w:id="1221"/>
      <w:r>
        <w:t>24.3.5除专用合同条款另有约定外，在调查会结束后的14天内，争议评审组应在不受任何干扰的情况下进行独立、公正的评审，作出书面评审意见，并说明理由。在争议评审期间，争议双方暂按总监理工程师的确定执行。</w:t>
      </w:r>
    </w:p>
    <w:p w14:paraId="336FD1F6">
      <w:pPr>
        <w:pStyle w:val="11"/>
      </w:pPr>
      <w:r>
        <w:t>24.3.6发包人和承包人接受评审意见的，由监理人根据评审意见拟定执行协议，经争议双方签字后作为合同的补充文件，并遵照执行。</w:t>
      </w:r>
    </w:p>
    <w:p w14:paraId="086FD8C3">
      <w:pPr>
        <w:pStyle w:val="11"/>
      </w:pPr>
      <w:r>
        <w:t>24.3.7发包人或承包人不接受评审意见，并要求提交仲裁或提起诉讼的，应在收到评审意见后的14天内将仲裁或起诉意向书面通知另一方，并抄送监理人，但在仲裁或诉讼结束前应暂按总监理工程师的确定执行。</w:t>
      </w:r>
    </w:p>
    <w:p w14:paraId="1D8C5079">
      <w:pPr>
        <w:pStyle w:val="2"/>
        <w:keepNext w:val="0"/>
        <w:keepLines w:val="0"/>
        <w:pageBreakBefore w:val="0"/>
        <w:widowControl w:val="0"/>
        <w:numPr>
          <w:ilvl w:val="0"/>
          <w:numId w:val="0"/>
        </w:numPr>
        <w:kinsoku/>
        <w:wordWrap/>
        <w:overflowPunct/>
        <w:topLinePunct w:val="0"/>
        <w:autoSpaceDE/>
        <w:autoSpaceDN/>
        <w:bidi w:val="0"/>
        <w:adjustRightInd/>
        <w:snapToGrid/>
        <w:spacing w:line="288" w:lineRule="auto"/>
        <w:ind w:left="482" w:leftChars="0"/>
        <w:textAlignment w:val="auto"/>
      </w:pPr>
      <w:bookmarkStart w:id="1222" w:name="bookmark1573"/>
      <w:bookmarkStart w:id="1223" w:name="_Toc548"/>
      <w:bookmarkStart w:id="1224" w:name="bookmark1574"/>
      <w:bookmarkStart w:id="1225" w:name="bookmark1575"/>
      <w:bookmarkStart w:id="1226" w:name="_Toc14710436"/>
      <w:r>
        <w:t>24.4仲裁</w:t>
      </w:r>
      <w:bookmarkEnd w:id="1222"/>
      <w:bookmarkEnd w:id="1223"/>
      <w:bookmarkEnd w:id="1224"/>
      <w:bookmarkEnd w:id="1225"/>
      <w:bookmarkEnd w:id="1226"/>
    </w:p>
    <w:p w14:paraId="4DF322D3">
      <w:pPr>
        <w:pStyle w:val="11"/>
      </w:pPr>
      <w:r>
        <w:t>24.4.1若合同双方商定直接向仲裁机构申请仲裁，应签订仲裁协议并约定仲裁机构。</w:t>
      </w:r>
    </w:p>
    <w:p w14:paraId="01A5ABEE">
      <w:pPr>
        <w:pStyle w:val="11"/>
        <w:rPr>
          <w:rFonts w:ascii="宋体" w:hAnsi="宋体" w:eastAsia="宋体" w:cs="宋体"/>
          <w:b w:val="0"/>
          <w:bCs/>
          <w:kern w:val="44"/>
          <w:sz w:val="21"/>
          <w:szCs w:val="21"/>
          <w:lang w:val="en-US" w:eastAsia="zh-CN" w:bidi="ar-SA"/>
        </w:rPr>
      </w:pPr>
      <w:r>
        <w:t>24.4.2若合同双方未能达成仲裁协议，则本合同的仲裁条款无效，任一方均有权向人民法院提起诉讼。</w:t>
      </w:r>
      <w:bookmarkStart w:id="1227" w:name="_Toc508272186"/>
    </w:p>
    <w:p w14:paraId="578580F5">
      <w:pPr>
        <w:pStyle w:val="42"/>
        <w:numPr>
          <w:ilvl w:val="0"/>
          <w:numId w:val="70"/>
        </w:numPr>
        <w:ind w:left="0" w:leftChars="0" w:firstLine="480" w:firstLineChars="0"/>
        <w:outlineLvl w:val="0"/>
      </w:pPr>
      <w:bookmarkStart w:id="1228" w:name="_Toc4053"/>
      <w:r>
        <w:t>安全生产合同</w:t>
      </w:r>
      <w:bookmarkEnd w:id="1227"/>
      <w:bookmarkEnd w:id="1228"/>
    </w:p>
    <w:p w14:paraId="22894B28">
      <w:pPr>
        <w:pStyle w:val="11"/>
      </w:pPr>
      <w:r>
        <w:t>为在</w:t>
      </w:r>
      <w:r>
        <w:rPr>
          <w:b/>
          <w:u w:val="single"/>
        </w:rPr>
        <w:t xml:space="preserve">                     </w:t>
      </w:r>
      <w:r>
        <w:t>施工合同的实施过程中创造安全、高效的施工环境，切实搞好本项目的安全管理工作，本项目发包人</w:t>
      </w:r>
      <w:r>
        <w:rPr>
          <w:b/>
          <w:u w:val="single"/>
        </w:rPr>
        <w:t xml:space="preserve">                    </w:t>
      </w:r>
      <w:r>
        <w:t>与承包人</w:t>
      </w:r>
      <w:r>
        <w:rPr>
          <w:b/>
          <w:u w:val="single"/>
        </w:rPr>
        <w:t xml:space="preserve">                     </w:t>
      </w:r>
      <w:r>
        <w:t>特此签订安全生产合同：</w:t>
      </w:r>
    </w:p>
    <w:p w14:paraId="619C59C8">
      <w:pPr>
        <w:pStyle w:val="11"/>
        <w:keepNext w:val="0"/>
        <w:keepLines w:val="0"/>
        <w:pageBreakBefore w:val="0"/>
        <w:widowControl w:val="0"/>
        <w:kinsoku/>
        <w:wordWrap/>
        <w:overflowPunct/>
        <w:topLinePunct w:val="0"/>
        <w:autoSpaceDE/>
        <w:autoSpaceDN/>
        <w:bidi w:val="0"/>
        <w:adjustRightInd/>
        <w:snapToGrid/>
        <w:spacing w:line="240" w:lineRule="auto"/>
        <w:textAlignment w:val="auto"/>
      </w:pPr>
      <w:r>
        <w:t>1.发包人职责</w:t>
      </w:r>
    </w:p>
    <w:p w14:paraId="0CA0757C">
      <w:pPr>
        <w:pStyle w:val="11"/>
      </w:pPr>
      <w:r>
        <w:t>（1）严格遵守国家有关安全生产的法律法规，认真执行工程承包合同中的有关安全要求。</w:t>
      </w:r>
    </w:p>
    <w:p w14:paraId="780F2D4C">
      <w:pPr>
        <w:pStyle w:val="11"/>
      </w:pPr>
      <w:r>
        <w:t>（2）按照“安全第一、预防为主”和坚持“管生产必须管安全”的原则进行安全生产管理，做到生产与安全工作同时计划、布置、检查、总结和评比。</w:t>
      </w:r>
    </w:p>
    <w:p w14:paraId="3DA801C1">
      <w:pPr>
        <w:pStyle w:val="11"/>
      </w:pPr>
      <w:r>
        <w:t>（3）重要的安全设施必须坚持与主体工程“三同时”的原则，即：同时设计、审批，同时施工，同时验收，投入使用。</w:t>
      </w:r>
    </w:p>
    <w:p w14:paraId="5F3C0DCE">
      <w:pPr>
        <w:pStyle w:val="11"/>
      </w:pPr>
      <w:r>
        <w:t>（4）定期召开安全生产调度会，及时传达中央及地方有关安全生产的精神。</w:t>
      </w:r>
    </w:p>
    <w:p w14:paraId="4A846971">
      <w:pPr>
        <w:pStyle w:val="11"/>
      </w:pPr>
      <w:r>
        <w:t>（5）组织对承包人施工现场安全生产检查，监督承包人及时处理发现的各种安全隐患。</w:t>
      </w:r>
    </w:p>
    <w:p w14:paraId="1F648164">
      <w:pPr>
        <w:pStyle w:val="11"/>
        <w:keepNext w:val="0"/>
        <w:keepLines w:val="0"/>
        <w:pageBreakBefore w:val="0"/>
        <w:widowControl w:val="0"/>
        <w:kinsoku/>
        <w:wordWrap/>
        <w:overflowPunct/>
        <w:topLinePunct w:val="0"/>
        <w:autoSpaceDE/>
        <w:autoSpaceDN/>
        <w:bidi w:val="0"/>
        <w:adjustRightInd/>
        <w:snapToGrid/>
        <w:spacing w:line="240" w:lineRule="auto"/>
        <w:textAlignment w:val="auto"/>
      </w:pPr>
      <w:r>
        <w:t>2.承包人职责</w:t>
      </w:r>
    </w:p>
    <w:p w14:paraId="1F92D686">
      <w:pPr>
        <w:pStyle w:val="11"/>
      </w:pPr>
      <w:r>
        <w:t>（1）严格遵守《中华人民共和国安全生产法》、《建设工程安全生产管理条例》等国家有关安全生产的法律法规及自治区安全生产法规和水利水电工程施工安全操作规范等规定。认真执行工程承包合同中的有关安全要求。</w:t>
      </w:r>
    </w:p>
    <w:p w14:paraId="5ADE5CFD">
      <w:pPr>
        <w:pStyle w:val="11"/>
      </w:pPr>
      <w:r>
        <w:t>（2）坚持“安全第一、预防为主”和“管生产必须管安全”的原则，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守本合同的各项规定，做到生产与安全工作同时计划、布置、检查、总结和评比。</w:t>
      </w:r>
    </w:p>
    <w:p w14:paraId="33AC14F6">
      <w:pPr>
        <w:pStyle w:val="11"/>
      </w:pPr>
      <w:r>
        <w:t>（3）建立健全安全生产责任制。从派往项目实施的项目经理到生产工人（包括临时雇请的民工）的安全生产管理系统必须做到纵向到底，—环不漏；各职能部门、人员的安全生产责任制做到横向到边，人人有责。项目经理是安全生产的第一责任人。现场设置的安全机构，应按《公路水运工程安全生产监督管理办法》规定的最低数量和资质条件配备专职安全生产管理人员，专职负责所有员工的安全和治安保卫工作及预防事故的发生。安全机构人员有权按有关规定发布指令，并采取保护性措施防止事故发生。</w:t>
      </w:r>
    </w:p>
    <w:p w14:paraId="545A0F37">
      <w:pPr>
        <w:pStyle w:val="11"/>
      </w:pPr>
      <w:r>
        <w:t>（4）承包人在任何时候都应采取各种合理的预防措施，防止其员工发生任何违法、违禁、暴力或妨碍治安的行为。</w:t>
      </w:r>
    </w:p>
    <w:p w14:paraId="47631A14">
      <w:pPr>
        <w:pStyle w:val="11"/>
      </w:pPr>
      <w:r>
        <w:t>（5）承包人必须具有劳动安全管理部门颁发的安全生产考核合格证书，参加施工的人员，必须接受安全技术教育，熟知和遵守本工种的各项安全技术操作规程，定期进行安全技术考核，合格者方准上岗操作。对于从事电气、起重、建筑登高架设作业、锅炉、压力容器、焊接、机动车船艇驾驶、爆破、潜水、瓦斯检验等特殊工种的人员，经过专业培训，获得《安全操作合格证》后，方准持证上岗。施工现场如出现特种作业无证操作现象时，项目经理必须承担管理责任。</w:t>
      </w:r>
    </w:p>
    <w:p w14:paraId="4378ED2D">
      <w:pPr>
        <w:pStyle w:val="11"/>
      </w:pPr>
      <w:r>
        <w:t>（6）对于易燃易爆的材料除应专门妥善保管之外，还应配备有足够的消防设施，所有施工人员都应熟悉消防设备的性能和使用方法；承包人不得将任何种类的爆炸物给予、易货或以其他方式转让给任何其他人，或允许、容忍上述同样行为。</w:t>
      </w:r>
    </w:p>
    <w:p w14:paraId="7638505F">
      <w:pPr>
        <w:pStyle w:val="11"/>
      </w:pPr>
      <w:r>
        <w:t>（7）操作人员上岗，必须按规定穿戴防护用品。施工负责人和安全检查员应随时检查劳动防护用品的穿戴情况，不按规定穿戴防护用品的人员不得上岗。</w:t>
      </w:r>
    </w:p>
    <w:p w14:paraId="5AEC901B">
      <w:pPr>
        <w:pStyle w:val="11"/>
      </w:pPr>
      <w:r>
        <w:t>（8）所有施工机具设备和高空作业的设备均应定期检查，并有安全员的签字记录，保证其经常处于完好状态；不合格的机具、设备和劳动保护用品严禁使用：</w:t>
      </w:r>
    </w:p>
    <w:p w14:paraId="1D79B5A3">
      <w:pPr>
        <w:pStyle w:val="11"/>
      </w:pPr>
      <w:r>
        <w:t>（9）施工中采用新技术、新工艺、新设备、新材料时，必须制定相应的安全技术措施，施工现场必须具有相关的安全标志牌。</w:t>
      </w:r>
    </w:p>
    <w:p w14:paraId="39C73720">
      <w:pPr>
        <w:pStyle w:val="11"/>
      </w:pPr>
      <w:r>
        <w:t>（10）承包人必须按照本工程项目特点，组织制定本工程实施中的生产安全事故应急救援预案；如果发生安全事故，应按照《国务院关于特大安全事故行政责任追究的规定》以及其他有关规定，及时上报有关部门，并坚持“四不放过”的原则．严肃处理相关责任人。</w:t>
      </w:r>
    </w:p>
    <w:p w14:paraId="14D1A249">
      <w:pPr>
        <w:pStyle w:val="11"/>
        <w:rPr>
          <w:highlight w:val="red"/>
        </w:rPr>
      </w:pPr>
      <w:r>
        <w:t>（11）格遵守《中华人民共和国安全生产法》《建设工程安全生产管理条例》等国家有关安全生产的法律法规《公路水运工程安全生产监督管理办法》和《公路工程施工安全技术规程》等有关安全生产的规定。认真执行工程承包合同中的有关安全要求</w:t>
      </w:r>
    </w:p>
    <w:p w14:paraId="01045835">
      <w:pPr>
        <w:pStyle w:val="11"/>
        <w:keepNext w:val="0"/>
        <w:keepLines w:val="0"/>
        <w:pageBreakBefore w:val="0"/>
        <w:widowControl w:val="0"/>
        <w:kinsoku/>
        <w:wordWrap/>
        <w:overflowPunct/>
        <w:topLinePunct w:val="0"/>
        <w:autoSpaceDE/>
        <w:autoSpaceDN/>
        <w:bidi w:val="0"/>
        <w:adjustRightInd/>
        <w:snapToGrid/>
        <w:spacing w:line="240" w:lineRule="auto"/>
        <w:textAlignment w:val="auto"/>
      </w:pPr>
      <w:r>
        <w:t>3.违约责任</w:t>
      </w:r>
    </w:p>
    <w:p w14:paraId="7DE1AA99">
      <w:pPr>
        <w:pStyle w:val="11"/>
      </w:pPr>
      <w:r>
        <w:t>如因发包人或承包人违约造成安全事故，将依法追究责任。</w:t>
      </w:r>
    </w:p>
    <w:p w14:paraId="45C4A0C6">
      <w:pPr>
        <w:pStyle w:val="11"/>
      </w:pPr>
      <w:r>
        <w:t>4.本合同由双方法定代表人或其授权的代理人签署并加盖单位章后生效，全部工程竣工验收后失效。</w:t>
      </w:r>
    </w:p>
    <w:p w14:paraId="3A826D40">
      <w:pPr>
        <w:pStyle w:val="11"/>
        <w:rPr>
          <w:rFonts w:hint="eastAsia" w:ascii="Times New Roman" w:hAnsi="Times New Roman" w:eastAsia="宋体" w:cs="Times New Roman"/>
          <w:sz w:val="24"/>
          <w:szCs w:val="21"/>
        </w:rPr>
      </w:pPr>
      <w:r>
        <w:t>5.本合同正本—式陆份，发包人和承包人各执叁份。</w:t>
      </w:r>
    </w:p>
    <w:p w14:paraId="4349127C">
      <w:pPr>
        <w:spacing w:line="240" w:lineRule="auto"/>
        <w:rPr>
          <w:rFonts w:hint="eastAsia" w:ascii="Times New Roman" w:hAnsi="Times New Roman" w:eastAsia="宋体" w:cs="Times New Roman"/>
          <w:sz w:val="24"/>
          <w:szCs w:val="21"/>
        </w:rPr>
      </w:pPr>
    </w:p>
    <w:p w14:paraId="1B1FDB19">
      <w:pPr>
        <w:spacing w:line="240" w:lineRule="auto"/>
        <w:rPr>
          <w:rFonts w:ascii="Times New Roman" w:hAnsi="Times New Roman" w:eastAsia="宋体" w:cs="Times New Roman"/>
          <w:spacing w:val="-20"/>
          <w:sz w:val="24"/>
          <w:szCs w:val="21"/>
          <w:u w:val="single"/>
        </w:rPr>
      </w:pPr>
      <w:r>
        <w:rPr>
          <w:rFonts w:hint="eastAsia" w:ascii="Times New Roman" w:hAnsi="Times New Roman" w:eastAsia="宋体" w:cs="Times New Roman"/>
          <w:sz w:val="24"/>
          <w:szCs w:val="21"/>
        </w:rPr>
        <w:t>发包人：</w:t>
      </w:r>
      <w:r>
        <w:rPr>
          <w:rFonts w:hint="eastAsia" w:ascii="Times New Roman" w:hAnsi="Times New Roman" w:eastAsia="宋体" w:cs="Times New Roman"/>
          <w:snapToGrid w:val="0"/>
          <w:kern w:val="0"/>
          <w:sz w:val="24"/>
          <w:szCs w:val="21"/>
          <w:u w:val="single"/>
        </w:rPr>
        <w:t xml:space="preserve">                </w:t>
      </w:r>
      <w:r>
        <w:rPr>
          <w:rFonts w:hint="eastAsia" w:ascii="Times New Roman" w:hAnsi="Times New Roman" w:eastAsia="宋体" w:cs="Times New Roman"/>
          <w:bCs/>
          <w:sz w:val="24"/>
          <w:szCs w:val="21"/>
          <w:u w:val="single"/>
        </w:rPr>
        <w:t xml:space="preserve"> </w:t>
      </w:r>
      <w:r>
        <w:rPr>
          <w:rFonts w:hint="eastAsia" w:ascii="Times New Roman" w:hAnsi="Times New Roman" w:eastAsia="宋体" w:cs="Times New Roman"/>
          <w:b/>
          <w:sz w:val="24"/>
          <w:szCs w:val="21"/>
          <w:u w:val="single"/>
        </w:rPr>
        <w:t xml:space="preserve"> </w:t>
      </w:r>
      <w:r>
        <w:rPr>
          <w:rFonts w:hint="eastAsia" w:ascii="Times New Roman" w:hAnsi="Times New Roman" w:eastAsia="宋体" w:cs="Times New Roman"/>
          <w:sz w:val="24"/>
          <w:szCs w:val="21"/>
        </w:rPr>
        <w:t xml:space="preserve">     </w:t>
      </w:r>
      <w:r>
        <w:rPr>
          <w:rFonts w:hint="eastAsia" w:ascii="Times New Roman" w:hAnsi="Times New Roman" w:eastAsia="宋体" w:cs="Times New Roman"/>
          <w:sz w:val="24"/>
          <w:szCs w:val="21"/>
          <w:lang w:val="en-US" w:eastAsia="zh-CN"/>
        </w:rPr>
        <w:t xml:space="preserve">   </w:t>
      </w:r>
      <w:r>
        <w:rPr>
          <w:rFonts w:hint="eastAsia" w:ascii="Times New Roman" w:hAnsi="Times New Roman" w:eastAsia="宋体" w:cs="Times New Roman"/>
          <w:sz w:val="24"/>
          <w:szCs w:val="21"/>
        </w:rPr>
        <w:t xml:space="preserve">  承包人：</w:t>
      </w:r>
      <w:r>
        <w:rPr>
          <w:rFonts w:hint="eastAsia" w:ascii="Times New Roman" w:hAnsi="Times New Roman" w:eastAsia="宋体" w:cs="Times New Roman"/>
          <w:spacing w:val="-20"/>
          <w:sz w:val="24"/>
          <w:szCs w:val="21"/>
          <w:u w:val="single"/>
        </w:rPr>
        <w:t xml:space="preserve">                                          </w:t>
      </w:r>
    </w:p>
    <w:p w14:paraId="03F5D9E1">
      <w:pPr>
        <w:spacing w:line="240" w:lineRule="auto"/>
        <w:ind w:firstLine="1440" w:firstLineChars="600"/>
        <w:rPr>
          <w:rFonts w:ascii="Times New Roman" w:hAnsi="Times New Roman" w:eastAsia="宋体" w:cs="Times New Roman"/>
          <w:sz w:val="24"/>
          <w:szCs w:val="21"/>
        </w:rPr>
      </w:pPr>
      <w:r>
        <w:rPr>
          <w:rFonts w:hint="eastAsia" w:ascii="Times New Roman" w:hAnsi="Times New Roman" w:eastAsia="宋体" w:cs="Times New Roman"/>
          <w:sz w:val="24"/>
          <w:szCs w:val="21"/>
        </w:rPr>
        <w:t xml:space="preserve">（盖单位章）                           （盖单位章） </w:t>
      </w:r>
    </w:p>
    <w:p w14:paraId="0ABFF362">
      <w:pPr>
        <w:spacing w:line="240" w:lineRule="auto"/>
        <w:rPr>
          <w:rFonts w:ascii="宋体" w:hAnsi="宋体" w:cs="宋体"/>
          <w:szCs w:val="21"/>
        </w:rPr>
      </w:pPr>
    </w:p>
    <w:p w14:paraId="4F1EE19C">
      <w:pPr>
        <w:spacing w:line="240" w:lineRule="auto"/>
        <w:rPr>
          <w:rFonts w:ascii="Times New Roman" w:hAnsi="Times New Roman" w:eastAsia="宋体" w:cs="Times New Roman"/>
          <w:sz w:val="24"/>
          <w:szCs w:val="21"/>
          <w:u w:val="single"/>
        </w:rPr>
      </w:pPr>
      <w:r>
        <w:rPr>
          <w:rFonts w:hint="eastAsia" w:ascii="Times New Roman" w:hAnsi="Times New Roman" w:eastAsia="宋体" w:cs="Times New Roman"/>
          <w:sz w:val="24"/>
          <w:szCs w:val="21"/>
        </w:rPr>
        <w:t>法定代表人：</w:t>
      </w:r>
      <w:r>
        <w:rPr>
          <w:rFonts w:hint="eastAsia" w:ascii="Times New Roman" w:hAnsi="Times New Roman" w:eastAsia="宋体" w:cs="Times New Roman"/>
          <w:sz w:val="24"/>
          <w:szCs w:val="21"/>
          <w:u w:val="single"/>
        </w:rPr>
        <w:t xml:space="preserve">                </w:t>
      </w:r>
      <w:r>
        <w:rPr>
          <w:rFonts w:hint="eastAsia" w:ascii="Times New Roman" w:hAnsi="Times New Roman" w:eastAsia="宋体" w:cs="Times New Roman"/>
          <w:sz w:val="24"/>
          <w:szCs w:val="21"/>
        </w:rPr>
        <w:t xml:space="preserve">        法定代表人：</w:t>
      </w:r>
      <w:r>
        <w:rPr>
          <w:rFonts w:hint="eastAsia" w:ascii="Times New Roman" w:hAnsi="Times New Roman" w:eastAsia="宋体" w:cs="Times New Roman"/>
          <w:sz w:val="24"/>
          <w:szCs w:val="21"/>
          <w:u w:val="single"/>
        </w:rPr>
        <w:t xml:space="preserve">               </w:t>
      </w:r>
    </w:p>
    <w:p w14:paraId="0E71B893">
      <w:pPr>
        <w:spacing w:line="240" w:lineRule="auto"/>
        <w:rPr>
          <w:rFonts w:ascii="Times New Roman" w:hAnsi="Times New Roman" w:eastAsia="宋体" w:cs="Times New Roman"/>
          <w:sz w:val="24"/>
          <w:szCs w:val="21"/>
        </w:rPr>
      </w:pPr>
      <w:r>
        <w:rPr>
          <w:rFonts w:hint="eastAsia" w:ascii="Times New Roman" w:hAnsi="Times New Roman" w:eastAsia="宋体" w:cs="Times New Roman"/>
          <w:sz w:val="24"/>
          <w:szCs w:val="21"/>
        </w:rPr>
        <w:t>（签字或盖章）                            （签字或盖章）</w:t>
      </w:r>
    </w:p>
    <w:p w14:paraId="4E57654C">
      <w:pPr>
        <w:spacing w:line="240" w:lineRule="auto"/>
        <w:rPr>
          <w:rFonts w:ascii="宋体" w:hAnsi="宋体" w:cs="宋体"/>
          <w:szCs w:val="21"/>
        </w:rPr>
      </w:pPr>
    </w:p>
    <w:p w14:paraId="541D9280">
      <w:pPr>
        <w:spacing w:line="240" w:lineRule="auto"/>
        <w:ind w:firstLine="2310" w:firstLineChars="1100"/>
        <w:rPr>
          <w:rFonts w:ascii="宋体" w:hAnsi="宋体" w:cs="宋体"/>
          <w:szCs w:val="21"/>
        </w:rPr>
      </w:pPr>
    </w:p>
    <w:p w14:paraId="35BB794E">
      <w:pPr>
        <w:spacing w:line="240" w:lineRule="auto"/>
        <w:ind w:firstLine="2640" w:firstLineChars="1100"/>
        <w:rPr>
          <w:rFonts w:ascii="Times New Roman" w:hAnsi="Times New Roman" w:eastAsia="宋体" w:cs="Times New Roman"/>
          <w:sz w:val="24"/>
          <w:szCs w:val="21"/>
        </w:rPr>
      </w:pPr>
      <w:r>
        <w:rPr>
          <w:rFonts w:hint="eastAsia" w:ascii="Times New Roman" w:hAnsi="Times New Roman" w:eastAsia="宋体" w:cs="Times New Roman"/>
          <w:sz w:val="24"/>
          <w:szCs w:val="21"/>
        </w:rPr>
        <w:t xml:space="preserve">签订日期： </w:t>
      </w:r>
      <w:r>
        <w:rPr>
          <w:rFonts w:hint="eastAsia" w:ascii="Times New Roman" w:hAnsi="Times New Roman" w:eastAsia="宋体" w:cs="Times New Roman"/>
          <w:sz w:val="24"/>
          <w:szCs w:val="21"/>
          <w:u w:val="single"/>
        </w:rPr>
        <w:t xml:space="preserve"> 202</w:t>
      </w:r>
      <w:r>
        <w:rPr>
          <w:rFonts w:hint="eastAsia" w:ascii="Times New Roman" w:hAnsi="Times New Roman" w:eastAsia="宋体" w:cs="Times New Roman"/>
          <w:sz w:val="24"/>
          <w:szCs w:val="21"/>
          <w:u w:val="single"/>
          <w:lang w:val="en-US" w:eastAsia="zh-CN"/>
        </w:rPr>
        <w:t>5</w:t>
      </w:r>
      <w:r>
        <w:rPr>
          <w:rFonts w:hint="eastAsia" w:ascii="Times New Roman" w:hAnsi="Times New Roman" w:eastAsia="宋体" w:cs="Times New Roman"/>
          <w:sz w:val="24"/>
          <w:szCs w:val="21"/>
          <w:u w:val="single"/>
        </w:rPr>
        <w:t xml:space="preserve"> </w:t>
      </w:r>
      <w:r>
        <w:rPr>
          <w:rFonts w:hint="eastAsia" w:ascii="Times New Roman" w:hAnsi="Times New Roman" w:eastAsia="宋体" w:cs="Times New Roman"/>
          <w:sz w:val="24"/>
          <w:szCs w:val="21"/>
        </w:rPr>
        <w:t>年</w:t>
      </w:r>
      <w:r>
        <w:rPr>
          <w:rFonts w:hint="eastAsia" w:ascii="Times New Roman" w:hAnsi="Times New Roman" w:eastAsia="宋体" w:cs="Times New Roman"/>
          <w:sz w:val="24"/>
          <w:szCs w:val="21"/>
          <w:u w:val="single"/>
        </w:rPr>
        <w:t xml:space="preserve">   </w:t>
      </w:r>
      <w:r>
        <w:rPr>
          <w:rFonts w:hint="eastAsia" w:ascii="Times New Roman" w:hAnsi="Times New Roman" w:eastAsia="宋体" w:cs="Times New Roman"/>
          <w:sz w:val="24"/>
          <w:szCs w:val="21"/>
        </w:rPr>
        <w:t>月</w:t>
      </w:r>
      <w:r>
        <w:rPr>
          <w:rFonts w:hint="eastAsia" w:ascii="Times New Roman" w:hAnsi="Times New Roman" w:eastAsia="宋体" w:cs="Times New Roman"/>
          <w:sz w:val="24"/>
          <w:szCs w:val="21"/>
          <w:u w:val="single"/>
        </w:rPr>
        <w:t xml:space="preserve">   </w:t>
      </w:r>
      <w:r>
        <w:rPr>
          <w:rFonts w:hint="eastAsia" w:ascii="Times New Roman" w:hAnsi="Times New Roman" w:eastAsia="宋体" w:cs="Times New Roman"/>
          <w:sz w:val="24"/>
          <w:szCs w:val="21"/>
        </w:rPr>
        <w:t xml:space="preserve">日                </w:t>
      </w:r>
    </w:p>
    <w:p w14:paraId="71219672">
      <w:pPr>
        <w:rPr>
          <w:rFonts w:ascii="宋体" w:hAnsi="宋体" w:cs="宋体"/>
          <w:szCs w:val="21"/>
        </w:rPr>
      </w:pPr>
      <w:bookmarkStart w:id="1229" w:name="_Toc508272187"/>
    </w:p>
    <w:p w14:paraId="00BE3D78">
      <w:bookmarkStart w:id="1230" w:name="_Toc8568"/>
      <w:r>
        <w:br w:type="page"/>
      </w:r>
    </w:p>
    <w:p w14:paraId="207703E1">
      <w:pPr>
        <w:pStyle w:val="42"/>
        <w:numPr>
          <w:ilvl w:val="0"/>
          <w:numId w:val="70"/>
        </w:numPr>
        <w:ind w:left="0" w:leftChars="0" w:firstLine="480" w:firstLineChars="0"/>
        <w:outlineLvl w:val="0"/>
      </w:pPr>
      <w:r>
        <w:t>廉政合同</w:t>
      </w:r>
      <w:bookmarkEnd w:id="1229"/>
      <w:bookmarkEnd w:id="1230"/>
    </w:p>
    <w:p w14:paraId="79F0F2AC">
      <w:pPr>
        <w:pStyle w:val="11"/>
      </w:pPr>
      <w:r>
        <w:t>根据有关工程建设、廉政建设的规定，为做好工程建设中的党风廉政建设，保证工程建设高效优质，保证建设资金的安全和有效使用以及投资效益，</w:t>
      </w:r>
      <w:r>
        <w:rPr>
          <w:b/>
          <w:u w:val="single"/>
        </w:rPr>
        <w:t xml:space="preserve">               </w:t>
      </w:r>
      <w:r>
        <w:t xml:space="preserve">项目法人 </w:t>
      </w:r>
      <w:r>
        <w:rPr>
          <w:b/>
          <w:u w:val="single"/>
        </w:rPr>
        <w:t xml:space="preserve">                   </w:t>
      </w:r>
      <w:r>
        <w:rPr>
          <w:u w:val="single"/>
        </w:rPr>
        <w:t xml:space="preserve"> </w:t>
      </w:r>
      <w:r>
        <w:rPr>
          <w:b/>
          <w:u w:val="single"/>
        </w:rPr>
        <w:t xml:space="preserve"> </w:t>
      </w:r>
      <w:r>
        <w:t>与该项目的施工单位</w:t>
      </w:r>
      <w:r>
        <w:rPr>
          <w:b/>
          <w:u w:val="single"/>
        </w:rPr>
        <w:t xml:space="preserve">                             </w:t>
      </w:r>
      <w:r>
        <w:t>特订立如下合同。</w:t>
      </w:r>
    </w:p>
    <w:p w14:paraId="409C5C7B">
      <w:pPr>
        <w:pStyle w:val="11"/>
      </w:pPr>
      <w:r>
        <w:t>1．发包人和承包人双方的权利和义务</w:t>
      </w:r>
    </w:p>
    <w:p w14:paraId="0D0C47AC">
      <w:pPr>
        <w:pStyle w:val="11"/>
      </w:pPr>
      <w:r>
        <w:t>（1）严格遵守党的政策规定和国家有关法律法规及交通运输部的有关规定。</w:t>
      </w:r>
    </w:p>
    <w:p w14:paraId="7A44A625">
      <w:pPr>
        <w:pStyle w:val="11"/>
      </w:pPr>
      <w:r>
        <w:t>（2）严格执行</w:t>
      </w:r>
      <w:r>
        <w:rPr>
          <w:b/>
          <w:u w:val="single"/>
        </w:rPr>
        <w:t xml:space="preserve">                         </w:t>
      </w:r>
      <w:r>
        <w:t>施工合同文件，自觉按合同办事。</w:t>
      </w:r>
    </w:p>
    <w:p w14:paraId="23637535">
      <w:pPr>
        <w:pStyle w:val="11"/>
      </w:pPr>
      <w:r>
        <w:t>（3）双方的业务活动坚持公开、公正、诚信、透明的原则（法律认定的商业秘密和合同文件另有规定除外），不得损害国家和集体利益，不得违反工程建设管理规章制度。</w:t>
      </w:r>
    </w:p>
    <w:p w14:paraId="1BD6D649">
      <w:pPr>
        <w:pStyle w:val="11"/>
      </w:pPr>
      <w:r>
        <w:t>（4）建立健全廉政制度，开展廉政教育，设立廉政告示牌，公布举报电话，监督并认真查处违法违纪行为。</w:t>
      </w:r>
    </w:p>
    <w:p w14:paraId="1E6279DB">
      <w:pPr>
        <w:pStyle w:val="11"/>
      </w:pPr>
      <w:r>
        <w:t>（5）发现对方在业务活动中有违反廉政规定的行为，有及时提醒对方纠正的权利和义务。</w:t>
      </w:r>
    </w:p>
    <w:p w14:paraId="6CAF8672">
      <w:pPr>
        <w:pStyle w:val="11"/>
      </w:pPr>
      <w:r>
        <w:t>（6）发现对方严重违反本合同义务条款的行为，有向其上级有关部门举报、建议给予处理并要求告知处理结果的权利。</w:t>
      </w:r>
    </w:p>
    <w:p w14:paraId="07363E64">
      <w:pPr>
        <w:pStyle w:val="11"/>
      </w:pPr>
      <w:r>
        <w:t>2．发包人的义务</w:t>
      </w:r>
    </w:p>
    <w:p w14:paraId="209D2AFD">
      <w:pPr>
        <w:pStyle w:val="11"/>
      </w:pPr>
      <w:r>
        <w:t>（1）发包人及其工作人员不得索要或接受承包人的礼金、有价证券和贵重物品，不得让承包人报销任何应由发包人或发包人工作人员个人支付的费用等。</w:t>
      </w:r>
    </w:p>
    <w:p w14:paraId="1C973728">
      <w:pPr>
        <w:pStyle w:val="11"/>
      </w:pPr>
      <w:r>
        <w:t>（2）发包人工作人员不得参加承包人安排的超标准宴请和娱乐活动；不得接受承包人提供的通讯工具、交通工具和高档办公用品等。</w:t>
      </w:r>
    </w:p>
    <w:p w14:paraId="62F89F06">
      <w:pPr>
        <w:pStyle w:val="11"/>
      </w:pPr>
      <w:r>
        <w:t>（3）发包人及其工作人员不得要求或者接受承包人为其住房装修、婚丧嫁娶活动、配偶子女的工作安排以及出国出境、旅游等提供方便等。</w:t>
      </w:r>
    </w:p>
    <w:p w14:paraId="67B30F11">
      <w:pPr>
        <w:pStyle w:val="11"/>
      </w:pPr>
      <w:r>
        <w:t>（4）发包人工作人员及其配偶、子女不得从事与发包人工作有关的材料设备供应、工程分包、劳务等经济活动等。</w:t>
      </w:r>
    </w:p>
    <w:p w14:paraId="7915B45F">
      <w:pPr>
        <w:pStyle w:val="11"/>
      </w:pPr>
      <w:r>
        <w:t>（5）发包人及期工作人员不得以任何理由向承包人推荐分包单位或推销材料，不得要求承包人购买合同规定外的材料和设备。</w:t>
      </w:r>
    </w:p>
    <w:p w14:paraId="23CC258B">
      <w:pPr>
        <w:pStyle w:val="11"/>
      </w:pPr>
      <w:r>
        <w:t>（6）发包人工作人员要秉公办事，不准营私舞弊，不准利用职权从事各种个人有偿中介活动和安排个人施工队伍。</w:t>
      </w:r>
    </w:p>
    <w:p w14:paraId="5371750B">
      <w:pPr>
        <w:pStyle w:val="11"/>
      </w:pPr>
      <w:r>
        <w:t>3．承包人的义务</w:t>
      </w:r>
    </w:p>
    <w:p w14:paraId="25169150">
      <w:pPr>
        <w:pStyle w:val="11"/>
      </w:pPr>
      <w:r>
        <w:t>（1）承包人不得以任何理由向发包人及其工作人员行贿或馈赠礼金、有价证券、贵重礼品。</w:t>
      </w:r>
    </w:p>
    <w:p w14:paraId="3C011AAA">
      <w:pPr>
        <w:pStyle w:val="11"/>
      </w:pPr>
      <w:r>
        <w:t>（2）承包人不得以任何名义为发包人及其工作人员报销应由发包人单位或个人支付的任何费用。</w:t>
      </w:r>
    </w:p>
    <w:p w14:paraId="5D6E32F9">
      <w:pPr>
        <w:pStyle w:val="11"/>
      </w:pPr>
      <w:r>
        <w:t>（3）承包人不得以任何理由安排发包人工作人员参加超标准宴请及娱乐活动。</w:t>
      </w:r>
    </w:p>
    <w:p w14:paraId="7538D539">
      <w:pPr>
        <w:pStyle w:val="11"/>
      </w:pPr>
      <w:r>
        <w:t>（4）承包人不得为发包人单位和个人购置或提供通讯工具、交通工具和高档办公用品等。</w:t>
      </w:r>
    </w:p>
    <w:p w14:paraId="7A7F5D0C">
      <w:pPr>
        <w:pStyle w:val="11"/>
      </w:pPr>
      <w:r>
        <w:t>4．违约责任</w:t>
      </w:r>
    </w:p>
    <w:p w14:paraId="0A496ED0">
      <w:pPr>
        <w:pStyle w:val="11"/>
      </w:pPr>
      <w:r>
        <w:t>（1）发包人及其工作人员违反本合同第1、2条，按管理权限，依据有关规定给予党纪、政纪或组织处理；涉嫌犯罪的，移交司法机关追究刑事责任；给承包人单位造成经济损失的，应予以赔偿。</w:t>
      </w:r>
    </w:p>
    <w:p w14:paraId="0FF040F2">
      <w:pPr>
        <w:pStyle w:val="11"/>
      </w:pPr>
      <w:r>
        <w:t>（2）承包人及其工作人员违反本合同第1、3条，按管理权限，依据有关规定给予党纪、政纪或组织处理；给发包人单位造成经济损失的，应予以赔偿；情节严重的，发包人建议水利主管部门给予承包人一至三年内不得进入其主管的水利工程建设市场的处罚。</w:t>
      </w:r>
    </w:p>
    <w:p w14:paraId="2DFF150F">
      <w:pPr>
        <w:pStyle w:val="11"/>
      </w:pPr>
      <w:r>
        <w:t>5.双方约定：本合同由双方或双方上级单位的纪检监察部门负责监督执行。由发包人或发包人上级单位的纪检监察部门约请承包人或承包人上级单位纪检监察部门对本合同执行情况进行检查，提出在本合同规定范围内的裁定意见。</w:t>
      </w:r>
    </w:p>
    <w:p w14:paraId="6594243B">
      <w:pPr>
        <w:pStyle w:val="11"/>
      </w:pPr>
      <w:r>
        <w:t>6.本合同有效期为发包人和承包人签署之日起至该工程项目竣工验收后止。</w:t>
      </w:r>
    </w:p>
    <w:p w14:paraId="1E93B8DF">
      <w:pPr>
        <w:pStyle w:val="11"/>
      </w:pPr>
      <w:r>
        <w:t>7．本合同作为</w:t>
      </w:r>
      <w:r>
        <w:rPr>
          <w:b/>
          <w:u w:val="single"/>
        </w:rPr>
        <w:t xml:space="preserve">                   </w:t>
      </w:r>
      <w:r>
        <w:t>施工合同的附件，与工程施工合同具有同等的法律效力，经合同双方签署后立即生效。</w:t>
      </w:r>
    </w:p>
    <w:p w14:paraId="7EA2CB71">
      <w:pPr>
        <w:pStyle w:val="11"/>
      </w:pPr>
      <w:r>
        <w:t>8．本合同一式陆份，发包人和承包人各执叁份。</w:t>
      </w:r>
    </w:p>
    <w:p w14:paraId="300CF5F1">
      <w:pPr>
        <w:spacing w:line="500" w:lineRule="exact"/>
        <w:rPr>
          <w:rFonts w:ascii="宋体" w:hAnsi="宋体" w:cs="宋体"/>
          <w:szCs w:val="21"/>
        </w:rPr>
      </w:pPr>
    </w:p>
    <w:p w14:paraId="4814537D">
      <w:pPr>
        <w:pStyle w:val="11"/>
        <w:rPr>
          <w:u w:val="single"/>
        </w:rPr>
      </w:pPr>
      <w:r>
        <w:t>发包人：</w:t>
      </w:r>
      <w:r>
        <w:rPr>
          <w:u w:val="single"/>
        </w:rPr>
        <w:t xml:space="preserve">                               </w:t>
      </w:r>
      <w:r>
        <w:t xml:space="preserve">    承包人：</w:t>
      </w:r>
      <w:r>
        <w:rPr>
          <w:u w:val="single"/>
        </w:rPr>
        <w:t xml:space="preserve">                         </w:t>
      </w:r>
    </w:p>
    <w:p w14:paraId="55C0C40A">
      <w:pPr>
        <w:spacing w:line="500" w:lineRule="exact"/>
        <w:ind w:left="2096" w:leftChars="798" w:hanging="420" w:hangingChars="200"/>
        <w:rPr>
          <w:rFonts w:ascii="宋体" w:hAnsi="宋体" w:cs="宋体"/>
          <w:szCs w:val="21"/>
        </w:rPr>
      </w:pPr>
      <w:r>
        <w:rPr>
          <w:rFonts w:hint="eastAsia" w:ascii="宋体" w:hAnsi="宋体" w:cs="宋体"/>
          <w:szCs w:val="21"/>
        </w:rPr>
        <w:t xml:space="preserve">（盖单位章）                    </w:t>
      </w:r>
      <w:r>
        <w:rPr>
          <w:rFonts w:hint="eastAsia" w:ascii="宋体" w:hAnsi="宋体" w:cs="宋体"/>
          <w:szCs w:val="21"/>
          <w:lang w:val="en-US" w:eastAsia="zh-CN"/>
        </w:rPr>
        <w:t xml:space="preserve">    </w:t>
      </w:r>
      <w:r>
        <w:rPr>
          <w:rFonts w:hint="eastAsia" w:ascii="宋体" w:hAnsi="宋体" w:cs="宋体"/>
          <w:szCs w:val="21"/>
        </w:rPr>
        <w:t xml:space="preserve">（盖单位章） </w:t>
      </w:r>
    </w:p>
    <w:p w14:paraId="33ABBE07">
      <w:pPr>
        <w:spacing w:line="500" w:lineRule="exact"/>
        <w:rPr>
          <w:rFonts w:ascii="宋体" w:hAnsi="宋体" w:cs="宋体"/>
          <w:szCs w:val="21"/>
        </w:rPr>
      </w:pPr>
    </w:p>
    <w:p w14:paraId="756A2DE4">
      <w:pPr>
        <w:pStyle w:val="11"/>
        <w:rPr>
          <w:u w:val="single"/>
        </w:rPr>
      </w:pPr>
      <w:r>
        <w:t>法定代表人：</w:t>
      </w:r>
      <w:r>
        <w:rPr>
          <w:u w:val="single"/>
        </w:rPr>
        <w:t xml:space="preserve">                </w:t>
      </w:r>
      <w:r>
        <w:t xml:space="preserve">       </w:t>
      </w:r>
      <w:r>
        <w:rPr>
          <w:rFonts w:hint="eastAsia"/>
          <w:lang w:val="en-US" w:eastAsia="zh-CN"/>
        </w:rPr>
        <w:t xml:space="preserve">      </w:t>
      </w:r>
      <w:r>
        <w:t xml:space="preserve"> 法定代表人：</w:t>
      </w:r>
      <w:r>
        <w:rPr>
          <w:u w:val="single"/>
        </w:rPr>
        <w:t xml:space="preserve">               </w:t>
      </w:r>
    </w:p>
    <w:p w14:paraId="75325830">
      <w:pPr>
        <w:spacing w:line="500" w:lineRule="exact"/>
        <w:ind w:firstLine="420" w:firstLineChars="200"/>
        <w:rPr>
          <w:rFonts w:ascii="宋体" w:hAnsi="宋体" w:cs="宋体"/>
          <w:szCs w:val="21"/>
        </w:rPr>
      </w:pPr>
      <w:r>
        <w:rPr>
          <w:rFonts w:hint="eastAsia" w:ascii="宋体" w:hAnsi="宋体" w:cs="宋体"/>
          <w:szCs w:val="21"/>
        </w:rPr>
        <w:t xml:space="preserve">（签字或盖章）                         </w:t>
      </w:r>
      <w:r>
        <w:rPr>
          <w:rFonts w:hint="eastAsia" w:ascii="宋体" w:hAnsi="宋体" w:cs="宋体"/>
          <w:szCs w:val="21"/>
          <w:lang w:val="en-US" w:eastAsia="zh-CN"/>
        </w:rPr>
        <w:t xml:space="preserve">       </w:t>
      </w:r>
      <w:r>
        <w:rPr>
          <w:rFonts w:hint="eastAsia" w:ascii="宋体" w:hAnsi="宋体" w:cs="宋体"/>
          <w:szCs w:val="21"/>
        </w:rPr>
        <w:t xml:space="preserve"> （签字或盖章）</w:t>
      </w:r>
    </w:p>
    <w:p w14:paraId="6B89DFD0">
      <w:pPr>
        <w:spacing w:line="500" w:lineRule="exact"/>
        <w:ind w:firstLine="2100" w:firstLineChars="1000"/>
        <w:rPr>
          <w:rFonts w:ascii="宋体" w:hAnsi="宋体" w:cs="宋体"/>
          <w:szCs w:val="21"/>
        </w:rPr>
      </w:pPr>
    </w:p>
    <w:p w14:paraId="62F4E216">
      <w:pPr>
        <w:rPr>
          <w:rFonts w:hint="eastAsia" w:ascii="Times New Roman" w:hAnsi="Times New Roman" w:eastAsia="宋体" w:cs="Times New Roman"/>
          <w:sz w:val="24"/>
          <w:szCs w:val="21"/>
          <w:u w:val="single"/>
        </w:rPr>
      </w:pPr>
      <w:r>
        <w:rPr>
          <w:rFonts w:hint="eastAsia" w:ascii="Times New Roman" w:hAnsi="Times New Roman" w:eastAsia="宋体" w:cs="Times New Roman"/>
          <w:sz w:val="24"/>
          <w:szCs w:val="21"/>
        </w:rPr>
        <w:t xml:space="preserve">签订日期： </w:t>
      </w:r>
      <w:r>
        <w:rPr>
          <w:rFonts w:hint="eastAsia" w:ascii="Times New Roman" w:hAnsi="Times New Roman" w:eastAsia="宋体" w:cs="Times New Roman"/>
          <w:sz w:val="24"/>
          <w:szCs w:val="21"/>
          <w:u w:val="single"/>
        </w:rPr>
        <w:t xml:space="preserve"> 202</w:t>
      </w:r>
      <w:r>
        <w:rPr>
          <w:rFonts w:hint="eastAsia" w:ascii="Times New Roman" w:hAnsi="Times New Roman" w:eastAsia="宋体" w:cs="Times New Roman"/>
          <w:sz w:val="24"/>
          <w:szCs w:val="21"/>
          <w:u w:val="single"/>
          <w:lang w:val="en-US" w:eastAsia="zh-CN"/>
        </w:rPr>
        <w:t>5</w:t>
      </w:r>
      <w:r>
        <w:rPr>
          <w:rFonts w:hint="eastAsia" w:ascii="Times New Roman" w:hAnsi="Times New Roman" w:eastAsia="宋体" w:cs="Times New Roman"/>
          <w:sz w:val="24"/>
          <w:szCs w:val="21"/>
          <w:u w:val="single"/>
        </w:rPr>
        <w:t xml:space="preserve"> </w:t>
      </w:r>
      <w:r>
        <w:rPr>
          <w:rFonts w:hint="eastAsia" w:ascii="Times New Roman" w:hAnsi="Times New Roman" w:eastAsia="宋体" w:cs="Times New Roman"/>
          <w:sz w:val="24"/>
          <w:szCs w:val="21"/>
        </w:rPr>
        <w:t>年</w:t>
      </w:r>
      <w:r>
        <w:rPr>
          <w:rFonts w:hint="eastAsia" w:ascii="Times New Roman" w:hAnsi="Times New Roman" w:eastAsia="宋体" w:cs="Times New Roman"/>
          <w:sz w:val="24"/>
          <w:szCs w:val="21"/>
          <w:u w:val="single"/>
        </w:rPr>
        <w:t xml:space="preserve">   </w:t>
      </w:r>
      <w:r>
        <w:rPr>
          <w:rFonts w:hint="eastAsia" w:ascii="Times New Roman" w:hAnsi="Times New Roman" w:eastAsia="宋体" w:cs="Times New Roman"/>
          <w:sz w:val="24"/>
          <w:szCs w:val="21"/>
        </w:rPr>
        <w:t>月</w:t>
      </w:r>
      <w:r>
        <w:rPr>
          <w:rFonts w:hint="eastAsia" w:ascii="Times New Roman" w:hAnsi="Times New Roman" w:eastAsia="宋体" w:cs="Times New Roman"/>
          <w:sz w:val="24"/>
          <w:szCs w:val="21"/>
          <w:u w:val="single"/>
        </w:rPr>
        <w:t xml:space="preserve">  日</w:t>
      </w:r>
    </w:p>
    <w:p w14:paraId="78104C73">
      <w:pPr>
        <w:pStyle w:val="2"/>
        <w:rPr>
          <w:rFonts w:hint="eastAsia" w:ascii="宋体" w:hAnsi="宋体" w:cs="宋体"/>
          <w:szCs w:val="21"/>
          <w:u w:val="single"/>
        </w:rPr>
        <w:sectPr>
          <w:footerReference r:id="rId10" w:type="default"/>
          <w:pgSz w:w="11906" w:h="16838"/>
          <w:pgMar w:top="1440" w:right="1080" w:bottom="1440" w:left="1080" w:header="851" w:footer="992" w:gutter="0"/>
          <w:cols w:space="720" w:num="1"/>
          <w:docGrid w:type="lines" w:linePitch="312" w:charSpace="0"/>
        </w:sectPr>
      </w:pPr>
    </w:p>
    <w:p w14:paraId="78B42CF6">
      <w:pPr>
        <w:pStyle w:val="42"/>
        <w:numPr>
          <w:ilvl w:val="0"/>
          <w:numId w:val="70"/>
        </w:numPr>
        <w:ind w:left="0" w:leftChars="0" w:firstLine="480" w:firstLineChars="0"/>
        <w:outlineLvl w:val="0"/>
        <w:rPr>
          <w:highlight w:val="none"/>
        </w:rPr>
      </w:pPr>
      <w:r>
        <w:rPr>
          <w:highlight w:val="none"/>
        </w:rPr>
        <w:t>预付款担保</w:t>
      </w:r>
    </w:p>
    <w:p w14:paraId="4E1DA76B">
      <w:pPr>
        <w:spacing w:line="360" w:lineRule="auto"/>
        <w:rPr>
          <w:rFonts w:hint="eastAsia" w:ascii="宋体" w:hAnsi="宋体" w:cs="宋体"/>
          <w:color w:val="auto"/>
          <w:szCs w:val="21"/>
          <w:highlight w:val="none"/>
        </w:rPr>
      </w:pPr>
    </w:p>
    <w:p w14:paraId="7D7B1F1E">
      <w:pPr>
        <w:pStyle w:val="44"/>
        <w:rPr>
          <w:highlight w:val="none"/>
        </w:rPr>
      </w:pPr>
      <w:r>
        <w:rPr>
          <w:highlight w:val="none"/>
        </w:rPr>
        <w:t>预付款担保</w:t>
      </w:r>
    </w:p>
    <w:p w14:paraId="1EFEAADD">
      <w:pPr>
        <w:pStyle w:val="11"/>
        <w:ind w:firstLine="0" w:firstLineChars="0"/>
        <w:rPr>
          <w:color w:val="auto"/>
          <w:highlight w:val="none"/>
        </w:rPr>
      </w:pPr>
      <w:r>
        <w:rPr>
          <w:color w:val="auto"/>
          <w:highlight w:val="none"/>
          <w:u w:val="single"/>
        </w:rPr>
        <w:t xml:space="preserve">            </w:t>
      </w:r>
      <w:r>
        <w:rPr>
          <w:color w:val="auto"/>
          <w:highlight w:val="none"/>
          <w:u w:val="single"/>
        </w:rPr>
        <w:tab/>
      </w:r>
      <w:r>
        <w:rPr>
          <w:color w:val="auto"/>
          <w:highlight w:val="none"/>
          <w:u w:val="single"/>
        </w:rPr>
        <w:tab/>
      </w:r>
      <w:r>
        <w:rPr>
          <w:color w:val="auto"/>
          <w:highlight w:val="none"/>
          <w:u w:val="single"/>
        </w:rPr>
        <w:t xml:space="preserve"> </w:t>
      </w:r>
      <w:r>
        <w:rPr>
          <w:color w:val="auto"/>
          <w:highlight w:val="none"/>
        </w:rPr>
        <w:t xml:space="preserve"> （发包人名称）：</w:t>
      </w:r>
    </w:p>
    <w:p w14:paraId="0E641037">
      <w:pPr>
        <w:spacing w:line="360" w:lineRule="auto"/>
        <w:rPr>
          <w:rFonts w:hint="eastAsia" w:ascii="宋体" w:hAnsi="宋体" w:cs="宋体"/>
          <w:color w:val="auto"/>
          <w:szCs w:val="21"/>
          <w:highlight w:val="none"/>
        </w:rPr>
      </w:pPr>
    </w:p>
    <w:p w14:paraId="21B5D941">
      <w:pPr>
        <w:pStyle w:val="11"/>
        <w:rPr>
          <w:color w:val="auto"/>
          <w:highlight w:val="none"/>
        </w:rPr>
      </w:pPr>
      <w:r>
        <w:rPr>
          <w:color w:val="auto"/>
          <w:highlight w:val="none"/>
        </w:rPr>
        <w:t>根据</w:t>
      </w:r>
      <w:r>
        <w:rPr>
          <w:color w:val="auto"/>
          <w:highlight w:val="none"/>
          <w:u w:val="single"/>
        </w:rPr>
        <w:t xml:space="preserve">                 </w:t>
      </w:r>
      <w:r>
        <w:rPr>
          <w:color w:val="auto"/>
          <w:highlight w:val="none"/>
        </w:rPr>
        <w:t>（承包人名称）（以下称“承包人”）与</w:t>
      </w:r>
    </w:p>
    <w:p w14:paraId="22C352E5">
      <w:pPr>
        <w:pStyle w:val="11"/>
        <w:rPr>
          <w:color w:val="auto"/>
          <w:highlight w:val="none"/>
        </w:rPr>
      </w:pPr>
      <w:r>
        <w:rPr>
          <w:color w:val="auto"/>
          <w:highlight w:val="none"/>
          <w:u w:val="single"/>
        </w:rPr>
        <w:t xml:space="preserve">                       </w:t>
      </w:r>
      <w:r>
        <w:rPr>
          <w:color w:val="auto"/>
          <w:highlight w:val="none"/>
        </w:rPr>
        <w:t>（发包人名称）（以下简称“发包人”）</w:t>
      </w:r>
    </w:p>
    <w:p w14:paraId="2088B3AC">
      <w:pPr>
        <w:pStyle w:val="11"/>
        <w:rPr>
          <w:color w:val="auto"/>
          <w:highlight w:val="none"/>
        </w:rPr>
      </w:pPr>
      <w:r>
        <w:rPr>
          <w:color w:val="auto"/>
          <w:highlight w:val="none"/>
        </w:rPr>
        <w:t>于</w:t>
      </w:r>
      <w:r>
        <w:rPr>
          <w:color w:val="auto"/>
          <w:highlight w:val="none"/>
          <w:u w:val="single"/>
        </w:rPr>
        <w:t xml:space="preserve">     </w:t>
      </w:r>
      <w:r>
        <w:rPr>
          <w:color w:val="auto"/>
          <w:highlight w:val="none"/>
        </w:rPr>
        <w:t>年</w:t>
      </w:r>
      <w:r>
        <w:rPr>
          <w:color w:val="auto"/>
          <w:highlight w:val="none"/>
          <w:u w:val="single"/>
        </w:rPr>
        <w:t xml:space="preserve">    </w:t>
      </w:r>
      <w:r>
        <w:rPr>
          <w:color w:val="auto"/>
          <w:highlight w:val="none"/>
        </w:rPr>
        <w:t>月</w:t>
      </w:r>
      <w:r>
        <w:rPr>
          <w:color w:val="auto"/>
          <w:highlight w:val="none"/>
          <w:u w:val="single"/>
        </w:rPr>
        <w:t xml:space="preserve">    </w:t>
      </w:r>
      <w:r>
        <w:rPr>
          <w:color w:val="auto"/>
          <w:highlight w:val="none"/>
        </w:rPr>
        <w:t>日签订的</w:t>
      </w:r>
      <w:r>
        <w:rPr>
          <w:color w:val="auto"/>
          <w:highlight w:val="none"/>
          <w:u w:val="single"/>
        </w:rPr>
        <w:t xml:space="preserve">                   （项目名称）（标段名称）</w:t>
      </w:r>
      <w:r>
        <w:rPr>
          <w:color w:val="auto"/>
          <w:highlight w:val="none"/>
        </w:rPr>
        <w:t>《建设工程施工合同》，承包人按约定的金额向你方提交一份预付款担保，即有权得到你方支付相等金额的预付款。我方愿意就你方提供给承包人的预付款为承包人提供连带责任担保。</w:t>
      </w:r>
    </w:p>
    <w:p w14:paraId="0EE4AB1B">
      <w:pPr>
        <w:spacing w:line="360" w:lineRule="auto"/>
        <w:ind w:firstLine="480" w:firstLineChars="200"/>
        <w:rPr>
          <w:rFonts w:hint="eastAsia" w:ascii="Times New Roman" w:hAnsi="Times New Roman" w:eastAsia="宋体" w:cs="Times New Roman"/>
          <w:color w:val="auto"/>
          <w:kern w:val="0"/>
          <w:sz w:val="24"/>
          <w:szCs w:val="20"/>
          <w:highlight w:val="none"/>
        </w:rPr>
      </w:pPr>
      <w:r>
        <w:rPr>
          <w:rFonts w:hint="eastAsia" w:ascii="Times New Roman" w:hAnsi="Times New Roman" w:eastAsia="宋体" w:cs="Times New Roman"/>
          <w:color w:val="auto"/>
          <w:kern w:val="0"/>
          <w:sz w:val="24"/>
          <w:szCs w:val="20"/>
          <w:highlight w:val="none"/>
        </w:rPr>
        <w:t>1. 担保金额人民币（大写）                元（¥             ）。</w:t>
      </w:r>
    </w:p>
    <w:p w14:paraId="2198BAE8">
      <w:pPr>
        <w:pStyle w:val="11"/>
        <w:rPr>
          <w:color w:val="auto"/>
          <w:highlight w:val="none"/>
        </w:rPr>
      </w:pPr>
      <w:r>
        <w:rPr>
          <w:color w:val="auto"/>
          <w:highlight w:val="none"/>
        </w:rPr>
        <w:t>2. 担保有效期自预付款支付给承包人起生效，至你方签发的进度款支付证书说明已完全扣清止。</w:t>
      </w:r>
    </w:p>
    <w:p w14:paraId="63FDCE13">
      <w:pPr>
        <w:pStyle w:val="11"/>
        <w:rPr>
          <w:color w:val="auto"/>
          <w:highlight w:val="none"/>
        </w:rPr>
      </w:pPr>
      <w:r>
        <w:rPr>
          <w:color w:val="auto"/>
          <w:highlight w:val="none"/>
        </w:rPr>
        <w:t>3. 在本保函有效期内，因承包人违反合同约定的义务而要求收回预付款时，我方在收到你方的书面通知后，在７天内无条件支付。但本保函的担保金额，在任何时候不应超过预付款金额减去你方按合同约定在向承包人签发的进度款支付证书中扣除的金额。</w:t>
      </w:r>
    </w:p>
    <w:p w14:paraId="4833A9D7">
      <w:pPr>
        <w:pStyle w:val="11"/>
        <w:rPr>
          <w:color w:val="auto"/>
          <w:highlight w:val="none"/>
        </w:rPr>
      </w:pPr>
      <w:r>
        <w:rPr>
          <w:color w:val="auto"/>
          <w:highlight w:val="none"/>
        </w:rPr>
        <w:t>4. 你方和承包人按合同约定变更合同时，我方承担本保函规定的义务不变。</w:t>
      </w:r>
    </w:p>
    <w:p w14:paraId="4B88940C">
      <w:pPr>
        <w:pStyle w:val="11"/>
        <w:rPr>
          <w:color w:val="auto"/>
          <w:highlight w:val="none"/>
        </w:rPr>
      </w:pPr>
      <w:r>
        <w:rPr>
          <w:color w:val="auto"/>
          <w:highlight w:val="none"/>
        </w:rPr>
        <w:t>5. 因本保函发生的纠纷，可由双方协商解决，协商不成的，任何一方均可提请</w:t>
      </w:r>
      <w:r>
        <w:rPr>
          <w:color w:val="auto"/>
          <w:highlight w:val="none"/>
          <w:u w:val="single"/>
        </w:rPr>
        <w:t xml:space="preserve">        </w:t>
      </w:r>
      <w:r>
        <w:rPr>
          <w:color w:val="auto"/>
          <w:highlight w:val="none"/>
        </w:rPr>
        <w:t>仲裁委员会仲裁。</w:t>
      </w:r>
    </w:p>
    <w:p w14:paraId="460E4011">
      <w:pPr>
        <w:pStyle w:val="11"/>
        <w:rPr>
          <w:rFonts w:hint="eastAsia" w:ascii="宋体" w:hAnsi="宋体" w:cs="宋体"/>
          <w:color w:val="auto"/>
          <w:szCs w:val="21"/>
          <w:highlight w:val="none"/>
        </w:rPr>
      </w:pPr>
      <w:r>
        <w:rPr>
          <w:color w:val="auto"/>
          <w:highlight w:val="none"/>
        </w:rPr>
        <w:t>6. 本保函自我方法定代表人（或其授权代理人）签字并加盖公章之日起生效。</w:t>
      </w:r>
    </w:p>
    <w:p w14:paraId="1B6E3924">
      <w:pPr>
        <w:spacing w:line="360" w:lineRule="auto"/>
        <w:rPr>
          <w:rFonts w:hint="eastAsia" w:ascii="Times New Roman" w:hAnsi="Times New Roman" w:eastAsia="宋体" w:cs="Times New Roman"/>
          <w:color w:val="auto"/>
          <w:sz w:val="24"/>
          <w:szCs w:val="21"/>
          <w:highlight w:val="none"/>
        </w:rPr>
      </w:pPr>
      <w:r>
        <w:rPr>
          <w:rFonts w:hint="eastAsia" w:ascii="Times New Roman" w:hAnsi="Times New Roman" w:eastAsia="宋体" w:cs="Times New Roman"/>
          <w:color w:val="auto"/>
          <w:sz w:val="24"/>
          <w:szCs w:val="21"/>
          <w:highlight w:val="none"/>
        </w:rPr>
        <w:t>担保人：</w:t>
      </w:r>
      <w:r>
        <w:rPr>
          <w:rFonts w:hint="eastAsia" w:ascii="Times New Roman" w:hAnsi="Times New Roman" w:eastAsia="宋体" w:cs="Times New Roman"/>
          <w:color w:val="auto"/>
          <w:sz w:val="24"/>
          <w:szCs w:val="21"/>
          <w:highlight w:val="none"/>
          <w:u w:val="single"/>
        </w:rPr>
        <w:t xml:space="preserve">                          </w:t>
      </w:r>
      <w:r>
        <w:rPr>
          <w:rFonts w:hint="eastAsia" w:ascii="Times New Roman" w:hAnsi="Times New Roman" w:eastAsia="宋体" w:cs="Times New Roman"/>
          <w:color w:val="auto"/>
          <w:sz w:val="24"/>
          <w:szCs w:val="21"/>
          <w:highlight w:val="none"/>
        </w:rPr>
        <w:t>（盖单位章）</w:t>
      </w:r>
    </w:p>
    <w:p w14:paraId="457C3660">
      <w:pPr>
        <w:spacing w:line="360" w:lineRule="auto"/>
        <w:rPr>
          <w:rFonts w:hint="eastAsia" w:ascii="Times New Roman" w:hAnsi="Times New Roman" w:eastAsia="宋体" w:cs="Times New Roman"/>
          <w:color w:val="auto"/>
          <w:sz w:val="24"/>
          <w:szCs w:val="21"/>
          <w:highlight w:val="none"/>
        </w:rPr>
      </w:pPr>
      <w:r>
        <w:rPr>
          <w:rFonts w:hint="eastAsia" w:ascii="Times New Roman" w:hAnsi="Times New Roman" w:eastAsia="宋体" w:cs="Times New Roman"/>
          <w:color w:val="auto"/>
          <w:sz w:val="24"/>
          <w:szCs w:val="21"/>
          <w:highlight w:val="none"/>
        </w:rPr>
        <w:t>法定代表人或其委托代理人：</w:t>
      </w:r>
      <w:r>
        <w:rPr>
          <w:rFonts w:hint="eastAsia" w:ascii="Times New Roman" w:hAnsi="Times New Roman" w:eastAsia="宋体" w:cs="Times New Roman"/>
          <w:color w:val="auto"/>
          <w:sz w:val="24"/>
          <w:szCs w:val="21"/>
          <w:highlight w:val="none"/>
          <w:u w:val="single"/>
        </w:rPr>
        <w:t xml:space="preserve">            </w:t>
      </w:r>
      <w:r>
        <w:rPr>
          <w:rFonts w:hint="eastAsia" w:ascii="Times New Roman" w:hAnsi="Times New Roman" w:eastAsia="宋体" w:cs="Times New Roman"/>
          <w:color w:val="auto"/>
          <w:sz w:val="24"/>
          <w:szCs w:val="21"/>
          <w:highlight w:val="none"/>
        </w:rPr>
        <w:t>（签字）</w:t>
      </w:r>
    </w:p>
    <w:p w14:paraId="53C3AFBB">
      <w:pPr>
        <w:spacing w:line="360" w:lineRule="auto"/>
        <w:rPr>
          <w:rFonts w:hint="eastAsia" w:ascii="Times New Roman" w:hAnsi="Times New Roman" w:eastAsia="宋体" w:cs="Times New Roman"/>
          <w:color w:val="auto"/>
          <w:sz w:val="24"/>
          <w:szCs w:val="21"/>
          <w:highlight w:val="none"/>
        </w:rPr>
      </w:pPr>
    </w:p>
    <w:p w14:paraId="5CE3704F">
      <w:pPr>
        <w:spacing w:line="360" w:lineRule="auto"/>
        <w:rPr>
          <w:rFonts w:hint="eastAsia" w:ascii="Times New Roman" w:hAnsi="Times New Roman" w:eastAsia="宋体" w:cs="Times New Roman"/>
          <w:color w:val="auto"/>
          <w:sz w:val="24"/>
          <w:szCs w:val="21"/>
          <w:highlight w:val="none"/>
        </w:rPr>
      </w:pPr>
      <w:r>
        <w:rPr>
          <w:rFonts w:hint="eastAsia" w:ascii="Times New Roman" w:hAnsi="Times New Roman" w:eastAsia="宋体" w:cs="Times New Roman"/>
          <w:color w:val="auto"/>
          <w:sz w:val="24"/>
          <w:szCs w:val="21"/>
          <w:highlight w:val="none"/>
        </w:rPr>
        <w:t>地    址：</w:t>
      </w:r>
      <w:r>
        <w:rPr>
          <w:rFonts w:hint="eastAsia" w:ascii="Times New Roman" w:hAnsi="Times New Roman" w:eastAsia="宋体" w:cs="Times New Roman"/>
          <w:color w:val="auto"/>
          <w:sz w:val="24"/>
          <w:szCs w:val="21"/>
          <w:highlight w:val="none"/>
          <w:u w:val="single"/>
        </w:rPr>
        <w:tab/>
      </w:r>
      <w:r>
        <w:rPr>
          <w:rFonts w:hint="eastAsia" w:ascii="Times New Roman" w:hAnsi="Times New Roman" w:eastAsia="宋体" w:cs="Times New Roman"/>
          <w:color w:val="auto"/>
          <w:sz w:val="24"/>
          <w:szCs w:val="21"/>
          <w:highlight w:val="none"/>
          <w:u w:val="single"/>
        </w:rPr>
        <w:tab/>
      </w:r>
      <w:r>
        <w:rPr>
          <w:rFonts w:hint="eastAsia" w:ascii="Times New Roman" w:hAnsi="Times New Roman" w:eastAsia="宋体" w:cs="Times New Roman"/>
          <w:color w:val="auto"/>
          <w:sz w:val="24"/>
          <w:szCs w:val="21"/>
          <w:highlight w:val="none"/>
          <w:u w:val="single"/>
        </w:rPr>
        <w:t xml:space="preserve">  </w:t>
      </w:r>
      <w:r>
        <w:rPr>
          <w:rFonts w:hint="eastAsia" w:ascii="Times New Roman" w:hAnsi="Times New Roman" w:eastAsia="宋体" w:cs="Times New Roman"/>
          <w:color w:val="auto"/>
          <w:sz w:val="24"/>
          <w:szCs w:val="21"/>
          <w:highlight w:val="none"/>
          <w:u w:val="single"/>
        </w:rPr>
        <w:tab/>
      </w:r>
      <w:r>
        <w:rPr>
          <w:rFonts w:hint="eastAsia" w:ascii="Times New Roman" w:hAnsi="Times New Roman" w:eastAsia="宋体" w:cs="Times New Roman"/>
          <w:color w:val="auto"/>
          <w:sz w:val="24"/>
          <w:szCs w:val="21"/>
          <w:highlight w:val="none"/>
          <w:u w:val="single"/>
        </w:rPr>
        <w:tab/>
      </w:r>
      <w:r>
        <w:rPr>
          <w:rFonts w:hint="eastAsia" w:ascii="Times New Roman" w:hAnsi="Times New Roman" w:eastAsia="宋体" w:cs="Times New Roman"/>
          <w:color w:val="auto"/>
          <w:sz w:val="24"/>
          <w:szCs w:val="21"/>
          <w:highlight w:val="none"/>
          <w:u w:val="single"/>
        </w:rPr>
        <w:t xml:space="preserve">                   </w:t>
      </w:r>
      <w:r>
        <w:rPr>
          <w:rFonts w:hint="eastAsia" w:ascii="Times New Roman" w:hAnsi="Times New Roman" w:eastAsia="宋体" w:cs="Times New Roman"/>
          <w:color w:val="auto"/>
          <w:sz w:val="24"/>
          <w:szCs w:val="21"/>
          <w:highlight w:val="none"/>
          <w:u w:val="single"/>
        </w:rPr>
        <w:tab/>
      </w:r>
      <w:r>
        <w:rPr>
          <w:rFonts w:hint="eastAsia" w:ascii="Times New Roman" w:hAnsi="Times New Roman" w:eastAsia="宋体" w:cs="Times New Roman"/>
          <w:color w:val="auto"/>
          <w:sz w:val="24"/>
          <w:szCs w:val="21"/>
          <w:highlight w:val="none"/>
          <w:u w:val="single"/>
        </w:rPr>
        <w:tab/>
      </w:r>
      <w:r>
        <w:rPr>
          <w:rFonts w:hint="eastAsia" w:ascii="Times New Roman" w:hAnsi="Times New Roman" w:eastAsia="宋体" w:cs="Times New Roman"/>
          <w:color w:val="auto"/>
          <w:sz w:val="24"/>
          <w:szCs w:val="21"/>
          <w:highlight w:val="none"/>
          <w:u w:val="single"/>
        </w:rPr>
        <w:tab/>
      </w:r>
    </w:p>
    <w:p w14:paraId="72160743">
      <w:pPr>
        <w:spacing w:line="360" w:lineRule="auto"/>
        <w:rPr>
          <w:rFonts w:hint="eastAsia" w:ascii="Times New Roman" w:hAnsi="Times New Roman" w:eastAsia="宋体" w:cs="Times New Roman"/>
          <w:color w:val="auto"/>
          <w:sz w:val="24"/>
          <w:szCs w:val="21"/>
          <w:highlight w:val="none"/>
          <w:u w:val="single"/>
        </w:rPr>
      </w:pPr>
      <w:r>
        <w:rPr>
          <w:rFonts w:hint="eastAsia" w:ascii="Times New Roman" w:hAnsi="Times New Roman" w:eastAsia="宋体" w:cs="Times New Roman"/>
          <w:color w:val="auto"/>
          <w:sz w:val="24"/>
          <w:szCs w:val="21"/>
          <w:highlight w:val="none"/>
        </w:rPr>
        <w:t>邮政编码：</w:t>
      </w:r>
      <w:r>
        <w:rPr>
          <w:rFonts w:hint="eastAsia" w:ascii="Times New Roman" w:hAnsi="Times New Roman" w:eastAsia="宋体" w:cs="Times New Roman"/>
          <w:color w:val="auto"/>
          <w:sz w:val="24"/>
          <w:szCs w:val="21"/>
          <w:highlight w:val="none"/>
          <w:u w:val="single"/>
        </w:rPr>
        <w:tab/>
      </w:r>
      <w:r>
        <w:rPr>
          <w:rFonts w:hint="eastAsia" w:ascii="Times New Roman" w:hAnsi="Times New Roman" w:eastAsia="宋体" w:cs="Times New Roman"/>
          <w:color w:val="auto"/>
          <w:sz w:val="24"/>
          <w:szCs w:val="21"/>
          <w:highlight w:val="none"/>
          <w:u w:val="single"/>
        </w:rPr>
        <w:tab/>
      </w:r>
      <w:r>
        <w:rPr>
          <w:rFonts w:hint="eastAsia" w:ascii="Times New Roman" w:hAnsi="Times New Roman" w:eastAsia="宋体" w:cs="Times New Roman"/>
          <w:color w:val="auto"/>
          <w:sz w:val="24"/>
          <w:szCs w:val="21"/>
          <w:highlight w:val="none"/>
          <w:u w:val="single"/>
        </w:rPr>
        <w:t xml:space="preserve">  </w:t>
      </w:r>
      <w:r>
        <w:rPr>
          <w:rFonts w:hint="eastAsia" w:ascii="Times New Roman" w:hAnsi="Times New Roman" w:eastAsia="宋体" w:cs="Times New Roman"/>
          <w:color w:val="auto"/>
          <w:sz w:val="24"/>
          <w:szCs w:val="21"/>
          <w:highlight w:val="none"/>
          <w:u w:val="single"/>
        </w:rPr>
        <w:tab/>
      </w:r>
      <w:r>
        <w:rPr>
          <w:rFonts w:hint="eastAsia" w:ascii="Times New Roman" w:hAnsi="Times New Roman" w:eastAsia="宋体" w:cs="Times New Roman"/>
          <w:color w:val="auto"/>
          <w:sz w:val="24"/>
          <w:szCs w:val="21"/>
          <w:highlight w:val="none"/>
          <w:u w:val="single"/>
        </w:rPr>
        <w:tab/>
      </w:r>
      <w:r>
        <w:rPr>
          <w:rFonts w:hint="eastAsia" w:ascii="Times New Roman" w:hAnsi="Times New Roman" w:eastAsia="宋体" w:cs="Times New Roman"/>
          <w:color w:val="auto"/>
          <w:sz w:val="24"/>
          <w:szCs w:val="21"/>
          <w:highlight w:val="none"/>
          <w:u w:val="single"/>
        </w:rPr>
        <w:t xml:space="preserve">                   </w:t>
      </w:r>
      <w:r>
        <w:rPr>
          <w:rFonts w:hint="eastAsia" w:ascii="Times New Roman" w:hAnsi="Times New Roman" w:eastAsia="宋体" w:cs="Times New Roman"/>
          <w:color w:val="auto"/>
          <w:sz w:val="24"/>
          <w:szCs w:val="21"/>
          <w:highlight w:val="none"/>
          <w:u w:val="single"/>
        </w:rPr>
        <w:tab/>
      </w:r>
      <w:r>
        <w:rPr>
          <w:rFonts w:hint="eastAsia" w:ascii="Times New Roman" w:hAnsi="Times New Roman" w:eastAsia="宋体" w:cs="Times New Roman"/>
          <w:color w:val="auto"/>
          <w:sz w:val="24"/>
          <w:szCs w:val="21"/>
          <w:highlight w:val="none"/>
          <w:u w:val="single"/>
        </w:rPr>
        <w:tab/>
      </w:r>
      <w:r>
        <w:rPr>
          <w:rFonts w:hint="eastAsia" w:ascii="Times New Roman" w:hAnsi="Times New Roman" w:eastAsia="宋体" w:cs="Times New Roman"/>
          <w:color w:val="auto"/>
          <w:sz w:val="24"/>
          <w:szCs w:val="21"/>
          <w:highlight w:val="none"/>
          <w:u w:val="single"/>
        </w:rPr>
        <w:tab/>
      </w:r>
    </w:p>
    <w:p w14:paraId="7149F52D">
      <w:pPr>
        <w:spacing w:line="360" w:lineRule="auto"/>
        <w:rPr>
          <w:rFonts w:hint="eastAsia" w:ascii="Times New Roman" w:hAnsi="Times New Roman" w:eastAsia="宋体" w:cs="Times New Roman"/>
          <w:color w:val="auto"/>
          <w:sz w:val="24"/>
          <w:szCs w:val="21"/>
          <w:highlight w:val="none"/>
          <w:u w:val="single"/>
        </w:rPr>
      </w:pPr>
      <w:r>
        <w:rPr>
          <w:rFonts w:hint="eastAsia" w:ascii="Times New Roman" w:hAnsi="Times New Roman" w:eastAsia="宋体" w:cs="Times New Roman"/>
          <w:color w:val="auto"/>
          <w:sz w:val="24"/>
          <w:szCs w:val="21"/>
          <w:highlight w:val="none"/>
        </w:rPr>
        <w:t>电    话：</w:t>
      </w:r>
      <w:r>
        <w:rPr>
          <w:rFonts w:hint="eastAsia" w:ascii="Times New Roman" w:hAnsi="Times New Roman" w:eastAsia="宋体" w:cs="Times New Roman"/>
          <w:color w:val="auto"/>
          <w:sz w:val="24"/>
          <w:szCs w:val="21"/>
          <w:highlight w:val="none"/>
          <w:u w:val="single"/>
        </w:rPr>
        <w:tab/>
      </w:r>
      <w:r>
        <w:rPr>
          <w:rFonts w:hint="eastAsia" w:ascii="Times New Roman" w:hAnsi="Times New Roman" w:eastAsia="宋体" w:cs="Times New Roman"/>
          <w:color w:val="auto"/>
          <w:sz w:val="24"/>
          <w:szCs w:val="21"/>
          <w:highlight w:val="none"/>
          <w:u w:val="single"/>
        </w:rPr>
        <w:tab/>
      </w:r>
      <w:r>
        <w:rPr>
          <w:rFonts w:hint="eastAsia" w:ascii="Times New Roman" w:hAnsi="Times New Roman" w:eastAsia="宋体" w:cs="Times New Roman"/>
          <w:color w:val="auto"/>
          <w:sz w:val="24"/>
          <w:szCs w:val="21"/>
          <w:highlight w:val="none"/>
          <w:u w:val="single"/>
        </w:rPr>
        <w:t xml:space="preserve">  </w:t>
      </w:r>
      <w:r>
        <w:rPr>
          <w:rFonts w:hint="eastAsia" w:ascii="Times New Roman" w:hAnsi="Times New Roman" w:eastAsia="宋体" w:cs="Times New Roman"/>
          <w:color w:val="auto"/>
          <w:sz w:val="24"/>
          <w:szCs w:val="21"/>
          <w:highlight w:val="none"/>
          <w:u w:val="single"/>
        </w:rPr>
        <w:tab/>
      </w:r>
      <w:r>
        <w:rPr>
          <w:rFonts w:hint="eastAsia" w:ascii="Times New Roman" w:hAnsi="Times New Roman" w:eastAsia="宋体" w:cs="Times New Roman"/>
          <w:color w:val="auto"/>
          <w:sz w:val="24"/>
          <w:szCs w:val="21"/>
          <w:highlight w:val="none"/>
          <w:u w:val="single"/>
        </w:rPr>
        <w:tab/>
      </w:r>
      <w:r>
        <w:rPr>
          <w:rFonts w:hint="eastAsia" w:ascii="Times New Roman" w:hAnsi="Times New Roman" w:eastAsia="宋体" w:cs="Times New Roman"/>
          <w:color w:val="auto"/>
          <w:sz w:val="24"/>
          <w:szCs w:val="21"/>
          <w:highlight w:val="none"/>
          <w:u w:val="single"/>
        </w:rPr>
        <w:t xml:space="preserve">                   </w:t>
      </w:r>
      <w:r>
        <w:rPr>
          <w:rFonts w:hint="eastAsia" w:ascii="Times New Roman" w:hAnsi="Times New Roman" w:eastAsia="宋体" w:cs="Times New Roman"/>
          <w:color w:val="auto"/>
          <w:sz w:val="24"/>
          <w:szCs w:val="21"/>
          <w:highlight w:val="none"/>
          <w:u w:val="single"/>
        </w:rPr>
        <w:tab/>
      </w:r>
      <w:r>
        <w:rPr>
          <w:rFonts w:hint="eastAsia" w:ascii="Times New Roman" w:hAnsi="Times New Roman" w:eastAsia="宋体" w:cs="Times New Roman"/>
          <w:color w:val="auto"/>
          <w:sz w:val="24"/>
          <w:szCs w:val="21"/>
          <w:highlight w:val="none"/>
          <w:u w:val="single"/>
        </w:rPr>
        <w:tab/>
      </w:r>
      <w:r>
        <w:rPr>
          <w:rFonts w:hint="eastAsia" w:ascii="Times New Roman" w:hAnsi="Times New Roman" w:eastAsia="宋体" w:cs="Times New Roman"/>
          <w:color w:val="auto"/>
          <w:sz w:val="24"/>
          <w:szCs w:val="21"/>
          <w:highlight w:val="none"/>
          <w:u w:val="single"/>
        </w:rPr>
        <w:tab/>
      </w:r>
    </w:p>
    <w:p w14:paraId="1969DF26">
      <w:pPr>
        <w:spacing w:line="360" w:lineRule="auto"/>
        <w:rPr>
          <w:rFonts w:hint="eastAsia" w:ascii="Times New Roman" w:hAnsi="Times New Roman" w:eastAsia="宋体" w:cs="Times New Roman"/>
          <w:color w:val="auto"/>
          <w:sz w:val="24"/>
          <w:szCs w:val="21"/>
          <w:highlight w:val="none"/>
          <w:u w:val="single"/>
        </w:rPr>
      </w:pPr>
      <w:r>
        <w:rPr>
          <w:rFonts w:hint="eastAsia" w:ascii="Times New Roman" w:hAnsi="Times New Roman" w:eastAsia="宋体" w:cs="Times New Roman"/>
          <w:color w:val="auto"/>
          <w:sz w:val="24"/>
          <w:szCs w:val="21"/>
          <w:highlight w:val="none"/>
        </w:rPr>
        <w:t>传    真：</w:t>
      </w:r>
      <w:r>
        <w:rPr>
          <w:rFonts w:hint="eastAsia" w:ascii="Times New Roman" w:hAnsi="Times New Roman" w:eastAsia="宋体" w:cs="Times New Roman"/>
          <w:color w:val="auto"/>
          <w:sz w:val="24"/>
          <w:szCs w:val="21"/>
          <w:highlight w:val="none"/>
          <w:u w:val="single"/>
        </w:rPr>
        <w:tab/>
      </w:r>
      <w:r>
        <w:rPr>
          <w:rFonts w:hint="eastAsia" w:ascii="Times New Roman" w:hAnsi="Times New Roman" w:eastAsia="宋体" w:cs="Times New Roman"/>
          <w:color w:val="auto"/>
          <w:sz w:val="24"/>
          <w:szCs w:val="21"/>
          <w:highlight w:val="none"/>
          <w:u w:val="single"/>
        </w:rPr>
        <w:tab/>
      </w:r>
      <w:r>
        <w:rPr>
          <w:rFonts w:hint="eastAsia" w:ascii="Times New Roman" w:hAnsi="Times New Roman" w:eastAsia="宋体" w:cs="Times New Roman"/>
          <w:color w:val="auto"/>
          <w:sz w:val="24"/>
          <w:szCs w:val="21"/>
          <w:highlight w:val="none"/>
          <w:u w:val="single"/>
        </w:rPr>
        <w:t xml:space="preserve">  </w:t>
      </w:r>
      <w:r>
        <w:rPr>
          <w:rFonts w:hint="eastAsia" w:ascii="Times New Roman" w:hAnsi="Times New Roman" w:eastAsia="宋体" w:cs="Times New Roman"/>
          <w:color w:val="auto"/>
          <w:sz w:val="24"/>
          <w:szCs w:val="21"/>
          <w:highlight w:val="none"/>
          <w:u w:val="single"/>
        </w:rPr>
        <w:tab/>
      </w:r>
      <w:r>
        <w:rPr>
          <w:rFonts w:hint="eastAsia" w:ascii="Times New Roman" w:hAnsi="Times New Roman" w:eastAsia="宋体" w:cs="Times New Roman"/>
          <w:color w:val="auto"/>
          <w:sz w:val="24"/>
          <w:szCs w:val="21"/>
          <w:highlight w:val="none"/>
          <w:u w:val="single"/>
        </w:rPr>
        <w:tab/>
      </w:r>
      <w:r>
        <w:rPr>
          <w:rFonts w:hint="eastAsia" w:ascii="Times New Roman" w:hAnsi="Times New Roman" w:eastAsia="宋体" w:cs="Times New Roman"/>
          <w:color w:val="auto"/>
          <w:sz w:val="24"/>
          <w:szCs w:val="21"/>
          <w:highlight w:val="none"/>
          <w:u w:val="single"/>
        </w:rPr>
        <w:t xml:space="preserve">                   </w:t>
      </w:r>
      <w:r>
        <w:rPr>
          <w:rFonts w:hint="eastAsia" w:ascii="Times New Roman" w:hAnsi="Times New Roman" w:eastAsia="宋体" w:cs="Times New Roman"/>
          <w:color w:val="auto"/>
          <w:sz w:val="24"/>
          <w:szCs w:val="21"/>
          <w:highlight w:val="none"/>
          <w:u w:val="single"/>
        </w:rPr>
        <w:tab/>
      </w:r>
      <w:r>
        <w:rPr>
          <w:rFonts w:hint="eastAsia" w:ascii="Times New Roman" w:hAnsi="Times New Roman" w:eastAsia="宋体" w:cs="Times New Roman"/>
          <w:color w:val="auto"/>
          <w:sz w:val="24"/>
          <w:szCs w:val="21"/>
          <w:highlight w:val="none"/>
          <w:u w:val="single"/>
        </w:rPr>
        <w:tab/>
      </w:r>
      <w:r>
        <w:rPr>
          <w:rFonts w:hint="eastAsia" w:ascii="Times New Roman" w:hAnsi="Times New Roman" w:eastAsia="宋体" w:cs="Times New Roman"/>
          <w:color w:val="auto"/>
          <w:sz w:val="24"/>
          <w:szCs w:val="21"/>
          <w:highlight w:val="none"/>
          <w:u w:val="single"/>
        </w:rPr>
        <w:tab/>
      </w:r>
    </w:p>
    <w:p w14:paraId="28650D5E">
      <w:pPr>
        <w:spacing w:line="360" w:lineRule="auto"/>
        <w:rPr>
          <w:rFonts w:hint="eastAsia" w:ascii="Times New Roman" w:hAnsi="Times New Roman" w:eastAsia="宋体" w:cs="Times New Roman"/>
          <w:sz w:val="24"/>
        </w:rPr>
        <w:sectPr>
          <w:pgSz w:w="11906" w:h="16838"/>
          <w:pgMar w:top="1440" w:right="1080" w:bottom="1440" w:left="1080" w:header="851" w:footer="992" w:gutter="0"/>
          <w:cols w:space="720" w:num="1"/>
          <w:docGrid w:type="lines" w:linePitch="312" w:charSpace="0"/>
        </w:sectPr>
      </w:pPr>
      <w:r>
        <w:rPr>
          <w:rFonts w:hint="eastAsia" w:ascii="宋体" w:hAnsi="宋体" w:cs="宋体"/>
          <w:color w:val="auto"/>
          <w:szCs w:val="21"/>
          <w:highlight w:val="none"/>
        </w:rPr>
        <w:t xml:space="preserve"> </w:t>
      </w:r>
      <w:r>
        <w:rPr>
          <w:rFonts w:hint="eastAsia" w:ascii="宋体" w:hAnsi="宋体" w:cs="宋体"/>
          <w:color w:val="auto"/>
          <w:szCs w:val="21"/>
          <w:highlight w:val="none"/>
          <w:lang w:val="en-US" w:eastAsia="zh-CN"/>
        </w:rPr>
        <w:t xml:space="preserve">               </w:t>
      </w:r>
      <w:r>
        <w:rPr>
          <w:rFonts w:hint="eastAsia" w:ascii="Times New Roman" w:hAnsi="Times New Roman" w:eastAsia="宋体" w:cs="Times New Roman"/>
          <w:color w:val="auto"/>
          <w:sz w:val="24"/>
          <w:szCs w:val="21"/>
          <w:highlight w:val="none"/>
        </w:rPr>
        <w:t xml:space="preserve">  </w:t>
      </w:r>
      <w:r>
        <w:rPr>
          <w:rFonts w:hint="eastAsia" w:ascii="Times New Roman" w:hAnsi="Times New Roman" w:eastAsia="宋体" w:cs="Times New Roman"/>
          <w:color w:val="auto"/>
          <w:sz w:val="24"/>
          <w:szCs w:val="21"/>
          <w:highlight w:val="none"/>
          <w:u w:val="single"/>
        </w:rPr>
        <w:t xml:space="preserve">               </w:t>
      </w:r>
      <w:r>
        <w:rPr>
          <w:rFonts w:hint="eastAsia" w:ascii="Times New Roman" w:hAnsi="Times New Roman" w:eastAsia="宋体" w:cs="Times New Roman"/>
          <w:color w:val="auto"/>
          <w:sz w:val="24"/>
          <w:szCs w:val="21"/>
          <w:highlight w:val="none"/>
        </w:rPr>
        <w:t>年</w:t>
      </w:r>
      <w:r>
        <w:rPr>
          <w:rFonts w:hint="eastAsia" w:ascii="Times New Roman" w:hAnsi="Times New Roman" w:eastAsia="宋体" w:cs="Times New Roman"/>
          <w:color w:val="auto"/>
          <w:sz w:val="24"/>
          <w:szCs w:val="21"/>
          <w:highlight w:val="none"/>
          <w:u w:val="single"/>
        </w:rPr>
        <w:t xml:space="preserve">      </w:t>
      </w:r>
      <w:r>
        <w:rPr>
          <w:rFonts w:hint="eastAsia" w:ascii="Times New Roman" w:hAnsi="Times New Roman" w:eastAsia="宋体" w:cs="Times New Roman"/>
          <w:color w:val="auto"/>
          <w:sz w:val="24"/>
          <w:szCs w:val="21"/>
          <w:highlight w:val="none"/>
        </w:rPr>
        <w:t>月</w:t>
      </w:r>
      <w:r>
        <w:rPr>
          <w:rFonts w:hint="eastAsia" w:ascii="Times New Roman" w:hAnsi="Times New Roman" w:eastAsia="宋体" w:cs="Times New Roman"/>
          <w:color w:val="auto"/>
          <w:sz w:val="24"/>
          <w:szCs w:val="21"/>
          <w:highlight w:val="none"/>
          <w:u w:val="single"/>
        </w:rPr>
        <w:t xml:space="preserve">      </w:t>
      </w:r>
      <w:r>
        <w:rPr>
          <w:rFonts w:hint="eastAsia" w:ascii="Times New Roman" w:hAnsi="Times New Roman" w:eastAsia="宋体" w:cs="Times New Roman"/>
          <w:color w:val="auto"/>
          <w:sz w:val="24"/>
          <w:szCs w:val="21"/>
          <w:highlight w:val="none"/>
        </w:rPr>
        <w:t>日</w:t>
      </w:r>
    </w:p>
    <w:p w14:paraId="2F8F6878">
      <w:pPr>
        <w:pStyle w:val="42"/>
        <w:numPr>
          <w:ilvl w:val="0"/>
          <w:numId w:val="70"/>
        </w:numPr>
        <w:ind w:left="0" w:leftChars="0" w:firstLine="480" w:firstLineChars="0"/>
        <w:outlineLvl w:val="0"/>
      </w:pPr>
      <w:bookmarkStart w:id="1231" w:name="_Toc508272188"/>
      <w:bookmarkStart w:id="1232" w:name="_Toc22747"/>
      <w:r>
        <w:t>工程质量保修书</w:t>
      </w:r>
      <w:bookmarkEnd w:id="1231"/>
      <w:bookmarkEnd w:id="1232"/>
    </w:p>
    <w:p w14:paraId="5763EDE8">
      <w:pPr>
        <w:pStyle w:val="11"/>
        <w:rPr>
          <w:b/>
          <w:u w:val="single"/>
        </w:rPr>
      </w:pPr>
      <w:r>
        <w:t>发包人(全称)：</w:t>
      </w:r>
      <w:r>
        <w:rPr>
          <w:b/>
          <w:u w:val="single"/>
        </w:rPr>
        <w:t xml:space="preserve">                           </w:t>
      </w:r>
      <w:r>
        <w:rPr>
          <w:u w:val="single"/>
        </w:rPr>
        <w:t xml:space="preserve"> </w:t>
      </w:r>
    </w:p>
    <w:p w14:paraId="76D1CB59">
      <w:pPr>
        <w:pStyle w:val="11"/>
      </w:pPr>
      <w:r>
        <w:t>承包人(全称)：</w:t>
      </w:r>
      <w:r>
        <w:rPr>
          <w:b/>
          <w:u w:val="single"/>
        </w:rPr>
        <w:t xml:space="preserve">                                         </w:t>
      </w:r>
      <w:r>
        <w:t xml:space="preserve">                  </w:t>
      </w:r>
    </w:p>
    <w:p w14:paraId="58CA576E">
      <w:pPr>
        <w:pStyle w:val="2"/>
        <w:keepNext w:val="0"/>
        <w:keepLines w:val="0"/>
        <w:pageBreakBefore w:val="0"/>
        <w:widowControl w:val="0"/>
        <w:numPr>
          <w:ilvl w:val="0"/>
          <w:numId w:val="71"/>
        </w:numPr>
        <w:kinsoku/>
        <w:wordWrap/>
        <w:overflowPunct/>
        <w:topLinePunct w:val="0"/>
        <w:autoSpaceDE/>
        <w:autoSpaceDN/>
        <w:bidi w:val="0"/>
        <w:adjustRightInd/>
        <w:snapToGrid/>
        <w:spacing w:line="240" w:lineRule="auto"/>
        <w:ind w:left="0" w:leftChars="0" w:firstLine="420" w:firstLineChars="0"/>
        <w:textAlignment w:val="auto"/>
      </w:pPr>
      <w:r>
        <w:t>工程质量保修内容</w:t>
      </w:r>
    </w:p>
    <w:p w14:paraId="4293D8C9">
      <w:pPr>
        <w:pStyle w:val="11"/>
      </w:pPr>
      <w:r>
        <w:rPr>
          <w:b/>
          <w:u w:val="single"/>
        </w:rPr>
        <w:t xml:space="preserve">                        </w:t>
      </w:r>
      <w:r>
        <w:t>工程的所有建设内容均属保修范围，具体建设内容详见图纸及工程量清单。</w:t>
      </w:r>
    </w:p>
    <w:p w14:paraId="687D810F">
      <w:pPr>
        <w:pStyle w:val="2"/>
        <w:keepNext w:val="0"/>
        <w:keepLines w:val="0"/>
        <w:pageBreakBefore w:val="0"/>
        <w:widowControl w:val="0"/>
        <w:numPr>
          <w:ilvl w:val="0"/>
          <w:numId w:val="71"/>
        </w:numPr>
        <w:kinsoku/>
        <w:wordWrap/>
        <w:overflowPunct/>
        <w:topLinePunct w:val="0"/>
        <w:autoSpaceDE/>
        <w:autoSpaceDN/>
        <w:bidi w:val="0"/>
        <w:adjustRightInd/>
        <w:snapToGrid/>
        <w:spacing w:line="240" w:lineRule="auto"/>
        <w:ind w:left="0" w:leftChars="0" w:firstLine="420" w:firstLineChars="0"/>
        <w:textAlignment w:val="auto"/>
      </w:pPr>
      <w:r>
        <w:t>质量保修期</w:t>
      </w:r>
    </w:p>
    <w:p w14:paraId="0C4B9E48">
      <w:pPr>
        <w:pStyle w:val="11"/>
      </w:pPr>
      <w:r>
        <w:t>本项目的质量保修期为一年，从工程通过竣工验收之日起计。</w:t>
      </w:r>
    </w:p>
    <w:p w14:paraId="4F279CFA">
      <w:pPr>
        <w:pStyle w:val="2"/>
        <w:keepNext w:val="0"/>
        <w:keepLines w:val="0"/>
        <w:pageBreakBefore w:val="0"/>
        <w:widowControl w:val="0"/>
        <w:numPr>
          <w:ilvl w:val="0"/>
          <w:numId w:val="71"/>
        </w:numPr>
        <w:kinsoku/>
        <w:wordWrap/>
        <w:overflowPunct/>
        <w:topLinePunct w:val="0"/>
        <w:autoSpaceDE/>
        <w:autoSpaceDN/>
        <w:bidi w:val="0"/>
        <w:adjustRightInd/>
        <w:snapToGrid/>
        <w:spacing w:line="240" w:lineRule="auto"/>
        <w:ind w:left="0" w:leftChars="0" w:firstLine="420" w:firstLineChars="0"/>
        <w:textAlignment w:val="auto"/>
      </w:pPr>
      <w:r>
        <w:t>质量保修责任</w:t>
      </w:r>
    </w:p>
    <w:p w14:paraId="51E8374B">
      <w:pPr>
        <w:pStyle w:val="11"/>
      </w:pPr>
      <w:r>
        <w:t>1.属于保修范围和内容的项目，承包人应在接到修理通知之日后7天内派人处理。承包人不在约定期限内派人修理，发包人可委托其他人员修理，保修费用从质量保证金扣除。</w:t>
      </w:r>
    </w:p>
    <w:p w14:paraId="416CBF65">
      <w:pPr>
        <w:pStyle w:val="11"/>
      </w:pPr>
      <w:r>
        <w:t>2.发生须紧急抢修事故，承包人接到事故通知后，应立即到在事故现场抢修。非承包人施工质量引起事故，抢修费用由发包人承担。</w:t>
      </w:r>
    </w:p>
    <w:p w14:paraId="028D9FE0">
      <w:pPr>
        <w:pStyle w:val="11"/>
      </w:pPr>
      <w:r>
        <w:t>3.在国家规定的工程合理使用期限内，承包人确保基础工程和主体结构的质量。因承包人原因致使工程在合理使用期限内造成人身和财产损害的，承包人应承担损害赔偿责任。</w:t>
      </w:r>
    </w:p>
    <w:p w14:paraId="7508B665">
      <w:pPr>
        <w:pStyle w:val="2"/>
        <w:keepNext w:val="0"/>
        <w:keepLines w:val="0"/>
        <w:pageBreakBefore w:val="0"/>
        <w:widowControl w:val="0"/>
        <w:numPr>
          <w:ilvl w:val="0"/>
          <w:numId w:val="71"/>
        </w:numPr>
        <w:kinsoku/>
        <w:wordWrap/>
        <w:overflowPunct/>
        <w:topLinePunct w:val="0"/>
        <w:autoSpaceDE/>
        <w:autoSpaceDN/>
        <w:bidi w:val="0"/>
        <w:adjustRightInd/>
        <w:snapToGrid/>
        <w:spacing w:line="240" w:lineRule="auto"/>
        <w:ind w:left="0" w:leftChars="0" w:firstLine="420" w:firstLineChars="0"/>
        <w:textAlignment w:val="auto"/>
      </w:pPr>
      <w:r>
        <w:t>质量保证金的支付与返还</w:t>
      </w:r>
    </w:p>
    <w:p w14:paraId="41B6F4EF">
      <w:pPr>
        <w:pStyle w:val="11"/>
      </w:pPr>
      <w:r>
        <w:t>本工程的质量保证金为结算审计（审核、评审）价款的</w:t>
      </w:r>
      <w:r>
        <w:rPr>
          <w:u w:val="single"/>
        </w:rPr>
        <w:t xml:space="preserve"> 3 </w:t>
      </w:r>
      <w:r>
        <w:t>%（无息），质量保证金从工程进度款中扣留，发包人在接到承包人提出返还质量保证金申请后14天内会同承包人按照合同约定的内容进行核实。如无异议，发包人应当在核实后30日内将质量保证金返还给承包人。</w:t>
      </w:r>
    </w:p>
    <w:p w14:paraId="4178A54A">
      <w:pPr>
        <w:pStyle w:val="2"/>
        <w:keepNext w:val="0"/>
        <w:keepLines w:val="0"/>
        <w:pageBreakBefore w:val="0"/>
        <w:widowControl w:val="0"/>
        <w:numPr>
          <w:ilvl w:val="0"/>
          <w:numId w:val="71"/>
        </w:numPr>
        <w:kinsoku/>
        <w:wordWrap/>
        <w:overflowPunct/>
        <w:topLinePunct w:val="0"/>
        <w:autoSpaceDE/>
        <w:autoSpaceDN/>
        <w:bidi w:val="0"/>
        <w:adjustRightInd/>
        <w:snapToGrid/>
        <w:spacing w:line="240" w:lineRule="auto"/>
        <w:ind w:left="0" w:leftChars="0" w:firstLine="420" w:firstLineChars="0"/>
        <w:textAlignment w:val="auto"/>
      </w:pPr>
      <w:r>
        <w:t>其他</w:t>
      </w:r>
    </w:p>
    <w:p w14:paraId="2D26BF36">
      <w:pPr>
        <w:pStyle w:val="11"/>
        <w:rPr>
          <w:u w:val="single"/>
        </w:rPr>
      </w:pPr>
      <w:r>
        <w:t xml:space="preserve">双方约定的其他工程质量保修事项： </w:t>
      </w:r>
      <w:r>
        <w:rPr>
          <w:u w:val="single"/>
        </w:rPr>
        <w:t xml:space="preserve">                                </w:t>
      </w:r>
    </w:p>
    <w:p w14:paraId="18EA7A32">
      <w:pPr>
        <w:pStyle w:val="11"/>
        <w:rPr>
          <w:rFonts w:hint="eastAsia" w:ascii="Times New Roman" w:hAnsi="Times New Roman" w:eastAsia="宋体" w:cs="Times New Roman"/>
          <w:sz w:val="24"/>
          <w:szCs w:val="21"/>
        </w:rPr>
      </w:pPr>
      <w:r>
        <w:t>本工程质量保修书作为施工合同附件，由施工合同发包人承包人双方共同签署，一式陆份，发包人和承包人各执叁份。</w:t>
      </w:r>
    </w:p>
    <w:p w14:paraId="18E31B7F">
      <w:pPr>
        <w:pStyle w:val="11"/>
        <w:keepNext w:val="0"/>
        <w:keepLines w:val="0"/>
        <w:pageBreakBefore w:val="0"/>
        <w:kinsoku/>
        <w:wordWrap/>
        <w:overflowPunct/>
        <w:topLinePunct w:val="0"/>
        <w:autoSpaceDE/>
        <w:autoSpaceDN/>
        <w:bidi w:val="0"/>
        <w:adjustRightInd/>
        <w:snapToGrid/>
        <w:spacing w:line="120" w:lineRule="auto"/>
        <w:ind w:left="0" w:leftChars="0" w:firstLine="0" w:firstLineChars="0"/>
        <w:textAlignment w:val="auto"/>
        <w:rPr>
          <w:rFonts w:ascii="Times New Roman" w:hAnsi="Times New Roman" w:eastAsia="宋体" w:cs="Times New Roman"/>
          <w:sz w:val="24"/>
          <w:szCs w:val="21"/>
        </w:rPr>
      </w:pPr>
      <w:r>
        <w:rPr>
          <w:rFonts w:hint="eastAsia" w:ascii="Times New Roman" w:hAnsi="Times New Roman" w:eastAsia="宋体" w:cs="Times New Roman"/>
          <w:sz w:val="24"/>
          <w:szCs w:val="21"/>
        </w:rPr>
        <w:t>发包人：</w:t>
      </w:r>
      <w:r>
        <w:rPr>
          <w:rFonts w:hint="eastAsia" w:ascii="Times New Roman" w:hAnsi="Times New Roman" w:eastAsia="宋体" w:cs="Times New Roman"/>
          <w:snapToGrid w:val="0"/>
          <w:kern w:val="0"/>
          <w:sz w:val="24"/>
          <w:szCs w:val="21"/>
          <w:u w:val="single"/>
        </w:rPr>
        <w:t xml:space="preserve">                       </w:t>
      </w:r>
      <w:r>
        <w:rPr>
          <w:rFonts w:hint="eastAsia" w:ascii="Times New Roman" w:hAnsi="Times New Roman" w:eastAsia="宋体" w:cs="Times New Roman"/>
          <w:sz w:val="24"/>
          <w:szCs w:val="21"/>
        </w:rPr>
        <w:t xml:space="preserve">         承包人：</w:t>
      </w:r>
      <w:r>
        <w:rPr>
          <w:rFonts w:hint="eastAsia" w:ascii="Times New Roman" w:hAnsi="Times New Roman" w:eastAsia="宋体" w:cs="Times New Roman"/>
          <w:sz w:val="24"/>
          <w:szCs w:val="21"/>
          <w:u w:val="single"/>
        </w:rPr>
        <w:t xml:space="preserve">                                         </w:t>
      </w:r>
    </w:p>
    <w:p w14:paraId="2A3BE4BF">
      <w:pPr>
        <w:keepNext w:val="0"/>
        <w:keepLines w:val="0"/>
        <w:pageBreakBefore w:val="0"/>
        <w:kinsoku/>
        <w:wordWrap/>
        <w:overflowPunct/>
        <w:topLinePunct w:val="0"/>
        <w:autoSpaceDE/>
        <w:autoSpaceDN/>
        <w:bidi w:val="0"/>
        <w:adjustRightInd/>
        <w:snapToGrid/>
        <w:spacing w:line="120" w:lineRule="auto"/>
        <w:ind w:firstLine="1680" w:firstLineChars="700"/>
        <w:textAlignment w:val="auto"/>
        <w:rPr>
          <w:rFonts w:ascii="Times New Roman" w:hAnsi="Times New Roman" w:eastAsia="宋体" w:cs="Times New Roman"/>
          <w:sz w:val="24"/>
          <w:szCs w:val="21"/>
        </w:rPr>
      </w:pPr>
      <w:r>
        <w:rPr>
          <w:rFonts w:hint="eastAsia" w:ascii="Times New Roman" w:hAnsi="Times New Roman" w:eastAsia="宋体" w:cs="Times New Roman"/>
          <w:sz w:val="24"/>
          <w:szCs w:val="21"/>
        </w:rPr>
        <w:t>(公章）                                （公章)</w:t>
      </w:r>
    </w:p>
    <w:p w14:paraId="4C7C0391">
      <w:pPr>
        <w:keepNext w:val="0"/>
        <w:keepLines w:val="0"/>
        <w:pageBreakBefore w:val="0"/>
        <w:kinsoku/>
        <w:wordWrap/>
        <w:overflowPunct/>
        <w:topLinePunct w:val="0"/>
        <w:autoSpaceDE/>
        <w:autoSpaceDN/>
        <w:bidi w:val="0"/>
        <w:adjustRightInd/>
        <w:snapToGrid/>
        <w:spacing w:line="120" w:lineRule="auto"/>
        <w:textAlignment w:val="auto"/>
        <w:rPr>
          <w:rFonts w:ascii="Times New Roman" w:hAnsi="Times New Roman" w:eastAsia="宋体" w:cs="Times New Roman"/>
          <w:sz w:val="24"/>
          <w:szCs w:val="21"/>
          <w:u w:val="single"/>
        </w:rPr>
      </w:pPr>
      <w:r>
        <w:rPr>
          <w:rFonts w:hint="eastAsia" w:ascii="Times New Roman" w:hAnsi="Times New Roman" w:eastAsia="宋体" w:cs="Times New Roman"/>
          <w:sz w:val="24"/>
          <w:szCs w:val="21"/>
        </w:rPr>
        <w:t>法定代表人：</w:t>
      </w:r>
      <w:r>
        <w:rPr>
          <w:rFonts w:hint="eastAsia" w:ascii="Times New Roman" w:hAnsi="Times New Roman" w:eastAsia="宋体" w:cs="Times New Roman"/>
          <w:sz w:val="24"/>
          <w:szCs w:val="21"/>
          <w:u w:val="single"/>
        </w:rPr>
        <w:t xml:space="preserve">                </w:t>
      </w:r>
      <w:r>
        <w:rPr>
          <w:rFonts w:hint="eastAsia" w:ascii="Times New Roman" w:hAnsi="Times New Roman" w:eastAsia="宋体" w:cs="Times New Roman"/>
          <w:sz w:val="24"/>
          <w:szCs w:val="21"/>
        </w:rPr>
        <w:t xml:space="preserve">            法定代表人：</w:t>
      </w:r>
      <w:r>
        <w:rPr>
          <w:rFonts w:hint="eastAsia" w:ascii="Times New Roman" w:hAnsi="Times New Roman" w:eastAsia="宋体" w:cs="Times New Roman"/>
          <w:sz w:val="24"/>
          <w:szCs w:val="21"/>
          <w:u w:val="single"/>
        </w:rPr>
        <w:t xml:space="preserve">               </w:t>
      </w:r>
    </w:p>
    <w:p w14:paraId="19FC4765">
      <w:pPr>
        <w:keepNext w:val="0"/>
        <w:keepLines w:val="0"/>
        <w:pageBreakBefore w:val="0"/>
        <w:kinsoku/>
        <w:wordWrap/>
        <w:overflowPunct/>
        <w:topLinePunct w:val="0"/>
        <w:autoSpaceDE/>
        <w:autoSpaceDN/>
        <w:bidi w:val="0"/>
        <w:adjustRightInd/>
        <w:snapToGrid/>
        <w:spacing w:line="120" w:lineRule="auto"/>
        <w:textAlignment w:val="auto"/>
        <w:rPr>
          <w:rFonts w:ascii="Times New Roman" w:hAnsi="Times New Roman" w:eastAsia="宋体" w:cs="Times New Roman"/>
          <w:sz w:val="24"/>
          <w:szCs w:val="21"/>
        </w:rPr>
      </w:pPr>
      <w:r>
        <w:rPr>
          <w:rFonts w:hint="eastAsia" w:ascii="Times New Roman" w:hAnsi="Times New Roman" w:eastAsia="宋体" w:cs="Times New Roman"/>
          <w:sz w:val="24"/>
          <w:szCs w:val="21"/>
        </w:rPr>
        <w:t>（签字或盖章）                            （签字或盖章）</w:t>
      </w:r>
    </w:p>
    <w:p w14:paraId="6189EE01">
      <w:pPr>
        <w:keepNext w:val="0"/>
        <w:keepLines w:val="0"/>
        <w:pageBreakBefore w:val="0"/>
        <w:kinsoku/>
        <w:wordWrap/>
        <w:overflowPunct/>
        <w:topLinePunct w:val="0"/>
        <w:autoSpaceDE/>
        <w:autoSpaceDN/>
        <w:bidi w:val="0"/>
        <w:adjustRightInd/>
        <w:snapToGrid/>
        <w:spacing w:line="120" w:lineRule="auto"/>
        <w:textAlignment w:val="auto"/>
        <w:rPr>
          <w:rFonts w:ascii="宋体" w:hAnsi="宋体" w:cs="宋体"/>
          <w:szCs w:val="21"/>
        </w:rPr>
      </w:pPr>
    </w:p>
    <w:p w14:paraId="33C5D3A4">
      <w:pPr>
        <w:keepNext w:val="0"/>
        <w:keepLines w:val="0"/>
        <w:pageBreakBefore w:val="0"/>
        <w:kinsoku/>
        <w:wordWrap/>
        <w:overflowPunct/>
        <w:topLinePunct w:val="0"/>
        <w:autoSpaceDE/>
        <w:autoSpaceDN/>
        <w:bidi w:val="0"/>
        <w:adjustRightInd/>
        <w:snapToGrid/>
        <w:spacing w:line="120" w:lineRule="auto"/>
        <w:textAlignment w:val="auto"/>
        <w:rPr>
          <w:rFonts w:ascii="Times New Roman" w:hAnsi="Times New Roman" w:eastAsia="宋体" w:cs="Times New Roman"/>
          <w:sz w:val="24"/>
          <w:szCs w:val="21"/>
        </w:rPr>
      </w:pPr>
      <w:r>
        <w:rPr>
          <w:rFonts w:hint="eastAsia" w:ascii="Times New Roman" w:hAnsi="Times New Roman" w:eastAsia="宋体" w:cs="Times New Roman"/>
          <w:sz w:val="24"/>
          <w:szCs w:val="21"/>
        </w:rPr>
        <w:t xml:space="preserve">签订日期： </w:t>
      </w:r>
      <w:r>
        <w:rPr>
          <w:rFonts w:hint="eastAsia" w:ascii="Times New Roman" w:hAnsi="Times New Roman" w:eastAsia="宋体" w:cs="Times New Roman"/>
          <w:sz w:val="24"/>
          <w:szCs w:val="21"/>
          <w:u w:val="single"/>
        </w:rPr>
        <w:t xml:space="preserve"> 202</w:t>
      </w:r>
      <w:r>
        <w:rPr>
          <w:rFonts w:hint="eastAsia" w:ascii="Times New Roman" w:hAnsi="Times New Roman" w:eastAsia="宋体" w:cs="Times New Roman"/>
          <w:sz w:val="24"/>
          <w:szCs w:val="21"/>
          <w:u w:val="single"/>
          <w:lang w:val="en-US" w:eastAsia="zh-CN"/>
        </w:rPr>
        <w:t>5</w:t>
      </w:r>
      <w:r>
        <w:rPr>
          <w:rFonts w:hint="eastAsia" w:ascii="Times New Roman" w:hAnsi="Times New Roman" w:eastAsia="宋体" w:cs="Times New Roman"/>
          <w:sz w:val="24"/>
          <w:szCs w:val="21"/>
          <w:u w:val="single"/>
        </w:rPr>
        <w:t xml:space="preserve"> </w:t>
      </w:r>
      <w:r>
        <w:rPr>
          <w:rFonts w:hint="eastAsia" w:ascii="Times New Roman" w:hAnsi="Times New Roman" w:eastAsia="宋体" w:cs="Times New Roman"/>
          <w:sz w:val="24"/>
          <w:szCs w:val="21"/>
        </w:rPr>
        <w:t>年</w:t>
      </w:r>
      <w:r>
        <w:rPr>
          <w:rFonts w:hint="eastAsia" w:ascii="Times New Roman" w:hAnsi="Times New Roman" w:eastAsia="宋体" w:cs="Times New Roman"/>
          <w:sz w:val="24"/>
          <w:szCs w:val="21"/>
          <w:u w:val="single"/>
        </w:rPr>
        <w:t xml:space="preserve">   </w:t>
      </w:r>
      <w:r>
        <w:rPr>
          <w:rFonts w:hint="eastAsia" w:ascii="Times New Roman" w:hAnsi="Times New Roman" w:eastAsia="宋体" w:cs="Times New Roman"/>
          <w:sz w:val="24"/>
          <w:szCs w:val="21"/>
        </w:rPr>
        <w:t>月</w:t>
      </w:r>
      <w:r>
        <w:rPr>
          <w:rFonts w:hint="eastAsia" w:ascii="Times New Roman" w:hAnsi="Times New Roman" w:eastAsia="宋体" w:cs="Times New Roman"/>
          <w:sz w:val="24"/>
          <w:szCs w:val="21"/>
          <w:u w:val="single"/>
        </w:rPr>
        <w:t xml:space="preserve">              </w:t>
      </w:r>
      <w:r>
        <w:rPr>
          <w:rFonts w:hint="eastAsia" w:ascii="Times New Roman" w:hAnsi="Times New Roman" w:eastAsia="宋体" w:cs="Times New Roman"/>
          <w:sz w:val="24"/>
          <w:szCs w:val="21"/>
        </w:rPr>
        <w:t>日</w:t>
      </w:r>
      <w:r>
        <w:rPr>
          <w:rFonts w:hint="eastAsia" w:ascii="Times New Roman" w:hAnsi="Times New Roman" w:eastAsia="宋体" w:cs="Times New Roman"/>
          <w:sz w:val="24"/>
          <w:szCs w:val="21"/>
        </w:rPr>
        <w:tab/>
      </w:r>
    </w:p>
    <w:p w14:paraId="7484EF5D">
      <w:pPr>
        <w:keepNext w:val="0"/>
        <w:keepLines w:val="0"/>
        <w:pageBreakBefore w:val="0"/>
        <w:widowControl/>
        <w:kinsoku/>
        <w:wordWrap/>
        <w:overflowPunct/>
        <w:topLinePunct w:val="0"/>
        <w:autoSpaceDE/>
        <w:autoSpaceDN/>
        <w:bidi w:val="0"/>
        <w:adjustRightInd/>
        <w:snapToGrid/>
        <w:spacing w:line="120" w:lineRule="auto"/>
        <w:jc w:val="center"/>
        <w:textAlignment w:val="auto"/>
        <w:rPr>
          <w:rFonts w:ascii="宋体" w:hAnsi="宋体" w:cs="宋体"/>
          <w:b/>
          <w:bCs/>
          <w:color w:val="000000"/>
          <w:kern w:val="0"/>
          <w:szCs w:val="21"/>
        </w:rPr>
        <w:sectPr>
          <w:footerReference r:id="rId11" w:type="default"/>
          <w:pgSz w:w="11906" w:h="16838"/>
          <w:pgMar w:top="1440" w:right="1080" w:bottom="1440" w:left="880" w:header="851" w:footer="992" w:gutter="0"/>
          <w:cols w:space="720" w:num="1"/>
          <w:docGrid w:type="lines" w:linePitch="312" w:charSpace="0"/>
        </w:sectPr>
      </w:pPr>
    </w:p>
    <w:p w14:paraId="30FE0013">
      <w:pPr>
        <w:pStyle w:val="40"/>
        <w:outlineLvl w:val="0"/>
      </w:pPr>
      <w:r>
        <w:t>附件</w:t>
      </w:r>
    </w:p>
    <w:p w14:paraId="03C2A8DD">
      <w:pPr>
        <w:pStyle w:val="44"/>
        <w:widowControl/>
        <w:outlineLvl w:val="0"/>
      </w:pPr>
      <w:r>
        <w:t>广西壮族自治区政府采购项目合同验收书（格式）</w:t>
      </w:r>
    </w:p>
    <w:p w14:paraId="2589BDCE">
      <w:pPr>
        <w:pStyle w:val="11"/>
        <w:widowControl/>
        <w:rPr>
          <w:color w:val="000000"/>
        </w:rPr>
      </w:pPr>
      <w:r>
        <w:rPr>
          <w:color w:val="000000"/>
        </w:rPr>
        <w:t>根据政府采购项目（</w:t>
      </w:r>
      <w:r>
        <w:rPr>
          <w:color w:val="000000"/>
          <w:u w:val="single"/>
        </w:rPr>
        <w:t>采购合同编号：</w:t>
      </w:r>
      <w:r>
        <w:rPr>
          <w:color w:val="000000"/>
          <w:u w:val="single"/>
        </w:rPr>
        <w:softHyphen/>
      </w:r>
      <w:r>
        <w:rPr>
          <w:color w:val="000000"/>
          <w:u w:val="single"/>
        </w:rPr>
        <w:t xml:space="preserve">    </w:t>
      </w:r>
      <w:r>
        <w:rPr>
          <w:color w:val="000000"/>
        </w:rPr>
        <w:t>）的约定，我单位对（</w:t>
      </w:r>
      <w:r>
        <w:rPr>
          <w:color w:val="000000"/>
          <w:u w:val="single"/>
        </w:rPr>
        <w:t xml:space="preserve">  项目名称   </w:t>
      </w:r>
      <w:r>
        <w:rPr>
          <w:color w:val="000000"/>
        </w:rPr>
        <w:t>）政府采购项目中标（或成交）供应商（</w:t>
      </w:r>
      <w:r>
        <w:rPr>
          <w:color w:val="000000"/>
          <w:u w:val="single"/>
        </w:rPr>
        <w:t xml:space="preserve">            公司名称              </w:t>
      </w:r>
      <w:r>
        <w:rPr>
          <w:color w:val="000000"/>
        </w:rPr>
        <w:t>）提供的货物（或工程、服务）进行了验收，验收情况如下：</w:t>
      </w:r>
    </w:p>
    <w:tbl>
      <w:tblPr>
        <w:tblStyle w:val="22"/>
        <w:tblW w:w="4999" w:type="pct"/>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0" w:type="dxa"/>
          <w:bottom w:w="0" w:type="dxa"/>
          <w:right w:w="0" w:type="dxa"/>
        </w:tblCellMar>
      </w:tblPr>
      <w:tblGrid>
        <w:gridCol w:w="1433"/>
        <w:gridCol w:w="2156"/>
        <w:gridCol w:w="888"/>
        <w:gridCol w:w="2344"/>
        <w:gridCol w:w="192"/>
        <w:gridCol w:w="743"/>
        <w:gridCol w:w="1289"/>
      </w:tblGrid>
      <w:tr w14:paraId="505F10E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97" w:hRule="atLeast"/>
          <w:jc w:val="center"/>
        </w:trPr>
        <w:tc>
          <w:tcPr>
            <w:tcW w:w="1984" w:type="pct"/>
            <w:gridSpan w:val="2"/>
            <w:tcBorders>
              <w:top w:val="single" w:color="auto" w:sz="8" w:space="0"/>
              <w:left w:val="single" w:color="auto" w:sz="8" w:space="0"/>
              <w:bottom w:val="single" w:color="auto" w:sz="8" w:space="0"/>
              <w:right w:val="single" w:color="auto" w:sz="8" w:space="0"/>
            </w:tcBorders>
            <w:noWrap w:val="0"/>
            <w:vAlign w:val="center"/>
          </w:tcPr>
          <w:p w14:paraId="0E67B17A">
            <w:pPr>
              <w:widowControl/>
              <w:snapToGrid w:val="0"/>
              <w:spacing w:before="100" w:beforeAutospacing="1" w:after="100" w:afterAutospacing="1" w:line="320" w:lineRule="exact"/>
              <w:ind w:left="-3" w:firstLine="4" w:firstLineChars="2"/>
              <w:jc w:val="center"/>
              <w:rPr>
                <w:rFonts w:ascii="宋体" w:hAnsi="宋体" w:cs="宋体"/>
                <w:color w:val="000000"/>
                <w:kern w:val="0"/>
                <w:szCs w:val="21"/>
              </w:rPr>
            </w:pPr>
            <w:r>
              <w:rPr>
                <w:rFonts w:hint="eastAsia" w:ascii="宋体" w:hAnsi="宋体" w:cs="宋体"/>
                <w:color w:val="000000"/>
                <w:kern w:val="0"/>
                <w:szCs w:val="21"/>
              </w:rPr>
              <w:t>验收方式：</w:t>
            </w:r>
          </w:p>
        </w:tc>
        <w:tc>
          <w:tcPr>
            <w:tcW w:w="3015" w:type="pct"/>
            <w:gridSpan w:val="5"/>
            <w:tcBorders>
              <w:top w:val="single" w:color="auto" w:sz="8" w:space="0"/>
              <w:left w:val="single" w:color="auto" w:sz="8" w:space="0"/>
              <w:bottom w:val="single" w:color="auto" w:sz="8" w:space="0"/>
              <w:right w:val="single" w:color="auto" w:sz="8" w:space="0"/>
            </w:tcBorders>
            <w:noWrap w:val="0"/>
            <w:vAlign w:val="center"/>
          </w:tcPr>
          <w:p w14:paraId="63115B98">
            <w:pPr>
              <w:widowControl/>
              <w:snapToGrid w:val="0"/>
              <w:spacing w:before="100" w:beforeAutospacing="1" w:after="100" w:afterAutospacing="1" w:line="320" w:lineRule="exact"/>
              <w:ind w:left="-3" w:firstLine="420" w:firstLineChars="200"/>
              <w:jc w:val="center"/>
              <w:rPr>
                <w:rFonts w:ascii="宋体" w:hAnsi="宋体" w:cs="宋体"/>
                <w:color w:val="000000"/>
                <w:kern w:val="0"/>
                <w:szCs w:val="21"/>
              </w:rPr>
            </w:pPr>
            <w:r>
              <w:rPr>
                <w:rFonts w:hint="eastAsia" w:ascii="宋体" w:hAnsi="宋体" w:cs="宋体"/>
                <w:color w:val="000000"/>
                <w:kern w:val="0"/>
                <w:szCs w:val="21"/>
              </w:rPr>
              <w:t>□自行验收         □委托验收</w:t>
            </w:r>
          </w:p>
        </w:tc>
      </w:tr>
      <w:tr w14:paraId="5A036F8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22" w:hRule="atLeast"/>
          <w:jc w:val="center"/>
        </w:trPr>
        <w:tc>
          <w:tcPr>
            <w:tcW w:w="792" w:type="pct"/>
            <w:tcBorders>
              <w:top w:val="single" w:color="auto" w:sz="8" w:space="0"/>
              <w:left w:val="single" w:color="auto" w:sz="8" w:space="0"/>
              <w:bottom w:val="single" w:color="auto" w:sz="8" w:space="0"/>
              <w:right w:val="single" w:color="auto" w:sz="8" w:space="0"/>
            </w:tcBorders>
            <w:noWrap w:val="0"/>
            <w:vAlign w:val="center"/>
          </w:tcPr>
          <w:p w14:paraId="11D274FE">
            <w:pPr>
              <w:widowControl/>
              <w:snapToGrid w:val="0"/>
              <w:spacing w:before="100" w:beforeAutospacing="1" w:after="100" w:afterAutospacing="1" w:line="320" w:lineRule="exact"/>
              <w:ind w:firstLine="2" w:firstLineChars="1"/>
              <w:jc w:val="center"/>
              <w:rPr>
                <w:rFonts w:ascii="宋体" w:hAnsi="宋体" w:cs="宋体"/>
                <w:color w:val="000000"/>
                <w:kern w:val="0"/>
                <w:szCs w:val="21"/>
              </w:rPr>
            </w:pPr>
            <w:r>
              <w:rPr>
                <w:rFonts w:hint="eastAsia" w:ascii="宋体" w:hAnsi="宋体" w:cs="宋体"/>
                <w:color w:val="000000"/>
                <w:kern w:val="0"/>
                <w:szCs w:val="21"/>
              </w:rPr>
              <w:t>序号</w:t>
            </w:r>
          </w:p>
        </w:tc>
        <w:tc>
          <w:tcPr>
            <w:tcW w:w="1191" w:type="pct"/>
            <w:tcBorders>
              <w:top w:val="single" w:color="auto" w:sz="8" w:space="0"/>
              <w:left w:val="single" w:color="auto" w:sz="8" w:space="0"/>
              <w:bottom w:val="single" w:color="auto" w:sz="8" w:space="0"/>
              <w:right w:val="single" w:color="auto" w:sz="8" w:space="0"/>
            </w:tcBorders>
            <w:noWrap w:val="0"/>
            <w:vAlign w:val="center"/>
          </w:tcPr>
          <w:p w14:paraId="43F11E76">
            <w:pPr>
              <w:widowControl/>
              <w:snapToGrid w:val="0"/>
              <w:spacing w:before="100" w:beforeAutospacing="1" w:after="100" w:afterAutospacing="1" w:line="320" w:lineRule="exact"/>
              <w:ind w:left="-3" w:firstLine="2" w:firstLineChars="1"/>
              <w:jc w:val="center"/>
              <w:rPr>
                <w:rFonts w:ascii="宋体" w:hAnsi="宋体" w:cs="宋体"/>
                <w:color w:val="000000"/>
                <w:kern w:val="0"/>
                <w:szCs w:val="21"/>
              </w:rPr>
            </w:pPr>
            <w:r>
              <w:rPr>
                <w:rFonts w:hint="eastAsia" w:ascii="宋体" w:hAnsi="宋体" w:cs="宋体"/>
                <w:color w:val="000000"/>
                <w:kern w:val="0"/>
                <w:szCs w:val="21"/>
              </w:rPr>
              <w:t>名  称</w:t>
            </w:r>
          </w:p>
        </w:tc>
        <w:tc>
          <w:tcPr>
            <w:tcW w:w="1787" w:type="pct"/>
            <w:gridSpan w:val="2"/>
            <w:tcBorders>
              <w:top w:val="single" w:color="auto" w:sz="8" w:space="0"/>
              <w:left w:val="single" w:color="auto" w:sz="8" w:space="0"/>
              <w:bottom w:val="single" w:color="auto" w:sz="8" w:space="0"/>
              <w:right w:val="single" w:color="auto" w:sz="8" w:space="0"/>
            </w:tcBorders>
            <w:noWrap w:val="0"/>
            <w:vAlign w:val="center"/>
          </w:tcPr>
          <w:p w14:paraId="75FB436D">
            <w:pPr>
              <w:widowControl/>
              <w:snapToGrid w:val="0"/>
              <w:spacing w:before="100" w:beforeAutospacing="1" w:after="100" w:afterAutospacing="1" w:line="320" w:lineRule="exact"/>
              <w:ind w:left="-3" w:firstLine="2" w:firstLineChars="1"/>
              <w:jc w:val="center"/>
              <w:rPr>
                <w:rFonts w:ascii="宋体" w:hAnsi="宋体" w:cs="宋体"/>
                <w:color w:val="000000"/>
                <w:kern w:val="0"/>
                <w:szCs w:val="21"/>
              </w:rPr>
            </w:pPr>
            <w:r>
              <w:rPr>
                <w:rFonts w:hint="eastAsia" w:ascii="宋体" w:hAnsi="宋体" w:cs="宋体"/>
                <w:color w:val="000000"/>
                <w:kern w:val="0"/>
                <w:szCs w:val="21"/>
              </w:rPr>
              <w:t>货物型号规格、标准及配置等（或服务内容、标准）</w:t>
            </w:r>
          </w:p>
        </w:tc>
        <w:tc>
          <w:tcPr>
            <w:tcW w:w="517" w:type="pct"/>
            <w:gridSpan w:val="2"/>
            <w:tcBorders>
              <w:top w:val="single" w:color="auto" w:sz="8" w:space="0"/>
              <w:left w:val="single" w:color="auto" w:sz="8" w:space="0"/>
              <w:bottom w:val="single" w:color="auto" w:sz="8" w:space="0"/>
              <w:right w:val="single" w:color="auto" w:sz="8" w:space="0"/>
            </w:tcBorders>
            <w:noWrap w:val="0"/>
            <w:vAlign w:val="center"/>
          </w:tcPr>
          <w:p w14:paraId="0DEC1DA6">
            <w:pPr>
              <w:widowControl/>
              <w:snapToGrid w:val="0"/>
              <w:spacing w:before="100" w:beforeAutospacing="1" w:after="100" w:afterAutospacing="1" w:line="320" w:lineRule="exact"/>
              <w:jc w:val="center"/>
              <w:rPr>
                <w:rFonts w:ascii="宋体" w:hAnsi="宋体" w:cs="宋体"/>
                <w:color w:val="000000"/>
                <w:kern w:val="0"/>
                <w:szCs w:val="21"/>
              </w:rPr>
            </w:pPr>
            <w:r>
              <w:rPr>
                <w:rFonts w:hint="eastAsia" w:ascii="宋体" w:hAnsi="宋体" w:cs="宋体"/>
                <w:color w:val="000000"/>
                <w:kern w:val="0"/>
                <w:szCs w:val="21"/>
              </w:rPr>
              <w:t>数量</w:t>
            </w:r>
          </w:p>
        </w:tc>
        <w:tc>
          <w:tcPr>
            <w:tcW w:w="710" w:type="pct"/>
            <w:tcBorders>
              <w:top w:val="single" w:color="auto" w:sz="8" w:space="0"/>
              <w:left w:val="single" w:color="auto" w:sz="8" w:space="0"/>
              <w:bottom w:val="single" w:color="auto" w:sz="8" w:space="0"/>
              <w:right w:val="single" w:color="auto" w:sz="8" w:space="0"/>
            </w:tcBorders>
            <w:noWrap w:val="0"/>
            <w:vAlign w:val="center"/>
          </w:tcPr>
          <w:p w14:paraId="7112A853">
            <w:pPr>
              <w:widowControl/>
              <w:snapToGrid w:val="0"/>
              <w:spacing w:before="100" w:beforeAutospacing="1" w:after="100" w:afterAutospacing="1" w:line="320" w:lineRule="exact"/>
              <w:ind w:left="-3" w:firstLine="2" w:firstLineChars="1"/>
              <w:jc w:val="center"/>
              <w:rPr>
                <w:rFonts w:ascii="宋体" w:hAnsi="宋体" w:cs="宋体"/>
                <w:color w:val="000000"/>
                <w:kern w:val="0"/>
                <w:szCs w:val="21"/>
              </w:rPr>
            </w:pPr>
            <w:r>
              <w:rPr>
                <w:rFonts w:hint="eastAsia" w:ascii="宋体" w:hAnsi="宋体" w:cs="宋体"/>
                <w:color w:val="000000"/>
                <w:kern w:val="0"/>
                <w:szCs w:val="21"/>
              </w:rPr>
              <w:t>金  额</w:t>
            </w:r>
          </w:p>
        </w:tc>
      </w:tr>
      <w:tr w14:paraId="5D0E080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87" w:hRule="atLeast"/>
          <w:jc w:val="center"/>
        </w:trPr>
        <w:tc>
          <w:tcPr>
            <w:tcW w:w="792" w:type="pct"/>
            <w:tcBorders>
              <w:top w:val="single" w:color="auto" w:sz="8" w:space="0"/>
              <w:left w:val="single" w:color="auto" w:sz="8" w:space="0"/>
              <w:bottom w:val="single" w:color="auto" w:sz="8" w:space="0"/>
              <w:right w:val="single" w:color="auto" w:sz="8" w:space="0"/>
            </w:tcBorders>
            <w:noWrap w:val="0"/>
            <w:vAlign w:val="center"/>
          </w:tcPr>
          <w:p w14:paraId="074A956D">
            <w:pPr>
              <w:widowControl/>
              <w:snapToGrid w:val="0"/>
              <w:spacing w:before="100" w:beforeAutospacing="1" w:after="100" w:afterAutospacing="1" w:line="320" w:lineRule="exact"/>
              <w:ind w:left="-3" w:firstLine="4" w:firstLineChars="2"/>
              <w:rPr>
                <w:rFonts w:ascii="宋体" w:hAnsi="宋体" w:cs="宋体"/>
                <w:color w:val="000000"/>
                <w:kern w:val="0"/>
                <w:szCs w:val="21"/>
              </w:rPr>
            </w:pPr>
            <w:r>
              <w:rPr>
                <w:rFonts w:hint="eastAsia" w:ascii="宋体" w:hAnsi="宋体" w:cs="宋体"/>
                <w:color w:val="000000"/>
                <w:kern w:val="0"/>
                <w:szCs w:val="21"/>
              </w:rPr>
              <w:t xml:space="preserve">      </w:t>
            </w:r>
          </w:p>
        </w:tc>
        <w:tc>
          <w:tcPr>
            <w:tcW w:w="1191" w:type="pct"/>
            <w:tcBorders>
              <w:top w:val="single" w:color="auto" w:sz="8" w:space="0"/>
              <w:left w:val="single" w:color="auto" w:sz="8" w:space="0"/>
              <w:bottom w:val="single" w:color="auto" w:sz="8" w:space="0"/>
              <w:right w:val="single" w:color="auto" w:sz="8" w:space="0"/>
            </w:tcBorders>
            <w:noWrap w:val="0"/>
            <w:vAlign w:val="center"/>
          </w:tcPr>
          <w:p w14:paraId="726EAC9A">
            <w:pPr>
              <w:widowControl/>
              <w:snapToGrid w:val="0"/>
              <w:spacing w:before="100" w:beforeAutospacing="1" w:after="100" w:afterAutospacing="1" w:line="320" w:lineRule="exact"/>
              <w:ind w:left="-3" w:firstLine="420" w:firstLineChars="200"/>
              <w:jc w:val="left"/>
              <w:rPr>
                <w:rFonts w:ascii="宋体" w:hAnsi="宋体" w:cs="宋体"/>
                <w:color w:val="000000"/>
                <w:kern w:val="0"/>
                <w:szCs w:val="21"/>
              </w:rPr>
            </w:pPr>
            <w:r>
              <w:rPr>
                <w:rFonts w:hint="eastAsia" w:ascii="宋体" w:hAnsi="宋体" w:cs="宋体"/>
                <w:color w:val="000000"/>
                <w:kern w:val="0"/>
                <w:szCs w:val="21"/>
              </w:rPr>
              <w:t> </w:t>
            </w:r>
          </w:p>
        </w:tc>
        <w:tc>
          <w:tcPr>
            <w:tcW w:w="1787" w:type="pct"/>
            <w:gridSpan w:val="2"/>
            <w:tcBorders>
              <w:top w:val="single" w:color="auto" w:sz="8" w:space="0"/>
              <w:left w:val="single" w:color="auto" w:sz="8" w:space="0"/>
              <w:bottom w:val="single" w:color="auto" w:sz="8" w:space="0"/>
              <w:right w:val="single" w:color="auto" w:sz="8" w:space="0"/>
            </w:tcBorders>
            <w:noWrap w:val="0"/>
            <w:vAlign w:val="center"/>
          </w:tcPr>
          <w:p w14:paraId="553E75CC">
            <w:pPr>
              <w:widowControl/>
              <w:snapToGrid w:val="0"/>
              <w:spacing w:before="100" w:beforeAutospacing="1" w:after="100" w:afterAutospacing="1" w:line="320" w:lineRule="exact"/>
              <w:ind w:left="-3" w:firstLine="420" w:firstLineChars="200"/>
              <w:jc w:val="left"/>
              <w:rPr>
                <w:rFonts w:ascii="宋体" w:hAnsi="宋体" w:cs="宋体"/>
                <w:color w:val="000000"/>
                <w:kern w:val="0"/>
                <w:szCs w:val="21"/>
              </w:rPr>
            </w:pPr>
            <w:r>
              <w:rPr>
                <w:rFonts w:hint="eastAsia" w:ascii="宋体" w:hAnsi="宋体" w:cs="宋体"/>
                <w:color w:val="000000"/>
                <w:kern w:val="0"/>
                <w:szCs w:val="21"/>
              </w:rPr>
              <w:t> </w:t>
            </w:r>
          </w:p>
        </w:tc>
        <w:tc>
          <w:tcPr>
            <w:tcW w:w="517" w:type="pct"/>
            <w:gridSpan w:val="2"/>
            <w:tcBorders>
              <w:top w:val="single" w:color="auto" w:sz="8" w:space="0"/>
              <w:left w:val="single" w:color="auto" w:sz="8" w:space="0"/>
              <w:bottom w:val="single" w:color="auto" w:sz="8" w:space="0"/>
              <w:right w:val="single" w:color="auto" w:sz="8" w:space="0"/>
            </w:tcBorders>
            <w:noWrap w:val="0"/>
            <w:vAlign w:val="center"/>
          </w:tcPr>
          <w:p w14:paraId="54A70DCB">
            <w:pPr>
              <w:widowControl/>
              <w:snapToGrid w:val="0"/>
              <w:spacing w:before="100" w:beforeAutospacing="1" w:after="100" w:afterAutospacing="1" w:line="320" w:lineRule="exact"/>
              <w:ind w:firstLine="420" w:firstLineChars="200"/>
              <w:jc w:val="left"/>
              <w:rPr>
                <w:rFonts w:ascii="宋体" w:hAnsi="宋体" w:cs="宋体"/>
                <w:color w:val="000000"/>
                <w:kern w:val="0"/>
                <w:szCs w:val="21"/>
              </w:rPr>
            </w:pPr>
            <w:r>
              <w:rPr>
                <w:rFonts w:hint="eastAsia" w:ascii="宋体" w:hAnsi="宋体" w:cs="宋体"/>
                <w:color w:val="000000"/>
                <w:kern w:val="0"/>
                <w:szCs w:val="21"/>
              </w:rPr>
              <w:t> </w:t>
            </w:r>
          </w:p>
        </w:tc>
        <w:tc>
          <w:tcPr>
            <w:tcW w:w="710" w:type="pct"/>
            <w:tcBorders>
              <w:top w:val="single" w:color="auto" w:sz="8" w:space="0"/>
              <w:left w:val="single" w:color="auto" w:sz="8" w:space="0"/>
              <w:bottom w:val="single" w:color="auto" w:sz="8" w:space="0"/>
              <w:right w:val="single" w:color="auto" w:sz="8" w:space="0"/>
            </w:tcBorders>
            <w:noWrap w:val="0"/>
            <w:vAlign w:val="center"/>
          </w:tcPr>
          <w:p w14:paraId="3E4F4D74">
            <w:pPr>
              <w:widowControl/>
              <w:snapToGrid w:val="0"/>
              <w:spacing w:before="100" w:beforeAutospacing="1" w:after="100" w:afterAutospacing="1" w:line="320" w:lineRule="exact"/>
              <w:ind w:firstLine="420" w:firstLineChars="200"/>
              <w:jc w:val="left"/>
              <w:rPr>
                <w:rFonts w:ascii="宋体" w:hAnsi="宋体" w:cs="宋体"/>
                <w:color w:val="000000"/>
                <w:kern w:val="0"/>
                <w:szCs w:val="21"/>
              </w:rPr>
            </w:pPr>
            <w:r>
              <w:rPr>
                <w:rFonts w:hint="eastAsia" w:ascii="宋体" w:hAnsi="宋体" w:cs="宋体"/>
                <w:color w:val="000000"/>
                <w:kern w:val="0"/>
                <w:szCs w:val="21"/>
              </w:rPr>
              <w:t> </w:t>
            </w:r>
          </w:p>
        </w:tc>
      </w:tr>
      <w:tr w14:paraId="45FEF01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87" w:hRule="atLeast"/>
          <w:jc w:val="center"/>
        </w:trPr>
        <w:tc>
          <w:tcPr>
            <w:tcW w:w="792" w:type="pct"/>
            <w:tcBorders>
              <w:top w:val="single" w:color="auto" w:sz="8" w:space="0"/>
              <w:left w:val="single" w:color="auto" w:sz="8" w:space="0"/>
              <w:bottom w:val="single" w:color="auto" w:sz="8" w:space="0"/>
              <w:right w:val="single" w:color="auto" w:sz="8" w:space="0"/>
            </w:tcBorders>
            <w:noWrap w:val="0"/>
            <w:vAlign w:val="center"/>
          </w:tcPr>
          <w:p w14:paraId="02CB031A">
            <w:pPr>
              <w:widowControl/>
              <w:snapToGrid w:val="0"/>
              <w:spacing w:before="100" w:beforeAutospacing="1" w:after="100" w:afterAutospacing="1" w:line="320" w:lineRule="exact"/>
              <w:ind w:left="-3" w:firstLine="420" w:firstLineChars="200"/>
              <w:jc w:val="left"/>
              <w:rPr>
                <w:rFonts w:ascii="宋体" w:hAnsi="宋体" w:cs="宋体"/>
                <w:color w:val="000000"/>
                <w:kern w:val="0"/>
                <w:szCs w:val="21"/>
              </w:rPr>
            </w:pPr>
            <w:r>
              <w:rPr>
                <w:rFonts w:hint="eastAsia" w:ascii="宋体" w:hAnsi="宋体" w:cs="宋体"/>
                <w:color w:val="000000"/>
                <w:kern w:val="0"/>
                <w:szCs w:val="21"/>
              </w:rPr>
              <w:t> </w:t>
            </w:r>
          </w:p>
        </w:tc>
        <w:tc>
          <w:tcPr>
            <w:tcW w:w="1191" w:type="pct"/>
            <w:tcBorders>
              <w:top w:val="single" w:color="auto" w:sz="8" w:space="0"/>
              <w:left w:val="single" w:color="auto" w:sz="8" w:space="0"/>
              <w:bottom w:val="single" w:color="auto" w:sz="8" w:space="0"/>
              <w:right w:val="single" w:color="auto" w:sz="8" w:space="0"/>
            </w:tcBorders>
            <w:noWrap w:val="0"/>
            <w:vAlign w:val="center"/>
          </w:tcPr>
          <w:p w14:paraId="172F3C26">
            <w:pPr>
              <w:widowControl/>
              <w:snapToGrid w:val="0"/>
              <w:spacing w:before="100" w:beforeAutospacing="1" w:after="100" w:afterAutospacing="1" w:line="320" w:lineRule="exact"/>
              <w:ind w:left="-3" w:firstLine="420" w:firstLineChars="200"/>
              <w:jc w:val="left"/>
              <w:rPr>
                <w:rFonts w:ascii="宋体" w:hAnsi="宋体" w:cs="宋体"/>
                <w:color w:val="000000"/>
                <w:kern w:val="0"/>
                <w:szCs w:val="21"/>
              </w:rPr>
            </w:pPr>
            <w:r>
              <w:rPr>
                <w:rFonts w:hint="eastAsia" w:ascii="宋体" w:hAnsi="宋体" w:cs="宋体"/>
                <w:color w:val="000000"/>
                <w:kern w:val="0"/>
                <w:szCs w:val="21"/>
              </w:rPr>
              <w:t> </w:t>
            </w:r>
          </w:p>
        </w:tc>
        <w:tc>
          <w:tcPr>
            <w:tcW w:w="1787" w:type="pct"/>
            <w:gridSpan w:val="2"/>
            <w:tcBorders>
              <w:top w:val="single" w:color="auto" w:sz="8" w:space="0"/>
              <w:left w:val="single" w:color="auto" w:sz="8" w:space="0"/>
              <w:bottom w:val="single" w:color="auto" w:sz="8" w:space="0"/>
              <w:right w:val="single" w:color="auto" w:sz="8" w:space="0"/>
            </w:tcBorders>
            <w:noWrap w:val="0"/>
            <w:vAlign w:val="center"/>
          </w:tcPr>
          <w:p w14:paraId="12676A59">
            <w:pPr>
              <w:widowControl/>
              <w:snapToGrid w:val="0"/>
              <w:spacing w:before="100" w:beforeAutospacing="1" w:after="100" w:afterAutospacing="1" w:line="320" w:lineRule="exact"/>
              <w:ind w:left="-3" w:firstLine="420" w:firstLineChars="200"/>
              <w:jc w:val="left"/>
              <w:rPr>
                <w:rFonts w:ascii="宋体" w:hAnsi="宋体" w:cs="宋体"/>
                <w:color w:val="000000"/>
                <w:kern w:val="0"/>
                <w:szCs w:val="21"/>
              </w:rPr>
            </w:pPr>
            <w:r>
              <w:rPr>
                <w:rFonts w:hint="eastAsia" w:ascii="宋体" w:hAnsi="宋体" w:cs="宋体"/>
                <w:color w:val="000000"/>
                <w:kern w:val="0"/>
                <w:szCs w:val="21"/>
              </w:rPr>
              <w:t> </w:t>
            </w:r>
          </w:p>
        </w:tc>
        <w:tc>
          <w:tcPr>
            <w:tcW w:w="517" w:type="pct"/>
            <w:gridSpan w:val="2"/>
            <w:tcBorders>
              <w:top w:val="single" w:color="auto" w:sz="8" w:space="0"/>
              <w:left w:val="single" w:color="auto" w:sz="8" w:space="0"/>
              <w:bottom w:val="single" w:color="auto" w:sz="8" w:space="0"/>
              <w:right w:val="single" w:color="auto" w:sz="8" w:space="0"/>
            </w:tcBorders>
            <w:noWrap w:val="0"/>
            <w:vAlign w:val="center"/>
          </w:tcPr>
          <w:p w14:paraId="04870EFE">
            <w:pPr>
              <w:widowControl/>
              <w:snapToGrid w:val="0"/>
              <w:spacing w:before="100" w:beforeAutospacing="1" w:after="100" w:afterAutospacing="1" w:line="320" w:lineRule="exact"/>
              <w:ind w:firstLine="420" w:firstLineChars="200"/>
              <w:jc w:val="left"/>
              <w:rPr>
                <w:rFonts w:ascii="宋体" w:hAnsi="宋体" w:cs="宋体"/>
                <w:color w:val="000000"/>
                <w:kern w:val="0"/>
                <w:szCs w:val="21"/>
              </w:rPr>
            </w:pPr>
            <w:r>
              <w:rPr>
                <w:rFonts w:hint="eastAsia" w:ascii="宋体" w:hAnsi="宋体" w:cs="宋体"/>
                <w:color w:val="000000"/>
                <w:kern w:val="0"/>
                <w:szCs w:val="21"/>
              </w:rPr>
              <w:t> </w:t>
            </w:r>
          </w:p>
        </w:tc>
        <w:tc>
          <w:tcPr>
            <w:tcW w:w="710" w:type="pct"/>
            <w:tcBorders>
              <w:top w:val="single" w:color="auto" w:sz="8" w:space="0"/>
              <w:left w:val="single" w:color="auto" w:sz="8" w:space="0"/>
              <w:bottom w:val="single" w:color="auto" w:sz="8" w:space="0"/>
              <w:right w:val="single" w:color="auto" w:sz="8" w:space="0"/>
            </w:tcBorders>
            <w:noWrap w:val="0"/>
            <w:vAlign w:val="center"/>
          </w:tcPr>
          <w:p w14:paraId="02367329">
            <w:pPr>
              <w:widowControl/>
              <w:snapToGrid w:val="0"/>
              <w:spacing w:before="100" w:beforeAutospacing="1" w:after="100" w:afterAutospacing="1" w:line="320" w:lineRule="exact"/>
              <w:ind w:firstLine="420" w:firstLineChars="200"/>
              <w:jc w:val="left"/>
              <w:rPr>
                <w:rFonts w:ascii="宋体" w:hAnsi="宋体" w:cs="宋体"/>
                <w:color w:val="000000"/>
                <w:kern w:val="0"/>
                <w:szCs w:val="21"/>
              </w:rPr>
            </w:pPr>
            <w:r>
              <w:rPr>
                <w:rFonts w:hint="eastAsia" w:ascii="宋体" w:hAnsi="宋体" w:cs="宋体"/>
                <w:color w:val="000000"/>
                <w:kern w:val="0"/>
                <w:szCs w:val="21"/>
              </w:rPr>
              <w:t> </w:t>
            </w:r>
          </w:p>
        </w:tc>
      </w:tr>
      <w:tr w14:paraId="7D9CBF7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87" w:hRule="atLeast"/>
          <w:jc w:val="center"/>
        </w:trPr>
        <w:tc>
          <w:tcPr>
            <w:tcW w:w="792" w:type="pct"/>
            <w:tcBorders>
              <w:top w:val="single" w:color="auto" w:sz="8" w:space="0"/>
              <w:left w:val="single" w:color="auto" w:sz="8" w:space="0"/>
              <w:bottom w:val="single" w:color="auto" w:sz="8" w:space="0"/>
              <w:right w:val="single" w:color="auto" w:sz="8" w:space="0"/>
            </w:tcBorders>
            <w:noWrap w:val="0"/>
            <w:vAlign w:val="center"/>
          </w:tcPr>
          <w:p w14:paraId="0A6CFC90">
            <w:pPr>
              <w:widowControl/>
              <w:snapToGrid w:val="0"/>
              <w:spacing w:before="100" w:beforeAutospacing="1" w:after="100" w:afterAutospacing="1" w:line="320" w:lineRule="exact"/>
              <w:ind w:left="-3" w:firstLine="420" w:firstLineChars="200"/>
              <w:jc w:val="left"/>
              <w:rPr>
                <w:rFonts w:ascii="宋体" w:hAnsi="宋体" w:cs="宋体"/>
                <w:color w:val="000000"/>
                <w:kern w:val="0"/>
                <w:szCs w:val="21"/>
              </w:rPr>
            </w:pPr>
            <w:r>
              <w:rPr>
                <w:rFonts w:hint="eastAsia" w:ascii="宋体" w:hAnsi="宋体" w:cs="宋体"/>
                <w:color w:val="000000"/>
                <w:kern w:val="0"/>
                <w:szCs w:val="21"/>
              </w:rPr>
              <w:t> </w:t>
            </w:r>
          </w:p>
        </w:tc>
        <w:tc>
          <w:tcPr>
            <w:tcW w:w="1191" w:type="pct"/>
            <w:tcBorders>
              <w:top w:val="single" w:color="auto" w:sz="8" w:space="0"/>
              <w:left w:val="single" w:color="auto" w:sz="8" w:space="0"/>
              <w:bottom w:val="single" w:color="auto" w:sz="8" w:space="0"/>
              <w:right w:val="single" w:color="auto" w:sz="8" w:space="0"/>
            </w:tcBorders>
            <w:noWrap w:val="0"/>
            <w:vAlign w:val="center"/>
          </w:tcPr>
          <w:p w14:paraId="0E04931B">
            <w:pPr>
              <w:widowControl/>
              <w:snapToGrid w:val="0"/>
              <w:spacing w:before="100" w:beforeAutospacing="1" w:after="100" w:afterAutospacing="1" w:line="320" w:lineRule="exact"/>
              <w:ind w:left="-3" w:firstLine="420" w:firstLineChars="200"/>
              <w:jc w:val="left"/>
              <w:rPr>
                <w:rFonts w:ascii="宋体" w:hAnsi="宋体" w:cs="宋体"/>
                <w:color w:val="000000"/>
                <w:kern w:val="0"/>
                <w:szCs w:val="21"/>
              </w:rPr>
            </w:pPr>
            <w:r>
              <w:rPr>
                <w:rFonts w:hint="eastAsia" w:ascii="宋体" w:hAnsi="宋体" w:cs="宋体"/>
                <w:color w:val="000000"/>
                <w:kern w:val="0"/>
                <w:szCs w:val="21"/>
              </w:rPr>
              <w:t> </w:t>
            </w:r>
          </w:p>
        </w:tc>
        <w:tc>
          <w:tcPr>
            <w:tcW w:w="1787" w:type="pct"/>
            <w:gridSpan w:val="2"/>
            <w:tcBorders>
              <w:top w:val="single" w:color="auto" w:sz="8" w:space="0"/>
              <w:left w:val="single" w:color="auto" w:sz="8" w:space="0"/>
              <w:bottom w:val="single" w:color="auto" w:sz="8" w:space="0"/>
              <w:right w:val="single" w:color="auto" w:sz="8" w:space="0"/>
            </w:tcBorders>
            <w:noWrap w:val="0"/>
            <w:vAlign w:val="center"/>
          </w:tcPr>
          <w:p w14:paraId="3E8DCC70">
            <w:pPr>
              <w:widowControl/>
              <w:snapToGrid w:val="0"/>
              <w:spacing w:before="100" w:beforeAutospacing="1" w:after="100" w:afterAutospacing="1" w:line="320" w:lineRule="exact"/>
              <w:ind w:left="-3" w:firstLine="420" w:firstLineChars="200"/>
              <w:jc w:val="left"/>
              <w:rPr>
                <w:rFonts w:ascii="宋体" w:hAnsi="宋体" w:cs="宋体"/>
                <w:color w:val="000000"/>
                <w:kern w:val="0"/>
                <w:szCs w:val="21"/>
              </w:rPr>
            </w:pPr>
            <w:r>
              <w:rPr>
                <w:rFonts w:hint="eastAsia" w:ascii="宋体" w:hAnsi="宋体" w:cs="宋体"/>
                <w:color w:val="000000"/>
                <w:kern w:val="0"/>
                <w:szCs w:val="21"/>
              </w:rPr>
              <w:t> </w:t>
            </w:r>
          </w:p>
        </w:tc>
        <w:tc>
          <w:tcPr>
            <w:tcW w:w="517" w:type="pct"/>
            <w:gridSpan w:val="2"/>
            <w:tcBorders>
              <w:top w:val="single" w:color="auto" w:sz="8" w:space="0"/>
              <w:left w:val="single" w:color="auto" w:sz="8" w:space="0"/>
              <w:bottom w:val="single" w:color="auto" w:sz="8" w:space="0"/>
              <w:right w:val="single" w:color="auto" w:sz="8" w:space="0"/>
            </w:tcBorders>
            <w:noWrap w:val="0"/>
            <w:vAlign w:val="center"/>
          </w:tcPr>
          <w:p w14:paraId="5C92068D">
            <w:pPr>
              <w:widowControl/>
              <w:snapToGrid w:val="0"/>
              <w:spacing w:before="100" w:beforeAutospacing="1" w:after="100" w:afterAutospacing="1" w:line="320" w:lineRule="exact"/>
              <w:ind w:firstLine="420" w:firstLineChars="200"/>
              <w:jc w:val="left"/>
              <w:rPr>
                <w:rFonts w:ascii="宋体" w:hAnsi="宋体" w:cs="宋体"/>
                <w:color w:val="000000"/>
                <w:kern w:val="0"/>
                <w:szCs w:val="21"/>
              </w:rPr>
            </w:pPr>
            <w:r>
              <w:rPr>
                <w:rFonts w:hint="eastAsia" w:ascii="宋体" w:hAnsi="宋体" w:cs="宋体"/>
                <w:color w:val="000000"/>
                <w:kern w:val="0"/>
                <w:szCs w:val="21"/>
              </w:rPr>
              <w:t> </w:t>
            </w:r>
          </w:p>
        </w:tc>
        <w:tc>
          <w:tcPr>
            <w:tcW w:w="710" w:type="pct"/>
            <w:tcBorders>
              <w:top w:val="single" w:color="auto" w:sz="8" w:space="0"/>
              <w:left w:val="single" w:color="auto" w:sz="8" w:space="0"/>
              <w:bottom w:val="single" w:color="auto" w:sz="8" w:space="0"/>
              <w:right w:val="single" w:color="auto" w:sz="8" w:space="0"/>
            </w:tcBorders>
            <w:noWrap w:val="0"/>
            <w:vAlign w:val="center"/>
          </w:tcPr>
          <w:p w14:paraId="39A4562A">
            <w:pPr>
              <w:widowControl/>
              <w:snapToGrid w:val="0"/>
              <w:spacing w:before="100" w:beforeAutospacing="1" w:after="100" w:afterAutospacing="1" w:line="320" w:lineRule="exact"/>
              <w:ind w:firstLine="420" w:firstLineChars="200"/>
              <w:jc w:val="left"/>
              <w:rPr>
                <w:rFonts w:ascii="宋体" w:hAnsi="宋体" w:cs="宋体"/>
                <w:color w:val="000000"/>
                <w:kern w:val="0"/>
                <w:szCs w:val="21"/>
              </w:rPr>
            </w:pPr>
            <w:r>
              <w:rPr>
                <w:rFonts w:hint="eastAsia" w:ascii="宋体" w:hAnsi="宋体" w:cs="宋体"/>
                <w:color w:val="000000"/>
                <w:kern w:val="0"/>
                <w:szCs w:val="21"/>
              </w:rPr>
              <w:t> </w:t>
            </w:r>
          </w:p>
        </w:tc>
      </w:tr>
      <w:tr w14:paraId="1248E7A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87" w:hRule="atLeast"/>
          <w:jc w:val="center"/>
        </w:trPr>
        <w:tc>
          <w:tcPr>
            <w:tcW w:w="3771" w:type="pct"/>
            <w:gridSpan w:val="4"/>
            <w:tcBorders>
              <w:top w:val="single" w:color="auto" w:sz="8" w:space="0"/>
              <w:left w:val="single" w:color="auto" w:sz="8" w:space="0"/>
              <w:bottom w:val="single" w:color="auto" w:sz="8" w:space="0"/>
              <w:right w:val="single" w:color="auto" w:sz="8" w:space="0"/>
            </w:tcBorders>
            <w:noWrap w:val="0"/>
            <w:vAlign w:val="center"/>
          </w:tcPr>
          <w:p w14:paraId="574BB595">
            <w:pPr>
              <w:widowControl/>
              <w:snapToGrid w:val="0"/>
              <w:spacing w:before="100" w:beforeAutospacing="1" w:after="100" w:afterAutospacing="1" w:line="320" w:lineRule="exact"/>
              <w:ind w:left="-3" w:firstLine="4" w:firstLineChars="2"/>
              <w:jc w:val="left"/>
              <w:rPr>
                <w:rFonts w:ascii="宋体" w:hAnsi="宋体" w:cs="宋体"/>
                <w:color w:val="000000"/>
                <w:kern w:val="0"/>
                <w:szCs w:val="21"/>
              </w:rPr>
            </w:pPr>
            <w:r>
              <w:rPr>
                <w:rFonts w:hint="eastAsia" w:ascii="宋体" w:hAnsi="宋体" w:cs="宋体"/>
                <w:color w:val="000000"/>
                <w:kern w:val="0"/>
                <w:szCs w:val="21"/>
              </w:rPr>
              <w:t>合        计</w:t>
            </w:r>
          </w:p>
        </w:tc>
        <w:tc>
          <w:tcPr>
            <w:tcW w:w="517" w:type="pct"/>
            <w:gridSpan w:val="2"/>
            <w:tcBorders>
              <w:top w:val="single" w:color="auto" w:sz="8" w:space="0"/>
              <w:left w:val="single" w:color="auto" w:sz="8" w:space="0"/>
              <w:bottom w:val="single" w:color="auto" w:sz="8" w:space="0"/>
              <w:right w:val="single" w:color="auto" w:sz="8" w:space="0"/>
            </w:tcBorders>
            <w:noWrap w:val="0"/>
            <w:vAlign w:val="center"/>
          </w:tcPr>
          <w:p w14:paraId="28186C06">
            <w:pPr>
              <w:widowControl/>
              <w:snapToGrid w:val="0"/>
              <w:spacing w:before="100" w:beforeAutospacing="1" w:after="100" w:afterAutospacing="1" w:line="320" w:lineRule="exact"/>
              <w:ind w:firstLine="420" w:firstLineChars="200"/>
              <w:jc w:val="left"/>
              <w:rPr>
                <w:rFonts w:ascii="宋体" w:hAnsi="宋体" w:cs="宋体"/>
                <w:color w:val="000000"/>
                <w:kern w:val="0"/>
                <w:szCs w:val="21"/>
              </w:rPr>
            </w:pPr>
            <w:r>
              <w:rPr>
                <w:rFonts w:hint="eastAsia" w:ascii="宋体" w:hAnsi="宋体" w:cs="宋体"/>
                <w:color w:val="000000"/>
                <w:kern w:val="0"/>
                <w:szCs w:val="21"/>
              </w:rPr>
              <w:t> </w:t>
            </w:r>
          </w:p>
        </w:tc>
        <w:tc>
          <w:tcPr>
            <w:tcW w:w="710" w:type="pct"/>
            <w:tcBorders>
              <w:top w:val="single" w:color="auto" w:sz="8" w:space="0"/>
              <w:left w:val="single" w:color="auto" w:sz="8" w:space="0"/>
              <w:bottom w:val="single" w:color="auto" w:sz="8" w:space="0"/>
              <w:right w:val="single" w:color="auto" w:sz="8" w:space="0"/>
            </w:tcBorders>
            <w:noWrap w:val="0"/>
            <w:vAlign w:val="center"/>
          </w:tcPr>
          <w:p w14:paraId="446DBD72">
            <w:pPr>
              <w:widowControl/>
              <w:snapToGrid w:val="0"/>
              <w:spacing w:before="100" w:beforeAutospacing="1" w:after="100" w:afterAutospacing="1" w:line="320" w:lineRule="exact"/>
              <w:ind w:firstLine="420" w:firstLineChars="200"/>
              <w:jc w:val="left"/>
              <w:rPr>
                <w:rFonts w:ascii="宋体" w:hAnsi="宋体" w:cs="宋体"/>
                <w:color w:val="000000"/>
                <w:kern w:val="0"/>
                <w:szCs w:val="21"/>
              </w:rPr>
            </w:pPr>
            <w:r>
              <w:rPr>
                <w:rFonts w:hint="eastAsia" w:ascii="宋体" w:hAnsi="宋体" w:cs="宋体"/>
                <w:color w:val="000000"/>
                <w:kern w:val="0"/>
                <w:szCs w:val="21"/>
              </w:rPr>
              <w:t> </w:t>
            </w:r>
          </w:p>
        </w:tc>
      </w:tr>
      <w:tr w14:paraId="09D0E46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41" w:hRule="atLeast"/>
          <w:jc w:val="center"/>
        </w:trPr>
        <w:tc>
          <w:tcPr>
            <w:tcW w:w="5000" w:type="pct"/>
            <w:gridSpan w:val="7"/>
            <w:tcBorders>
              <w:top w:val="single" w:color="auto" w:sz="8" w:space="0"/>
              <w:left w:val="single" w:color="auto" w:sz="8" w:space="0"/>
              <w:bottom w:val="single" w:color="auto" w:sz="8" w:space="0"/>
              <w:right w:val="single" w:color="auto" w:sz="8" w:space="0"/>
            </w:tcBorders>
            <w:noWrap w:val="0"/>
            <w:vAlign w:val="center"/>
          </w:tcPr>
          <w:p w14:paraId="05D32710">
            <w:pPr>
              <w:widowControl/>
              <w:snapToGrid w:val="0"/>
              <w:spacing w:before="100" w:beforeAutospacing="1" w:after="100" w:afterAutospacing="1" w:line="320" w:lineRule="exact"/>
              <w:ind w:firstLine="2" w:firstLineChars="1"/>
              <w:jc w:val="left"/>
              <w:rPr>
                <w:rFonts w:ascii="宋体" w:hAnsi="宋体" w:cs="宋体"/>
                <w:color w:val="000000"/>
                <w:kern w:val="0"/>
                <w:szCs w:val="21"/>
              </w:rPr>
            </w:pPr>
            <w:r>
              <w:rPr>
                <w:rFonts w:hint="eastAsia" w:ascii="宋体" w:hAnsi="宋体" w:cs="宋体"/>
                <w:color w:val="000000"/>
                <w:kern w:val="0"/>
                <w:szCs w:val="21"/>
              </w:rPr>
              <w:t>合计大写金额：   仟   佰   拾   万   仟   佰   拾   元</w:t>
            </w:r>
          </w:p>
        </w:tc>
      </w:tr>
      <w:tr w14:paraId="5153859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41" w:hRule="atLeast"/>
          <w:jc w:val="center"/>
        </w:trPr>
        <w:tc>
          <w:tcPr>
            <w:tcW w:w="792" w:type="pct"/>
            <w:tcBorders>
              <w:top w:val="single" w:color="auto" w:sz="8" w:space="0"/>
              <w:left w:val="single" w:color="auto" w:sz="8" w:space="0"/>
              <w:bottom w:val="single" w:color="auto" w:sz="8" w:space="0"/>
              <w:right w:val="single" w:color="auto" w:sz="8" w:space="0"/>
            </w:tcBorders>
            <w:noWrap w:val="0"/>
            <w:vAlign w:val="center"/>
          </w:tcPr>
          <w:p w14:paraId="0D7EFFCA">
            <w:pPr>
              <w:widowControl/>
              <w:snapToGrid w:val="0"/>
              <w:spacing w:before="100" w:beforeAutospacing="1" w:after="100" w:afterAutospacing="1" w:line="320" w:lineRule="exact"/>
              <w:ind w:firstLine="2" w:firstLineChars="1"/>
              <w:jc w:val="left"/>
              <w:rPr>
                <w:rFonts w:ascii="宋体" w:hAnsi="宋体" w:cs="宋体"/>
                <w:color w:val="000000"/>
                <w:kern w:val="0"/>
                <w:szCs w:val="21"/>
              </w:rPr>
            </w:pPr>
            <w:r>
              <w:rPr>
                <w:rFonts w:hint="eastAsia" w:ascii="宋体" w:hAnsi="宋体" w:cs="宋体"/>
                <w:color w:val="000000"/>
                <w:kern w:val="0"/>
                <w:szCs w:val="21"/>
              </w:rPr>
              <w:t>实际供货日期</w:t>
            </w:r>
          </w:p>
        </w:tc>
        <w:tc>
          <w:tcPr>
            <w:tcW w:w="1682" w:type="pct"/>
            <w:gridSpan w:val="2"/>
            <w:tcBorders>
              <w:top w:val="single" w:color="auto" w:sz="8" w:space="0"/>
              <w:left w:val="single" w:color="auto" w:sz="8" w:space="0"/>
              <w:bottom w:val="single" w:color="auto" w:sz="8" w:space="0"/>
              <w:right w:val="single" w:color="auto" w:sz="8" w:space="0"/>
            </w:tcBorders>
            <w:noWrap w:val="0"/>
            <w:vAlign w:val="center"/>
          </w:tcPr>
          <w:p w14:paraId="077D6B9B">
            <w:pPr>
              <w:snapToGrid w:val="0"/>
              <w:spacing w:before="100" w:beforeAutospacing="1" w:after="100" w:afterAutospacing="1" w:line="320" w:lineRule="exact"/>
              <w:ind w:firstLine="420" w:firstLineChars="200"/>
              <w:jc w:val="left"/>
              <w:rPr>
                <w:rFonts w:ascii="宋体" w:hAnsi="宋体" w:cs="宋体"/>
                <w:color w:val="000000"/>
                <w:kern w:val="0"/>
                <w:szCs w:val="21"/>
              </w:rPr>
            </w:pPr>
          </w:p>
        </w:tc>
        <w:tc>
          <w:tcPr>
            <w:tcW w:w="1402" w:type="pct"/>
            <w:gridSpan w:val="2"/>
            <w:tcBorders>
              <w:top w:val="single" w:color="auto" w:sz="8" w:space="0"/>
              <w:left w:val="single" w:color="auto" w:sz="8" w:space="0"/>
              <w:bottom w:val="single" w:color="auto" w:sz="8" w:space="0"/>
              <w:right w:val="single" w:color="auto" w:sz="8" w:space="0"/>
            </w:tcBorders>
            <w:noWrap w:val="0"/>
            <w:vAlign w:val="center"/>
          </w:tcPr>
          <w:p w14:paraId="118C40E8">
            <w:pPr>
              <w:snapToGrid w:val="0"/>
              <w:spacing w:before="100" w:beforeAutospacing="1" w:after="100" w:afterAutospacing="1" w:line="320" w:lineRule="exact"/>
              <w:ind w:firstLine="39" w:firstLineChars="19"/>
              <w:jc w:val="center"/>
              <w:rPr>
                <w:rFonts w:ascii="宋体" w:hAnsi="宋体" w:cs="宋体"/>
                <w:color w:val="000000"/>
                <w:kern w:val="0"/>
                <w:szCs w:val="21"/>
              </w:rPr>
            </w:pPr>
            <w:r>
              <w:rPr>
                <w:rFonts w:hint="eastAsia" w:ascii="宋体" w:hAnsi="宋体" w:cs="宋体"/>
                <w:color w:val="000000"/>
                <w:kern w:val="0"/>
                <w:szCs w:val="21"/>
              </w:rPr>
              <w:t>合同交货验收日期</w:t>
            </w:r>
          </w:p>
        </w:tc>
        <w:tc>
          <w:tcPr>
            <w:tcW w:w="1122" w:type="pct"/>
            <w:gridSpan w:val="2"/>
            <w:tcBorders>
              <w:top w:val="single" w:color="auto" w:sz="8" w:space="0"/>
              <w:left w:val="single" w:color="auto" w:sz="8" w:space="0"/>
              <w:bottom w:val="single" w:color="auto" w:sz="8" w:space="0"/>
              <w:right w:val="single" w:color="auto" w:sz="8" w:space="0"/>
            </w:tcBorders>
            <w:noWrap w:val="0"/>
            <w:vAlign w:val="center"/>
          </w:tcPr>
          <w:p w14:paraId="6B58546C">
            <w:pPr>
              <w:snapToGrid w:val="0"/>
              <w:spacing w:before="100" w:beforeAutospacing="1" w:after="100" w:afterAutospacing="1" w:line="320" w:lineRule="exact"/>
              <w:ind w:firstLine="420" w:firstLineChars="200"/>
              <w:jc w:val="left"/>
              <w:rPr>
                <w:rFonts w:ascii="宋体" w:hAnsi="宋体" w:cs="宋体"/>
                <w:color w:val="000000"/>
                <w:kern w:val="0"/>
                <w:szCs w:val="21"/>
              </w:rPr>
            </w:pPr>
          </w:p>
        </w:tc>
      </w:tr>
      <w:tr w14:paraId="0A32CAB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94" w:hRule="atLeast"/>
          <w:jc w:val="center"/>
        </w:trPr>
        <w:tc>
          <w:tcPr>
            <w:tcW w:w="792" w:type="pct"/>
            <w:tcBorders>
              <w:top w:val="single" w:color="auto" w:sz="8" w:space="0"/>
              <w:left w:val="single" w:color="auto" w:sz="8" w:space="0"/>
              <w:bottom w:val="single" w:color="auto" w:sz="8" w:space="0"/>
              <w:right w:val="single" w:color="auto" w:sz="8" w:space="0"/>
            </w:tcBorders>
            <w:noWrap w:val="0"/>
            <w:vAlign w:val="center"/>
          </w:tcPr>
          <w:p w14:paraId="1FFB00FD">
            <w:pPr>
              <w:widowControl/>
              <w:snapToGrid w:val="0"/>
              <w:spacing w:before="100" w:beforeAutospacing="1" w:after="100" w:afterAutospacing="1" w:line="320" w:lineRule="exact"/>
              <w:ind w:firstLine="420" w:firstLineChars="200"/>
              <w:jc w:val="left"/>
              <w:rPr>
                <w:rFonts w:ascii="宋体" w:hAnsi="宋体" w:cs="宋体"/>
                <w:color w:val="000000"/>
                <w:kern w:val="0"/>
                <w:szCs w:val="21"/>
              </w:rPr>
            </w:pPr>
          </w:p>
        </w:tc>
        <w:tc>
          <w:tcPr>
            <w:tcW w:w="1682" w:type="pct"/>
            <w:gridSpan w:val="2"/>
            <w:tcBorders>
              <w:top w:val="single" w:color="auto" w:sz="8" w:space="0"/>
              <w:left w:val="single" w:color="auto" w:sz="8" w:space="0"/>
              <w:bottom w:val="single" w:color="auto" w:sz="8" w:space="0"/>
              <w:right w:val="single" w:color="auto" w:sz="8" w:space="0"/>
            </w:tcBorders>
            <w:noWrap w:val="0"/>
            <w:vAlign w:val="center"/>
          </w:tcPr>
          <w:p w14:paraId="5E8D72A6">
            <w:pPr>
              <w:snapToGrid w:val="0"/>
              <w:spacing w:before="100" w:beforeAutospacing="1" w:after="100" w:afterAutospacing="1" w:line="320" w:lineRule="exact"/>
              <w:ind w:firstLine="420" w:firstLineChars="200"/>
              <w:jc w:val="left"/>
              <w:rPr>
                <w:rFonts w:ascii="宋体" w:hAnsi="宋体" w:cs="宋体"/>
                <w:color w:val="000000"/>
                <w:kern w:val="0"/>
                <w:szCs w:val="21"/>
              </w:rPr>
            </w:pPr>
          </w:p>
        </w:tc>
        <w:tc>
          <w:tcPr>
            <w:tcW w:w="1402" w:type="pct"/>
            <w:gridSpan w:val="2"/>
            <w:tcBorders>
              <w:top w:val="single" w:color="auto" w:sz="8" w:space="0"/>
              <w:left w:val="single" w:color="auto" w:sz="8" w:space="0"/>
              <w:bottom w:val="single" w:color="auto" w:sz="8" w:space="0"/>
              <w:right w:val="single" w:color="auto" w:sz="8" w:space="0"/>
            </w:tcBorders>
            <w:noWrap w:val="0"/>
            <w:vAlign w:val="center"/>
          </w:tcPr>
          <w:p w14:paraId="7C6495FB">
            <w:pPr>
              <w:snapToGrid w:val="0"/>
              <w:spacing w:before="100" w:beforeAutospacing="1" w:after="100" w:afterAutospacing="1" w:line="320" w:lineRule="exact"/>
              <w:ind w:left="590" w:firstLine="420" w:firstLineChars="200"/>
              <w:jc w:val="left"/>
              <w:rPr>
                <w:rFonts w:ascii="宋体" w:hAnsi="宋体" w:cs="宋体"/>
                <w:color w:val="000000"/>
                <w:kern w:val="0"/>
                <w:szCs w:val="21"/>
              </w:rPr>
            </w:pPr>
          </w:p>
        </w:tc>
        <w:tc>
          <w:tcPr>
            <w:tcW w:w="1122" w:type="pct"/>
            <w:gridSpan w:val="2"/>
            <w:tcBorders>
              <w:top w:val="single" w:color="auto" w:sz="8" w:space="0"/>
              <w:left w:val="single" w:color="auto" w:sz="8" w:space="0"/>
              <w:bottom w:val="single" w:color="auto" w:sz="8" w:space="0"/>
              <w:right w:val="single" w:color="auto" w:sz="8" w:space="0"/>
            </w:tcBorders>
            <w:noWrap w:val="0"/>
            <w:vAlign w:val="center"/>
          </w:tcPr>
          <w:p w14:paraId="2A9CB238">
            <w:pPr>
              <w:snapToGrid w:val="0"/>
              <w:spacing w:before="100" w:beforeAutospacing="1" w:after="100" w:afterAutospacing="1" w:line="320" w:lineRule="exact"/>
              <w:ind w:firstLine="420" w:firstLineChars="200"/>
              <w:jc w:val="left"/>
              <w:rPr>
                <w:rFonts w:ascii="宋体" w:hAnsi="宋体" w:cs="宋体"/>
                <w:color w:val="000000"/>
                <w:kern w:val="0"/>
                <w:szCs w:val="21"/>
              </w:rPr>
            </w:pPr>
          </w:p>
        </w:tc>
      </w:tr>
      <w:tr w14:paraId="51B4298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93" w:hRule="atLeast"/>
          <w:jc w:val="center"/>
        </w:trPr>
        <w:tc>
          <w:tcPr>
            <w:tcW w:w="792" w:type="pct"/>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67F5FB85">
            <w:pPr>
              <w:widowControl/>
              <w:snapToGrid w:val="0"/>
              <w:spacing w:before="100" w:beforeAutospacing="1" w:after="100" w:afterAutospacing="1" w:line="320" w:lineRule="exact"/>
              <w:jc w:val="left"/>
              <w:rPr>
                <w:rFonts w:ascii="宋体" w:hAnsi="宋体" w:cs="宋体"/>
                <w:color w:val="000000"/>
                <w:kern w:val="0"/>
                <w:szCs w:val="21"/>
              </w:rPr>
            </w:pPr>
            <w:r>
              <w:rPr>
                <w:rFonts w:hint="eastAsia" w:ascii="宋体" w:hAnsi="宋体" w:cs="宋体"/>
                <w:color w:val="000000"/>
                <w:kern w:val="0"/>
                <w:szCs w:val="21"/>
              </w:rPr>
              <w:t>验收具体内容</w:t>
            </w:r>
          </w:p>
        </w:tc>
        <w:tc>
          <w:tcPr>
            <w:tcW w:w="4207" w:type="pct"/>
            <w:gridSpan w:val="6"/>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12706CF2">
            <w:pPr>
              <w:widowControl/>
              <w:snapToGrid w:val="0"/>
              <w:spacing w:before="100" w:beforeAutospacing="1" w:after="100" w:afterAutospacing="1" w:line="320" w:lineRule="exact"/>
              <w:jc w:val="left"/>
              <w:rPr>
                <w:rFonts w:ascii="宋体" w:hAnsi="宋体" w:cs="宋体"/>
                <w:color w:val="000000"/>
                <w:kern w:val="0"/>
                <w:szCs w:val="21"/>
              </w:rPr>
            </w:pPr>
            <w:r>
              <w:rPr>
                <w:rFonts w:hint="eastAsia" w:ascii="宋体" w:hAnsi="宋体"/>
                <w:color w:val="000000"/>
                <w:szCs w:val="21"/>
              </w:rPr>
              <w:t>（应</w:t>
            </w:r>
            <w:r>
              <w:rPr>
                <w:rFonts w:hint="eastAsia" w:ascii="宋体" w:hAnsi="宋体" w:cs="宋体"/>
                <w:color w:val="000000"/>
                <w:kern w:val="0"/>
                <w:szCs w:val="21"/>
              </w:rPr>
              <w:t>按采购合同、采购文件、磋商响应文件及验收方案等进行验收；并核对</w:t>
            </w:r>
            <w:r>
              <w:rPr>
                <w:rFonts w:hint="eastAsia" w:ascii="宋体" w:hAnsi="宋体"/>
                <w:color w:val="000000"/>
                <w:szCs w:val="21"/>
              </w:rPr>
              <w:t>中标或者成交供应商在安装调试等方面是否违反合同约定或服务规范要求、提供的质量保证证明材料是否齐全、应有的配件及附件是否达到合同约定等</w:t>
            </w:r>
            <w:r>
              <w:rPr>
                <w:rFonts w:hint="eastAsia" w:ascii="宋体" w:hAnsi="宋体" w:cs="宋体"/>
                <w:color w:val="000000"/>
                <w:kern w:val="0"/>
                <w:szCs w:val="21"/>
              </w:rPr>
              <w:t>。可附件)</w:t>
            </w:r>
          </w:p>
        </w:tc>
      </w:tr>
      <w:tr w14:paraId="61E7A26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281" w:hRule="atLeast"/>
          <w:jc w:val="center"/>
        </w:trPr>
        <w:tc>
          <w:tcPr>
            <w:tcW w:w="792" w:type="pct"/>
            <w:vMerge w:val="restart"/>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0CFA24DD">
            <w:pPr>
              <w:widowControl/>
              <w:spacing w:before="100" w:beforeAutospacing="1" w:after="100" w:afterAutospacing="1" w:line="320" w:lineRule="exact"/>
              <w:jc w:val="left"/>
              <w:rPr>
                <w:rFonts w:ascii="宋体" w:hAnsi="宋体" w:cs="宋体"/>
                <w:color w:val="000000"/>
                <w:kern w:val="0"/>
                <w:szCs w:val="21"/>
              </w:rPr>
            </w:pPr>
            <w:r>
              <w:rPr>
                <w:rFonts w:hint="eastAsia" w:ascii="宋体" w:hAnsi="宋体" w:cs="宋体"/>
                <w:color w:val="000000"/>
                <w:kern w:val="0"/>
                <w:szCs w:val="21"/>
              </w:rPr>
              <w:t>验收小组意见</w:t>
            </w:r>
          </w:p>
        </w:tc>
        <w:tc>
          <w:tcPr>
            <w:tcW w:w="4207" w:type="pct"/>
            <w:gridSpan w:val="6"/>
            <w:tcBorders>
              <w:top w:val="single" w:color="auto" w:sz="8" w:space="0"/>
              <w:left w:val="single" w:color="auto" w:sz="8" w:space="0"/>
              <w:bottom w:val="single" w:color="auto" w:sz="4" w:space="0"/>
              <w:right w:val="single" w:color="auto" w:sz="8" w:space="0"/>
            </w:tcBorders>
            <w:noWrap w:val="0"/>
            <w:vAlign w:val="center"/>
          </w:tcPr>
          <w:p w14:paraId="415100CF">
            <w:pPr>
              <w:widowControl/>
              <w:spacing w:before="100" w:beforeAutospacing="1" w:after="100" w:afterAutospacing="1" w:line="320" w:lineRule="exact"/>
              <w:ind w:firstLine="105" w:firstLineChars="50"/>
              <w:jc w:val="left"/>
              <w:rPr>
                <w:rFonts w:ascii="宋体" w:hAnsi="宋体" w:cs="宋体"/>
                <w:color w:val="000000"/>
                <w:kern w:val="0"/>
                <w:szCs w:val="21"/>
              </w:rPr>
            </w:pPr>
            <w:r>
              <w:rPr>
                <w:rFonts w:hint="eastAsia" w:ascii="宋体" w:hAnsi="宋体" w:cs="宋体"/>
                <w:color w:val="000000"/>
                <w:kern w:val="0"/>
                <w:szCs w:val="21"/>
              </w:rPr>
              <w:t>验收结论性意见：</w:t>
            </w:r>
          </w:p>
          <w:p w14:paraId="56386DBC">
            <w:pPr>
              <w:widowControl/>
              <w:spacing w:before="100" w:beforeAutospacing="1" w:after="100" w:afterAutospacing="1" w:line="320" w:lineRule="exact"/>
              <w:jc w:val="left"/>
              <w:rPr>
                <w:rFonts w:ascii="宋体" w:hAnsi="宋体" w:cs="宋体"/>
                <w:color w:val="000000"/>
                <w:kern w:val="0"/>
                <w:szCs w:val="21"/>
              </w:rPr>
            </w:pPr>
          </w:p>
        </w:tc>
      </w:tr>
      <w:tr w14:paraId="3610ABA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07" w:hRule="atLeast"/>
          <w:jc w:val="center"/>
        </w:trPr>
        <w:tc>
          <w:tcPr>
            <w:tcW w:w="792" w:type="pct"/>
            <w:vMerge w:val="continue"/>
            <w:tcBorders>
              <w:top w:val="single" w:color="auto" w:sz="8" w:space="0"/>
              <w:left w:val="single" w:color="auto" w:sz="8" w:space="0"/>
              <w:bottom w:val="single" w:color="auto" w:sz="8" w:space="0"/>
              <w:right w:val="single" w:color="auto" w:sz="8" w:space="0"/>
            </w:tcBorders>
            <w:noWrap w:val="0"/>
            <w:vAlign w:val="center"/>
          </w:tcPr>
          <w:p w14:paraId="53B810EC">
            <w:pPr>
              <w:widowControl/>
              <w:spacing w:line="320" w:lineRule="exact"/>
              <w:jc w:val="left"/>
              <w:rPr>
                <w:rFonts w:ascii="宋体" w:hAnsi="宋体" w:cs="宋体"/>
                <w:color w:val="000000"/>
                <w:kern w:val="0"/>
                <w:szCs w:val="21"/>
              </w:rPr>
            </w:pPr>
          </w:p>
        </w:tc>
        <w:tc>
          <w:tcPr>
            <w:tcW w:w="4207" w:type="pct"/>
            <w:gridSpan w:val="6"/>
            <w:tcBorders>
              <w:top w:val="single" w:color="auto" w:sz="4" w:space="0"/>
              <w:left w:val="single" w:color="auto" w:sz="8" w:space="0"/>
              <w:bottom w:val="single" w:color="auto" w:sz="8" w:space="0"/>
              <w:right w:val="single" w:color="auto" w:sz="8" w:space="0"/>
            </w:tcBorders>
            <w:noWrap w:val="0"/>
            <w:vAlign w:val="center"/>
          </w:tcPr>
          <w:p w14:paraId="73D60C27">
            <w:pPr>
              <w:spacing w:before="100" w:beforeAutospacing="1" w:after="100" w:afterAutospacing="1" w:line="320" w:lineRule="exact"/>
              <w:ind w:firstLine="84" w:firstLineChars="40"/>
              <w:jc w:val="left"/>
              <w:rPr>
                <w:rFonts w:ascii="宋体" w:hAnsi="宋体" w:cs="宋体"/>
                <w:color w:val="000000"/>
                <w:kern w:val="0"/>
                <w:szCs w:val="21"/>
              </w:rPr>
            </w:pPr>
            <w:r>
              <w:rPr>
                <w:rFonts w:hint="eastAsia" w:ascii="宋体" w:hAnsi="宋体" w:cs="宋体"/>
                <w:color w:val="000000"/>
                <w:kern w:val="0"/>
                <w:szCs w:val="21"/>
              </w:rPr>
              <w:t>有异议的意见和说明理由：</w:t>
            </w:r>
          </w:p>
          <w:p w14:paraId="0613418E">
            <w:pPr>
              <w:spacing w:before="100" w:beforeAutospacing="1" w:after="100" w:afterAutospacing="1" w:line="320" w:lineRule="exact"/>
              <w:jc w:val="left"/>
              <w:rPr>
                <w:rFonts w:ascii="宋体" w:hAnsi="宋体" w:cs="宋体"/>
                <w:color w:val="000000"/>
                <w:kern w:val="0"/>
                <w:szCs w:val="21"/>
              </w:rPr>
            </w:pPr>
            <w:r>
              <w:rPr>
                <w:rFonts w:hint="eastAsia" w:ascii="宋体" w:hAnsi="宋体" w:cs="宋体"/>
                <w:color w:val="000000"/>
                <w:kern w:val="0"/>
                <w:szCs w:val="21"/>
              </w:rPr>
              <w:t xml:space="preserve">                                      签字：</w:t>
            </w:r>
          </w:p>
        </w:tc>
      </w:tr>
      <w:tr w14:paraId="208B9E4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07" w:hRule="atLeast"/>
          <w:jc w:val="center"/>
        </w:trPr>
        <w:tc>
          <w:tcPr>
            <w:tcW w:w="5000" w:type="pct"/>
            <w:gridSpan w:val="7"/>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2A83C094">
            <w:pPr>
              <w:widowControl/>
              <w:spacing w:before="100" w:beforeAutospacing="1" w:after="100" w:afterAutospacing="1" w:line="320" w:lineRule="exact"/>
              <w:jc w:val="left"/>
              <w:rPr>
                <w:rFonts w:ascii="宋体" w:hAnsi="宋体" w:cs="宋体"/>
                <w:color w:val="000000"/>
                <w:kern w:val="0"/>
                <w:szCs w:val="21"/>
              </w:rPr>
            </w:pPr>
            <w:r>
              <w:rPr>
                <w:rFonts w:hint="eastAsia" w:ascii="宋体" w:hAnsi="宋体" w:cs="宋体"/>
                <w:color w:val="000000"/>
                <w:kern w:val="0"/>
                <w:szCs w:val="21"/>
              </w:rPr>
              <w:t>验收小组成员签字：</w:t>
            </w:r>
          </w:p>
        </w:tc>
      </w:tr>
      <w:tr w14:paraId="1D5B4EC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736" w:hRule="atLeast"/>
          <w:jc w:val="center"/>
        </w:trPr>
        <w:tc>
          <w:tcPr>
            <w:tcW w:w="5000" w:type="pct"/>
            <w:gridSpan w:val="7"/>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6A669B7D">
            <w:pPr>
              <w:widowControl/>
              <w:spacing w:before="100" w:beforeAutospacing="1" w:after="100" w:afterAutospacing="1" w:line="320" w:lineRule="exact"/>
              <w:jc w:val="left"/>
              <w:rPr>
                <w:rFonts w:ascii="宋体" w:hAnsi="宋体" w:cs="宋体"/>
                <w:color w:val="000000"/>
                <w:kern w:val="0"/>
                <w:szCs w:val="21"/>
              </w:rPr>
            </w:pPr>
            <w:r>
              <w:rPr>
                <w:rFonts w:hint="eastAsia" w:ascii="宋体" w:hAnsi="宋体" w:cs="宋体"/>
                <w:color w:val="000000"/>
                <w:kern w:val="0"/>
                <w:szCs w:val="21"/>
              </w:rPr>
              <w:t>监督人员或其他相关人员签字：</w:t>
            </w:r>
          </w:p>
          <w:p w14:paraId="689D267D">
            <w:pPr>
              <w:widowControl/>
              <w:spacing w:before="100" w:beforeAutospacing="1" w:after="100" w:afterAutospacing="1" w:line="320" w:lineRule="exact"/>
              <w:ind w:firstLine="65" w:firstLineChars="31"/>
              <w:jc w:val="left"/>
              <w:rPr>
                <w:rFonts w:ascii="宋体" w:hAnsi="宋体" w:cs="宋体"/>
                <w:color w:val="000000"/>
                <w:kern w:val="0"/>
                <w:szCs w:val="21"/>
              </w:rPr>
            </w:pPr>
            <w:r>
              <w:rPr>
                <w:rFonts w:hint="eastAsia" w:ascii="宋体" w:hAnsi="宋体" w:cs="宋体"/>
                <w:color w:val="000000"/>
                <w:kern w:val="0"/>
                <w:szCs w:val="21"/>
              </w:rPr>
              <w:t>或受邀机构的意见（盖章）：</w:t>
            </w:r>
          </w:p>
        </w:tc>
      </w:tr>
      <w:tr w14:paraId="6316809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758" w:hRule="atLeast"/>
          <w:jc w:val="center"/>
        </w:trPr>
        <w:tc>
          <w:tcPr>
            <w:tcW w:w="2475" w:type="pct"/>
            <w:gridSpan w:val="3"/>
            <w:tcBorders>
              <w:top w:val="single" w:color="auto" w:sz="8" w:space="0"/>
              <w:left w:val="single" w:color="auto" w:sz="8" w:space="0"/>
              <w:bottom w:val="single" w:color="auto" w:sz="8" w:space="0"/>
              <w:right w:val="nil"/>
            </w:tcBorders>
            <w:noWrap w:val="0"/>
            <w:tcMar>
              <w:top w:w="0" w:type="dxa"/>
              <w:left w:w="108" w:type="dxa"/>
              <w:bottom w:w="0" w:type="dxa"/>
              <w:right w:w="108" w:type="dxa"/>
            </w:tcMar>
            <w:vAlign w:val="center"/>
          </w:tcPr>
          <w:p w14:paraId="134ABD17">
            <w:pPr>
              <w:widowControl/>
              <w:spacing w:before="100" w:beforeAutospacing="1" w:after="100" w:afterAutospacing="1" w:line="320" w:lineRule="exact"/>
              <w:ind w:firstLine="65" w:firstLineChars="31"/>
              <w:jc w:val="left"/>
              <w:rPr>
                <w:rFonts w:ascii="宋体" w:hAnsi="宋体" w:cs="宋体"/>
                <w:color w:val="000000"/>
                <w:kern w:val="0"/>
                <w:szCs w:val="21"/>
              </w:rPr>
            </w:pPr>
            <w:r>
              <w:rPr>
                <w:rFonts w:hint="eastAsia" w:ascii="宋体" w:hAnsi="宋体" w:cs="宋体"/>
                <w:color w:val="000000"/>
                <w:kern w:val="0"/>
                <w:szCs w:val="21"/>
              </w:rPr>
              <w:t>中标或者成交供应商负责人签字或盖章：</w:t>
            </w:r>
          </w:p>
          <w:p w14:paraId="18D0052B">
            <w:pPr>
              <w:widowControl/>
              <w:spacing w:before="100" w:beforeAutospacing="1" w:after="100" w:afterAutospacing="1" w:line="320" w:lineRule="exact"/>
              <w:jc w:val="left"/>
              <w:rPr>
                <w:rFonts w:ascii="宋体" w:hAnsi="宋体" w:cs="宋体"/>
                <w:color w:val="000000"/>
                <w:kern w:val="0"/>
                <w:szCs w:val="21"/>
              </w:rPr>
            </w:pPr>
            <w:r>
              <w:rPr>
                <w:rFonts w:hint="eastAsia" w:ascii="宋体" w:hAnsi="宋体" w:cs="宋体"/>
                <w:color w:val="000000"/>
                <w:kern w:val="0"/>
                <w:szCs w:val="21"/>
              </w:rPr>
              <w:t>联系电话：         年 月 日</w:t>
            </w:r>
          </w:p>
        </w:tc>
        <w:tc>
          <w:tcPr>
            <w:tcW w:w="2524" w:type="pct"/>
            <w:gridSpan w:val="4"/>
            <w:tcBorders>
              <w:top w:val="single" w:color="auto" w:sz="8" w:space="0"/>
              <w:left w:val="nil"/>
              <w:bottom w:val="single" w:color="auto" w:sz="8" w:space="0"/>
              <w:right w:val="single" w:color="auto" w:sz="8" w:space="0"/>
            </w:tcBorders>
            <w:noWrap w:val="0"/>
            <w:vAlign w:val="center"/>
          </w:tcPr>
          <w:p w14:paraId="3F9353DF">
            <w:pPr>
              <w:widowControl/>
              <w:spacing w:before="100" w:beforeAutospacing="1" w:after="100" w:afterAutospacing="1" w:line="320" w:lineRule="exact"/>
              <w:jc w:val="left"/>
              <w:rPr>
                <w:rFonts w:ascii="宋体" w:hAnsi="宋体" w:cs="宋体"/>
                <w:color w:val="000000"/>
                <w:kern w:val="0"/>
                <w:szCs w:val="21"/>
              </w:rPr>
            </w:pPr>
            <w:r>
              <w:rPr>
                <w:rFonts w:hint="eastAsia" w:ascii="宋体" w:hAnsi="宋体" w:cs="宋体"/>
                <w:color w:val="000000"/>
                <w:kern w:val="0"/>
                <w:szCs w:val="21"/>
              </w:rPr>
              <w:t> 采购人或受托机构的意见（盖章）：</w:t>
            </w:r>
          </w:p>
          <w:p w14:paraId="5220F607">
            <w:pPr>
              <w:widowControl/>
              <w:spacing w:before="100" w:beforeAutospacing="1" w:after="100" w:afterAutospacing="1" w:line="320" w:lineRule="exact"/>
              <w:jc w:val="left"/>
              <w:rPr>
                <w:rFonts w:ascii="宋体" w:hAnsi="宋体" w:cs="宋体"/>
                <w:color w:val="000000"/>
                <w:kern w:val="0"/>
                <w:szCs w:val="21"/>
              </w:rPr>
            </w:pPr>
            <w:r>
              <w:rPr>
                <w:rFonts w:hint="eastAsia" w:ascii="宋体" w:hAnsi="宋体" w:cs="宋体"/>
                <w:color w:val="000000"/>
                <w:kern w:val="0"/>
                <w:szCs w:val="21"/>
              </w:rPr>
              <w:t>联系电话：                 年   月   日</w:t>
            </w:r>
          </w:p>
        </w:tc>
      </w:tr>
    </w:tbl>
    <w:p w14:paraId="4FD20AF0">
      <w:pPr>
        <w:pStyle w:val="11"/>
        <w:keepNext w:val="0"/>
        <w:keepLines w:val="0"/>
        <w:pageBreakBefore w:val="0"/>
        <w:widowControl w:val="0"/>
        <w:kinsoku/>
        <w:wordWrap/>
        <w:overflowPunct/>
        <w:topLinePunct w:val="0"/>
        <w:autoSpaceDE/>
        <w:autoSpaceDN/>
        <w:bidi w:val="0"/>
        <w:adjustRightInd/>
        <w:snapToGrid/>
        <w:spacing w:line="240" w:lineRule="auto"/>
        <w:textAlignment w:val="auto"/>
        <w:rPr>
          <w:w w:val="90"/>
          <w:sz w:val="24"/>
        </w:rPr>
      </w:pPr>
      <w:r>
        <w:rPr>
          <w:color w:val="000000"/>
          <w:w w:val="90"/>
          <w:sz w:val="24"/>
        </w:rPr>
        <w:t>关于印发广西壮族自治区政府采购项目履约验收管理办法的通知[桂财采〔2015〕22号]</w:t>
      </w:r>
    </w:p>
    <w:sectPr>
      <w:pgSz w:w="11907" w:h="16840"/>
      <w:pgMar w:top="1797" w:right="1440" w:bottom="1440" w:left="1440" w:header="851" w:footer="851"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Microsoft JhengHei Light">
    <w:altName w:val="Microsoft JhengHei"/>
    <w:panose1 w:val="020B0304030504040204"/>
    <w:charset w:val="88"/>
    <w:family w:val="swiss"/>
    <w:pitch w:val="default"/>
    <w:sig w:usb0="00000000" w:usb1="00000000" w:usb2="00000016" w:usb3="00000000" w:csb0="00100009" w:csb1="00000000"/>
  </w:font>
  <w:font w:name="Helvetica">
    <w:altName w:val="Arial"/>
    <w:panose1 w:val="020B0604020202020204"/>
    <w:charset w:val="00"/>
    <w:family w:val="swiss"/>
    <w:pitch w:val="default"/>
    <w:sig w:usb0="00000000" w:usb1="00000000" w:usb2="00000009" w:usb3="00000000" w:csb0="000001FF"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Microsoft JhengHei">
    <w:panose1 w:val="020B0604030504040204"/>
    <w:charset w:val="88"/>
    <w:family w:val="auto"/>
    <w:pitch w:val="default"/>
    <w:sig w:usb0="00000087" w:usb1="28AF40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CAF81D">
    <w:pPr>
      <w:pStyle w:val="16"/>
      <w:jc w:val="center"/>
    </w:pPr>
    <w:r>
      <w:fldChar w:fldCharType="begin"/>
    </w:r>
    <w:r>
      <w:instrText xml:space="preserve">PAGE   \* MERGEFORMAT</w:instrText>
    </w:r>
    <w:r>
      <w:fldChar w:fldCharType="separate"/>
    </w:r>
    <w:r>
      <w:rPr>
        <w:lang w:val="zh-CN"/>
      </w:rPr>
      <w:t>1</w:t>
    </w:r>
    <w:r>
      <w:fldChar w:fldCharType="end"/>
    </w:r>
  </w:p>
  <w:p w14:paraId="0149E4E1">
    <w:pPr>
      <w:pStyle w:val="1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EF9B11">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24DDEEA">
                          <w:pPr>
                            <w:pStyle w:val="16"/>
                            <w:rPr>
                              <w:rFonts w:hint="eastAsia"/>
                            </w:rPr>
                          </w:pPr>
                          <w:r>
                            <w:rPr>
                              <w:rFonts w:hint="eastAsia"/>
                            </w:rPr>
                            <w:fldChar w:fldCharType="begin"/>
                          </w:r>
                          <w:r>
                            <w:rPr>
                              <w:rFonts w:hint="eastAsia"/>
                            </w:rPr>
                            <w:instrText xml:space="preserve"> PAGE  \* MERGEFORMAT </w:instrText>
                          </w:r>
                          <w:r>
                            <w:rPr>
                              <w:rFonts w:hint="eastAsia"/>
                            </w:rPr>
                            <w:fldChar w:fldCharType="separate"/>
                          </w:r>
                          <w:r>
                            <w:t>7</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v:fill on="f" focussize="0,0"/>
              <v:stroke on="f"/>
              <v:imagedata o:title=""/>
              <o:lock v:ext="edit" aspectratio="f"/>
              <v:textbox inset="0mm,0mm,0mm,0mm" style="mso-fit-shape-to-text:t;">
                <w:txbxContent>
                  <w:p w14:paraId="324DDEEA">
                    <w:pPr>
                      <w:pStyle w:val="16"/>
                      <w:rPr>
                        <w:rFonts w:hint="eastAsia"/>
                      </w:rPr>
                    </w:pPr>
                    <w:r>
                      <w:rPr>
                        <w:rFonts w:hint="eastAsia"/>
                      </w:rPr>
                      <w:fldChar w:fldCharType="begin"/>
                    </w:r>
                    <w:r>
                      <w:rPr>
                        <w:rFonts w:hint="eastAsia"/>
                      </w:rPr>
                      <w:instrText xml:space="preserve"> PAGE  \* MERGEFORMAT </w:instrText>
                    </w:r>
                    <w:r>
                      <w:rPr>
                        <w:rFonts w:hint="eastAsia"/>
                      </w:rPr>
                      <w:fldChar w:fldCharType="separate"/>
                    </w:r>
                    <w:r>
                      <w:t>7</w:t>
                    </w:r>
                    <w:r>
                      <w:rPr>
                        <w:rFonts w:hint="eastAsia"/>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BA2CEF">
    <w:pPr>
      <w:pStyle w:val="16"/>
      <w:jc w:val="center"/>
    </w:pPr>
    <w:r>
      <w:fldChar w:fldCharType="begin"/>
    </w:r>
    <w:r>
      <w:instrText xml:space="preserve">PAGE   \* MERGEFORMAT</w:instrText>
    </w:r>
    <w:r>
      <w:fldChar w:fldCharType="separate"/>
    </w:r>
    <w:r>
      <w:rPr>
        <w:lang w:val="zh-CN"/>
      </w:rPr>
      <w:t>2</w:t>
    </w:r>
    <w:r>
      <w:fldChar w:fldCharType="end"/>
    </w:r>
  </w:p>
  <w:p w14:paraId="6B36E70E">
    <w:pPr>
      <w:pStyle w:val="1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80A18A">
    <w:pPr>
      <w:pStyle w:val="16"/>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17C6537">
                          <w:pPr>
                            <w:pStyle w:val="16"/>
                            <w:rPr>
                              <w:rFonts w:hint="eastAsia"/>
                            </w:rPr>
                          </w:pPr>
                          <w:r>
                            <w:rPr>
                              <w:rFonts w:hint="eastAsia"/>
                            </w:rPr>
                            <w:fldChar w:fldCharType="begin"/>
                          </w:r>
                          <w:r>
                            <w:rPr>
                              <w:rFonts w:hint="eastAsia"/>
                            </w:rPr>
                            <w:instrText xml:space="preserve"> PAGE  \* MERGEFORMAT </w:instrText>
                          </w:r>
                          <w:r>
                            <w:rPr>
                              <w:rFonts w:hint="eastAsia"/>
                            </w:rPr>
                            <w:fldChar w:fldCharType="separate"/>
                          </w:r>
                          <w:r>
                            <w:t>60</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14:paraId="317C6537">
                    <w:pPr>
                      <w:pStyle w:val="16"/>
                      <w:rPr>
                        <w:rFonts w:hint="eastAsia"/>
                      </w:rPr>
                    </w:pPr>
                    <w:r>
                      <w:rPr>
                        <w:rFonts w:hint="eastAsia"/>
                      </w:rPr>
                      <w:fldChar w:fldCharType="begin"/>
                    </w:r>
                    <w:r>
                      <w:rPr>
                        <w:rFonts w:hint="eastAsia"/>
                      </w:rPr>
                      <w:instrText xml:space="preserve"> PAGE  \* MERGEFORMAT </w:instrText>
                    </w:r>
                    <w:r>
                      <w:rPr>
                        <w:rFonts w:hint="eastAsia"/>
                      </w:rPr>
                      <w:fldChar w:fldCharType="separate"/>
                    </w:r>
                    <w:r>
                      <w:t>60</w:t>
                    </w:r>
                    <w:r>
                      <w:rPr>
                        <w:rFonts w:hint="eastAsia"/>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8BFDFA">
    <w:pPr>
      <w:pStyle w:val="16"/>
      <w:framePr w:wrap="around" w:vAnchor="text" w:hAnchor="margin" w:xAlign="center" w:y="1"/>
      <w:rPr>
        <w:rStyle w:val="24"/>
      </w:rPr>
    </w:pPr>
    <w:r>
      <w:fldChar w:fldCharType="begin"/>
    </w:r>
    <w:r>
      <w:rPr>
        <w:rStyle w:val="24"/>
      </w:rPr>
      <w:instrText xml:space="preserve">PAGE  </w:instrText>
    </w:r>
    <w:r>
      <w:fldChar w:fldCharType="end"/>
    </w:r>
  </w:p>
  <w:p w14:paraId="50FC5482">
    <w:pPr>
      <w:pStyle w:val="16"/>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210969">
    <w:pPr>
      <w:pStyle w:val="16"/>
      <w:jc w:val="center"/>
    </w:pPr>
    <w:r>
      <w:fldChar w:fldCharType="begin"/>
    </w:r>
    <w:r>
      <w:instrText xml:space="preserve">PAGE   \* MERGEFORMAT</w:instrText>
    </w:r>
    <w:r>
      <w:fldChar w:fldCharType="separate"/>
    </w:r>
    <w:r>
      <w:rPr>
        <w:lang w:val="zh-CN"/>
      </w:rPr>
      <w:t>61</w:t>
    </w:r>
    <w:r>
      <w:fldChar w:fldCharType="end"/>
    </w:r>
  </w:p>
  <w:p w14:paraId="29CF6C9D"/>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E3A8FB">
    <w:pPr>
      <w:pStyle w:val="16"/>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725609A7">
                          <w:pPr>
                            <w:pStyle w:val="16"/>
                          </w:pPr>
                          <w:r>
                            <w:fldChar w:fldCharType="begin"/>
                          </w:r>
                          <w:r>
                            <w:instrText xml:space="preserve"> PAGE  \* MERGEFORMAT </w:instrText>
                          </w:r>
                          <w:r>
                            <w:fldChar w:fldCharType="separate"/>
                          </w:r>
                          <w:r>
                            <w:t>67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jHpww4AgAAbwQAAA4AAABkcnMvZTJvRG9jLnhtbK1UzY7TMBC+I/EO&#10;lu80aVlW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l5RoplCw0/fv51+&#10;/Dr9/Equojyt9TNEPVjEhe6t6TA0w73HZWTdVU7FX/Ah8EPc40Vc0QXC46PpZDrN4eLwDQfgZ4/P&#10;rfPhnTCKRKOgDt1LorLDxoc+dAiJ2bRZN1KmDkpN2oJev3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mMenDDgCAABvBAAADgAAAAAAAAABACAAAAAfAQAAZHJzL2Uyb0RvYy54&#10;bWxQSwUGAAAAAAYABgBZAQAAyQUAAAAA&#10;">
              <v:fill on="f" focussize="0,0"/>
              <v:stroke on="f" weight="0.5pt"/>
              <v:imagedata o:title=""/>
              <o:lock v:ext="edit" aspectratio="f"/>
              <v:textbox inset="0mm,0mm,0mm,0mm" style="mso-fit-shape-to-text:t;">
                <w:txbxContent>
                  <w:p w14:paraId="725609A7">
                    <w:pPr>
                      <w:pStyle w:val="16"/>
                    </w:pPr>
                    <w:r>
                      <w:fldChar w:fldCharType="begin"/>
                    </w:r>
                    <w:r>
                      <w:instrText xml:space="preserve"> PAGE  \* MERGEFORMAT </w:instrText>
                    </w:r>
                    <w:r>
                      <w:fldChar w:fldCharType="separate"/>
                    </w:r>
                    <w:r>
                      <w:t>67</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DF57C4">
    <w:pPr>
      <w:pStyle w:val="16"/>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03033891">
                          <w:pPr>
                            <w:pStyle w:val="16"/>
                          </w:pPr>
                          <w:r>
                            <w:fldChar w:fldCharType="begin"/>
                          </w:r>
                          <w:r>
                            <w:instrText xml:space="preserve"> PAGE  \* MERGEFORMAT </w:instrText>
                          </w:r>
                          <w:r>
                            <w:fldChar w:fldCharType="separate"/>
                          </w:r>
                          <w:r>
                            <w:t>69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OeIrFDgCAABvBAAADgAAAAAAAAABACAAAAAfAQAAZHJzL2Uyb0RvYy54&#10;bWxQSwUGAAAAAAYABgBZAQAAyQUAAAAA&#10;">
              <v:fill on="f" focussize="0,0"/>
              <v:stroke on="f" weight="0.5pt"/>
              <v:imagedata o:title=""/>
              <o:lock v:ext="edit" aspectratio="f"/>
              <v:textbox inset="0mm,0mm,0mm,0mm" style="mso-fit-shape-to-text:t;">
                <w:txbxContent>
                  <w:p w14:paraId="03033891">
                    <w:pPr>
                      <w:pStyle w:val="16"/>
                    </w:pPr>
                    <w:r>
                      <w:fldChar w:fldCharType="begin"/>
                    </w:r>
                    <w:r>
                      <w:instrText xml:space="preserve"> PAGE  \* MERGEFORMAT </w:instrText>
                    </w:r>
                    <w:r>
                      <w:fldChar w:fldCharType="separate"/>
                    </w:r>
                    <w:r>
                      <w:t>69</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EF551A">
    <w:pPr>
      <w:rPr>
        <w:sz w:val="18"/>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7D95B6"/>
    <w:multiLevelType w:val="singleLevel"/>
    <w:tmpl w:val="807D95B6"/>
    <w:lvl w:ilvl="0" w:tentative="0">
      <w:start w:val="1"/>
      <w:numFmt w:val="decimal"/>
      <w:suff w:val="space"/>
      <w:lvlText w:val="24.%1"/>
      <w:lvlJc w:val="left"/>
      <w:pPr>
        <w:ind w:left="0" w:firstLine="480"/>
      </w:pPr>
      <w:rPr>
        <w:rFonts w:hint="default"/>
      </w:rPr>
    </w:lvl>
  </w:abstractNum>
  <w:abstractNum w:abstractNumId="1">
    <w:nsid w:val="81E65691"/>
    <w:multiLevelType w:val="singleLevel"/>
    <w:tmpl w:val="81E65691"/>
    <w:lvl w:ilvl="0" w:tentative="0">
      <w:start w:val="1"/>
      <w:numFmt w:val="decimal"/>
      <w:suff w:val="space"/>
      <w:lvlText w:val="15.%1"/>
      <w:lvlJc w:val="left"/>
      <w:pPr>
        <w:ind w:left="0" w:firstLine="480"/>
      </w:pPr>
      <w:rPr>
        <w:rFonts w:hint="default"/>
      </w:rPr>
    </w:lvl>
  </w:abstractNum>
  <w:abstractNum w:abstractNumId="2">
    <w:nsid w:val="8624D4C3"/>
    <w:multiLevelType w:val="singleLevel"/>
    <w:tmpl w:val="8624D4C3"/>
    <w:lvl w:ilvl="0" w:tentative="0">
      <w:start w:val="1"/>
      <w:numFmt w:val="chineseCounting"/>
      <w:suff w:val="nothing"/>
      <w:lvlText w:val="%1. "/>
      <w:lvlJc w:val="left"/>
      <w:pPr>
        <w:tabs>
          <w:tab w:val="left" w:pos="0"/>
        </w:tabs>
        <w:ind w:left="0" w:firstLine="482"/>
      </w:pPr>
      <w:rPr>
        <w:rFonts w:hint="eastAsia"/>
      </w:rPr>
    </w:lvl>
  </w:abstractNum>
  <w:abstractNum w:abstractNumId="3">
    <w:nsid w:val="8CC29118"/>
    <w:multiLevelType w:val="singleLevel"/>
    <w:tmpl w:val="8CC29118"/>
    <w:lvl w:ilvl="0" w:tentative="0">
      <w:start w:val="1"/>
      <w:numFmt w:val="decimal"/>
      <w:suff w:val="space"/>
      <w:lvlText w:val="18.%1"/>
      <w:lvlJc w:val="left"/>
      <w:pPr>
        <w:tabs>
          <w:tab w:val="left" w:pos="0"/>
        </w:tabs>
        <w:ind w:left="0" w:firstLine="480"/>
      </w:pPr>
      <w:rPr>
        <w:rFonts w:hint="default"/>
      </w:rPr>
    </w:lvl>
  </w:abstractNum>
  <w:abstractNum w:abstractNumId="4">
    <w:nsid w:val="BA5A38DE"/>
    <w:multiLevelType w:val="singleLevel"/>
    <w:tmpl w:val="BA5A38DE"/>
    <w:lvl w:ilvl="0" w:tentative="0">
      <w:start w:val="1"/>
      <w:numFmt w:val="decimal"/>
      <w:suff w:val="nothing"/>
      <w:lvlText w:val="%1."/>
      <w:lvlJc w:val="left"/>
      <w:pPr>
        <w:tabs>
          <w:tab w:val="left" w:pos="0"/>
        </w:tabs>
        <w:ind w:left="0" w:firstLine="480"/>
      </w:pPr>
      <w:rPr>
        <w:rFonts w:hint="default"/>
      </w:rPr>
    </w:lvl>
  </w:abstractNum>
  <w:abstractNum w:abstractNumId="5">
    <w:nsid w:val="BB524E2C"/>
    <w:multiLevelType w:val="singleLevel"/>
    <w:tmpl w:val="BB524E2C"/>
    <w:lvl w:ilvl="0" w:tentative="0">
      <w:start w:val="1"/>
      <w:numFmt w:val="decimal"/>
      <w:suff w:val="space"/>
      <w:lvlText w:val="4.%1"/>
      <w:lvlJc w:val="left"/>
      <w:pPr>
        <w:ind w:left="0" w:firstLine="480"/>
      </w:pPr>
      <w:rPr>
        <w:rFonts w:hint="default"/>
      </w:rPr>
    </w:lvl>
  </w:abstractNum>
  <w:abstractNum w:abstractNumId="6">
    <w:nsid w:val="BC747A30"/>
    <w:multiLevelType w:val="singleLevel"/>
    <w:tmpl w:val="BC747A30"/>
    <w:lvl w:ilvl="0" w:tentative="0">
      <w:start w:val="1"/>
      <w:numFmt w:val="decimal"/>
      <w:suff w:val="nothing"/>
      <w:lvlText w:val="（%1）"/>
      <w:lvlJc w:val="left"/>
      <w:pPr>
        <w:ind w:left="0" w:firstLine="480"/>
      </w:pPr>
      <w:rPr>
        <w:rFonts w:hint="default"/>
      </w:rPr>
    </w:lvl>
  </w:abstractNum>
  <w:abstractNum w:abstractNumId="7">
    <w:nsid w:val="BFEFBEEC"/>
    <w:multiLevelType w:val="singleLevel"/>
    <w:tmpl w:val="BFEFBEEC"/>
    <w:lvl w:ilvl="0" w:tentative="0">
      <w:start w:val="1"/>
      <w:numFmt w:val="decimal"/>
      <w:suff w:val="space"/>
      <w:lvlText w:val="9.%1"/>
      <w:lvlJc w:val="left"/>
      <w:pPr>
        <w:tabs>
          <w:tab w:val="left" w:pos="0"/>
        </w:tabs>
        <w:ind w:left="0" w:firstLine="480"/>
      </w:pPr>
      <w:rPr>
        <w:rFonts w:hint="default"/>
      </w:rPr>
    </w:lvl>
  </w:abstractNum>
  <w:abstractNum w:abstractNumId="8">
    <w:nsid w:val="C899408E"/>
    <w:multiLevelType w:val="singleLevel"/>
    <w:tmpl w:val="C899408E"/>
    <w:lvl w:ilvl="0" w:tentative="0">
      <w:start w:val="1"/>
      <w:numFmt w:val="decimal"/>
      <w:suff w:val="nothing"/>
      <w:lvlText w:val="（%1）"/>
      <w:lvlJc w:val="left"/>
      <w:pPr>
        <w:ind w:left="0" w:firstLine="480"/>
      </w:pPr>
      <w:rPr>
        <w:rFonts w:hint="default"/>
      </w:rPr>
    </w:lvl>
  </w:abstractNum>
  <w:abstractNum w:abstractNumId="9">
    <w:nsid w:val="CA313A0E"/>
    <w:multiLevelType w:val="singleLevel"/>
    <w:tmpl w:val="CA313A0E"/>
    <w:lvl w:ilvl="0" w:tentative="0">
      <w:start w:val="2"/>
      <w:numFmt w:val="decimal"/>
      <w:suff w:val="nothing"/>
      <w:lvlText w:val="（%1）"/>
      <w:lvlJc w:val="left"/>
      <w:pPr>
        <w:ind w:left="0" w:firstLine="480"/>
      </w:pPr>
      <w:rPr>
        <w:rFonts w:hint="default"/>
      </w:rPr>
    </w:lvl>
  </w:abstractNum>
  <w:abstractNum w:abstractNumId="10">
    <w:nsid w:val="CBEFDDBB"/>
    <w:multiLevelType w:val="singleLevel"/>
    <w:tmpl w:val="CBEFDDBB"/>
    <w:lvl w:ilvl="0" w:tentative="0">
      <w:start w:val="1"/>
      <w:numFmt w:val="decimal"/>
      <w:suff w:val="space"/>
      <w:lvlText w:val="%1."/>
      <w:lvlJc w:val="left"/>
      <w:pPr>
        <w:ind w:left="0" w:firstLine="0"/>
      </w:pPr>
      <w:rPr>
        <w:rFonts w:hint="default"/>
      </w:rPr>
    </w:lvl>
  </w:abstractNum>
  <w:abstractNum w:abstractNumId="11">
    <w:nsid w:val="D1750354"/>
    <w:multiLevelType w:val="singleLevel"/>
    <w:tmpl w:val="D1750354"/>
    <w:lvl w:ilvl="0" w:tentative="0">
      <w:start w:val="1"/>
      <w:numFmt w:val="decimal"/>
      <w:suff w:val="nothing"/>
      <w:lvlText w:val="（%1）"/>
      <w:lvlJc w:val="left"/>
      <w:pPr>
        <w:ind w:left="0" w:firstLine="480"/>
      </w:pPr>
      <w:rPr>
        <w:rFonts w:hint="default"/>
      </w:rPr>
    </w:lvl>
  </w:abstractNum>
  <w:abstractNum w:abstractNumId="12">
    <w:nsid w:val="D40E5685"/>
    <w:multiLevelType w:val="singleLevel"/>
    <w:tmpl w:val="D40E5685"/>
    <w:lvl w:ilvl="0" w:tentative="0">
      <w:start w:val="1"/>
      <w:numFmt w:val="chineseCounting"/>
      <w:suff w:val="space"/>
      <w:lvlText w:val="(%1)"/>
      <w:lvlJc w:val="left"/>
      <w:pPr>
        <w:ind w:left="0" w:firstLine="480"/>
      </w:pPr>
      <w:rPr>
        <w:rFonts w:hint="eastAsia"/>
      </w:rPr>
    </w:lvl>
  </w:abstractNum>
  <w:abstractNum w:abstractNumId="13">
    <w:nsid w:val="D5F4ED83"/>
    <w:multiLevelType w:val="singleLevel"/>
    <w:tmpl w:val="D5F4ED83"/>
    <w:lvl w:ilvl="0" w:tentative="0">
      <w:start w:val="1"/>
      <w:numFmt w:val="decimal"/>
      <w:suff w:val="nothing"/>
      <w:lvlText w:val="%1."/>
      <w:lvlJc w:val="left"/>
      <w:pPr>
        <w:tabs>
          <w:tab w:val="left" w:pos="0"/>
        </w:tabs>
        <w:ind w:left="0" w:firstLine="480"/>
      </w:pPr>
      <w:rPr>
        <w:rFonts w:hint="default"/>
      </w:rPr>
    </w:lvl>
  </w:abstractNum>
  <w:abstractNum w:abstractNumId="14">
    <w:nsid w:val="D8271D88"/>
    <w:multiLevelType w:val="singleLevel"/>
    <w:tmpl w:val="D8271D88"/>
    <w:lvl w:ilvl="0" w:tentative="0">
      <w:start w:val="1"/>
      <w:numFmt w:val="decimal"/>
      <w:suff w:val="space"/>
      <w:lvlText w:val="19.5.%1"/>
      <w:lvlJc w:val="left"/>
      <w:pPr>
        <w:tabs>
          <w:tab w:val="left" w:pos="0"/>
        </w:tabs>
        <w:ind w:left="0" w:firstLine="480"/>
      </w:pPr>
      <w:rPr>
        <w:rFonts w:hint="default"/>
      </w:rPr>
    </w:lvl>
  </w:abstractNum>
  <w:abstractNum w:abstractNumId="15">
    <w:nsid w:val="D8BD57CB"/>
    <w:multiLevelType w:val="singleLevel"/>
    <w:tmpl w:val="D8BD57CB"/>
    <w:lvl w:ilvl="0" w:tentative="0">
      <w:start w:val="1"/>
      <w:numFmt w:val="decimal"/>
      <w:suff w:val="space"/>
      <w:lvlText w:val="%1."/>
      <w:lvlJc w:val="left"/>
      <w:pPr>
        <w:ind w:left="0" w:firstLine="480"/>
      </w:pPr>
      <w:rPr>
        <w:rFonts w:hint="default"/>
      </w:rPr>
    </w:lvl>
  </w:abstractNum>
  <w:abstractNum w:abstractNumId="16">
    <w:nsid w:val="D8E14FB3"/>
    <w:multiLevelType w:val="singleLevel"/>
    <w:tmpl w:val="D8E14FB3"/>
    <w:lvl w:ilvl="0" w:tentative="0">
      <w:start w:val="1"/>
      <w:numFmt w:val="decimal"/>
      <w:suff w:val="space"/>
      <w:lvlText w:val="11.%1"/>
      <w:lvlJc w:val="left"/>
      <w:pPr>
        <w:ind w:left="0" w:firstLine="480"/>
      </w:pPr>
      <w:rPr>
        <w:rFonts w:hint="default"/>
      </w:rPr>
    </w:lvl>
  </w:abstractNum>
  <w:abstractNum w:abstractNumId="17">
    <w:nsid w:val="DAD9FD29"/>
    <w:multiLevelType w:val="singleLevel"/>
    <w:tmpl w:val="DAD9FD29"/>
    <w:lvl w:ilvl="0" w:tentative="0">
      <w:start w:val="1"/>
      <w:numFmt w:val="decimal"/>
      <w:suff w:val="nothing"/>
      <w:lvlText w:val="%1. "/>
      <w:lvlJc w:val="left"/>
      <w:pPr>
        <w:tabs>
          <w:tab w:val="left" w:pos="0"/>
        </w:tabs>
        <w:ind w:left="0" w:firstLine="480"/>
      </w:pPr>
      <w:rPr>
        <w:rFonts w:hint="default"/>
      </w:rPr>
    </w:lvl>
  </w:abstractNum>
  <w:abstractNum w:abstractNumId="18">
    <w:nsid w:val="DBC1347B"/>
    <w:multiLevelType w:val="singleLevel"/>
    <w:tmpl w:val="DBC1347B"/>
    <w:lvl w:ilvl="0" w:tentative="0">
      <w:start w:val="1"/>
      <w:numFmt w:val="decimal"/>
      <w:suff w:val="space"/>
      <w:lvlText w:val="23.%1"/>
      <w:lvlJc w:val="left"/>
      <w:pPr>
        <w:ind w:left="0" w:firstLine="480"/>
      </w:pPr>
      <w:rPr>
        <w:rFonts w:hint="default"/>
      </w:rPr>
    </w:lvl>
  </w:abstractNum>
  <w:abstractNum w:abstractNumId="19">
    <w:nsid w:val="DC102231"/>
    <w:multiLevelType w:val="singleLevel"/>
    <w:tmpl w:val="DC102231"/>
    <w:lvl w:ilvl="0" w:tentative="0">
      <w:start w:val="1"/>
      <w:numFmt w:val="decimal"/>
      <w:suff w:val="nothing"/>
      <w:lvlText w:val="（%1）"/>
      <w:lvlJc w:val="left"/>
      <w:pPr>
        <w:ind w:left="0" w:firstLine="480"/>
      </w:pPr>
      <w:rPr>
        <w:rFonts w:hint="default"/>
      </w:rPr>
    </w:lvl>
  </w:abstractNum>
  <w:abstractNum w:abstractNumId="20">
    <w:nsid w:val="DE0993E3"/>
    <w:multiLevelType w:val="singleLevel"/>
    <w:tmpl w:val="DE0993E3"/>
    <w:lvl w:ilvl="0" w:tentative="0">
      <w:start w:val="1"/>
      <w:numFmt w:val="decimal"/>
      <w:suff w:val="nothing"/>
      <w:lvlText w:val="（%1）"/>
      <w:lvlJc w:val="left"/>
      <w:pPr>
        <w:ind w:left="0" w:firstLine="0"/>
      </w:pPr>
      <w:rPr>
        <w:rFonts w:hint="default"/>
      </w:rPr>
    </w:lvl>
  </w:abstractNum>
  <w:abstractNum w:abstractNumId="21">
    <w:nsid w:val="DE13DB13"/>
    <w:multiLevelType w:val="singleLevel"/>
    <w:tmpl w:val="DE13DB13"/>
    <w:lvl w:ilvl="0" w:tentative="0">
      <w:start w:val="1"/>
      <w:numFmt w:val="decimal"/>
      <w:suff w:val="nothing"/>
      <w:lvlText w:val="（%1）"/>
      <w:lvlJc w:val="left"/>
      <w:pPr>
        <w:ind w:left="0" w:firstLine="482"/>
      </w:pPr>
      <w:rPr>
        <w:rFonts w:hint="default"/>
      </w:rPr>
    </w:lvl>
  </w:abstractNum>
  <w:abstractNum w:abstractNumId="22">
    <w:nsid w:val="DE95CFA5"/>
    <w:multiLevelType w:val="singleLevel"/>
    <w:tmpl w:val="DE95CFA5"/>
    <w:lvl w:ilvl="0" w:tentative="0">
      <w:start w:val="1"/>
      <w:numFmt w:val="decimal"/>
      <w:suff w:val="nothing"/>
      <w:lvlText w:val="（%1）"/>
      <w:lvlJc w:val="left"/>
      <w:pPr>
        <w:ind w:left="0" w:firstLine="480"/>
      </w:pPr>
      <w:rPr>
        <w:rFonts w:hint="default"/>
      </w:rPr>
    </w:lvl>
  </w:abstractNum>
  <w:abstractNum w:abstractNumId="23">
    <w:nsid w:val="DF33C108"/>
    <w:multiLevelType w:val="singleLevel"/>
    <w:tmpl w:val="DF33C108"/>
    <w:lvl w:ilvl="0" w:tentative="0">
      <w:start w:val="1"/>
      <w:numFmt w:val="decimal"/>
      <w:suff w:val="space"/>
      <w:lvlText w:val="%1."/>
      <w:lvlJc w:val="left"/>
      <w:pPr>
        <w:ind w:left="0" w:firstLine="480"/>
      </w:pPr>
      <w:rPr>
        <w:rFonts w:hint="default"/>
      </w:rPr>
    </w:lvl>
  </w:abstractNum>
  <w:abstractNum w:abstractNumId="24">
    <w:nsid w:val="DF53C641"/>
    <w:multiLevelType w:val="singleLevel"/>
    <w:tmpl w:val="DF53C641"/>
    <w:lvl w:ilvl="0" w:tentative="0">
      <w:start w:val="1"/>
      <w:numFmt w:val="chineseCounting"/>
      <w:suff w:val="nothing"/>
      <w:lvlText w:val="%1."/>
      <w:lvlJc w:val="left"/>
      <w:pPr>
        <w:tabs>
          <w:tab w:val="left" w:pos="0"/>
        </w:tabs>
        <w:ind w:left="0" w:firstLine="0"/>
      </w:pPr>
      <w:rPr>
        <w:rFonts w:hint="eastAsia" w:ascii="宋体" w:hAnsi="宋体" w:eastAsia="宋体" w:cs="宋体"/>
      </w:rPr>
    </w:lvl>
  </w:abstractNum>
  <w:abstractNum w:abstractNumId="25">
    <w:nsid w:val="E1B38B33"/>
    <w:multiLevelType w:val="singleLevel"/>
    <w:tmpl w:val="E1B38B33"/>
    <w:lvl w:ilvl="0" w:tentative="0">
      <w:start w:val="1"/>
      <w:numFmt w:val="decimal"/>
      <w:suff w:val="space"/>
      <w:lvlText w:val="(%1)"/>
      <w:lvlJc w:val="left"/>
      <w:pPr>
        <w:ind w:left="0" w:firstLine="480"/>
      </w:pPr>
      <w:rPr>
        <w:rFonts w:hint="default"/>
      </w:rPr>
    </w:lvl>
  </w:abstractNum>
  <w:abstractNum w:abstractNumId="26">
    <w:nsid w:val="E335130F"/>
    <w:multiLevelType w:val="singleLevel"/>
    <w:tmpl w:val="E335130F"/>
    <w:lvl w:ilvl="0" w:tentative="0">
      <w:start w:val="1"/>
      <w:numFmt w:val="decimal"/>
      <w:suff w:val="nothing"/>
      <w:lvlText w:val="%1. "/>
      <w:lvlJc w:val="left"/>
      <w:pPr>
        <w:tabs>
          <w:tab w:val="left" w:pos="0"/>
        </w:tabs>
        <w:ind w:left="0" w:leftChars="0" w:firstLine="482" w:firstLineChars="0"/>
      </w:pPr>
      <w:rPr>
        <w:rFonts w:hint="default"/>
        <w:b/>
        <w:bCs w:val="0"/>
        <w:sz w:val="24"/>
        <w:szCs w:val="24"/>
      </w:rPr>
    </w:lvl>
  </w:abstractNum>
  <w:abstractNum w:abstractNumId="27">
    <w:nsid w:val="E5162684"/>
    <w:multiLevelType w:val="singleLevel"/>
    <w:tmpl w:val="E5162684"/>
    <w:lvl w:ilvl="0" w:tentative="0">
      <w:start w:val="1"/>
      <w:numFmt w:val="decimal"/>
      <w:suff w:val="space"/>
      <w:lvlText w:val="2.%1"/>
      <w:lvlJc w:val="left"/>
      <w:pPr>
        <w:ind w:left="0" w:firstLine="482"/>
      </w:pPr>
      <w:rPr>
        <w:rFonts w:hint="default"/>
      </w:rPr>
    </w:lvl>
  </w:abstractNum>
  <w:abstractNum w:abstractNumId="28">
    <w:nsid w:val="EA70D92C"/>
    <w:multiLevelType w:val="singleLevel"/>
    <w:tmpl w:val="EA70D92C"/>
    <w:lvl w:ilvl="0" w:tentative="0">
      <w:start w:val="1"/>
      <w:numFmt w:val="decimal"/>
      <w:suff w:val="nothing"/>
      <w:lvlText w:val="（%1）"/>
      <w:lvlJc w:val="left"/>
      <w:pPr>
        <w:tabs>
          <w:tab w:val="left" w:pos="0"/>
        </w:tabs>
        <w:ind w:left="0" w:firstLine="482"/>
      </w:pPr>
      <w:rPr>
        <w:rFonts w:hint="default"/>
      </w:rPr>
    </w:lvl>
  </w:abstractNum>
  <w:abstractNum w:abstractNumId="29">
    <w:nsid w:val="EAF0C68C"/>
    <w:multiLevelType w:val="singleLevel"/>
    <w:tmpl w:val="EAF0C68C"/>
    <w:lvl w:ilvl="0" w:tentative="0">
      <w:start w:val="1"/>
      <w:numFmt w:val="decimal"/>
      <w:suff w:val="space"/>
      <w:lvlText w:val="14.%1"/>
      <w:lvlJc w:val="left"/>
      <w:pPr>
        <w:ind w:left="0" w:firstLine="480"/>
      </w:pPr>
      <w:rPr>
        <w:rFonts w:hint="default"/>
      </w:rPr>
    </w:lvl>
  </w:abstractNum>
  <w:abstractNum w:abstractNumId="30">
    <w:nsid w:val="ED965B8D"/>
    <w:multiLevelType w:val="singleLevel"/>
    <w:tmpl w:val="ED965B8D"/>
    <w:lvl w:ilvl="0" w:tentative="0">
      <w:start w:val="1"/>
      <w:numFmt w:val="decimal"/>
      <w:suff w:val="space"/>
      <w:lvlText w:val="8.%1"/>
      <w:lvlJc w:val="left"/>
      <w:pPr>
        <w:ind w:left="0" w:firstLine="480"/>
      </w:pPr>
      <w:rPr>
        <w:rFonts w:hint="default"/>
      </w:rPr>
    </w:lvl>
  </w:abstractNum>
  <w:abstractNum w:abstractNumId="31">
    <w:nsid w:val="EDDDC54D"/>
    <w:multiLevelType w:val="singleLevel"/>
    <w:tmpl w:val="EDDDC54D"/>
    <w:lvl w:ilvl="0" w:tentative="0">
      <w:start w:val="1"/>
      <w:numFmt w:val="decimal"/>
      <w:suff w:val="nothing"/>
      <w:lvlText w:val="%1. "/>
      <w:lvlJc w:val="left"/>
      <w:pPr>
        <w:tabs>
          <w:tab w:val="left" w:pos="0"/>
        </w:tabs>
        <w:ind w:left="0" w:firstLine="480"/>
      </w:pPr>
      <w:rPr>
        <w:rFonts w:hint="default"/>
      </w:rPr>
    </w:lvl>
  </w:abstractNum>
  <w:abstractNum w:abstractNumId="32">
    <w:nsid w:val="F052341C"/>
    <w:multiLevelType w:val="singleLevel"/>
    <w:tmpl w:val="F052341C"/>
    <w:lvl w:ilvl="0" w:tentative="0">
      <w:start w:val="1"/>
      <w:numFmt w:val="decimal"/>
      <w:suff w:val="space"/>
      <w:lvlText w:val="3.%1"/>
      <w:lvlJc w:val="left"/>
      <w:pPr>
        <w:ind w:left="0" w:firstLine="480"/>
      </w:pPr>
      <w:rPr>
        <w:rFonts w:hint="default"/>
      </w:rPr>
    </w:lvl>
  </w:abstractNum>
  <w:abstractNum w:abstractNumId="33">
    <w:nsid w:val="F2681739"/>
    <w:multiLevelType w:val="singleLevel"/>
    <w:tmpl w:val="F2681739"/>
    <w:lvl w:ilvl="0" w:tentative="0">
      <w:start w:val="1"/>
      <w:numFmt w:val="decimal"/>
      <w:suff w:val="space"/>
      <w:lvlText w:val="7.%1"/>
      <w:lvlJc w:val="left"/>
      <w:pPr>
        <w:ind w:left="0" w:leftChars="0" w:firstLine="482" w:firstLineChars="0"/>
      </w:pPr>
      <w:rPr>
        <w:rFonts w:hint="default"/>
      </w:rPr>
    </w:lvl>
  </w:abstractNum>
  <w:abstractNum w:abstractNumId="34">
    <w:nsid w:val="F42F6DCB"/>
    <w:multiLevelType w:val="singleLevel"/>
    <w:tmpl w:val="F42F6DCB"/>
    <w:lvl w:ilvl="0" w:tentative="0">
      <w:start w:val="1"/>
      <w:numFmt w:val="decimal"/>
      <w:suff w:val="space"/>
      <w:lvlText w:val="%1."/>
      <w:lvlJc w:val="left"/>
      <w:pPr>
        <w:ind w:left="0" w:firstLine="480"/>
      </w:pPr>
      <w:rPr>
        <w:rFonts w:hint="default"/>
      </w:rPr>
    </w:lvl>
  </w:abstractNum>
  <w:abstractNum w:abstractNumId="35">
    <w:nsid w:val="F765F2D2"/>
    <w:multiLevelType w:val="singleLevel"/>
    <w:tmpl w:val="F765F2D2"/>
    <w:lvl w:ilvl="0" w:tentative="0">
      <w:start w:val="1"/>
      <w:numFmt w:val="decimal"/>
      <w:suff w:val="space"/>
      <w:lvlText w:val="%1."/>
      <w:lvlJc w:val="left"/>
      <w:pPr>
        <w:ind w:left="0" w:firstLine="482"/>
      </w:pPr>
      <w:rPr>
        <w:rFonts w:hint="default"/>
      </w:rPr>
    </w:lvl>
  </w:abstractNum>
  <w:abstractNum w:abstractNumId="36">
    <w:nsid w:val="F7667D5D"/>
    <w:multiLevelType w:val="singleLevel"/>
    <w:tmpl w:val="F7667D5D"/>
    <w:lvl w:ilvl="0" w:tentative="0">
      <w:start w:val="1"/>
      <w:numFmt w:val="chineseCounting"/>
      <w:suff w:val="nothing"/>
      <w:lvlText w:val="%1."/>
      <w:lvlJc w:val="left"/>
      <w:pPr>
        <w:ind w:left="0" w:firstLine="420"/>
      </w:pPr>
      <w:rPr>
        <w:rFonts w:hint="eastAsia"/>
      </w:rPr>
    </w:lvl>
  </w:abstractNum>
  <w:abstractNum w:abstractNumId="37">
    <w:nsid w:val="FE2B2BD5"/>
    <w:multiLevelType w:val="singleLevel"/>
    <w:tmpl w:val="FE2B2BD5"/>
    <w:lvl w:ilvl="0" w:tentative="0">
      <w:start w:val="1"/>
      <w:numFmt w:val="decimal"/>
      <w:suff w:val="nothing"/>
      <w:lvlText w:val="%1. "/>
      <w:lvlJc w:val="left"/>
      <w:pPr>
        <w:tabs>
          <w:tab w:val="left" w:pos="0"/>
        </w:tabs>
        <w:ind w:left="0" w:firstLine="480"/>
      </w:pPr>
      <w:rPr>
        <w:rFonts w:hint="default"/>
      </w:rPr>
    </w:lvl>
  </w:abstractNum>
  <w:abstractNum w:abstractNumId="38">
    <w:nsid w:val="02EFCB64"/>
    <w:multiLevelType w:val="singleLevel"/>
    <w:tmpl w:val="02EFCB64"/>
    <w:lvl w:ilvl="0" w:tentative="0">
      <w:start w:val="1"/>
      <w:numFmt w:val="decimal"/>
      <w:suff w:val="nothing"/>
      <w:lvlText w:val="（%1）"/>
      <w:lvlJc w:val="left"/>
      <w:pPr>
        <w:ind w:left="0" w:firstLine="480"/>
      </w:pPr>
      <w:rPr>
        <w:rFonts w:hint="default"/>
      </w:rPr>
    </w:lvl>
  </w:abstractNum>
  <w:abstractNum w:abstractNumId="39">
    <w:nsid w:val="03767851"/>
    <w:multiLevelType w:val="multilevel"/>
    <w:tmpl w:val="03767851"/>
    <w:lvl w:ilvl="0" w:tentative="0">
      <w:start w:val="1"/>
      <w:numFmt w:val="decimal"/>
      <w:pStyle w:val="2"/>
      <w:lvlText w:val="%1."/>
      <w:lvlJc w:val="left"/>
      <w:pPr>
        <w:tabs>
          <w:tab w:val="left" w:pos="482"/>
        </w:tabs>
        <w:ind w:left="0" w:leftChars="0" w:firstLine="482" w:firstLineChars="0"/>
      </w:pPr>
      <w:rPr>
        <w:rFonts w:hint="default"/>
      </w:rPr>
    </w:lvl>
    <w:lvl w:ilvl="1" w:tentative="0">
      <w:start w:val="1"/>
      <w:numFmt w:val="decimal"/>
      <w:pStyle w:val="3"/>
      <w:lvlText w:val="%1.%2."/>
      <w:lvlJc w:val="left"/>
      <w:pPr>
        <w:tabs>
          <w:tab w:val="left" w:pos="482"/>
        </w:tabs>
        <w:ind w:left="1" w:leftChars="0" w:firstLine="481" w:firstLineChars="0"/>
      </w:pPr>
      <w:rPr>
        <w:rFonts w:hint="default"/>
      </w:rPr>
    </w:lvl>
    <w:lvl w:ilvl="2" w:tentative="0">
      <w:start w:val="1"/>
      <w:numFmt w:val="decimal"/>
      <w:pStyle w:val="4"/>
      <w:lvlText w:val="%1.%2.%3."/>
      <w:lvlJc w:val="left"/>
      <w:pPr>
        <w:ind w:left="720" w:hanging="720"/>
      </w:pPr>
      <w:rPr>
        <w:rFonts w:hint="default"/>
      </w:rPr>
    </w:lvl>
    <w:lvl w:ilvl="3" w:tentative="0">
      <w:start w:val="1"/>
      <w:numFmt w:val="decimal"/>
      <w:pStyle w:val="5"/>
      <w:lvlText w:val="%1.%2.%3.%4."/>
      <w:lvlJc w:val="left"/>
      <w:pPr>
        <w:ind w:left="864" w:hanging="864"/>
      </w:pPr>
      <w:rPr>
        <w:rFonts w:hint="default"/>
      </w:rPr>
    </w:lvl>
    <w:lvl w:ilvl="4" w:tentative="0">
      <w:start w:val="1"/>
      <w:numFmt w:val="decimal"/>
      <w:pStyle w:val="6"/>
      <w:lvlText w:val="%1.%2.%3.%4.%5."/>
      <w:lvlJc w:val="left"/>
      <w:pPr>
        <w:ind w:left="1008" w:hanging="1008"/>
      </w:pPr>
      <w:rPr>
        <w:rFonts w:hint="default"/>
      </w:rPr>
    </w:lvl>
    <w:lvl w:ilvl="5" w:tentative="0">
      <w:start w:val="1"/>
      <w:numFmt w:val="decimal"/>
      <w:pStyle w:val="7"/>
      <w:lvlText w:val="%1.%2.%3.%4.%5.%6."/>
      <w:lvlJc w:val="left"/>
      <w:pPr>
        <w:ind w:left="1151" w:hanging="1151"/>
      </w:pPr>
      <w:rPr>
        <w:rFonts w:hint="default"/>
      </w:rPr>
    </w:lvl>
    <w:lvl w:ilvl="6" w:tentative="0">
      <w:start w:val="1"/>
      <w:numFmt w:val="decimal"/>
      <w:pStyle w:val="8"/>
      <w:lvlText w:val="%1.%2.%3.%4.%5.%6.%7."/>
      <w:lvlJc w:val="left"/>
      <w:pPr>
        <w:ind w:left="1296" w:hanging="1296"/>
      </w:pPr>
      <w:rPr>
        <w:rFonts w:hint="default"/>
      </w:rPr>
    </w:lvl>
    <w:lvl w:ilvl="7" w:tentative="0">
      <w:start w:val="1"/>
      <w:numFmt w:val="decimal"/>
      <w:pStyle w:val="9"/>
      <w:lvlText w:val="%1.%2.%3.%4.%5.%6.%7.%8."/>
      <w:lvlJc w:val="left"/>
      <w:pPr>
        <w:ind w:left="1440" w:hanging="1440"/>
      </w:pPr>
      <w:rPr>
        <w:rFonts w:hint="default"/>
      </w:rPr>
    </w:lvl>
    <w:lvl w:ilvl="8" w:tentative="0">
      <w:start w:val="1"/>
      <w:numFmt w:val="decimal"/>
      <w:pStyle w:val="10"/>
      <w:lvlText w:val="%1.%2.%3.%4.%5.%6.%7.%8.%9."/>
      <w:lvlJc w:val="left"/>
      <w:pPr>
        <w:ind w:left="1583" w:hanging="1583"/>
      </w:pPr>
      <w:rPr>
        <w:rFonts w:hint="default"/>
      </w:rPr>
    </w:lvl>
  </w:abstractNum>
  <w:abstractNum w:abstractNumId="40">
    <w:nsid w:val="07FAF018"/>
    <w:multiLevelType w:val="singleLevel"/>
    <w:tmpl w:val="07FAF018"/>
    <w:lvl w:ilvl="0" w:tentative="0">
      <w:start w:val="1"/>
      <w:numFmt w:val="decimal"/>
      <w:suff w:val="space"/>
      <w:lvlText w:val="36.%1"/>
      <w:lvlJc w:val="left"/>
      <w:pPr>
        <w:ind w:left="0" w:firstLine="480"/>
      </w:pPr>
      <w:rPr>
        <w:rFonts w:hint="default"/>
      </w:rPr>
    </w:lvl>
  </w:abstractNum>
  <w:abstractNum w:abstractNumId="41">
    <w:nsid w:val="09B8ADCC"/>
    <w:multiLevelType w:val="singleLevel"/>
    <w:tmpl w:val="09B8ADCC"/>
    <w:lvl w:ilvl="0" w:tentative="0">
      <w:start w:val="1"/>
      <w:numFmt w:val="decimal"/>
      <w:suff w:val="space"/>
      <w:lvlText w:val="1.%1"/>
      <w:lvlJc w:val="left"/>
      <w:pPr>
        <w:ind w:left="0" w:leftChars="0" w:firstLine="482" w:firstLineChars="0"/>
      </w:pPr>
      <w:rPr>
        <w:rFonts w:hint="default"/>
      </w:rPr>
    </w:lvl>
  </w:abstractNum>
  <w:abstractNum w:abstractNumId="42">
    <w:nsid w:val="09F1EB99"/>
    <w:multiLevelType w:val="singleLevel"/>
    <w:tmpl w:val="09F1EB99"/>
    <w:lvl w:ilvl="0" w:tentative="0">
      <w:start w:val="1"/>
      <w:numFmt w:val="decimal"/>
      <w:suff w:val="space"/>
      <w:lvlText w:val="12.6.%1"/>
      <w:lvlJc w:val="left"/>
      <w:pPr>
        <w:ind w:left="0" w:firstLine="480"/>
      </w:pPr>
      <w:rPr>
        <w:rFonts w:hint="default"/>
      </w:rPr>
    </w:lvl>
  </w:abstractNum>
  <w:abstractNum w:abstractNumId="43">
    <w:nsid w:val="0D2C6E08"/>
    <w:multiLevelType w:val="singleLevel"/>
    <w:tmpl w:val="0D2C6E08"/>
    <w:lvl w:ilvl="0" w:tentative="0">
      <w:start w:val="1"/>
      <w:numFmt w:val="decimal"/>
      <w:suff w:val="nothing"/>
      <w:lvlText w:val="（%1）"/>
      <w:lvlJc w:val="left"/>
      <w:pPr>
        <w:ind w:left="0" w:firstLine="480"/>
      </w:pPr>
      <w:rPr>
        <w:rFonts w:hint="default"/>
      </w:rPr>
    </w:lvl>
  </w:abstractNum>
  <w:abstractNum w:abstractNumId="44">
    <w:nsid w:val="21BE69F5"/>
    <w:multiLevelType w:val="singleLevel"/>
    <w:tmpl w:val="21BE69F5"/>
    <w:lvl w:ilvl="0" w:tentative="0">
      <w:start w:val="1"/>
      <w:numFmt w:val="decimal"/>
      <w:suff w:val="space"/>
      <w:lvlText w:val="21.%1"/>
      <w:lvlJc w:val="left"/>
      <w:pPr>
        <w:ind w:left="0" w:firstLine="480"/>
      </w:pPr>
      <w:rPr>
        <w:rFonts w:hint="default"/>
      </w:rPr>
    </w:lvl>
  </w:abstractNum>
  <w:abstractNum w:abstractNumId="45">
    <w:nsid w:val="22DCB97F"/>
    <w:multiLevelType w:val="singleLevel"/>
    <w:tmpl w:val="22DCB97F"/>
    <w:lvl w:ilvl="0" w:tentative="0">
      <w:start w:val="1"/>
      <w:numFmt w:val="decimal"/>
      <w:suff w:val="nothing"/>
      <w:lvlText w:val="（%1）"/>
      <w:lvlJc w:val="left"/>
      <w:pPr>
        <w:ind w:left="0" w:firstLine="480"/>
      </w:pPr>
      <w:rPr>
        <w:rFonts w:hint="default"/>
      </w:rPr>
    </w:lvl>
  </w:abstractNum>
  <w:abstractNum w:abstractNumId="46">
    <w:nsid w:val="2447F2A1"/>
    <w:multiLevelType w:val="singleLevel"/>
    <w:tmpl w:val="2447F2A1"/>
    <w:lvl w:ilvl="0" w:tentative="0">
      <w:start w:val="1"/>
      <w:numFmt w:val="decimal"/>
      <w:suff w:val="space"/>
      <w:lvlText w:val="%1."/>
      <w:lvlJc w:val="left"/>
      <w:pPr>
        <w:ind w:left="0" w:firstLine="480"/>
      </w:pPr>
      <w:rPr>
        <w:rFonts w:hint="default"/>
      </w:rPr>
    </w:lvl>
  </w:abstractNum>
  <w:abstractNum w:abstractNumId="47">
    <w:nsid w:val="2746D145"/>
    <w:multiLevelType w:val="singleLevel"/>
    <w:tmpl w:val="2746D145"/>
    <w:lvl w:ilvl="0" w:tentative="0">
      <w:start w:val="1"/>
      <w:numFmt w:val="decimal"/>
      <w:suff w:val="nothing"/>
      <w:lvlText w:val="%1. "/>
      <w:lvlJc w:val="left"/>
      <w:pPr>
        <w:tabs>
          <w:tab w:val="left" w:pos="0"/>
        </w:tabs>
        <w:ind w:left="0" w:firstLine="480"/>
      </w:pPr>
      <w:rPr>
        <w:rFonts w:hint="default"/>
        <w:b/>
      </w:rPr>
    </w:lvl>
  </w:abstractNum>
  <w:abstractNum w:abstractNumId="48">
    <w:nsid w:val="2FCA2ACE"/>
    <w:multiLevelType w:val="singleLevel"/>
    <w:tmpl w:val="2FCA2ACE"/>
    <w:lvl w:ilvl="0" w:tentative="0">
      <w:start w:val="1"/>
      <w:numFmt w:val="decimal"/>
      <w:suff w:val="nothing"/>
      <w:lvlText w:val="（%1）"/>
      <w:lvlJc w:val="left"/>
      <w:pPr>
        <w:ind w:left="0" w:firstLine="480"/>
      </w:pPr>
      <w:rPr>
        <w:rFonts w:hint="default"/>
      </w:rPr>
    </w:lvl>
  </w:abstractNum>
  <w:abstractNum w:abstractNumId="49">
    <w:nsid w:val="32714F5E"/>
    <w:multiLevelType w:val="multilevel"/>
    <w:tmpl w:val="32714F5E"/>
    <w:lvl w:ilvl="0" w:tentative="0">
      <w:start w:val="1"/>
      <w:numFmt w:val="chineseCountingThousand"/>
      <w:suff w:val="nothing"/>
      <w:lvlText w:val="第%1章"/>
      <w:lvlJc w:val="left"/>
      <w:pPr>
        <w:ind w:left="0" w:firstLine="0"/>
      </w:pPr>
      <w:rPr>
        <w:rFonts w:hint="eastAsia" w:ascii="仿宋_GB2312" w:eastAsia="仿宋_GB2312"/>
        <w:sz w:val="44"/>
      </w:rPr>
    </w:lvl>
    <w:lvl w:ilvl="1" w:tentative="0">
      <w:start w:val="1"/>
      <w:numFmt w:val="none"/>
      <w:suff w:val="nothing"/>
      <w:lvlText w:val=""/>
      <w:lvlJc w:val="left"/>
      <w:pPr>
        <w:ind w:left="0" w:firstLine="0"/>
      </w:pPr>
      <w:rPr>
        <w:rFonts w:hint="eastAsia"/>
      </w:rPr>
    </w:lvl>
    <w:lvl w:ilvl="2" w:tentative="0">
      <w:start w:val="1"/>
      <w:numFmt w:val="none"/>
      <w:suff w:val="nothing"/>
      <w:lvlText w:val=""/>
      <w:lvlJc w:val="left"/>
      <w:pPr>
        <w:ind w:left="0" w:firstLine="0"/>
      </w:pPr>
      <w:rPr>
        <w:rFonts w:hint="eastAsia"/>
      </w:rPr>
    </w:lvl>
    <w:lvl w:ilvl="3" w:tentative="0">
      <w:start w:val="1"/>
      <w:numFmt w:val="none"/>
      <w:suff w:val="nothing"/>
      <w:lvlText w:val=""/>
      <w:lvlJc w:val="left"/>
      <w:pPr>
        <w:ind w:left="0" w:firstLine="0"/>
      </w:pPr>
      <w:rPr>
        <w:rFonts w:hint="eastAsia"/>
      </w:rPr>
    </w:lvl>
    <w:lvl w:ilvl="4" w:tentative="0">
      <w:start w:val="1"/>
      <w:numFmt w:val="none"/>
      <w:suff w:val="nothing"/>
      <w:lvlText w:val=""/>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50">
    <w:nsid w:val="36E42A3A"/>
    <w:multiLevelType w:val="singleLevel"/>
    <w:tmpl w:val="36E42A3A"/>
    <w:lvl w:ilvl="0" w:tentative="0">
      <w:start w:val="1"/>
      <w:numFmt w:val="decimal"/>
      <w:suff w:val="nothing"/>
      <w:lvlText w:val="%1."/>
      <w:lvlJc w:val="left"/>
      <w:pPr>
        <w:tabs>
          <w:tab w:val="left" w:pos="0"/>
        </w:tabs>
        <w:ind w:left="0" w:firstLine="480"/>
      </w:pPr>
      <w:rPr>
        <w:rFonts w:hint="default"/>
      </w:rPr>
    </w:lvl>
  </w:abstractNum>
  <w:abstractNum w:abstractNumId="51">
    <w:nsid w:val="3BD9EDB1"/>
    <w:multiLevelType w:val="singleLevel"/>
    <w:tmpl w:val="3BD9EDB1"/>
    <w:lvl w:ilvl="0" w:tentative="0">
      <w:start w:val="1"/>
      <w:numFmt w:val="decimal"/>
      <w:suff w:val="nothing"/>
      <w:lvlText w:val="（%1）"/>
      <w:lvlJc w:val="left"/>
      <w:pPr>
        <w:ind w:left="0" w:firstLine="480"/>
      </w:pPr>
      <w:rPr>
        <w:rFonts w:hint="default"/>
      </w:rPr>
    </w:lvl>
  </w:abstractNum>
  <w:abstractNum w:abstractNumId="52">
    <w:nsid w:val="3E31E9E1"/>
    <w:multiLevelType w:val="singleLevel"/>
    <w:tmpl w:val="3E31E9E1"/>
    <w:lvl w:ilvl="0" w:tentative="0">
      <w:start w:val="1"/>
      <w:numFmt w:val="decimal"/>
      <w:suff w:val="nothing"/>
      <w:lvlText w:val="%1."/>
      <w:lvlJc w:val="left"/>
      <w:pPr>
        <w:tabs>
          <w:tab w:val="left" w:pos="0"/>
        </w:tabs>
        <w:ind w:left="0" w:firstLine="480"/>
      </w:pPr>
      <w:rPr>
        <w:rFonts w:hint="default"/>
        <w:b w:val="0"/>
        <w:bCs w:val="0"/>
      </w:rPr>
    </w:lvl>
  </w:abstractNum>
  <w:abstractNum w:abstractNumId="53">
    <w:nsid w:val="3F611767"/>
    <w:multiLevelType w:val="singleLevel"/>
    <w:tmpl w:val="3F611767"/>
    <w:lvl w:ilvl="0" w:tentative="0">
      <w:start w:val="1"/>
      <w:numFmt w:val="decimal"/>
      <w:suff w:val="nothing"/>
      <w:lvlText w:val="%1. "/>
      <w:lvlJc w:val="left"/>
      <w:pPr>
        <w:tabs>
          <w:tab w:val="left" w:pos="0"/>
        </w:tabs>
        <w:ind w:left="0" w:firstLine="480"/>
      </w:pPr>
      <w:rPr>
        <w:rFonts w:hint="default"/>
      </w:rPr>
    </w:lvl>
  </w:abstractNum>
  <w:abstractNum w:abstractNumId="54">
    <w:nsid w:val="40E998DF"/>
    <w:multiLevelType w:val="singleLevel"/>
    <w:tmpl w:val="40E998DF"/>
    <w:lvl w:ilvl="0" w:tentative="0">
      <w:start w:val="1"/>
      <w:numFmt w:val="decimal"/>
      <w:suff w:val="nothing"/>
      <w:lvlText w:val="（%1）"/>
      <w:lvlJc w:val="left"/>
      <w:pPr>
        <w:ind w:left="0" w:firstLine="480"/>
      </w:pPr>
      <w:rPr>
        <w:rFonts w:hint="default"/>
      </w:rPr>
    </w:lvl>
  </w:abstractNum>
  <w:abstractNum w:abstractNumId="55">
    <w:nsid w:val="468CBC6E"/>
    <w:multiLevelType w:val="singleLevel"/>
    <w:tmpl w:val="468CBC6E"/>
    <w:lvl w:ilvl="0" w:tentative="0">
      <w:start w:val="1"/>
      <w:numFmt w:val="decimal"/>
      <w:suff w:val="space"/>
      <w:lvlText w:val="19.4.%1"/>
      <w:lvlJc w:val="left"/>
      <w:pPr>
        <w:ind w:left="0" w:firstLine="480"/>
      </w:pPr>
      <w:rPr>
        <w:rFonts w:hint="default"/>
      </w:rPr>
    </w:lvl>
  </w:abstractNum>
  <w:abstractNum w:abstractNumId="56">
    <w:nsid w:val="480E6E67"/>
    <w:multiLevelType w:val="singleLevel"/>
    <w:tmpl w:val="480E6E67"/>
    <w:lvl w:ilvl="0" w:tentative="0">
      <w:start w:val="1"/>
      <w:numFmt w:val="decimal"/>
      <w:suff w:val="space"/>
      <w:lvlText w:val="3.%1"/>
      <w:lvlJc w:val="left"/>
      <w:pPr>
        <w:ind w:left="0" w:firstLine="480"/>
      </w:pPr>
      <w:rPr>
        <w:rFonts w:hint="default"/>
      </w:rPr>
    </w:lvl>
  </w:abstractNum>
  <w:abstractNum w:abstractNumId="57">
    <w:nsid w:val="4A26B461"/>
    <w:multiLevelType w:val="singleLevel"/>
    <w:tmpl w:val="4A26B461"/>
    <w:lvl w:ilvl="0" w:tentative="0">
      <w:start w:val="1"/>
      <w:numFmt w:val="decimal"/>
      <w:suff w:val="nothing"/>
      <w:lvlText w:val="(%1). "/>
      <w:lvlJc w:val="left"/>
      <w:pPr>
        <w:ind w:left="0" w:firstLine="482"/>
      </w:pPr>
      <w:rPr>
        <w:rFonts w:hint="default"/>
        <w:b w:val="0"/>
        <w:bCs w:val="0"/>
      </w:rPr>
    </w:lvl>
  </w:abstractNum>
  <w:abstractNum w:abstractNumId="58">
    <w:nsid w:val="4DF39DAD"/>
    <w:multiLevelType w:val="singleLevel"/>
    <w:tmpl w:val="4DF39DAD"/>
    <w:lvl w:ilvl="0" w:tentative="0">
      <w:start w:val="1"/>
      <w:numFmt w:val="decimal"/>
      <w:suff w:val="space"/>
      <w:lvlText w:val="12.%1"/>
      <w:lvlJc w:val="left"/>
      <w:pPr>
        <w:ind w:left="0" w:firstLine="480"/>
      </w:pPr>
      <w:rPr>
        <w:rFonts w:hint="default"/>
      </w:rPr>
    </w:lvl>
  </w:abstractNum>
  <w:abstractNum w:abstractNumId="59">
    <w:nsid w:val="4EDE93C4"/>
    <w:multiLevelType w:val="singleLevel"/>
    <w:tmpl w:val="4EDE93C4"/>
    <w:lvl w:ilvl="0" w:tentative="0">
      <w:start w:val="1"/>
      <w:numFmt w:val="decimal"/>
      <w:suff w:val="nothing"/>
      <w:lvlText w:val="（%1）"/>
      <w:lvlJc w:val="left"/>
      <w:pPr>
        <w:ind w:left="0" w:firstLine="480"/>
      </w:pPr>
      <w:rPr>
        <w:rFonts w:hint="default"/>
      </w:rPr>
    </w:lvl>
  </w:abstractNum>
  <w:abstractNum w:abstractNumId="60">
    <w:nsid w:val="5032CC1E"/>
    <w:multiLevelType w:val="singleLevel"/>
    <w:tmpl w:val="5032CC1E"/>
    <w:lvl w:ilvl="0" w:tentative="0">
      <w:start w:val="1"/>
      <w:numFmt w:val="decimal"/>
      <w:suff w:val="nothing"/>
      <w:lvlText w:val="（%1）"/>
      <w:lvlJc w:val="left"/>
      <w:pPr>
        <w:ind w:left="0" w:firstLine="480"/>
      </w:pPr>
      <w:rPr>
        <w:rFonts w:hint="default"/>
      </w:rPr>
    </w:lvl>
  </w:abstractNum>
  <w:abstractNum w:abstractNumId="61">
    <w:nsid w:val="537C70D1"/>
    <w:multiLevelType w:val="singleLevel"/>
    <w:tmpl w:val="537C70D1"/>
    <w:lvl w:ilvl="0" w:tentative="0">
      <w:start w:val="1"/>
      <w:numFmt w:val="decimal"/>
      <w:suff w:val="space"/>
      <w:lvlText w:val="14.1.%1."/>
      <w:lvlJc w:val="left"/>
      <w:pPr>
        <w:ind w:left="0" w:firstLine="480"/>
      </w:pPr>
      <w:rPr>
        <w:rFonts w:hint="default"/>
      </w:rPr>
    </w:lvl>
  </w:abstractNum>
  <w:abstractNum w:abstractNumId="62">
    <w:nsid w:val="5760F9C8"/>
    <w:multiLevelType w:val="singleLevel"/>
    <w:tmpl w:val="5760F9C8"/>
    <w:lvl w:ilvl="0" w:tentative="0">
      <w:start w:val="1"/>
      <w:numFmt w:val="decimal"/>
      <w:suff w:val="nothing"/>
      <w:lvlText w:val="（%1）"/>
      <w:lvlJc w:val="left"/>
      <w:pPr>
        <w:ind w:left="0" w:firstLine="480"/>
      </w:pPr>
      <w:rPr>
        <w:rFonts w:hint="default"/>
      </w:rPr>
    </w:lvl>
  </w:abstractNum>
  <w:abstractNum w:abstractNumId="63">
    <w:nsid w:val="5E524C31"/>
    <w:multiLevelType w:val="singleLevel"/>
    <w:tmpl w:val="5E524C31"/>
    <w:lvl w:ilvl="0" w:tentative="0">
      <w:start w:val="1"/>
      <w:numFmt w:val="decimal"/>
      <w:suff w:val="space"/>
      <w:lvlText w:val="%1."/>
      <w:lvlJc w:val="left"/>
      <w:pPr>
        <w:ind w:left="0" w:firstLine="482"/>
      </w:pPr>
      <w:rPr>
        <w:rFonts w:hint="default"/>
      </w:rPr>
    </w:lvl>
  </w:abstractNum>
  <w:abstractNum w:abstractNumId="64">
    <w:nsid w:val="6A979656"/>
    <w:multiLevelType w:val="singleLevel"/>
    <w:tmpl w:val="6A979656"/>
    <w:lvl w:ilvl="0" w:tentative="0">
      <w:start w:val="1"/>
      <w:numFmt w:val="chineseCounting"/>
      <w:suff w:val="nothing"/>
      <w:lvlText w:val="%1."/>
      <w:lvlJc w:val="left"/>
      <w:pPr>
        <w:tabs>
          <w:tab w:val="left" w:pos="0"/>
        </w:tabs>
        <w:ind w:left="0" w:firstLine="0"/>
      </w:pPr>
      <w:rPr>
        <w:rFonts w:hint="eastAsia"/>
      </w:rPr>
    </w:lvl>
  </w:abstractNum>
  <w:abstractNum w:abstractNumId="65">
    <w:nsid w:val="6CAE66C9"/>
    <w:multiLevelType w:val="singleLevel"/>
    <w:tmpl w:val="6CAE66C9"/>
    <w:lvl w:ilvl="0" w:tentative="0">
      <w:start w:val="1"/>
      <w:numFmt w:val="chineseCounting"/>
      <w:suff w:val="space"/>
      <w:lvlText w:val="%1 ."/>
      <w:lvlJc w:val="left"/>
      <w:pPr>
        <w:tabs>
          <w:tab w:val="left" w:pos="0"/>
        </w:tabs>
        <w:ind w:left="0" w:firstLine="480"/>
      </w:pPr>
      <w:rPr>
        <w:rFonts w:hint="eastAsia" w:ascii="宋体" w:hAnsi="宋体" w:eastAsia="宋体" w:cs="宋体"/>
        <w:b/>
        <w:bCs/>
      </w:rPr>
    </w:lvl>
  </w:abstractNum>
  <w:abstractNum w:abstractNumId="66">
    <w:nsid w:val="7982956F"/>
    <w:multiLevelType w:val="singleLevel"/>
    <w:tmpl w:val="7982956F"/>
    <w:lvl w:ilvl="0" w:tentative="0">
      <w:start w:val="1"/>
      <w:numFmt w:val="decimal"/>
      <w:suff w:val="space"/>
      <w:lvlText w:val="%1."/>
      <w:lvlJc w:val="left"/>
      <w:pPr>
        <w:ind w:left="0" w:firstLine="480"/>
      </w:pPr>
      <w:rPr>
        <w:rFonts w:hint="default"/>
      </w:rPr>
    </w:lvl>
  </w:abstractNum>
  <w:abstractNum w:abstractNumId="67">
    <w:nsid w:val="7BFD9D05"/>
    <w:multiLevelType w:val="singleLevel"/>
    <w:tmpl w:val="7BFD9D05"/>
    <w:lvl w:ilvl="0" w:tentative="0">
      <w:start w:val="1"/>
      <w:numFmt w:val="decimal"/>
      <w:suff w:val="space"/>
      <w:lvlText w:val="19.%1"/>
      <w:lvlJc w:val="left"/>
      <w:pPr>
        <w:tabs>
          <w:tab w:val="left" w:pos="0"/>
        </w:tabs>
        <w:ind w:left="0" w:firstLine="482"/>
      </w:pPr>
      <w:rPr>
        <w:rFonts w:hint="default"/>
      </w:rPr>
    </w:lvl>
  </w:abstractNum>
  <w:abstractNum w:abstractNumId="68">
    <w:nsid w:val="7C11AAE5"/>
    <w:multiLevelType w:val="singleLevel"/>
    <w:tmpl w:val="7C11AAE5"/>
    <w:lvl w:ilvl="0" w:tentative="0">
      <w:start w:val="2"/>
      <w:numFmt w:val="decimal"/>
      <w:suff w:val="nothing"/>
      <w:lvlText w:val="（%1）"/>
      <w:lvlJc w:val="left"/>
      <w:pPr>
        <w:ind w:left="0" w:firstLine="480"/>
      </w:pPr>
      <w:rPr>
        <w:rFonts w:hint="default"/>
      </w:rPr>
    </w:lvl>
  </w:abstractNum>
  <w:abstractNum w:abstractNumId="69">
    <w:nsid w:val="7D57EEDD"/>
    <w:multiLevelType w:val="singleLevel"/>
    <w:tmpl w:val="7D57EEDD"/>
    <w:lvl w:ilvl="0" w:tentative="0">
      <w:start w:val="1"/>
      <w:numFmt w:val="chineseCounting"/>
      <w:suff w:val="nothing"/>
      <w:lvlText w:val="%1．"/>
      <w:lvlJc w:val="left"/>
      <w:pPr>
        <w:ind w:left="420" w:firstLine="0"/>
      </w:pPr>
      <w:rPr>
        <w:rFonts w:hint="eastAsia"/>
      </w:rPr>
    </w:lvl>
  </w:abstractNum>
  <w:abstractNum w:abstractNumId="70">
    <w:nsid w:val="7F4FB7F8"/>
    <w:multiLevelType w:val="singleLevel"/>
    <w:tmpl w:val="7F4FB7F8"/>
    <w:lvl w:ilvl="0" w:tentative="0">
      <w:start w:val="1"/>
      <w:numFmt w:val="chineseCounting"/>
      <w:suff w:val="space"/>
      <w:lvlText w:val="第%1章"/>
      <w:lvlJc w:val="left"/>
      <w:pPr>
        <w:tabs>
          <w:tab w:val="left" w:pos="0"/>
        </w:tabs>
        <w:ind w:left="0" w:firstLine="0"/>
      </w:pPr>
      <w:rPr>
        <w:rFonts w:hint="eastAsia"/>
      </w:rPr>
    </w:lvl>
  </w:abstractNum>
  <w:num w:numId="1">
    <w:abstractNumId w:val="39"/>
  </w:num>
  <w:num w:numId="2">
    <w:abstractNumId w:val="70"/>
  </w:num>
  <w:num w:numId="3">
    <w:abstractNumId w:val="69"/>
  </w:num>
  <w:num w:numId="4">
    <w:abstractNumId w:val="15"/>
  </w:num>
  <w:num w:numId="5">
    <w:abstractNumId w:val="32"/>
  </w:num>
  <w:num w:numId="6">
    <w:abstractNumId w:val="34"/>
  </w:num>
  <w:num w:numId="7">
    <w:abstractNumId w:val="68"/>
  </w:num>
  <w:num w:numId="8">
    <w:abstractNumId w:val="45"/>
  </w:num>
  <w:num w:numId="9">
    <w:abstractNumId w:val="10"/>
  </w:num>
  <w:num w:numId="10">
    <w:abstractNumId w:val="64"/>
  </w:num>
  <w:num w:numId="11">
    <w:abstractNumId w:val="63"/>
  </w:num>
  <w:num w:numId="12">
    <w:abstractNumId w:val="41"/>
  </w:num>
  <w:num w:numId="13">
    <w:abstractNumId w:val="27"/>
  </w:num>
  <w:num w:numId="14">
    <w:abstractNumId w:val="56"/>
  </w:num>
  <w:num w:numId="15">
    <w:abstractNumId w:val="54"/>
  </w:num>
  <w:num w:numId="16">
    <w:abstractNumId w:val="5"/>
  </w:num>
  <w:num w:numId="17">
    <w:abstractNumId w:val="8"/>
  </w:num>
  <w:num w:numId="18">
    <w:abstractNumId w:val="33"/>
  </w:num>
  <w:num w:numId="19">
    <w:abstractNumId w:val="30"/>
  </w:num>
  <w:num w:numId="20">
    <w:abstractNumId w:val="6"/>
  </w:num>
  <w:num w:numId="21">
    <w:abstractNumId w:val="11"/>
  </w:num>
  <w:num w:numId="22">
    <w:abstractNumId w:val="43"/>
  </w:num>
  <w:num w:numId="23">
    <w:abstractNumId w:val="7"/>
  </w:num>
  <w:num w:numId="24">
    <w:abstractNumId w:val="16"/>
  </w:num>
  <w:num w:numId="25">
    <w:abstractNumId w:val="58"/>
  </w:num>
  <w:num w:numId="26">
    <w:abstractNumId w:val="42"/>
  </w:num>
  <w:num w:numId="27">
    <w:abstractNumId w:val="29"/>
  </w:num>
  <w:num w:numId="28">
    <w:abstractNumId w:val="61"/>
  </w:num>
  <w:num w:numId="29">
    <w:abstractNumId w:val="1"/>
  </w:num>
  <w:num w:numId="30">
    <w:abstractNumId w:val="21"/>
  </w:num>
  <w:num w:numId="31">
    <w:abstractNumId w:val="3"/>
  </w:num>
  <w:num w:numId="32">
    <w:abstractNumId w:val="67"/>
  </w:num>
  <w:num w:numId="33">
    <w:abstractNumId w:val="55"/>
  </w:num>
  <w:num w:numId="34">
    <w:abstractNumId w:val="46"/>
  </w:num>
  <w:num w:numId="35">
    <w:abstractNumId w:val="14"/>
  </w:num>
  <w:num w:numId="36">
    <w:abstractNumId w:val="9"/>
  </w:num>
  <w:num w:numId="37">
    <w:abstractNumId w:val="44"/>
  </w:num>
  <w:num w:numId="38">
    <w:abstractNumId w:val="18"/>
  </w:num>
  <w:num w:numId="39">
    <w:abstractNumId w:val="38"/>
  </w:num>
  <w:num w:numId="40">
    <w:abstractNumId w:val="60"/>
  </w:num>
  <w:num w:numId="41">
    <w:abstractNumId w:val="0"/>
  </w:num>
  <w:num w:numId="42">
    <w:abstractNumId w:val="40"/>
  </w:num>
  <w:num w:numId="43">
    <w:abstractNumId w:val="48"/>
  </w:num>
  <w:num w:numId="44">
    <w:abstractNumId w:val="62"/>
  </w:num>
  <w:num w:numId="45">
    <w:abstractNumId w:val="24"/>
  </w:num>
  <w:num w:numId="46">
    <w:abstractNumId w:val="12"/>
  </w:num>
  <w:num w:numId="47">
    <w:abstractNumId w:val="35"/>
  </w:num>
  <w:num w:numId="48">
    <w:abstractNumId w:val="22"/>
  </w:num>
  <w:num w:numId="49">
    <w:abstractNumId w:val="19"/>
  </w:num>
  <w:num w:numId="50">
    <w:abstractNumId w:val="59"/>
  </w:num>
  <w:num w:numId="51">
    <w:abstractNumId w:val="52"/>
  </w:num>
  <w:num w:numId="52">
    <w:abstractNumId w:val="4"/>
  </w:num>
  <w:num w:numId="53">
    <w:abstractNumId w:val="50"/>
  </w:num>
  <w:num w:numId="54">
    <w:abstractNumId w:val="2"/>
  </w:num>
  <w:num w:numId="55">
    <w:abstractNumId w:val="66"/>
  </w:num>
  <w:num w:numId="56">
    <w:abstractNumId w:val="23"/>
  </w:num>
  <w:num w:numId="57">
    <w:abstractNumId w:val="57"/>
  </w:num>
  <w:num w:numId="58">
    <w:abstractNumId w:val="26"/>
  </w:num>
  <w:num w:numId="59">
    <w:abstractNumId w:val="13"/>
  </w:num>
  <w:num w:numId="60">
    <w:abstractNumId w:val="17"/>
  </w:num>
  <w:num w:numId="61">
    <w:abstractNumId w:val="51"/>
  </w:num>
  <w:num w:numId="62">
    <w:abstractNumId w:val="31"/>
  </w:num>
  <w:num w:numId="63">
    <w:abstractNumId w:val="53"/>
  </w:num>
  <w:num w:numId="64">
    <w:abstractNumId w:val="28"/>
  </w:num>
  <w:num w:numId="65">
    <w:abstractNumId w:val="49"/>
  </w:num>
  <w:num w:numId="66">
    <w:abstractNumId w:val="25"/>
  </w:num>
  <w:num w:numId="67">
    <w:abstractNumId w:val="20"/>
  </w:num>
  <w:num w:numId="68">
    <w:abstractNumId w:val="37"/>
  </w:num>
  <w:num w:numId="69">
    <w:abstractNumId w:val="47"/>
  </w:num>
  <w:num w:numId="70">
    <w:abstractNumId w:val="65"/>
  </w:num>
  <w:num w:numId="71">
    <w:abstractNumId w:val="3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让一切随风">
    <w15:presenceInfo w15:providerId="WPS Office" w15:userId="282317863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9"/>
  <w:embedSystemFonts/>
  <w:bordersDoNotSurroundHeader w:val="1"/>
  <w:bordersDoNotSurroundFooter w:val="1"/>
  <w:documentProtection w:enforcement="0"/>
  <w:defaultTabStop w:val="420"/>
  <w:drawingGridHorizontalSpacing w:val="210"/>
  <w:drawingGridVerticalSpacing w:val="156"/>
  <w:displayHorizontalDrawingGridEvery w:val="1"/>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67B57E3"/>
    <w:rsid w:val="00154835"/>
    <w:rsid w:val="003036C0"/>
    <w:rsid w:val="0577737D"/>
    <w:rsid w:val="05E97159"/>
    <w:rsid w:val="06306C83"/>
    <w:rsid w:val="0683519D"/>
    <w:rsid w:val="0C3B4CA0"/>
    <w:rsid w:val="0CCA2457"/>
    <w:rsid w:val="0D0767C2"/>
    <w:rsid w:val="12300775"/>
    <w:rsid w:val="146D70B2"/>
    <w:rsid w:val="14AC5473"/>
    <w:rsid w:val="158A15A6"/>
    <w:rsid w:val="1E1A5386"/>
    <w:rsid w:val="1F2B3A62"/>
    <w:rsid w:val="21F72DBD"/>
    <w:rsid w:val="23205984"/>
    <w:rsid w:val="2D084EBB"/>
    <w:rsid w:val="31B832E9"/>
    <w:rsid w:val="38614D91"/>
    <w:rsid w:val="3A113B67"/>
    <w:rsid w:val="3A5D2B66"/>
    <w:rsid w:val="3B117EFC"/>
    <w:rsid w:val="3B2A1AA2"/>
    <w:rsid w:val="3BBD7D90"/>
    <w:rsid w:val="3D8348B6"/>
    <w:rsid w:val="3E582682"/>
    <w:rsid w:val="3EAD7F28"/>
    <w:rsid w:val="40776973"/>
    <w:rsid w:val="46C655B1"/>
    <w:rsid w:val="493269BD"/>
    <w:rsid w:val="4C0076E4"/>
    <w:rsid w:val="513C1D62"/>
    <w:rsid w:val="5C5850E7"/>
    <w:rsid w:val="6025591D"/>
    <w:rsid w:val="60E16FD7"/>
    <w:rsid w:val="6191272F"/>
    <w:rsid w:val="61961018"/>
    <w:rsid w:val="630930CF"/>
    <w:rsid w:val="667B57E3"/>
    <w:rsid w:val="69611E32"/>
    <w:rsid w:val="6A6534F3"/>
    <w:rsid w:val="73F844DE"/>
    <w:rsid w:val="746D637A"/>
    <w:rsid w:val="78216584"/>
    <w:rsid w:val="7FAB7C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qFormat="1" w:uiPriority="39"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next w:val="1"/>
    <w:qFormat/>
    <w:uiPriority w:val="0"/>
    <w:pPr>
      <w:keepNext w:val="0"/>
      <w:keepLines w:val="0"/>
      <w:widowControl w:val="0"/>
      <w:numPr>
        <w:ilvl w:val="0"/>
        <w:numId w:val="1"/>
      </w:numPr>
      <w:spacing w:before="240" w:beforeLines="0" w:after="120" w:line="360" w:lineRule="auto"/>
      <w:ind w:left="0" w:firstLine="482"/>
      <w:jc w:val="left"/>
      <w:outlineLvl w:val="0"/>
    </w:pPr>
    <w:rPr>
      <w:rFonts w:ascii="宋体" w:hAnsi="宋体" w:eastAsia="宋体" w:cs="宋体"/>
      <w:b/>
      <w:bCs/>
      <w:kern w:val="44"/>
      <w:sz w:val="24"/>
      <w:szCs w:val="30"/>
    </w:rPr>
  </w:style>
  <w:style w:type="paragraph" w:styleId="3">
    <w:name w:val="heading 2"/>
    <w:next w:val="1"/>
    <w:qFormat/>
    <w:uiPriority w:val="9"/>
    <w:pPr>
      <w:keepNext w:val="0"/>
      <w:keepLines w:val="0"/>
      <w:widowControl w:val="0"/>
      <w:numPr>
        <w:ilvl w:val="1"/>
        <w:numId w:val="1"/>
      </w:numPr>
      <w:spacing w:before="120" w:beforeAutospacing="0" w:after="120" w:afterAutospacing="0" w:line="360" w:lineRule="auto"/>
      <w:ind w:left="1" w:firstLine="481"/>
      <w:jc w:val="left"/>
      <w:outlineLvl w:val="1"/>
    </w:pPr>
    <w:rPr>
      <w:rFonts w:ascii="Times New Roman" w:hAnsi="Times New Roman" w:eastAsia="宋体" w:cs="Times New Roman"/>
      <w:b/>
      <w:sz w:val="24"/>
    </w:rPr>
  </w:style>
  <w:style w:type="paragraph" w:styleId="4">
    <w:name w:val="heading 3"/>
    <w:next w:val="1"/>
    <w:qFormat/>
    <w:uiPriority w:val="0"/>
    <w:pPr>
      <w:keepNext w:val="0"/>
      <w:keepLines w:val="0"/>
      <w:widowControl w:val="0"/>
      <w:numPr>
        <w:ilvl w:val="2"/>
        <w:numId w:val="1"/>
      </w:numPr>
      <w:spacing w:before="120" w:beforeAutospacing="0" w:after="120" w:afterAutospacing="0" w:line="360" w:lineRule="auto"/>
      <w:ind w:left="720" w:hanging="720"/>
      <w:jc w:val="left"/>
      <w:outlineLvl w:val="2"/>
    </w:pPr>
    <w:rPr>
      <w:rFonts w:ascii="Times New Roman" w:hAnsi="Times New Roman" w:eastAsia="宋体" w:cs="Times New Roman"/>
      <w:b/>
      <w:sz w:val="24"/>
    </w:rPr>
  </w:style>
  <w:style w:type="paragraph" w:styleId="5">
    <w:name w:val="heading 4"/>
    <w:next w:val="1"/>
    <w:qFormat/>
    <w:uiPriority w:val="0"/>
    <w:pPr>
      <w:keepNext w:val="0"/>
      <w:keepLines w:val="0"/>
      <w:widowControl w:val="0"/>
      <w:numPr>
        <w:ilvl w:val="3"/>
        <w:numId w:val="1"/>
      </w:numPr>
      <w:spacing w:before="120" w:beforeAutospacing="0" w:after="120" w:afterAutospacing="0" w:line="360" w:lineRule="auto"/>
      <w:ind w:left="864" w:hanging="864"/>
      <w:outlineLvl w:val="3"/>
    </w:pPr>
    <w:rPr>
      <w:rFonts w:ascii="Times New Roman" w:hAnsi="Times New Roman" w:eastAsia="宋体" w:cs="Times New Roman"/>
      <w:b/>
      <w:sz w:val="24"/>
    </w:rPr>
  </w:style>
  <w:style w:type="paragraph" w:styleId="6">
    <w:name w:val="heading 5"/>
    <w:next w:val="1"/>
    <w:qFormat/>
    <w:uiPriority w:val="0"/>
    <w:pPr>
      <w:keepNext w:val="0"/>
      <w:keepLines w:val="0"/>
      <w:widowControl w:val="0"/>
      <w:numPr>
        <w:ilvl w:val="4"/>
        <w:numId w:val="1"/>
      </w:numPr>
      <w:spacing w:beforeLines="0" w:beforeAutospacing="0" w:after="120" w:afterLines="0" w:afterAutospacing="0" w:line="300" w:lineRule="auto"/>
      <w:ind w:left="1008" w:hanging="1008"/>
      <w:jc w:val="left"/>
      <w:outlineLvl w:val="4"/>
    </w:pPr>
    <w:rPr>
      <w:rFonts w:ascii="Times New Roman" w:hAnsi="Times New Roman" w:eastAsia="宋体" w:cs="Times New Roman"/>
      <w:sz w:val="24"/>
    </w:rPr>
  </w:style>
  <w:style w:type="paragraph" w:styleId="7">
    <w:name w:val="heading 6"/>
    <w:next w:val="1"/>
    <w:semiHidden/>
    <w:unhideWhenUsed/>
    <w:qFormat/>
    <w:uiPriority w:val="0"/>
    <w:pPr>
      <w:keepNext w:val="0"/>
      <w:keepLines w:val="0"/>
      <w:widowControl w:val="0"/>
      <w:numPr>
        <w:ilvl w:val="5"/>
        <w:numId w:val="1"/>
      </w:numPr>
      <w:spacing w:beforeLines="0" w:beforeAutospacing="0" w:after="120" w:afterLines="0" w:afterAutospacing="0" w:line="300" w:lineRule="auto"/>
      <w:ind w:left="1151" w:hanging="1151"/>
      <w:jc w:val="left"/>
      <w:outlineLvl w:val="5"/>
    </w:pPr>
    <w:rPr>
      <w:rFonts w:ascii="Times New Roman" w:hAnsi="Times New Roman" w:eastAsia="宋体" w:cs="Times New Roman"/>
      <w:sz w:val="24"/>
    </w:rPr>
  </w:style>
  <w:style w:type="paragraph" w:styleId="8">
    <w:name w:val="heading 7"/>
    <w:next w:val="1"/>
    <w:semiHidden/>
    <w:unhideWhenUsed/>
    <w:qFormat/>
    <w:uiPriority w:val="0"/>
    <w:pPr>
      <w:keepNext w:val="0"/>
      <w:keepLines w:val="0"/>
      <w:widowControl w:val="0"/>
      <w:numPr>
        <w:ilvl w:val="6"/>
        <w:numId w:val="1"/>
      </w:numPr>
      <w:spacing w:beforeLines="0" w:beforeAutospacing="0" w:after="120" w:afterLines="0" w:afterAutospacing="0" w:line="300" w:lineRule="auto"/>
      <w:ind w:left="1296" w:hanging="1296"/>
      <w:jc w:val="left"/>
      <w:outlineLvl w:val="6"/>
    </w:pPr>
    <w:rPr>
      <w:rFonts w:ascii="Times New Roman" w:hAnsi="Times New Roman" w:eastAsia="宋体" w:cs="Times New Roman"/>
      <w:sz w:val="24"/>
    </w:rPr>
  </w:style>
  <w:style w:type="paragraph" w:styleId="9">
    <w:name w:val="heading 8"/>
    <w:next w:val="1"/>
    <w:semiHidden/>
    <w:unhideWhenUsed/>
    <w:qFormat/>
    <w:uiPriority w:val="0"/>
    <w:pPr>
      <w:keepNext w:val="0"/>
      <w:keepLines w:val="0"/>
      <w:widowControl w:val="0"/>
      <w:numPr>
        <w:ilvl w:val="7"/>
        <w:numId w:val="1"/>
      </w:numPr>
      <w:spacing w:beforeLines="0" w:beforeAutospacing="0" w:after="120" w:afterLines="0" w:afterAutospacing="0" w:line="300" w:lineRule="auto"/>
      <w:ind w:left="1440" w:hanging="1440"/>
      <w:jc w:val="left"/>
      <w:outlineLvl w:val="7"/>
    </w:pPr>
    <w:rPr>
      <w:rFonts w:ascii="Times New Roman" w:hAnsi="Times New Roman" w:eastAsia="宋体" w:cs="Times New Roman"/>
      <w:sz w:val="24"/>
    </w:rPr>
  </w:style>
  <w:style w:type="paragraph" w:styleId="10">
    <w:name w:val="heading 9"/>
    <w:next w:val="1"/>
    <w:semiHidden/>
    <w:unhideWhenUsed/>
    <w:qFormat/>
    <w:uiPriority w:val="0"/>
    <w:pPr>
      <w:keepNext w:val="0"/>
      <w:keepLines w:val="0"/>
      <w:widowControl w:val="0"/>
      <w:numPr>
        <w:ilvl w:val="8"/>
        <w:numId w:val="1"/>
      </w:numPr>
      <w:spacing w:beforeLines="0" w:beforeAutospacing="0" w:after="120" w:afterLines="0" w:afterAutospacing="0" w:line="300" w:lineRule="auto"/>
      <w:ind w:left="1583" w:hanging="1583"/>
      <w:jc w:val="left"/>
      <w:outlineLvl w:val="8"/>
    </w:pPr>
    <w:rPr>
      <w:rFonts w:ascii="Times New Roman" w:hAnsi="Times New Roman" w:eastAsia="宋体" w:cs="Times New Roman"/>
      <w:sz w:val="24"/>
    </w:rPr>
  </w:style>
  <w:style w:type="character" w:default="1" w:styleId="23">
    <w:name w:val="Default Paragraph Font"/>
    <w:semiHidden/>
    <w:qFormat/>
    <w:uiPriority w:val="0"/>
  </w:style>
  <w:style w:type="table" w:default="1" w:styleId="22">
    <w:name w:val="Normal Table"/>
    <w:semiHidden/>
    <w:qFormat/>
    <w:uiPriority w:val="0"/>
    <w:tblPr>
      <w:tblCellMar>
        <w:top w:w="0" w:type="dxa"/>
        <w:left w:w="108" w:type="dxa"/>
        <w:bottom w:w="0" w:type="dxa"/>
        <w:right w:w="108" w:type="dxa"/>
      </w:tblCellMar>
    </w:tblPr>
  </w:style>
  <w:style w:type="paragraph" w:styleId="11">
    <w:name w:val="Body Text"/>
    <w:next w:val="12"/>
    <w:unhideWhenUsed/>
    <w:qFormat/>
    <w:uiPriority w:val="0"/>
    <w:pPr>
      <w:widowControl w:val="0"/>
      <w:spacing w:after="120" w:afterLines="0" w:afterAutospacing="0" w:line="300" w:lineRule="auto"/>
      <w:ind w:firstLine="420" w:firstLineChars="200"/>
    </w:pPr>
    <w:rPr>
      <w:rFonts w:ascii="Times New Roman" w:hAnsi="Times New Roman" w:eastAsia="宋体" w:cs="Times New Roman"/>
      <w:sz w:val="24"/>
    </w:rPr>
  </w:style>
  <w:style w:type="paragraph" w:styleId="12">
    <w:name w:val="Body Text First Indent"/>
    <w:basedOn w:val="11"/>
    <w:next w:val="13"/>
    <w:qFormat/>
    <w:uiPriority w:val="0"/>
    <w:pPr>
      <w:ind w:firstLine="420" w:firstLineChars="100"/>
    </w:pPr>
    <w:rPr>
      <w:rFonts w:ascii="宋体" w:hAnsi="Courier New"/>
      <w:kern w:val="0"/>
      <w:sz w:val="20"/>
      <w:szCs w:val="21"/>
    </w:rPr>
  </w:style>
  <w:style w:type="paragraph" w:styleId="13">
    <w:name w:val="toc 6"/>
    <w:basedOn w:val="1"/>
    <w:next w:val="1"/>
    <w:unhideWhenUsed/>
    <w:qFormat/>
    <w:uiPriority w:val="39"/>
    <w:pPr>
      <w:ind w:left="2100" w:leftChars="1000"/>
    </w:pPr>
    <w:rPr>
      <w:rFonts w:ascii="Calibri" w:hAnsi="Calibri"/>
      <w:szCs w:val="22"/>
    </w:rPr>
  </w:style>
  <w:style w:type="paragraph" w:styleId="14">
    <w:name w:val="Body Text Indent"/>
    <w:basedOn w:val="1"/>
    <w:qFormat/>
    <w:uiPriority w:val="0"/>
    <w:pPr>
      <w:ind w:firstLine="830" w:firstLineChars="352"/>
    </w:pPr>
    <w:rPr>
      <w:rFonts w:ascii="仿宋_GB2312" w:eastAsia="仿宋_GB2312"/>
      <w:kern w:val="0"/>
      <w:sz w:val="32"/>
      <w:szCs w:val="20"/>
    </w:rPr>
  </w:style>
  <w:style w:type="paragraph" w:styleId="15">
    <w:name w:val="Plain Text"/>
    <w:basedOn w:val="1"/>
    <w:next w:val="1"/>
    <w:qFormat/>
    <w:uiPriority w:val="0"/>
    <w:rPr>
      <w:rFonts w:ascii="宋体" w:hAnsi="Courier New"/>
      <w:kern w:val="0"/>
      <w:sz w:val="20"/>
      <w:szCs w:val="21"/>
    </w:rPr>
  </w:style>
  <w:style w:type="paragraph" w:styleId="16">
    <w:name w:val="footer"/>
    <w:basedOn w:val="1"/>
    <w:unhideWhenUsed/>
    <w:qFormat/>
    <w:uiPriority w:val="99"/>
    <w:pPr>
      <w:tabs>
        <w:tab w:val="center" w:pos="4153"/>
        <w:tab w:val="right" w:pos="8306"/>
      </w:tabs>
      <w:snapToGrid w:val="0"/>
      <w:jc w:val="left"/>
    </w:pPr>
    <w:rPr>
      <w:kern w:val="0"/>
      <w:sz w:val="18"/>
      <w:szCs w:val="18"/>
    </w:rPr>
  </w:style>
  <w:style w:type="paragraph" w:styleId="17">
    <w:name w:val="toc 1"/>
    <w:basedOn w:val="1"/>
    <w:next w:val="1"/>
    <w:unhideWhenUsed/>
    <w:qFormat/>
    <w:uiPriority w:val="39"/>
  </w:style>
  <w:style w:type="paragraph" w:styleId="18">
    <w:name w:val="Subtitle"/>
    <w:qFormat/>
    <w:uiPriority w:val="0"/>
    <w:pPr>
      <w:widowControl w:val="0"/>
      <w:spacing w:before="120" w:beforeLines="0" w:beforeAutospacing="0" w:after="240" w:afterLines="0" w:afterAutospacing="0" w:line="360" w:lineRule="auto"/>
      <w:jc w:val="center"/>
      <w:outlineLvl w:val="9"/>
    </w:pPr>
    <w:rPr>
      <w:rFonts w:ascii="Times New Roman" w:hAnsi="Times New Roman" w:eastAsia="宋体" w:cs="Times New Roman"/>
      <w:b/>
      <w:kern w:val="28"/>
      <w:sz w:val="24"/>
    </w:rPr>
  </w:style>
  <w:style w:type="paragraph" w:styleId="19">
    <w:name w:val="toc 2"/>
    <w:basedOn w:val="1"/>
    <w:next w:val="1"/>
    <w:unhideWhenUsed/>
    <w:qFormat/>
    <w:uiPriority w:val="39"/>
    <w:pPr>
      <w:tabs>
        <w:tab w:val="right" w:leader="dot" w:pos="8450"/>
      </w:tabs>
      <w:ind w:left="420" w:leftChars="200"/>
    </w:pPr>
  </w:style>
  <w:style w:type="paragraph" w:styleId="20">
    <w:name w:val="Title"/>
    <w:qFormat/>
    <w:uiPriority w:val="0"/>
    <w:pPr>
      <w:spacing w:beforeAutospacing="0" w:afterAutospacing="0" w:line="360" w:lineRule="auto"/>
      <w:jc w:val="center"/>
      <w:outlineLvl w:val="9"/>
    </w:pPr>
    <w:rPr>
      <w:rFonts w:ascii="Times New Roman" w:hAnsi="Times New Roman" w:eastAsia="黑体" w:cs="Times New Roman"/>
      <w:sz w:val="44"/>
    </w:rPr>
  </w:style>
  <w:style w:type="paragraph" w:styleId="21">
    <w:name w:val="Body Text First Indent 2"/>
    <w:basedOn w:val="14"/>
    <w:unhideWhenUsed/>
    <w:qFormat/>
    <w:uiPriority w:val="99"/>
    <w:pPr>
      <w:ind w:firstLine="420" w:firstLineChars="200"/>
    </w:pPr>
  </w:style>
  <w:style w:type="character" w:styleId="24">
    <w:name w:val="page number"/>
    <w:qFormat/>
    <w:uiPriority w:val="0"/>
  </w:style>
  <w:style w:type="character" w:styleId="25">
    <w:name w:val="Hyperlink"/>
    <w:unhideWhenUsed/>
    <w:qFormat/>
    <w:uiPriority w:val="99"/>
    <w:rPr>
      <w:color w:val="0000FF"/>
      <w:u w:val="single"/>
    </w:rPr>
  </w:style>
  <w:style w:type="paragraph" w:customStyle="1" w:styleId="26">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27">
    <w:name w:val="图表内容"/>
    <w:qFormat/>
    <w:uiPriority w:val="0"/>
    <w:pPr>
      <w:jc w:val="center"/>
    </w:pPr>
    <w:rPr>
      <w:rFonts w:ascii="Times New Roman" w:hAnsi="Times New Roman" w:eastAsia="宋体" w:cs="Times New Roman"/>
      <w:kern w:val="2"/>
      <w:sz w:val="21"/>
      <w:szCs w:val="22"/>
      <w:lang w:val="en-US" w:eastAsia="zh-CN" w:bidi="ar-SA"/>
    </w:rPr>
  </w:style>
  <w:style w:type="character" w:customStyle="1" w:styleId="28">
    <w:name w:val="NormalCharacter"/>
    <w:qFormat/>
    <w:uiPriority w:val="0"/>
  </w:style>
  <w:style w:type="paragraph" w:customStyle="1" w:styleId="29">
    <w:name w:val="表格文字"/>
    <w:basedOn w:val="14"/>
    <w:next w:val="11"/>
    <w:qFormat/>
    <w:uiPriority w:val="0"/>
    <w:pPr>
      <w:spacing w:before="25" w:after="25"/>
      <w:jc w:val="left"/>
    </w:pPr>
    <w:rPr>
      <w:bCs/>
      <w:spacing w:val="10"/>
      <w:kern w:val="0"/>
      <w:sz w:val="24"/>
      <w:szCs w:val="20"/>
    </w:rPr>
  </w:style>
  <w:style w:type="paragraph" w:customStyle="1" w:styleId="30">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1">
    <w:name w:val="正文_1"/>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32">
    <w:name w:val="textcontents"/>
    <w:qFormat/>
    <w:uiPriority w:val="0"/>
  </w:style>
  <w:style w:type="paragraph" w:styleId="33">
    <w:name w:val="No Spacing"/>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4">
    <w:name w:val="Normal Indent"/>
    <w:basedOn w:val="1"/>
    <w:qFormat/>
    <w:uiPriority w:val="0"/>
    <w:pPr>
      <w:widowControl/>
      <w:ind w:firstLine="420"/>
      <w:jc w:val="left"/>
    </w:pPr>
    <w:rPr>
      <w:rFonts w:ascii="Times New Roman" w:hAnsi="Times New Roman"/>
      <w:kern w:val="0"/>
      <w:szCs w:val="20"/>
    </w:rPr>
  </w:style>
  <w:style w:type="paragraph" w:styleId="35">
    <w:name w:val="List Paragraph"/>
    <w:basedOn w:val="1"/>
    <w:qFormat/>
    <w:uiPriority w:val="0"/>
    <w:pPr>
      <w:ind w:firstLine="420" w:firstLineChars="200"/>
    </w:pPr>
  </w:style>
  <w:style w:type="paragraph" w:customStyle="1" w:styleId="36">
    <w:name w:val="Body text|1"/>
    <w:basedOn w:val="1"/>
    <w:qFormat/>
    <w:uiPriority w:val="0"/>
    <w:pPr>
      <w:spacing w:line="360" w:lineRule="auto"/>
      <w:ind w:firstLine="400"/>
      <w:jc w:val="left"/>
    </w:pPr>
    <w:rPr>
      <w:rFonts w:ascii="宋体" w:hAnsi="宋体" w:cs="宋体"/>
      <w:sz w:val="20"/>
      <w:szCs w:val="20"/>
      <w:lang w:val="zh-CN" w:bidi="zh-CN"/>
    </w:rPr>
  </w:style>
  <w:style w:type="paragraph" w:customStyle="1" w:styleId="37">
    <w:name w:val="Body text|2"/>
    <w:basedOn w:val="1"/>
    <w:qFormat/>
    <w:uiPriority w:val="0"/>
    <w:pPr>
      <w:spacing w:after="30"/>
      <w:ind w:firstLine="420"/>
      <w:jc w:val="left"/>
    </w:pPr>
    <w:rPr>
      <w:rFonts w:ascii="Calibri" w:hAnsi="Calibri"/>
      <w:sz w:val="20"/>
      <w:szCs w:val="20"/>
    </w:rPr>
  </w:style>
  <w:style w:type="paragraph" w:customStyle="1" w:styleId="38">
    <w:name w:val="Other|1"/>
    <w:basedOn w:val="1"/>
    <w:qFormat/>
    <w:uiPriority w:val="0"/>
    <w:pPr>
      <w:spacing w:line="360" w:lineRule="auto"/>
      <w:ind w:firstLine="400"/>
      <w:jc w:val="left"/>
    </w:pPr>
    <w:rPr>
      <w:rFonts w:ascii="宋体" w:hAnsi="宋体" w:cs="宋体"/>
      <w:sz w:val="20"/>
      <w:szCs w:val="20"/>
      <w:lang w:val="zh-CN" w:bidi="zh-CN"/>
    </w:rPr>
  </w:style>
  <w:style w:type="paragraph" w:customStyle="1" w:styleId="39">
    <w:name w:val="Heading #4|1"/>
    <w:basedOn w:val="1"/>
    <w:qFormat/>
    <w:uiPriority w:val="0"/>
    <w:pPr>
      <w:spacing w:after="120"/>
      <w:jc w:val="left"/>
      <w:outlineLvl w:val="3"/>
    </w:pPr>
    <w:rPr>
      <w:rFonts w:ascii="宋体" w:hAnsi="宋体" w:cs="宋体"/>
      <w:szCs w:val="22"/>
      <w:lang w:val="zh-CN" w:bidi="zh-CN"/>
    </w:rPr>
  </w:style>
  <w:style w:type="paragraph" w:customStyle="1" w:styleId="40">
    <w:name w:val="附录标题"/>
    <w:next w:val="1"/>
    <w:qFormat/>
    <w:uiPriority w:val="0"/>
    <w:pPr>
      <w:keepNext w:val="0"/>
      <w:keepLines w:val="0"/>
      <w:widowControl w:val="0"/>
      <w:spacing w:before="240" w:after="120" w:line="360" w:lineRule="auto"/>
      <w:jc w:val="left"/>
      <w:outlineLvl w:val="0"/>
    </w:pPr>
    <w:rPr>
      <w:rFonts w:ascii="Times New Roman" w:hAnsi="Times New Roman" w:eastAsia="宋体" w:cs="Times New Roman"/>
      <w:b/>
      <w:sz w:val="24"/>
    </w:rPr>
  </w:style>
  <w:style w:type="paragraph" w:customStyle="1" w:styleId="41">
    <w:name w:val="章前标题"/>
    <w:next w:val="1"/>
    <w:qFormat/>
    <w:uiPriority w:val="0"/>
    <w:pPr>
      <w:keepNext w:val="0"/>
      <w:keepLines w:val="0"/>
      <w:pageBreakBefore w:val="0"/>
      <w:widowControl w:val="0"/>
      <w:kinsoku/>
      <w:wordWrap/>
      <w:overflowPunct/>
      <w:topLinePunct w:val="0"/>
      <w:autoSpaceDE/>
      <w:autoSpaceDN/>
      <w:bidi w:val="0"/>
      <w:adjustRightInd/>
      <w:spacing w:before="240" w:beforeLines="0" w:after="240" w:line="360" w:lineRule="auto"/>
      <w:jc w:val="center"/>
      <w:textAlignment w:val="auto"/>
      <w:outlineLvl w:val="9"/>
    </w:pPr>
    <w:rPr>
      <w:rFonts w:ascii="黑体" w:hAnsi="黑体" w:eastAsia="黑体" w:cs="黑体"/>
      <w:kern w:val="44"/>
      <w:sz w:val="30"/>
      <w:szCs w:val="36"/>
    </w:rPr>
  </w:style>
  <w:style w:type="paragraph" w:customStyle="1" w:styleId="42">
    <w:name w:val="章节标题"/>
    <w:next w:val="1"/>
    <w:qFormat/>
    <w:uiPriority w:val="0"/>
    <w:pPr>
      <w:pageBreakBefore w:val="0"/>
      <w:widowControl w:val="0"/>
      <w:spacing w:before="240" w:beforeLines="0" w:after="240" w:line="360" w:lineRule="auto"/>
      <w:jc w:val="center"/>
      <w:outlineLvl w:val="0"/>
    </w:pPr>
    <w:rPr>
      <w:rFonts w:ascii="Times New Roman" w:hAnsi="Times New Roman" w:eastAsia="黑体" w:cs="Times New Roman"/>
      <w:kern w:val="44"/>
      <w:sz w:val="30"/>
      <w:szCs w:val="36"/>
    </w:rPr>
  </w:style>
  <w:style w:type="paragraph" w:customStyle="1" w:styleId="43">
    <w:name w:val="内嵌文档标题1"/>
    <w:next w:val="1"/>
    <w:qFormat/>
    <w:uiPriority w:val="0"/>
    <w:pPr>
      <w:widowControl w:val="0"/>
      <w:spacing w:after="120" w:line="300" w:lineRule="auto"/>
      <w:jc w:val="center"/>
      <w:outlineLvl w:val="0"/>
    </w:pPr>
    <w:rPr>
      <w:rFonts w:ascii="Times New Roman" w:hAnsi="Times New Roman" w:eastAsia="宋体" w:cs="Times New Roman"/>
      <w:b/>
      <w:kern w:val="2"/>
      <w:sz w:val="24"/>
    </w:rPr>
  </w:style>
  <w:style w:type="paragraph" w:customStyle="1" w:styleId="44">
    <w:name w:val="内嵌文档标题2"/>
    <w:next w:val="1"/>
    <w:qFormat/>
    <w:uiPriority w:val="0"/>
    <w:pPr>
      <w:widowControl w:val="0"/>
      <w:shd w:val="clear" w:color="auto" w:fill="FFFFFF"/>
      <w:spacing w:after="120" w:line="300" w:lineRule="auto"/>
      <w:jc w:val="center"/>
      <w:outlineLvl w:val="0"/>
    </w:pPr>
    <w:rPr>
      <w:rFonts w:ascii="宋体" w:hAnsi="宋体" w:eastAsia="宋体" w:cs="宋体"/>
      <w:b/>
      <w:bCs/>
      <w:kern w:val="0"/>
      <w:sz w:val="24"/>
      <w:szCs w:val="30"/>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8" Type="http://schemas.microsoft.com/office/2011/relationships/people" Target="people.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1.wmf"/><Relationship Id="rId13" Type="http://schemas.openxmlformats.org/officeDocument/2006/relationships/oleObject" Target="embeddings/oleObject1.bin"/><Relationship Id="rId12" Type="http://schemas.openxmlformats.org/officeDocument/2006/relationships/theme" Target="theme/theme1.xml"/><Relationship Id="rId11" Type="http://schemas.openxmlformats.org/officeDocument/2006/relationships/footer" Target="footer8.xml"/><Relationship Id="rId10" Type="http://schemas.openxmlformats.org/officeDocument/2006/relationships/footer" Target="footer7.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143</Pages>
  <Words>20137</Words>
  <Characters>20882</Characters>
  <Lines>0</Lines>
  <Paragraphs>0</Paragraphs>
  <TotalTime>10</TotalTime>
  <ScaleCrop>false</ScaleCrop>
  <LinksUpToDate>false</LinksUpToDate>
  <CharactersWithSpaces>21067</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2025-02-14T08:51:00Z</dcterms:created>
  <dc:creator>老Wei</dc:creator>
  <cp:lastModifiedBy>麗艷</cp:lastModifiedBy>
  <dcterms:modified xsi:type="dcterms:W3CDTF">2025-08-04T15:35:50Z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8D9DB2855167431A98A89B0C3BBF6ED5_11</vt:lpwstr>
  </property>
  <property fmtid="{D5CDD505-2E9C-101B-9397-08002B2CF9AE}" pid="4" name="KSOTemplateDocerSaveRecord">
    <vt:lpwstr>eyJoZGlkIjoiMzM4ZDVlYTVjYzcwMzhjNGFkMjViNmNhM2EyNGJmZWYiLCJ1c2VySWQiOiIzOTM3Njc1MDYifQ==</vt:lpwstr>
  </property>
</Properties>
</file>