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DEEAF">
      <w:pPr>
        <w:pStyle w:val="17"/>
        <w:ind w:firstLine="0" w:firstLineChars="0"/>
        <w:jc w:val="center"/>
        <w:rPr>
          <w:rFonts w:hint="eastAsia" w:ascii="仿宋" w:hAnsi="仿宋" w:eastAsia="仿宋" w:cs="仿宋"/>
          <w:b/>
          <w:bCs/>
          <w:color w:val="auto"/>
          <w:sz w:val="56"/>
          <w:szCs w:val="36"/>
          <w:highlight w:val="none"/>
        </w:rPr>
      </w:pPr>
    </w:p>
    <w:p w14:paraId="25C8AEAE">
      <w:pPr>
        <w:jc w:val="center"/>
        <w:rPr>
          <w:rFonts w:hint="eastAsia" w:ascii="仿宋" w:hAnsi="仿宋" w:eastAsia="仿宋" w:cs="仿宋"/>
          <w:color w:val="auto"/>
          <w:kern w:val="1"/>
          <w:highlight w:val="none"/>
        </w:rPr>
      </w:pPr>
      <w:r>
        <w:rPr>
          <w:rFonts w:hint="eastAsia" w:ascii="仿宋" w:hAnsi="仿宋" w:eastAsia="仿宋" w:cs="仿宋"/>
          <w:b/>
          <w:bCs/>
          <w:color w:val="auto"/>
          <w:sz w:val="56"/>
          <w:szCs w:val="36"/>
          <w:highlight w:val="none"/>
          <w:lang w:eastAsia="zh-CN"/>
        </w:rPr>
        <w:t>广西翔正项目管理有限公司</w:t>
      </w:r>
    </w:p>
    <w:p w14:paraId="08906293">
      <w:pPr>
        <w:jc w:val="center"/>
        <w:rPr>
          <w:rFonts w:hint="eastAsia" w:ascii="仿宋" w:hAnsi="仿宋" w:eastAsia="仿宋" w:cs="仿宋"/>
          <w:color w:val="auto"/>
          <w:kern w:val="1"/>
          <w:highlight w:val="none"/>
        </w:rPr>
      </w:pPr>
    </w:p>
    <w:p w14:paraId="3FE2B235">
      <w:pPr>
        <w:jc w:val="center"/>
        <w:rPr>
          <w:rFonts w:hint="eastAsia" w:ascii="仿宋" w:hAnsi="仿宋" w:eastAsia="仿宋" w:cs="仿宋"/>
          <w:color w:val="auto"/>
          <w:kern w:val="1"/>
          <w:highlight w:val="none"/>
        </w:rPr>
      </w:pPr>
    </w:p>
    <w:p w14:paraId="1529A3CD">
      <w:pPr>
        <w:snapToGrid w:val="0"/>
        <w:spacing w:before="156" w:beforeLines="50"/>
        <w:jc w:val="center"/>
        <w:rPr>
          <w:rFonts w:hint="eastAsia" w:ascii="仿宋" w:hAnsi="仿宋" w:eastAsia="仿宋" w:cs="仿宋"/>
          <w:color w:val="auto"/>
          <w:sz w:val="72"/>
          <w:szCs w:val="72"/>
          <w:highlight w:val="none"/>
        </w:rPr>
      </w:pPr>
    </w:p>
    <w:p w14:paraId="7C59313E">
      <w:pPr>
        <w:snapToGrid w:val="0"/>
        <w:spacing w:before="156" w:beforeLines="50"/>
        <w:jc w:val="center"/>
        <w:rPr>
          <w:rFonts w:hint="eastAsia" w:ascii="仿宋" w:hAnsi="仿宋" w:eastAsia="仿宋" w:cs="仿宋"/>
          <w:color w:val="auto"/>
          <w:sz w:val="72"/>
          <w:szCs w:val="72"/>
          <w:highlight w:val="none"/>
        </w:rPr>
      </w:pPr>
    </w:p>
    <w:p w14:paraId="29B055D9">
      <w:pPr>
        <w:snapToGrid w:val="0"/>
        <w:spacing w:before="156" w:beforeLines="50"/>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竞争性磋商文件</w:t>
      </w:r>
    </w:p>
    <w:p w14:paraId="3DC9DEEC">
      <w:pPr>
        <w:snapToGrid w:val="0"/>
        <w:spacing w:before="156" w:beforeLines="50" w:line="360" w:lineRule="auto"/>
        <w:jc w:val="center"/>
        <w:rPr>
          <w:rFonts w:hint="eastAsia" w:ascii="仿宋" w:hAnsi="仿宋" w:eastAsia="仿宋" w:cs="仿宋"/>
          <w:b/>
          <w:color w:val="auto"/>
          <w:sz w:val="20"/>
          <w:szCs w:val="44"/>
          <w:highlight w:val="none"/>
        </w:rPr>
      </w:pPr>
      <w:r>
        <w:rPr>
          <w:rFonts w:hint="eastAsia" w:ascii="仿宋" w:hAnsi="仿宋" w:eastAsia="仿宋" w:cs="仿宋"/>
          <w:b/>
          <w:color w:val="auto"/>
          <w:sz w:val="28"/>
          <w:szCs w:val="28"/>
          <w:highlight w:val="none"/>
        </w:rPr>
        <w:t>（全流程电子化采购）</w:t>
      </w:r>
    </w:p>
    <w:p w14:paraId="55FD74E2">
      <w:pPr>
        <w:snapToGrid w:val="0"/>
        <w:spacing w:line="360" w:lineRule="auto"/>
        <w:rPr>
          <w:rFonts w:hint="eastAsia" w:ascii="仿宋" w:hAnsi="仿宋" w:eastAsia="仿宋" w:cs="仿宋"/>
          <w:color w:val="auto"/>
          <w:sz w:val="30"/>
          <w:szCs w:val="72"/>
          <w:highlight w:val="none"/>
        </w:rPr>
      </w:pPr>
    </w:p>
    <w:p w14:paraId="0269B4D4">
      <w:pPr>
        <w:pStyle w:val="20"/>
        <w:snapToGrid w:val="0"/>
        <w:spacing w:line="360" w:lineRule="auto"/>
        <w:ind w:firstLine="1193" w:firstLineChars="396"/>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w:t>
      </w:r>
      <w:r>
        <w:rPr>
          <w:rFonts w:hint="eastAsia" w:ascii="仿宋" w:hAnsi="仿宋" w:eastAsia="仿宋" w:cs="仿宋"/>
          <w:b/>
          <w:bCs/>
          <w:color w:val="auto"/>
          <w:w w:val="95"/>
          <w:sz w:val="30"/>
          <w:szCs w:val="30"/>
          <w:highlight w:val="none"/>
        </w:rPr>
        <w:t>名称：</w:t>
      </w:r>
      <w:r>
        <w:rPr>
          <w:rFonts w:hint="eastAsia" w:ascii="仿宋" w:hAnsi="仿宋" w:eastAsia="仿宋" w:cs="仿宋"/>
          <w:b/>
          <w:bCs/>
          <w:color w:val="auto"/>
          <w:sz w:val="30"/>
          <w:szCs w:val="30"/>
          <w:highlight w:val="none"/>
          <w:lang w:eastAsia="zh-CN"/>
        </w:rPr>
        <w:t>贺州市公安局应急联动指挥中心及人民警察训练学校项目结算和财务决算评审服务（重）</w:t>
      </w:r>
    </w:p>
    <w:p w14:paraId="14D077E5">
      <w:pPr>
        <w:pStyle w:val="20"/>
        <w:snapToGrid w:val="0"/>
        <w:spacing w:line="360" w:lineRule="auto"/>
        <w:ind w:firstLine="1133" w:firstLineChars="396"/>
        <w:jc w:val="left"/>
        <w:rPr>
          <w:rFonts w:hint="eastAsia" w:ascii="仿宋" w:hAnsi="仿宋" w:eastAsia="仿宋" w:cs="仿宋"/>
          <w:b/>
          <w:bCs/>
          <w:color w:val="auto"/>
          <w:w w:val="95"/>
          <w:sz w:val="30"/>
          <w:szCs w:val="30"/>
          <w:highlight w:val="none"/>
        </w:rPr>
      </w:pPr>
    </w:p>
    <w:p w14:paraId="28E8EBF7">
      <w:pPr>
        <w:pStyle w:val="20"/>
        <w:snapToGrid w:val="0"/>
        <w:spacing w:line="360" w:lineRule="auto"/>
        <w:ind w:firstLine="1133" w:firstLineChars="396"/>
        <w:jc w:val="left"/>
        <w:rPr>
          <w:rFonts w:hint="eastAsia" w:ascii="仿宋" w:hAnsi="仿宋" w:eastAsia="仿宋" w:cs="仿宋"/>
          <w:b/>
          <w:bCs/>
          <w:color w:val="auto"/>
          <w:w w:val="95"/>
          <w:sz w:val="30"/>
          <w:szCs w:val="30"/>
          <w:highlight w:val="none"/>
        </w:rPr>
      </w:pPr>
    </w:p>
    <w:p w14:paraId="4800E869">
      <w:pPr>
        <w:pStyle w:val="20"/>
        <w:snapToGrid w:val="0"/>
        <w:spacing w:line="360" w:lineRule="auto"/>
        <w:ind w:firstLine="1133" w:firstLineChars="396"/>
        <w:jc w:val="left"/>
        <w:rPr>
          <w:rFonts w:hint="eastAsia" w:ascii="仿宋" w:hAnsi="仿宋" w:eastAsia="仿宋" w:cs="仿宋"/>
          <w:b/>
          <w:bCs/>
          <w:color w:val="auto"/>
          <w:w w:val="95"/>
          <w:sz w:val="30"/>
          <w:szCs w:val="30"/>
          <w:highlight w:val="none"/>
          <w:lang w:eastAsia="zh-CN"/>
        </w:rPr>
      </w:pPr>
      <w:r>
        <w:rPr>
          <w:rFonts w:hint="eastAsia" w:ascii="仿宋" w:hAnsi="仿宋" w:eastAsia="仿宋" w:cs="仿宋"/>
          <w:b/>
          <w:bCs/>
          <w:color w:val="auto"/>
          <w:w w:val="95"/>
          <w:sz w:val="30"/>
          <w:szCs w:val="30"/>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w w:val="95"/>
          <w:sz w:val="30"/>
          <w:szCs w:val="30"/>
          <w:highlight w:val="none"/>
        </w:rPr>
        <w:t>：</w:t>
      </w:r>
      <w:r>
        <w:rPr>
          <w:rFonts w:hint="eastAsia" w:ascii="仿宋" w:hAnsi="仿宋" w:eastAsia="仿宋" w:cs="仿宋"/>
          <w:b/>
          <w:bCs/>
          <w:color w:val="auto"/>
          <w:w w:val="95"/>
          <w:sz w:val="30"/>
          <w:szCs w:val="30"/>
          <w:highlight w:val="none"/>
          <w:lang w:eastAsia="zh-CN"/>
        </w:rPr>
        <w:t>HZZC2025-C3-990144-GXXZ</w:t>
      </w:r>
    </w:p>
    <w:p w14:paraId="083D8895">
      <w:pPr>
        <w:pStyle w:val="20"/>
        <w:snapToGrid w:val="0"/>
        <w:spacing w:line="360" w:lineRule="auto"/>
        <w:ind w:firstLine="1133" w:firstLineChars="396"/>
        <w:jc w:val="left"/>
        <w:rPr>
          <w:rFonts w:hint="eastAsia" w:ascii="仿宋" w:hAnsi="仿宋" w:eastAsia="仿宋" w:cs="仿宋"/>
          <w:b/>
          <w:bCs/>
          <w:color w:val="auto"/>
          <w:w w:val="95"/>
          <w:sz w:val="30"/>
          <w:szCs w:val="30"/>
          <w:highlight w:val="none"/>
          <w:lang w:eastAsia="zh-CN"/>
        </w:rPr>
      </w:pPr>
    </w:p>
    <w:p w14:paraId="3EFCC87B">
      <w:pPr>
        <w:pStyle w:val="20"/>
        <w:snapToGrid w:val="0"/>
        <w:spacing w:line="360" w:lineRule="auto"/>
        <w:ind w:firstLine="1133" w:firstLineChars="396"/>
        <w:jc w:val="left"/>
        <w:rPr>
          <w:rFonts w:hint="eastAsia" w:ascii="仿宋" w:hAnsi="仿宋" w:eastAsia="仿宋" w:cs="仿宋"/>
          <w:b/>
          <w:bCs/>
          <w:color w:val="auto"/>
          <w:w w:val="95"/>
          <w:sz w:val="30"/>
          <w:szCs w:val="30"/>
          <w:highlight w:val="none"/>
          <w:lang w:eastAsia="zh-CN"/>
        </w:rPr>
      </w:pPr>
    </w:p>
    <w:p w14:paraId="309907CB">
      <w:pPr>
        <w:pStyle w:val="20"/>
        <w:snapToGrid w:val="0"/>
        <w:spacing w:line="360" w:lineRule="auto"/>
        <w:ind w:firstLine="1125" w:firstLineChars="393"/>
        <w:rPr>
          <w:rFonts w:hint="eastAsia" w:ascii="仿宋" w:hAnsi="仿宋" w:eastAsia="仿宋" w:cs="仿宋"/>
          <w:b/>
          <w:bCs/>
          <w:color w:val="auto"/>
          <w:w w:val="95"/>
          <w:sz w:val="30"/>
          <w:szCs w:val="30"/>
          <w:highlight w:val="none"/>
        </w:rPr>
      </w:pPr>
    </w:p>
    <w:p w14:paraId="745862F3">
      <w:pPr>
        <w:pStyle w:val="20"/>
        <w:snapToGrid w:val="0"/>
        <w:spacing w:line="360" w:lineRule="auto"/>
        <w:ind w:firstLine="1125" w:firstLineChars="393"/>
        <w:rPr>
          <w:rFonts w:hint="eastAsia"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采购人：</w:t>
      </w:r>
      <w:r>
        <w:rPr>
          <w:rFonts w:hint="eastAsia" w:ascii="仿宋" w:hAnsi="仿宋" w:eastAsia="仿宋" w:cs="仿宋"/>
          <w:b/>
          <w:bCs/>
          <w:color w:val="auto"/>
          <w:w w:val="95"/>
          <w:sz w:val="30"/>
          <w:szCs w:val="30"/>
          <w:highlight w:val="none"/>
          <w:lang w:eastAsia="zh-CN"/>
        </w:rPr>
        <w:t>贺州市公安局</w:t>
      </w:r>
      <w:r>
        <w:rPr>
          <w:rFonts w:hint="eastAsia" w:ascii="仿宋" w:hAnsi="仿宋" w:eastAsia="仿宋" w:cs="仿宋"/>
          <w:b/>
          <w:bCs/>
          <w:color w:val="auto"/>
          <w:w w:val="95"/>
          <w:sz w:val="30"/>
          <w:szCs w:val="30"/>
          <w:highlight w:val="none"/>
        </w:rPr>
        <w:t> </w:t>
      </w:r>
    </w:p>
    <w:p w14:paraId="4E24BD7D">
      <w:pPr>
        <w:pStyle w:val="20"/>
        <w:snapToGrid w:val="0"/>
        <w:spacing w:line="360" w:lineRule="auto"/>
        <w:ind w:firstLine="1145" w:firstLineChars="400"/>
        <w:rPr>
          <w:rFonts w:hint="eastAsia"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采购代理机构：</w:t>
      </w:r>
      <w:r>
        <w:rPr>
          <w:rFonts w:hint="eastAsia" w:ascii="仿宋" w:hAnsi="仿宋" w:eastAsia="仿宋" w:cs="仿宋"/>
          <w:b/>
          <w:bCs/>
          <w:color w:val="auto"/>
          <w:w w:val="95"/>
          <w:sz w:val="30"/>
          <w:szCs w:val="30"/>
          <w:highlight w:val="none"/>
          <w:lang w:eastAsia="zh-CN"/>
        </w:rPr>
        <w:t>广西翔正项目管理有限公司</w:t>
      </w:r>
    </w:p>
    <w:p w14:paraId="2EB92636">
      <w:pPr>
        <w:pStyle w:val="20"/>
        <w:snapToGrid w:val="0"/>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bCs/>
          <w:color w:val="auto"/>
          <w:w w:val="95"/>
          <w:sz w:val="30"/>
          <w:szCs w:val="30"/>
          <w:highlight w:val="none"/>
        </w:rPr>
        <w:t>202</w:t>
      </w:r>
      <w:r>
        <w:rPr>
          <w:rFonts w:hint="eastAsia" w:ascii="仿宋" w:hAnsi="仿宋" w:eastAsia="仿宋" w:cs="仿宋"/>
          <w:b/>
          <w:bCs/>
          <w:color w:val="auto"/>
          <w:w w:val="95"/>
          <w:sz w:val="30"/>
          <w:szCs w:val="30"/>
          <w:highlight w:val="none"/>
          <w:lang w:val="en-US" w:eastAsia="zh-CN"/>
        </w:rPr>
        <w:t>5</w:t>
      </w:r>
      <w:r>
        <w:rPr>
          <w:rFonts w:hint="eastAsia" w:ascii="仿宋" w:hAnsi="仿宋" w:eastAsia="仿宋" w:cs="仿宋"/>
          <w:b/>
          <w:bCs/>
          <w:color w:val="auto"/>
          <w:w w:val="95"/>
          <w:sz w:val="30"/>
          <w:szCs w:val="30"/>
          <w:highlight w:val="none"/>
        </w:rPr>
        <w:t>年</w:t>
      </w:r>
      <w:r>
        <w:rPr>
          <w:rFonts w:hint="eastAsia" w:ascii="仿宋" w:hAnsi="仿宋" w:eastAsia="仿宋" w:cs="仿宋"/>
          <w:b/>
          <w:bCs/>
          <w:color w:val="auto"/>
          <w:w w:val="95"/>
          <w:sz w:val="30"/>
          <w:szCs w:val="30"/>
          <w:highlight w:val="none"/>
          <w:lang w:val="en-US" w:eastAsia="zh-CN"/>
        </w:rPr>
        <w:t>7</w:t>
      </w:r>
      <w:r>
        <w:rPr>
          <w:rFonts w:hint="eastAsia" w:ascii="仿宋" w:hAnsi="仿宋" w:eastAsia="仿宋" w:cs="仿宋"/>
          <w:b/>
          <w:bCs/>
          <w:color w:val="auto"/>
          <w:w w:val="95"/>
          <w:sz w:val="30"/>
          <w:szCs w:val="30"/>
          <w:highlight w:val="none"/>
        </w:rPr>
        <w:t>月</w:t>
      </w:r>
    </w:p>
    <w:p w14:paraId="12AE169C">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35A7D051">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473E509D">
      <w:pPr>
        <w:spacing w:line="400" w:lineRule="exact"/>
        <w:jc w:val="center"/>
        <w:rPr>
          <w:rFonts w:hint="eastAsia" w:ascii="仿宋" w:hAnsi="仿宋" w:eastAsia="仿宋" w:cs="仿宋"/>
          <w:b/>
          <w:color w:val="auto"/>
          <w:sz w:val="44"/>
          <w:szCs w:val="44"/>
          <w:highlight w:val="none"/>
        </w:rPr>
      </w:pPr>
    </w:p>
    <w:p w14:paraId="11D02EC8">
      <w:pPr>
        <w:pStyle w:val="25"/>
        <w:tabs>
          <w:tab w:val="right" w:leader="dot" w:pos="8869"/>
        </w:tabs>
        <w:rPr>
          <w:rFonts w:hint="eastAsia" w:ascii="仿宋" w:hAnsi="仿宋" w:eastAsia="仿宋" w:cs="仿宋"/>
          <w:color w:val="auto"/>
          <w:sz w:val="28"/>
          <w:szCs w:val="32"/>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TOC \o "1-3" \h \z \u</w:instrText>
      </w:r>
      <w:r>
        <w:rPr>
          <w:rFonts w:hint="eastAsia" w:ascii="仿宋" w:hAnsi="仿宋" w:eastAsia="仿宋" w:cs="仿宋"/>
          <w:b/>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"_Toc151675536" </w:instrText>
      </w:r>
      <w:r>
        <w:rPr>
          <w:rFonts w:hint="eastAsia" w:ascii="仿宋" w:hAnsi="仿宋" w:eastAsia="仿宋" w:cs="仿宋"/>
          <w:color w:val="auto"/>
          <w:highlight w:val="none"/>
        </w:rPr>
        <w:fldChar w:fldCharType="separate"/>
      </w:r>
      <w:r>
        <w:rPr>
          <w:rStyle w:val="41"/>
          <w:rFonts w:hint="eastAsia" w:ascii="仿宋" w:hAnsi="仿宋" w:eastAsia="仿宋" w:cs="仿宋"/>
          <w:color w:val="auto"/>
          <w:sz w:val="28"/>
          <w:szCs w:val="36"/>
          <w:highlight w:val="none"/>
        </w:rPr>
        <w:t>第一章  竞争性磋商公告</w:t>
      </w:r>
      <w:r>
        <w:rPr>
          <w:rFonts w:hint="eastAsia" w:ascii="仿宋" w:hAnsi="仿宋" w:eastAsia="仿宋" w:cs="仿宋"/>
          <w:color w:val="auto"/>
          <w:sz w:val="28"/>
          <w:szCs w:val="36"/>
          <w:highlight w:val="none"/>
        </w:rPr>
        <w:tab/>
      </w: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PAGEREF _Toc151675536 \h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36"/>
          <w:highlight w:val="none"/>
        </w:rPr>
        <w:t>1</w:t>
      </w:r>
      <w:r>
        <w:rPr>
          <w:rFonts w:hint="eastAsia" w:ascii="仿宋" w:hAnsi="仿宋" w:eastAsia="仿宋" w:cs="仿宋"/>
          <w:color w:val="auto"/>
          <w:sz w:val="28"/>
          <w:szCs w:val="36"/>
          <w:highlight w:val="none"/>
        </w:rPr>
        <w:fldChar w:fldCharType="end"/>
      </w:r>
      <w:r>
        <w:rPr>
          <w:rFonts w:hint="eastAsia" w:ascii="仿宋" w:hAnsi="仿宋" w:eastAsia="仿宋" w:cs="仿宋"/>
          <w:color w:val="auto"/>
          <w:sz w:val="28"/>
          <w:szCs w:val="36"/>
          <w:highlight w:val="none"/>
        </w:rPr>
        <w:fldChar w:fldCharType="end"/>
      </w:r>
    </w:p>
    <w:p w14:paraId="074C7156">
      <w:pPr>
        <w:pStyle w:val="25"/>
        <w:tabs>
          <w:tab w:val="right" w:leader="dot" w:pos="8869"/>
        </w:tabs>
        <w:rPr>
          <w:rFonts w:hint="eastAsia" w:ascii="仿宋" w:hAnsi="仿宋" w:eastAsia="仿宋" w:cs="仿宋"/>
          <w:color w:val="auto"/>
          <w:sz w:val="28"/>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"_Toc151675537" </w:instrText>
      </w:r>
      <w:r>
        <w:rPr>
          <w:rFonts w:hint="eastAsia" w:ascii="仿宋" w:hAnsi="仿宋" w:eastAsia="仿宋" w:cs="仿宋"/>
          <w:color w:val="auto"/>
          <w:highlight w:val="none"/>
        </w:rPr>
        <w:fldChar w:fldCharType="separate"/>
      </w:r>
      <w:r>
        <w:rPr>
          <w:rStyle w:val="41"/>
          <w:rFonts w:hint="eastAsia" w:ascii="仿宋" w:hAnsi="仿宋" w:eastAsia="仿宋" w:cs="仿宋"/>
          <w:color w:val="auto"/>
          <w:sz w:val="28"/>
          <w:szCs w:val="36"/>
          <w:highlight w:val="none"/>
        </w:rPr>
        <w:t>第二章  供应商须知</w:t>
      </w:r>
      <w:r>
        <w:rPr>
          <w:rFonts w:hint="eastAsia" w:ascii="仿宋" w:hAnsi="仿宋" w:eastAsia="仿宋" w:cs="仿宋"/>
          <w:color w:val="auto"/>
          <w:sz w:val="28"/>
          <w:szCs w:val="36"/>
          <w:highlight w:val="none"/>
        </w:rPr>
        <w:tab/>
      </w: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PAGEREF _Toc151675537 \h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36"/>
          <w:highlight w:val="none"/>
        </w:rPr>
        <w:t>4</w:t>
      </w:r>
      <w:r>
        <w:rPr>
          <w:rFonts w:hint="eastAsia" w:ascii="仿宋" w:hAnsi="仿宋" w:eastAsia="仿宋" w:cs="仿宋"/>
          <w:color w:val="auto"/>
          <w:sz w:val="28"/>
          <w:szCs w:val="36"/>
          <w:highlight w:val="none"/>
        </w:rPr>
        <w:fldChar w:fldCharType="end"/>
      </w:r>
      <w:r>
        <w:rPr>
          <w:rFonts w:hint="eastAsia" w:ascii="仿宋" w:hAnsi="仿宋" w:eastAsia="仿宋" w:cs="仿宋"/>
          <w:color w:val="auto"/>
          <w:sz w:val="28"/>
          <w:szCs w:val="36"/>
          <w:highlight w:val="none"/>
        </w:rPr>
        <w:fldChar w:fldCharType="end"/>
      </w:r>
    </w:p>
    <w:p w14:paraId="08DA0049">
      <w:pPr>
        <w:pStyle w:val="25"/>
        <w:tabs>
          <w:tab w:val="right" w:leader="dot" w:pos="8869"/>
        </w:tabs>
        <w:rPr>
          <w:rFonts w:hint="eastAsia" w:ascii="仿宋" w:hAnsi="仿宋" w:eastAsia="仿宋" w:cs="仿宋"/>
          <w:color w:val="auto"/>
          <w:sz w:val="28"/>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"_Toc151675538" </w:instrText>
      </w:r>
      <w:r>
        <w:rPr>
          <w:rFonts w:hint="eastAsia" w:ascii="仿宋" w:hAnsi="仿宋" w:eastAsia="仿宋" w:cs="仿宋"/>
          <w:color w:val="auto"/>
          <w:highlight w:val="none"/>
        </w:rPr>
        <w:fldChar w:fldCharType="separate"/>
      </w:r>
      <w:r>
        <w:rPr>
          <w:rStyle w:val="41"/>
          <w:rFonts w:hint="eastAsia" w:ascii="仿宋" w:hAnsi="仿宋" w:eastAsia="仿宋" w:cs="仿宋"/>
          <w:color w:val="auto"/>
          <w:sz w:val="28"/>
          <w:szCs w:val="36"/>
          <w:highlight w:val="none"/>
        </w:rPr>
        <w:t>第三章  采购需求</w:t>
      </w:r>
      <w:r>
        <w:rPr>
          <w:rFonts w:hint="eastAsia" w:ascii="仿宋" w:hAnsi="仿宋" w:eastAsia="仿宋" w:cs="仿宋"/>
          <w:color w:val="auto"/>
          <w:sz w:val="28"/>
          <w:szCs w:val="36"/>
          <w:highlight w:val="none"/>
        </w:rPr>
        <w:tab/>
      </w: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PAGEREF _Toc151675538 \h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36"/>
          <w:highlight w:val="none"/>
        </w:rPr>
        <w:t>24</w:t>
      </w:r>
      <w:r>
        <w:rPr>
          <w:rFonts w:hint="eastAsia" w:ascii="仿宋" w:hAnsi="仿宋" w:eastAsia="仿宋" w:cs="仿宋"/>
          <w:color w:val="auto"/>
          <w:sz w:val="28"/>
          <w:szCs w:val="36"/>
          <w:highlight w:val="none"/>
        </w:rPr>
        <w:fldChar w:fldCharType="end"/>
      </w:r>
      <w:r>
        <w:rPr>
          <w:rFonts w:hint="eastAsia" w:ascii="仿宋" w:hAnsi="仿宋" w:eastAsia="仿宋" w:cs="仿宋"/>
          <w:color w:val="auto"/>
          <w:sz w:val="28"/>
          <w:szCs w:val="36"/>
          <w:highlight w:val="none"/>
        </w:rPr>
        <w:fldChar w:fldCharType="end"/>
      </w:r>
    </w:p>
    <w:p w14:paraId="0D54E94F">
      <w:pPr>
        <w:pStyle w:val="25"/>
        <w:tabs>
          <w:tab w:val="right" w:leader="dot" w:pos="8869"/>
        </w:tabs>
        <w:rPr>
          <w:rFonts w:hint="eastAsia" w:ascii="仿宋" w:hAnsi="仿宋" w:eastAsia="仿宋" w:cs="仿宋"/>
          <w:color w:val="auto"/>
          <w:sz w:val="28"/>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"_Toc151675539" </w:instrText>
      </w:r>
      <w:r>
        <w:rPr>
          <w:rFonts w:hint="eastAsia" w:ascii="仿宋" w:hAnsi="仿宋" w:eastAsia="仿宋" w:cs="仿宋"/>
          <w:color w:val="auto"/>
          <w:highlight w:val="none"/>
        </w:rPr>
        <w:fldChar w:fldCharType="separate"/>
      </w:r>
      <w:r>
        <w:rPr>
          <w:rStyle w:val="41"/>
          <w:rFonts w:hint="eastAsia" w:ascii="仿宋" w:hAnsi="仿宋" w:eastAsia="仿宋" w:cs="仿宋"/>
          <w:color w:val="auto"/>
          <w:sz w:val="28"/>
          <w:szCs w:val="36"/>
          <w:highlight w:val="none"/>
        </w:rPr>
        <w:t>第四章  评审程序、评审方法和评审标准</w:t>
      </w:r>
      <w:r>
        <w:rPr>
          <w:rFonts w:hint="eastAsia" w:ascii="仿宋" w:hAnsi="仿宋" w:eastAsia="仿宋" w:cs="仿宋"/>
          <w:color w:val="auto"/>
          <w:sz w:val="28"/>
          <w:szCs w:val="36"/>
          <w:highlight w:val="none"/>
        </w:rPr>
        <w:tab/>
      </w: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PAGEREF _Toc151675539 \h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36"/>
          <w:highlight w:val="none"/>
        </w:rPr>
        <w:t>32</w:t>
      </w:r>
      <w:r>
        <w:rPr>
          <w:rFonts w:hint="eastAsia" w:ascii="仿宋" w:hAnsi="仿宋" w:eastAsia="仿宋" w:cs="仿宋"/>
          <w:color w:val="auto"/>
          <w:sz w:val="28"/>
          <w:szCs w:val="36"/>
          <w:highlight w:val="none"/>
        </w:rPr>
        <w:fldChar w:fldCharType="end"/>
      </w:r>
      <w:r>
        <w:rPr>
          <w:rFonts w:hint="eastAsia" w:ascii="仿宋" w:hAnsi="仿宋" w:eastAsia="仿宋" w:cs="仿宋"/>
          <w:color w:val="auto"/>
          <w:sz w:val="28"/>
          <w:szCs w:val="36"/>
          <w:highlight w:val="none"/>
        </w:rPr>
        <w:fldChar w:fldCharType="end"/>
      </w:r>
    </w:p>
    <w:p w14:paraId="65ED1DE7">
      <w:pPr>
        <w:pStyle w:val="25"/>
        <w:tabs>
          <w:tab w:val="right" w:leader="dot" w:pos="8869"/>
        </w:tabs>
        <w:rPr>
          <w:rFonts w:hint="eastAsia" w:ascii="仿宋" w:hAnsi="仿宋" w:eastAsia="仿宋" w:cs="仿宋"/>
          <w:color w:val="auto"/>
          <w:sz w:val="28"/>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"_Toc151675540" </w:instrText>
      </w:r>
      <w:r>
        <w:rPr>
          <w:rFonts w:hint="eastAsia" w:ascii="仿宋" w:hAnsi="仿宋" w:eastAsia="仿宋" w:cs="仿宋"/>
          <w:color w:val="auto"/>
          <w:highlight w:val="none"/>
        </w:rPr>
        <w:fldChar w:fldCharType="separate"/>
      </w:r>
      <w:r>
        <w:rPr>
          <w:rStyle w:val="41"/>
          <w:rFonts w:hint="eastAsia" w:ascii="仿宋" w:hAnsi="仿宋" w:eastAsia="仿宋" w:cs="仿宋"/>
          <w:color w:val="auto"/>
          <w:sz w:val="28"/>
          <w:szCs w:val="36"/>
          <w:highlight w:val="none"/>
        </w:rPr>
        <w:t>第五章  响应文件格式</w:t>
      </w:r>
      <w:r>
        <w:rPr>
          <w:rFonts w:hint="eastAsia" w:ascii="仿宋" w:hAnsi="仿宋" w:eastAsia="仿宋" w:cs="仿宋"/>
          <w:color w:val="auto"/>
          <w:sz w:val="28"/>
          <w:szCs w:val="36"/>
          <w:highlight w:val="none"/>
        </w:rPr>
        <w:tab/>
      </w: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PAGEREF _Toc151675540 \h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36"/>
          <w:highlight w:val="none"/>
        </w:rPr>
        <w:t>42</w:t>
      </w:r>
      <w:r>
        <w:rPr>
          <w:rFonts w:hint="eastAsia" w:ascii="仿宋" w:hAnsi="仿宋" w:eastAsia="仿宋" w:cs="仿宋"/>
          <w:color w:val="auto"/>
          <w:sz w:val="28"/>
          <w:szCs w:val="36"/>
          <w:highlight w:val="none"/>
        </w:rPr>
        <w:fldChar w:fldCharType="end"/>
      </w:r>
      <w:r>
        <w:rPr>
          <w:rFonts w:hint="eastAsia" w:ascii="仿宋" w:hAnsi="仿宋" w:eastAsia="仿宋" w:cs="仿宋"/>
          <w:color w:val="auto"/>
          <w:sz w:val="28"/>
          <w:szCs w:val="36"/>
          <w:highlight w:val="none"/>
        </w:rPr>
        <w:fldChar w:fldCharType="end"/>
      </w:r>
    </w:p>
    <w:p w14:paraId="2ED2B276">
      <w:pPr>
        <w:pStyle w:val="25"/>
        <w:tabs>
          <w:tab w:val="right" w:leader="dot" w:pos="8869"/>
        </w:tabs>
        <w:rPr>
          <w:rFonts w:hint="eastAsia" w:ascii="仿宋" w:hAnsi="仿宋" w:eastAsia="仿宋" w:cs="仿宋"/>
          <w:color w:val="auto"/>
          <w:sz w:val="28"/>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"_Toc151675541" </w:instrText>
      </w:r>
      <w:r>
        <w:rPr>
          <w:rFonts w:hint="eastAsia" w:ascii="仿宋" w:hAnsi="仿宋" w:eastAsia="仿宋" w:cs="仿宋"/>
          <w:color w:val="auto"/>
          <w:highlight w:val="none"/>
        </w:rPr>
        <w:fldChar w:fldCharType="separate"/>
      </w:r>
      <w:r>
        <w:rPr>
          <w:rStyle w:val="41"/>
          <w:rFonts w:hint="eastAsia" w:ascii="仿宋" w:hAnsi="仿宋" w:eastAsia="仿宋" w:cs="仿宋"/>
          <w:color w:val="auto"/>
          <w:sz w:val="28"/>
          <w:szCs w:val="36"/>
          <w:highlight w:val="none"/>
        </w:rPr>
        <w:t>第六章  合同文本</w:t>
      </w:r>
      <w:r>
        <w:rPr>
          <w:rFonts w:hint="eastAsia" w:ascii="仿宋" w:hAnsi="仿宋" w:eastAsia="仿宋" w:cs="仿宋"/>
          <w:color w:val="auto"/>
          <w:sz w:val="28"/>
          <w:szCs w:val="36"/>
          <w:highlight w:val="none"/>
        </w:rPr>
        <w:tab/>
      </w:r>
      <w:r>
        <w:rPr>
          <w:rFonts w:hint="eastAsia" w:ascii="仿宋" w:hAnsi="仿宋" w:eastAsia="仿宋" w:cs="仿宋"/>
          <w:color w:val="auto"/>
          <w:sz w:val="28"/>
          <w:szCs w:val="36"/>
          <w:highlight w:val="none"/>
        </w:rPr>
        <w:fldChar w:fldCharType="begin"/>
      </w:r>
      <w:r>
        <w:rPr>
          <w:rFonts w:hint="eastAsia" w:ascii="仿宋" w:hAnsi="仿宋" w:eastAsia="仿宋" w:cs="仿宋"/>
          <w:color w:val="auto"/>
          <w:sz w:val="28"/>
          <w:szCs w:val="36"/>
          <w:highlight w:val="none"/>
        </w:rPr>
        <w:instrText xml:space="preserve"> PAGEREF _Toc151675541 \h </w:instrText>
      </w:r>
      <w:r>
        <w:rPr>
          <w:rFonts w:hint="eastAsia" w:ascii="仿宋" w:hAnsi="仿宋" w:eastAsia="仿宋" w:cs="仿宋"/>
          <w:color w:val="auto"/>
          <w:sz w:val="28"/>
          <w:szCs w:val="36"/>
          <w:highlight w:val="none"/>
        </w:rPr>
        <w:fldChar w:fldCharType="separate"/>
      </w:r>
      <w:r>
        <w:rPr>
          <w:rFonts w:hint="eastAsia" w:ascii="仿宋" w:hAnsi="仿宋" w:eastAsia="仿宋" w:cs="仿宋"/>
          <w:color w:val="auto"/>
          <w:sz w:val="28"/>
          <w:szCs w:val="36"/>
          <w:highlight w:val="none"/>
        </w:rPr>
        <w:t>72</w:t>
      </w:r>
      <w:r>
        <w:rPr>
          <w:rFonts w:hint="eastAsia" w:ascii="仿宋" w:hAnsi="仿宋" w:eastAsia="仿宋" w:cs="仿宋"/>
          <w:color w:val="auto"/>
          <w:sz w:val="28"/>
          <w:szCs w:val="36"/>
          <w:highlight w:val="none"/>
        </w:rPr>
        <w:fldChar w:fldCharType="end"/>
      </w:r>
      <w:r>
        <w:rPr>
          <w:rFonts w:hint="eastAsia" w:ascii="仿宋" w:hAnsi="仿宋" w:eastAsia="仿宋" w:cs="仿宋"/>
          <w:color w:val="auto"/>
          <w:sz w:val="28"/>
          <w:szCs w:val="36"/>
          <w:highlight w:val="none"/>
        </w:rPr>
        <w:fldChar w:fldCharType="end"/>
      </w:r>
    </w:p>
    <w:p w14:paraId="341CE898">
      <w:pPr>
        <w:pStyle w:val="27"/>
        <w:tabs>
          <w:tab w:val="right" w:leader="dot" w:pos="8931"/>
          <w:tab w:val="clear" w:pos="8296"/>
        </w:tabs>
        <w:snapToGrid w:val="0"/>
        <w:spacing w:line="500" w:lineRule="atLeast"/>
        <w:ind w:left="0" w:lef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fldChar w:fldCharType="end"/>
      </w:r>
    </w:p>
    <w:p w14:paraId="49FF8C99">
      <w:pPr>
        <w:spacing w:line="400" w:lineRule="exact"/>
        <w:jc w:val="left"/>
        <w:rPr>
          <w:rFonts w:hint="eastAsia" w:ascii="仿宋" w:hAnsi="仿宋" w:eastAsia="仿宋" w:cs="仿宋"/>
          <w:b/>
          <w:color w:val="auto"/>
          <w:sz w:val="32"/>
          <w:szCs w:val="32"/>
          <w:highlight w:val="none"/>
        </w:rPr>
      </w:pPr>
    </w:p>
    <w:p w14:paraId="5CB919B1">
      <w:pPr>
        <w:spacing w:line="400" w:lineRule="exact"/>
        <w:jc w:val="center"/>
        <w:rPr>
          <w:rFonts w:hint="eastAsia" w:ascii="仿宋" w:hAnsi="仿宋" w:eastAsia="仿宋" w:cs="仿宋"/>
          <w:b/>
          <w:color w:val="auto"/>
          <w:sz w:val="32"/>
          <w:szCs w:val="32"/>
          <w:highlight w:val="none"/>
        </w:rPr>
      </w:pPr>
    </w:p>
    <w:p w14:paraId="5E8D86AB">
      <w:pPr>
        <w:spacing w:line="400" w:lineRule="exact"/>
        <w:jc w:val="center"/>
        <w:rPr>
          <w:rFonts w:hint="eastAsia" w:ascii="仿宋" w:hAnsi="仿宋" w:eastAsia="仿宋" w:cs="仿宋"/>
          <w:b/>
          <w:color w:val="auto"/>
          <w:sz w:val="32"/>
          <w:szCs w:val="32"/>
          <w:highlight w:val="none"/>
        </w:rPr>
      </w:pPr>
    </w:p>
    <w:p w14:paraId="6ED13D19">
      <w:pPr>
        <w:spacing w:line="400" w:lineRule="exact"/>
        <w:jc w:val="center"/>
        <w:rPr>
          <w:rFonts w:hint="eastAsia" w:ascii="仿宋" w:hAnsi="仿宋" w:eastAsia="仿宋" w:cs="仿宋"/>
          <w:b/>
          <w:color w:val="auto"/>
          <w:sz w:val="32"/>
          <w:szCs w:val="32"/>
          <w:highlight w:val="none"/>
        </w:rPr>
      </w:pPr>
    </w:p>
    <w:p w14:paraId="0A9E4787">
      <w:pPr>
        <w:spacing w:line="400" w:lineRule="exact"/>
        <w:jc w:val="center"/>
        <w:rPr>
          <w:rFonts w:hint="eastAsia" w:ascii="仿宋" w:hAnsi="仿宋" w:eastAsia="仿宋" w:cs="仿宋"/>
          <w:b/>
          <w:color w:val="auto"/>
          <w:sz w:val="32"/>
          <w:szCs w:val="32"/>
          <w:highlight w:val="none"/>
        </w:rPr>
      </w:pPr>
    </w:p>
    <w:p w14:paraId="775390B1">
      <w:pPr>
        <w:spacing w:line="400" w:lineRule="exact"/>
        <w:rPr>
          <w:rFonts w:hint="eastAsia" w:ascii="仿宋" w:hAnsi="仿宋" w:eastAsia="仿宋" w:cs="仿宋"/>
          <w:b/>
          <w:color w:val="auto"/>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p w14:paraId="47D946C8">
      <w:pPr>
        <w:pStyle w:val="2"/>
        <w:numPr>
          <w:ilvl w:val="0"/>
          <w:numId w:val="7"/>
        </w:numPr>
        <w:jc w:val="center"/>
        <w:rPr>
          <w:rFonts w:hint="eastAsia" w:ascii="仿宋" w:hAnsi="仿宋" w:eastAsia="仿宋" w:cs="仿宋"/>
          <w:color w:val="auto"/>
          <w:highlight w:val="none"/>
        </w:rPr>
      </w:pPr>
      <w:bookmarkStart w:id="0" w:name="_Toc151675536"/>
      <w:r>
        <w:rPr>
          <w:rFonts w:hint="eastAsia" w:ascii="仿宋" w:hAnsi="仿宋" w:eastAsia="仿宋" w:cs="仿宋"/>
          <w:color w:val="auto"/>
          <w:highlight w:val="none"/>
        </w:rPr>
        <w:t xml:space="preserve"> 竞争性磋商公告</w:t>
      </w:r>
      <w:bookmarkEnd w:id="0"/>
    </w:p>
    <w:p w14:paraId="224CD103">
      <w:pPr>
        <w:numPr>
          <w:ilvl w:val="0"/>
          <w:numId w:val="0"/>
        </w:numPr>
        <w:jc w:val="center"/>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eastAsia="zh-CN"/>
        </w:rPr>
        <w:t>广西翔正项目管理有限公司</w:t>
      </w:r>
      <w:r>
        <w:rPr>
          <w:rFonts w:hint="eastAsia" w:ascii="仿宋" w:hAnsi="仿宋" w:eastAsia="仿宋" w:cs="仿宋"/>
          <w:color w:val="auto"/>
          <w:highlight w:val="none"/>
          <w:u w:val="none"/>
          <w:lang w:val="en-US" w:eastAsia="zh-CN"/>
        </w:rPr>
        <w:t>关于</w:t>
      </w:r>
      <w:r>
        <w:rPr>
          <w:rFonts w:hint="eastAsia" w:ascii="仿宋" w:hAnsi="仿宋" w:eastAsia="仿宋" w:cs="仿宋"/>
          <w:color w:val="auto"/>
          <w:szCs w:val="21"/>
          <w:highlight w:val="none"/>
          <w:u w:val="none"/>
          <w:lang w:eastAsia="zh-CN"/>
        </w:rPr>
        <w:t>贺州市公安局应急联动指挥中心及人民警察训练学校项目结算和财务决算评审服务（重）（</w:t>
      </w:r>
      <w:r>
        <w:rPr>
          <w:rFonts w:hint="eastAsia" w:ascii="仿宋" w:hAnsi="仿宋" w:eastAsia="仿宋" w:cs="仿宋"/>
          <w:color w:val="auto"/>
          <w:szCs w:val="21"/>
          <w:highlight w:val="none"/>
          <w:u w:val="none"/>
          <w:lang w:val="en-US" w:eastAsia="zh-CN"/>
        </w:rPr>
        <w:t>项目编号：HZZC2025-C3-990144-GXXZ）竞争性磋商公告（远程异地评标）</w:t>
      </w:r>
    </w:p>
    <w:p w14:paraId="652F606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auto"/>
          <w:szCs w:val="21"/>
          <w:highlight w:val="none"/>
        </w:rPr>
      </w:pPr>
      <w:bookmarkStart w:id="1" w:name="_Hlk37430271"/>
      <w:r>
        <w:rPr>
          <w:rFonts w:hint="eastAsia" w:ascii="仿宋" w:hAnsi="仿宋" w:eastAsia="仿宋" w:cs="仿宋"/>
          <w:color w:val="auto"/>
          <w:szCs w:val="21"/>
          <w:highlight w:val="none"/>
        </w:rPr>
        <w:t>项目概况</w:t>
      </w:r>
    </w:p>
    <w:p w14:paraId="4ED0479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贺州市公安局应急联动指挥中心及人民警察训练学校项目结算和财务决算评审服务（重）</w:t>
      </w:r>
      <w:r>
        <w:rPr>
          <w:rFonts w:hint="eastAsia" w:ascii="仿宋" w:hAnsi="仿宋" w:eastAsia="仿宋" w:cs="仿宋"/>
          <w:color w:val="auto"/>
          <w:szCs w:val="21"/>
          <w:highlight w:val="none"/>
        </w:rPr>
        <w:t>的潜在供应商应在广西政府采购云平台（https</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//www.gcy.zfcg.gxzf.gov.cn/）获取（下载）竞争性磋商文件，并于202</w:t>
      </w:r>
      <w:r>
        <w:rPr>
          <w:rFonts w:hint="eastAsia" w:ascii="仿宋" w:hAnsi="仿宋" w:eastAsia="仿宋" w:cs="仿宋"/>
          <w:color w:val="auto"/>
          <w:szCs w:val="21"/>
          <w:highlight w:val="none"/>
          <w:lang w:val="en-US" w:eastAsia="zh-CN"/>
        </w:rPr>
        <w:t>5</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 xml:space="preserve"> 7</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 xml:space="preserve"> 1</w:t>
      </w:r>
      <w:r>
        <w:rPr>
          <w:rFonts w:hint="eastAsia" w:ascii="仿宋" w:hAnsi="仿宋" w:eastAsia="仿宋" w:cs="仿宋"/>
          <w:bCs/>
          <w:color w:val="auto"/>
          <w:szCs w:val="21"/>
          <w:highlight w:val="none"/>
        </w:rPr>
        <w:t>日</w:t>
      </w:r>
      <w:r>
        <w:rPr>
          <w:rFonts w:hint="eastAsia" w:ascii="仿宋" w:hAnsi="仿宋" w:eastAsia="仿宋" w:cs="仿宋"/>
          <w:bCs/>
          <w:color w:val="auto"/>
          <w:szCs w:val="21"/>
          <w:highlight w:val="none"/>
          <w:lang w:val="en-US" w:eastAsia="zh-CN"/>
        </w:rPr>
        <w:t>09</w:t>
      </w:r>
      <w:r>
        <w:rPr>
          <w:rFonts w:hint="eastAsia" w:ascii="仿宋" w:hAnsi="仿宋" w:eastAsia="仿宋" w:cs="仿宋"/>
          <w:bCs/>
          <w:color w:val="auto"/>
          <w:szCs w:val="21"/>
          <w:highlight w:val="none"/>
        </w:rPr>
        <w:t>时</w:t>
      </w:r>
      <w:r>
        <w:rPr>
          <w:rFonts w:hint="eastAsia" w:ascii="仿宋" w:hAnsi="仿宋" w:eastAsia="仿宋" w:cs="仿宋"/>
          <w:bCs/>
          <w:color w:val="auto"/>
          <w:szCs w:val="21"/>
          <w:highlight w:val="none"/>
          <w:lang w:val="en-US" w:eastAsia="zh-CN"/>
        </w:rPr>
        <w:t>00</w:t>
      </w:r>
      <w:r>
        <w:rPr>
          <w:rFonts w:hint="eastAsia" w:ascii="仿宋" w:hAnsi="仿宋" w:eastAsia="仿宋" w:cs="仿宋"/>
          <w:bCs/>
          <w:color w:val="auto"/>
          <w:szCs w:val="21"/>
          <w:highlight w:val="none"/>
        </w:rPr>
        <w:t>分（北京时间）前提交（上传）</w:t>
      </w:r>
      <w:r>
        <w:rPr>
          <w:rFonts w:hint="eastAsia" w:ascii="仿宋" w:hAnsi="仿宋" w:eastAsia="仿宋" w:cs="仿宋"/>
          <w:color w:val="auto"/>
          <w:szCs w:val="21"/>
          <w:highlight w:val="none"/>
        </w:rPr>
        <w:t>响应</w:t>
      </w:r>
      <w:r>
        <w:rPr>
          <w:rFonts w:hint="eastAsia" w:ascii="仿宋" w:hAnsi="仿宋" w:eastAsia="仿宋" w:cs="仿宋"/>
          <w:bCs/>
          <w:color w:val="auto"/>
          <w:szCs w:val="21"/>
          <w:highlight w:val="none"/>
        </w:rPr>
        <w:t>文件</w:t>
      </w:r>
      <w:r>
        <w:rPr>
          <w:rFonts w:hint="eastAsia" w:ascii="仿宋" w:hAnsi="仿宋" w:eastAsia="仿宋" w:cs="仿宋"/>
          <w:color w:val="auto"/>
          <w:szCs w:val="21"/>
          <w:highlight w:val="none"/>
        </w:rPr>
        <w:t>。</w:t>
      </w:r>
    </w:p>
    <w:p w14:paraId="53033176">
      <w:pPr>
        <w:ind w:firstLine="354" w:firstLineChars="147"/>
        <w:rPr>
          <w:rFonts w:hint="eastAsia" w:ascii="仿宋" w:hAnsi="仿宋" w:eastAsia="仿宋" w:cs="仿宋"/>
          <w:b/>
          <w:color w:val="auto"/>
          <w:sz w:val="24"/>
          <w:highlight w:val="none"/>
        </w:rPr>
      </w:pPr>
      <w:bookmarkStart w:id="2" w:name="_Toc35393798"/>
      <w:bookmarkStart w:id="3" w:name="_Toc28359012"/>
      <w:bookmarkStart w:id="4" w:name="_Toc44229878"/>
      <w:bookmarkStart w:id="5" w:name="_Toc28359089"/>
      <w:bookmarkStart w:id="6" w:name="_Toc35393629"/>
      <w:bookmarkStart w:id="7" w:name="_Toc71365905"/>
      <w:r>
        <w:rPr>
          <w:rFonts w:hint="eastAsia" w:ascii="仿宋" w:hAnsi="仿宋" w:eastAsia="仿宋" w:cs="仿宋"/>
          <w:b/>
          <w:color w:val="auto"/>
          <w:sz w:val="24"/>
          <w:highlight w:val="none"/>
        </w:rPr>
        <w:t>一、项目基本情况</w:t>
      </w:r>
      <w:bookmarkEnd w:id="2"/>
      <w:bookmarkEnd w:id="3"/>
      <w:bookmarkEnd w:id="4"/>
      <w:bookmarkEnd w:id="5"/>
      <w:bookmarkEnd w:id="6"/>
      <w:bookmarkEnd w:id="7"/>
    </w:p>
    <w:p w14:paraId="74C739B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HZZC2025-C3-990144-GXXZ</w:t>
      </w:r>
    </w:p>
    <w:p w14:paraId="4C2C5C34">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贺州市公安局应急联动指挥中心及人民警察训练学校项目结算和财务决算评审服务（重）</w:t>
      </w:r>
    </w:p>
    <w:p w14:paraId="7365022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采购方式：竞争性磋商</w:t>
      </w:r>
    </w:p>
    <w:p w14:paraId="7393B426">
      <w:pPr>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预算总金额（元）：</w:t>
      </w:r>
      <w:r>
        <w:rPr>
          <w:rFonts w:hint="eastAsia" w:ascii="仿宋" w:hAnsi="仿宋" w:eastAsia="仿宋" w:cs="仿宋"/>
          <w:color w:val="auto"/>
          <w:szCs w:val="21"/>
          <w:highlight w:val="none"/>
          <w:lang w:eastAsia="zh-CN"/>
        </w:rPr>
        <w:t>1006300.00</w:t>
      </w:r>
      <w:r>
        <w:rPr>
          <w:rFonts w:hint="eastAsia" w:ascii="仿宋" w:hAnsi="仿宋" w:eastAsia="仿宋" w:cs="仿宋"/>
          <w:color w:val="auto"/>
          <w:szCs w:val="21"/>
          <w:highlight w:val="none"/>
          <w:lang w:val="en-US" w:eastAsia="zh-CN"/>
        </w:rPr>
        <w:t>元</w:t>
      </w:r>
    </w:p>
    <w:p w14:paraId="2C0818A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采购需求：</w:t>
      </w:r>
    </w:p>
    <w:p w14:paraId="477B7DEF">
      <w:pPr>
        <w:spacing w:line="360" w:lineRule="exact"/>
        <w:ind w:left="420" w:left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标项一</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标项名称</w:t>
      </w:r>
      <w:r>
        <w:rPr>
          <w:rFonts w:hint="eastAsia" w:ascii="仿宋" w:hAnsi="仿宋" w:eastAsia="仿宋" w:cs="仿宋"/>
          <w:color w:val="auto"/>
          <w:szCs w:val="21"/>
          <w:highlight w:val="none"/>
          <w:lang w:eastAsia="zh-CN"/>
        </w:rPr>
        <w:t>：贺州市公安局应急联动指挥中心及人民警察训练学校项目结算评审服务</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eastAsia="zh-CN"/>
        </w:rPr>
        <w:t>：92.58万元。</w:t>
      </w:r>
    </w:p>
    <w:p w14:paraId="57231D48">
      <w:pPr>
        <w:spacing w:line="360" w:lineRule="exact"/>
        <w:ind w:left="420" w:leftChars="200" w:firstLine="0" w:firstLineChars="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最高限价（如有）：</w:t>
      </w:r>
      <w:r>
        <w:rPr>
          <w:rFonts w:hint="eastAsia" w:ascii="仿宋" w:hAnsi="仿宋" w:eastAsia="仿宋" w:cs="仿宋"/>
          <w:color w:val="auto"/>
          <w:szCs w:val="21"/>
          <w:highlight w:val="none"/>
          <w:lang w:val="en-US" w:eastAsia="zh-CN"/>
        </w:rPr>
        <w:t>92.58万元，按折扣率报价，折扣率上限≦100%。（以最终正式签订的合同金额为准）</w:t>
      </w:r>
    </w:p>
    <w:p w14:paraId="2B321C35">
      <w:pPr>
        <w:spacing w:line="360" w:lineRule="exact"/>
        <w:ind w:left="420" w:leftChars="20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简要规格描述或项目基本概况介绍、用途：贺州市公安局应急联动指挥中心及人民警察训练学校项目结算</w:t>
      </w:r>
      <w:r>
        <w:rPr>
          <w:rFonts w:hint="eastAsia" w:ascii="仿宋" w:hAnsi="仿宋" w:eastAsia="仿宋" w:cs="仿宋"/>
          <w:color w:val="auto"/>
          <w:szCs w:val="21"/>
          <w:highlight w:val="none"/>
          <w:lang w:val="en"/>
        </w:rPr>
        <w:t>审计服务</w:t>
      </w:r>
      <w:r>
        <w:rPr>
          <w:rFonts w:hint="eastAsia" w:ascii="仿宋" w:hAnsi="仿宋" w:eastAsia="仿宋" w:cs="仿宋"/>
          <w:color w:val="auto"/>
          <w:szCs w:val="21"/>
          <w:highlight w:val="none"/>
        </w:rPr>
        <w:t>。具体详见采购文件。</w:t>
      </w:r>
    </w:p>
    <w:p w14:paraId="7A2BB9C2">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合同履约期限：</w:t>
      </w:r>
      <w:r>
        <w:rPr>
          <w:rFonts w:hint="eastAsia" w:ascii="仿宋" w:hAnsi="仿宋" w:eastAsia="仿宋" w:cs="仿宋"/>
          <w:color w:val="auto"/>
          <w:szCs w:val="21"/>
          <w:highlight w:val="none"/>
          <w:lang w:eastAsia="zh-CN"/>
        </w:rPr>
        <w:t>项目材料齐全后1个月内完成。</w:t>
      </w:r>
    </w:p>
    <w:p w14:paraId="77F6577F">
      <w:pPr>
        <w:spacing w:line="360" w:lineRule="exact"/>
        <w:ind w:left="420" w:left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本标项（否）接受联合体投标</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备注：</w:t>
      </w:r>
    </w:p>
    <w:p w14:paraId="466BAD6B">
      <w:pPr>
        <w:spacing w:line="360" w:lineRule="exact"/>
        <w:ind w:firstLine="420" w:firstLineChars="200"/>
        <w:rPr>
          <w:rFonts w:hint="eastAsia" w:ascii="仿宋" w:hAnsi="仿宋" w:eastAsia="仿宋" w:cs="仿宋"/>
          <w:color w:val="auto"/>
          <w:szCs w:val="21"/>
          <w:highlight w:val="none"/>
        </w:rPr>
      </w:pPr>
    </w:p>
    <w:p w14:paraId="705B2A90">
      <w:pPr>
        <w:spacing w:line="360" w:lineRule="exact"/>
        <w:ind w:left="420" w:left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标项二</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标项名称</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贺州市公安局应急联动指挥中心及人民警察训练学校项目财务决算报告编制服务</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eastAsia="zh-CN"/>
        </w:rPr>
        <w:t>：8.05万</w:t>
      </w:r>
    </w:p>
    <w:p w14:paraId="48739211">
      <w:pPr>
        <w:spacing w:line="360" w:lineRule="exact"/>
        <w:ind w:left="420" w:leftChars="200"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最高限价（如有）：</w:t>
      </w:r>
      <w:r>
        <w:rPr>
          <w:rFonts w:hint="eastAsia" w:ascii="仿宋" w:hAnsi="仿宋" w:eastAsia="仿宋" w:cs="仿宋"/>
          <w:color w:val="auto"/>
          <w:szCs w:val="21"/>
          <w:highlight w:val="none"/>
          <w:lang w:val="en-US" w:eastAsia="zh-CN"/>
        </w:rPr>
        <w:t>8.05万</w:t>
      </w:r>
    </w:p>
    <w:p w14:paraId="7BAB06D1">
      <w:pPr>
        <w:spacing w:line="360" w:lineRule="exact"/>
        <w:ind w:left="420" w:leftChars="20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简要规格描述或项目基本概况介绍、用途：</w:t>
      </w:r>
      <w:r>
        <w:rPr>
          <w:rFonts w:hint="eastAsia" w:ascii="仿宋" w:hAnsi="仿宋" w:eastAsia="仿宋" w:cs="仿宋"/>
          <w:color w:val="auto"/>
          <w:szCs w:val="21"/>
          <w:highlight w:val="none"/>
          <w:lang w:eastAsia="zh-CN"/>
        </w:rPr>
        <w:t>贺州市公安局应急联动指挥中心及人民警察训练学校项目财务决算评审服务</w:t>
      </w:r>
      <w:r>
        <w:rPr>
          <w:rFonts w:hint="eastAsia" w:ascii="仿宋" w:hAnsi="仿宋" w:eastAsia="仿宋" w:cs="仿宋"/>
          <w:color w:val="auto"/>
          <w:szCs w:val="21"/>
          <w:highlight w:val="none"/>
        </w:rPr>
        <w:t>。具体详见采购文件。</w:t>
      </w:r>
    </w:p>
    <w:p w14:paraId="3667F506">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合同履约期限：自合同签订之日起至2025年10月30日</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完成全部决算编制，出具竣工财务决算报表与编制说明。</w:t>
      </w:r>
    </w:p>
    <w:p w14:paraId="537CA605">
      <w:pPr>
        <w:spacing w:line="360" w:lineRule="exact"/>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本标项（否）接受联合体投标</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备注：/</w:t>
      </w:r>
    </w:p>
    <w:p w14:paraId="1FC489B4">
      <w:pPr>
        <w:spacing w:line="360" w:lineRule="exact"/>
        <w:rPr>
          <w:rFonts w:hint="eastAsia" w:ascii="仿宋" w:hAnsi="仿宋" w:eastAsia="仿宋" w:cs="仿宋"/>
          <w:color w:val="auto"/>
          <w:szCs w:val="21"/>
          <w:highlight w:val="none"/>
        </w:rPr>
      </w:pPr>
    </w:p>
    <w:p w14:paraId="5A49F93C">
      <w:pPr>
        <w:spacing w:line="360" w:lineRule="exact"/>
        <w:ind w:firstLine="354" w:firstLineChars="147"/>
        <w:rPr>
          <w:rFonts w:hint="eastAsia" w:ascii="仿宋" w:hAnsi="仿宋" w:eastAsia="仿宋" w:cs="仿宋"/>
          <w:b/>
          <w:color w:val="auto"/>
          <w:sz w:val="24"/>
          <w:highlight w:val="none"/>
        </w:rPr>
      </w:pPr>
      <w:bookmarkStart w:id="8" w:name="_Toc71365906"/>
      <w:bookmarkStart w:id="9" w:name="_Toc35393799"/>
      <w:bookmarkStart w:id="10" w:name="_Toc44229879"/>
      <w:bookmarkStart w:id="11" w:name="_Toc28359090"/>
      <w:bookmarkStart w:id="12" w:name="_Toc35393630"/>
      <w:bookmarkStart w:id="13" w:name="_Toc28359013"/>
      <w:r>
        <w:rPr>
          <w:rFonts w:hint="eastAsia" w:ascii="仿宋" w:hAnsi="仿宋" w:eastAsia="仿宋" w:cs="仿宋"/>
          <w:b/>
          <w:color w:val="auto"/>
          <w:sz w:val="24"/>
          <w:highlight w:val="none"/>
        </w:rPr>
        <w:t>二、申请人的资格条件：</w:t>
      </w:r>
      <w:bookmarkEnd w:id="8"/>
      <w:bookmarkEnd w:id="9"/>
      <w:bookmarkEnd w:id="10"/>
      <w:bookmarkEnd w:id="11"/>
      <w:bookmarkEnd w:id="12"/>
      <w:bookmarkEnd w:id="13"/>
    </w:p>
    <w:p w14:paraId="61A3EAA3">
      <w:pPr>
        <w:spacing w:line="360" w:lineRule="exact"/>
        <w:ind w:firstLine="420" w:firstLineChars="200"/>
        <w:rPr>
          <w:rFonts w:hint="eastAsia" w:ascii="仿宋" w:hAnsi="仿宋" w:eastAsia="仿宋" w:cs="仿宋"/>
          <w:color w:val="auto"/>
          <w:szCs w:val="21"/>
          <w:highlight w:val="none"/>
        </w:rPr>
      </w:pPr>
      <w:bookmarkStart w:id="14" w:name="_Toc44229880"/>
      <w:bookmarkStart w:id="15" w:name="_Toc35393631"/>
      <w:bookmarkStart w:id="16" w:name="_Toc28359091"/>
      <w:bookmarkStart w:id="17" w:name="_Toc35393800"/>
      <w:bookmarkStart w:id="18" w:name="_Toc28359014"/>
      <w:r>
        <w:rPr>
          <w:rFonts w:hint="eastAsia" w:ascii="仿宋" w:hAnsi="仿宋" w:eastAsia="仿宋" w:cs="仿宋"/>
          <w:color w:val="auto"/>
          <w:szCs w:val="21"/>
          <w:highlight w:val="none"/>
        </w:rPr>
        <w:t>1.满足《中华人民共和国政府采购法》第二十二条规定；</w:t>
      </w:r>
    </w:p>
    <w:p w14:paraId="46AAFBB3">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2.落实政府采购政策需满足的资格要求：分标1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专门面向小</w:t>
      </w:r>
      <w:r>
        <w:rPr>
          <w:rFonts w:hint="eastAsia" w:ascii="仿宋" w:hAnsi="仿宋" w:eastAsia="仿宋" w:cs="仿宋"/>
          <w:b/>
          <w:bCs/>
          <w:color w:val="auto"/>
          <w:szCs w:val="21"/>
          <w:highlight w:val="none"/>
          <w:lang w:val="en-US" w:eastAsia="zh-CN"/>
        </w:rPr>
        <w:t>微</w:t>
      </w:r>
      <w:r>
        <w:rPr>
          <w:rFonts w:hint="eastAsia" w:ascii="仿宋" w:hAnsi="仿宋" w:eastAsia="仿宋" w:cs="仿宋"/>
          <w:b/>
          <w:bCs/>
          <w:color w:val="auto"/>
          <w:szCs w:val="21"/>
          <w:highlight w:val="none"/>
        </w:rPr>
        <w:t>企业采购的项目</w:t>
      </w:r>
      <w:r>
        <w:rPr>
          <w:rFonts w:hint="eastAsia" w:ascii="仿宋" w:hAnsi="仿宋" w:eastAsia="仿宋" w:cs="仿宋"/>
          <w:color w:val="auto"/>
          <w:szCs w:val="21"/>
          <w:highlight w:val="none"/>
        </w:rPr>
        <w:t>（供应商应为小</w:t>
      </w:r>
      <w:r>
        <w:rPr>
          <w:rFonts w:hint="eastAsia" w:ascii="仿宋" w:hAnsi="仿宋" w:eastAsia="仿宋" w:cs="仿宋"/>
          <w:color w:val="auto"/>
          <w:szCs w:val="21"/>
          <w:highlight w:val="none"/>
          <w:lang w:val="en-US" w:eastAsia="zh-CN"/>
        </w:rPr>
        <w:t>型或</w:t>
      </w:r>
      <w:r>
        <w:rPr>
          <w:rFonts w:hint="eastAsia" w:ascii="仿宋" w:hAnsi="仿宋" w:eastAsia="仿宋" w:cs="仿宋"/>
          <w:color w:val="auto"/>
          <w:szCs w:val="21"/>
          <w:highlight w:val="none"/>
        </w:rPr>
        <w:t>微</w:t>
      </w:r>
      <w:r>
        <w:rPr>
          <w:rFonts w:hint="eastAsia" w:ascii="仿宋" w:hAnsi="仿宋" w:eastAsia="仿宋" w:cs="仿宋"/>
          <w:color w:val="auto"/>
          <w:szCs w:val="21"/>
          <w:highlight w:val="none"/>
          <w:lang w:val="en-US" w:eastAsia="zh-CN"/>
        </w:rPr>
        <w:t>型</w:t>
      </w:r>
      <w:r>
        <w:rPr>
          <w:rFonts w:hint="eastAsia" w:ascii="仿宋" w:hAnsi="仿宋" w:eastAsia="仿宋" w:cs="仿宋"/>
          <w:color w:val="auto"/>
          <w:szCs w:val="21"/>
          <w:highlight w:val="none"/>
        </w:rPr>
        <w:t>企业</w:t>
      </w:r>
      <w:r>
        <w:rPr>
          <w:rFonts w:hint="eastAsia" w:ascii="仿宋" w:hAnsi="仿宋" w:eastAsia="仿宋" w:cs="仿宋"/>
          <w:color w:val="auto"/>
          <w:szCs w:val="21"/>
          <w:highlight w:val="none"/>
          <w:lang w:val="en-US" w:eastAsia="zh-CN"/>
        </w:rPr>
        <w:t>或</w:t>
      </w:r>
      <w:r>
        <w:rPr>
          <w:rFonts w:hint="eastAsia" w:ascii="仿宋" w:hAnsi="仿宋" w:eastAsia="仿宋" w:cs="仿宋"/>
          <w:color w:val="auto"/>
          <w:szCs w:val="21"/>
          <w:highlight w:val="none"/>
        </w:rPr>
        <w:t>监狱企业</w:t>
      </w:r>
      <w:r>
        <w:rPr>
          <w:rFonts w:hint="eastAsia" w:ascii="仿宋" w:hAnsi="仿宋" w:eastAsia="仿宋" w:cs="仿宋"/>
          <w:color w:val="auto"/>
          <w:szCs w:val="21"/>
          <w:highlight w:val="none"/>
          <w:lang w:val="en-US" w:eastAsia="zh-CN"/>
        </w:rPr>
        <w:t>或</w:t>
      </w:r>
      <w:r>
        <w:rPr>
          <w:rFonts w:hint="eastAsia" w:ascii="仿宋" w:hAnsi="仿宋" w:eastAsia="仿宋" w:cs="仿宋"/>
          <w:color w:val="auto"/>
          <w:szCs w:val="21"/>
          <w:highlight w:val="none"/>
        </w:rPr>
        <w:t>残疾人福利性单位)</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□非专门面向中小企业采购的项目</w:t>
      </w:r>
    </w:p>
    <w:p w14:paraId="5D79AB4D">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w:t>
      </w:r>
      <w:bookmarkStart w:id="19" w:name="_Toc71365907"/>
    </w:p>
    <w:p w14:paraId="691CFB1D">
      <w:pPr>
        <w:spacing w:line="36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3.1 </w:t>
      </w:r>
      <w:r>
        <w:rPr>
          <w:rFonts w:hint="eastAsia" w:ascii="仿宋" w:hAnsi="仿宋" w:eastAsia="仿宋" w:cs="仿宋"/>
          <w:color w:val="auto"/>
          <w:szCs w:val="21"/>
          <w:highlight w:val="none"/>
        </w:rPr>
        <w:t>分标1：</w:t>
      </w:r>
      <w:r>
        <w:rPr>
          <w:rFonts w:hint="eastAsia" w:ascii="仿宋" w:hAnsi="仿宋" w:eastAsia="仿宋" w:cs="仿宋"/>
          <w:color w:val="auto"/>
          <w:szCs w:val="21"/>
          <w:highlight w:val="none"/>
          <w:lang w:val="en-US" w:eastAsia="zh-CN"/>
        </w:rPr>
        <w:t>无，分标2：</w:t>
      </w:r>
      <w:r>
        <w:rPr>
          <w:rFonts w:hint="eastAsia" w:ascii="仿宋" w:hAnsi="仿宋" w:eastAsia="仿宋" w:cs="仿宋"/>
          <w:color w:val="auto"/>
          <w:szCs w:val="21"/>
          <w:highlight w:val="none"/>
        </w:rPr>
        <w:t>供应商须具备国家主管部门颁发的有效的会计师事务所执业证书。</w:t>
      </w:r>
    </w:p>
    <w:p w14:paraId="4F9BBB6B">
      <w:pPr>
        <w:spacing w:line="3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三、获取竞争性磋商文件</w:t>
      </w:r>
      <w:bookmarkEnd w:id="14"/>
      <w:bookmarkEnd w:id="15"/>
      <w:bookmarkEnd w:id="16"/>
      <w:bookmarkEnd w:id="17"/>
      <w:bookmarkEnd w:id="18"/>
      <w:bookmarkEnd w:id="19"/>
    </w:p>
    <w:p w14:paraId="55D7DD95">
      <w:pPr>
        <w:spacing w:line="360" w:lineRule="exact"/>
        <w:ind w:firstLine="420" w:firstLineChars="200"/>
        <w:rPr>
          <w:rFonts w:hint="eastAsia" w:ascii="仿宋" w:hAnsi="仿宋" w:eastAsia="仿宋" w:cs="仿宋"/>
          <w:bCs/>
          <w:color w:val="auto"/>
          <w:kern w:val="0"/>
          <w:szCs w:val="21"/>
          <w:highlight w:val="none"/>
        </w:rPr>
      </w:pPr>
      <w:bookmarkStart w:id="20" w:name="_Toc28359015"/>
      <w:bookmarkStart w:id="21" w:name="_Toc28359092"/>
      <w:bookmarkStart w:id="22" w:name="_Toc35393632"/>
      <w:bookmarkStart w:id="23" w:name="_Toc44229881"/>
      <w:bookmarkStart w:id="24" w:name="_Toc35393801"/>
      <w:r>
        <w:rPr>
          <w:rFonts w:hint="eastAsia" w:ascii="仿宋" w:hAnsi="仿宋" w:eastAsia="仿宋" w:cs="仿宋"/>
          <w:bCs/>
          <w:color w:val="auto"/>
          <w:kern w:val="0"/>
          <w:szCs w:val="21"/>
          <w:highlight w:val="none"/>
        </w:rPr>
        <w:t>时间：</w:t>
      </w: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7</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日</w:t>
      </w:r>
      <w:r>
        <w:rPr>
          <w:rFonts w:hint="eastAsia" w:ascii="仿宋" w:hAnsi="仿宋" w:eastAsia="仿宋" w:cs="仿宋"/>
          <w:bCs/>
          <w:color w:val="auto"/>
          <w:kern w:val="0"/>
          <w:szCs w:val="21"/>
          <w:highlight w:val="none"/>
        </w:rPr>
        <w:t>至</w:t>
      </w: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7</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rPr>
        <w:t>日</w:t>
      </w:r>
      <w:r>
        <w:rPr>
          <w:rFonts w:hint="eastAsia" w:ascii="仿宋" w:hAnsi="仿宋" w:eastAsia="仿宋" w:cs="仿宋"/>
          <w:bCs/>
          <w:color w:val="auto"/>
          <w:kern w:val="0"/>
          <w:szCs w:val="21"/>
          <w:highlight w:val="none"/>
        </w:rPr>
        <w:t>，每天上午0：00至12</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rPr>
        <w:t>00，下午12</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rPr>
        <w:t>00至23</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rPr>
        <w:t>59（北京时间）</w:t>
      </w:r>
    </w:p>
    <w:p w14:paraId="114D9EE0">
      <w:pPr>
        <w:spacing w:line="360" w:lineRule="exact"/>
        <w:ind w:firstLine="420" w:firstLineChars="200"/>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地点：广西政府采购云平台（https</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rPr>
        <w:t>//www.gcy.zfcg.gxzf.gov.cn/）</w:t>
      </w:r>
    </w:p>
    <w:p w14:paraId="6D98F34B">
      <w:pPr>
        <w:spacing w:line="360" w:lineRule="exact"/>
        <w:ind w:firstLine="420" w:firstLineChars="200"/>
        <w:rPr>
          <w:rFonts w:hint="eastAsia" w:ascii="仿宋" w:hAnsi="仿宋" w:eastAsia="仿宋" w:cs="仿宋"/>
          <w:color w:val="auto"/>
          <w:kern w:val="0"/>
          <w:szCs w:val="21"/>
          <w:highlight w:val="none"/>
        </w:rPr>
      </w:pPr>
      <w:bookmarkStart w:id="25" w:name="_Toc71365908"/>
      <w:r>
        <w:rPr>
          <w:rFonts w:hint="eastAsia" w:ascii="仿宋" w:hAnsi="仿宋" w:eastAsia="仿宋" w:cs="仿宋"/>
          <w:color w:val="auto"/>
          <w:szCs w:val="21"/>
          <w:highlight w:val="none"/>
        </w:rPr>
        <w:t>获取方式</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网上下载。本项目不发放纸质采购文件，供应商登录广西政府采购云平台https</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//www.gcy.zfcg.gxzf.gov.cn/在线申请获取采购文件（进入“项目采购”应用，在获取采购文件菜单中选择项目，申请获取采购文件）。</w:t>
      </w:r>
    </w:p>
    <w:p w14:paraId="1332C244">
      <w:pPr>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采购文件售价：0元。</w:t>
      </w:r>
    </w:p>
    <w:p w14:paraId="12552096">
      <w:pPr>
        <w:spacing w:line="360" w:lineRule="exact"/>
        <w:ind w:firstLine="354" w:firstLineChars="14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w:t>
      </w:r>
      <w:bookmarkEnd w:id="20"/>
      <w:bookmarkEnd w:id="21"/>
      <w:bookmarkEnd w:id="22"/>
      <w:bookmarkEnd w:id="23"/>
      <w:bookmarkEnd w:id="24"/>
      <w:bookmarkEnd w:id="25"/>
    </w:p>
    <w:p w14:paraId="4F292451">
      <w:pPr>
        <w:spacing w:line="360" w:lineRule="exact"/>
        <w:ind w:firstLine="420" w:firstLineChars="200"/>
        <w:rPr>
          <w:rFonts w:hint="eastAsia" w:ascii="仿宋" w:hAnsi="仿宋" w:eastAsia="仿宋" w:cs="仿宋"/>
          <w:bCs/>
          <w:color w:val="auto"/>
          <w:szCs w:val="21"/>
          <w:highlight w:val="none"/>
        </w:rPr>
      </w:pPr>
      <w:bookmarkStart w:id="26" w:name="_Toc44229882"/>
      <w:bookmarkStart w:id="27" w:name="_Toc35393633"/>
      <w:bookmarkStart w:id="28" w:name="_Toc28359093"/>
      <w:bookmarkStart w:id="29" w:name="_Toc28359016"/>
      <w:bookmarkStart w:id="30" w:name="_Toc35393802"/>
      <w:r>
        <w:rPr>
          <w:rFonts w:hint="eastAsia" w:ascii="仿宋" w:hAnsi="仿宋" w:eastAsia="仿宋" w:cs="仿宋"/>
          <w:color w:val="auto"/>
          <w:szCs w:val="21"/>
          <w:highlight w:val="none"/>
        </w:rPr>
        <w:t>截止时间202</w:t>
      </w:r>
      <w:r>
        <w:rPr>
          <w:rFonts w:hint="eastAsia" w:ascii="仿宋" w:hAnsi="仿宋" w:eastAsia="仿宋" w:cs="仿宋"/>
          <w:color w:val="auto"/>
          <w:szCs w:val="21"/>
          <w:highlight w:val="none"/>
          <w:lang w:val="en-US" w:eastAsia="zh-CN"/>
        </w:rPr>
        <w:t>5</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7</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15</w:t>
      </w:r>
      <w:r>
        <w:rPr>
          <w:rFonts w:hint="eastAsia" w:ascii="仿宋" w:hAnsi="仿宋" w:eastAsia="仿宋" w:cs="仿宋"/>
          <w:bCs/>
          <w:color w:val="auto"/>
          <w:szCs w:val="21"/>
          <w:highlight w:val="none"/>
        </w:rPr>
        <w:t>日</w:t>
      </w:r>
      <w:r>
        <w:rPr>
          <w:rFonts w:hint="eastAsia" w:ascii="仿宋" w:hAnsi="仿宋" w:eastAsia="仿宋" w:cs="仿宋"/>
          <w:bCs/>
          <w:color w:val="auto"/>
          <w:szCs w:val="21"/>
          <w:highlight w:val="none"/>
          <w:lang w:val="en-US" w:eastAsia="zh-CN"/>
        </w:rPr>
        <w:t>9时00分</w:t>
      </w:r>
      <w:r>
        <w:rPr>
          <w:rFonts w:hint="eastAsia" w:ascii="仿宋" w:hAnsi="仿宋" w:eastAsia="仿宋" w:cs="仿宋"/>
          <w:bCs/>
          <w:color w:val="auto"/>
          <w:szCs w:val="21"/>
          <w:highlight w:val="none"/>
        </w:rPr>
        <w:t>（北京时间）</w:t>
      </w:r>
    </w:p>
    <w:p w14:paraId="1538D4D6">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地点：广西政府采购云平台</w:t>
      </w:r>
      <w:r>
        <w:rPr>
          <w:rFonts w:hint="eastAsia" w:ascii="仿宋" w:hAnsi="仿宋" w:eastAsia="仿宋" w:cs="仿宋"/>
          <w:bCs/>
          <w:color w:val="auto"/>
          <w:kern w:val="0"/>
          <w:szCs w:val="21"/>
          <w:highlight w:val="none"/>
        </w:rPr>
        <w:t>（https</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rPr>
        <w:t>//www.gcy.zfcg.gxzf.gov.cn/）</w:t>
      </w:r>
    </w:p>
    <w:p w14:paraId="67DD7969">
      <w:pPr>
        <w:spacing w:line="360" w:lineRule="exact"/>
        <w:ind w:firstLine="354" w:firstLineChars="147"/>
        <w:rPr>
          <w:rFonts w:hint="eastAsia" w:ascii="仿宋" w:hAnsi="仿宋" w:eastAsia="仿宋" w:cs="仿宋"/>
          <w:b/>
          <w:color w:val="auto"/>
          <w:sz w:val="24"/>
          <w:highlight w:val="none"/>
        </w:rPr>
      </w:pPr>
      <w:bookmarkStart w:id="31" w:name="_Toc71365909"/>
      <w:r>
        <w:rPr>
          <w:rFonts w:hint="eastAsia" w:ascii="仿宋" w:hAnsi="仿宋" w:eastAsia="仿宋" w:cs="仿宋"/>
          <w:b/>
          <w:color w:val="auto"/>
          <w:sz w:val="24"/>
          <w:highlight w:val="none"/>
        </w:rPr>
        <w:t>五、开启</w:t>
      </w:r>
      <w:bookmarkEnd w:id="26"/>
      <w:bookmarkEnd w:id="27"/>
      <w:bookmarkEnd w:id="28"/>
      <w:bookmarkEnd w:id="29"/>
      <w:bookmarkEnd w:id="30"/>
      <w:bookmarkEnd w:id="31"/>
    </w:p>
    <w:p w14:paraId="0DC40EFC">
      <w:pPr>
        <w:spacing w:line="36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color w:val="auto"/>
          <w:szCs w:val="21"/>
          <w:highlight w:val="none"/>
        </w:rPr>
        <w:t>1.时间：202</w:t>
      </w:r>
      <w:r>
        <w:rPr>
          <w:rFonts w:hint="eastAsia" w:ascii="仿宋" w:hAnsi="仿宋" w:eastAsia="仿宋" w:cs="仿宋"/>
          <w:color w:val="auto"/>
          <w:szCs w:val="21"/>
          <w:highlight w:val="none"/>
          <w:lang w:val="en-US" w:eastAsia="zh-CN"/>
        </w:rPr>
        <w:t>5</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 xml:space="preserve">7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15</w:t>
      </w:r>
      <w:r>
        <w:rPr>
          <w:rFonts w:hint="eastAsia" w:ascii="仿宋" w:hAnsi="仿宋" w:eastAsia="仿宋" w:cs="仿宋"/>
          <w:bCs/>
          <w:color w:val="auto"/>
          <w:szCs w:val="21"/>
          <w:highlight w:val="none"/>
        </w:rPr>
        <w:t>日</w:t>
      </w:r>
      <w:r>
        <w:rPr>
          <w:rFonts w:hint="eastAsia" w:ascii="仿宋" w:hAnsi="仿宋" w:eastAsia="仿宋" w:cs="仿宋"/>
          <w:bCs/>
          <w:color w:val="auto"/>
          <w:szCs w:val="21"/>
          <w:highlight w:val="none"/>
          <w:lang w:val="en-US" w:eastAsia="zh-CN"/>
        </w:rPr>
        <w:t>9时00分</w:t>
      </w:r>
      <w:r>
        <w:rPr>
          <w:rFonts w:hint="eastAsia" w:ascii="仿宋" w:hAnsi="仿宋" w:eastAsia="仿宋" w:cs="仿宋"/>
          <w:bCs/>
          <w:color w:val="auto"/>
          <w:szCs w:val="21"/>
          <w:highlight w:val="none"/>
        </w:rPr>
        <w:t>（北京时间）</w:t>
      </w:r>
    </w:p>
    <w:p w14:paraId="57B36AC8">
      <w:pPr>
        <w:spacing w:line="36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color w:val="auto"/>
          <w:szCs w:val="21"/>
          <w:highlight w:val="none"/>
        </w:rPr>
        <w:t>2.地点：广西政府采购云平台</w:t>
      </w:r>
      <w:r>
        <w:rPr>
          <w:rFonts w:hint="eastAsia" w:ascii="仿宋" w:hAnsi="仿宋" w:eastAsia="仿宋" w:cs="仿宋"/>
          <w:bCs/>
          <w:color w:val="auto"/>
          <w:kern w:val="0"/>
          <w:szCs w:val="21"/>
          <w:highlight w:val="none"/>
        </w:rPr>
        <w:t>（https</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rPr>
        <w:t>//www.gcy.zfcg.gxzf.gov.cn/）</w:t>
      </w:r>
    </w:p>
    <w:p w14:paraId="5601A7DD">
      <w:pPr>
        <w:spacing w:line="360" w:lineRule="exact"/>
        <w:ind w:firstLine="354" w:firstLineChars="147"/>
        <w:rPr>
          <w:rFonts w:hint="eastAsia" w:ascii="仿宋" w:hAnsi="仿宋" w:eastAsia="仿宋" w:cs="仿宋"/>
          <w:b/>
          <w:color w:val="auto"/>
          <w:sz w:val="24"/>
          <w:highlight w:val="none"/>
        </w:rPr>
      </w:pPr>
      <w:bookmarkStart w:id="32" w:name="_Toc28359094"/>
      <w:bookmarkStart w:id="33" w:name="_Toc35393634"/>
      <w:bookmarkStart w:id="34" w:name="_Toc35393803"/>
      <w:bookmarkStart w:id="35" w:name="_Toc28359017"/>
      <w:bookmarkStart w:id="36" w:name="_Toc71365910"/>
      <w:bookmarkStart w:id="37" w:name="_Toc44229883"/>
      <w:r>
        <w:rPr>
          <w:rFonts w:hint="eastAsia" w:ascii="仿宋" w:hAnsi="仿宋" w:eastAsia="仿宋" w:cs="仿宋"/>
          <w:b/>
          <w:color w:val="auto"/>
          <w:sz w:val="24"/>
          <w:highlight w:val="none"/>
        </w:rPr>
        <w:t>六、公告期限</w:t>
      </w:r>
      <w:bookmarkEnd w:id="32"/>
      <w:bookmarkEnd w:id="33"/>
      <w:bookmarkEnd w:id="34"/>
      <w:bookmarkEnd w:id="35"/>
      <w:bookmarkEnd w:id="36"/>
      <w:bookmarkEnd w:id="37"/>
    </w:p>
    <w:p w14:paraId="40A40F97">
      <w:pPr>
        <w:spacing w:line="36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3E2DD9F9">
      <w:pPr>
        <w:spacing w:line="360" w:lineRule="exact"/>
        <w:ind w:firstLine="354" w:firstLineChars="147"/>
        <w:rPr>
          <w:rFonts w:hint="eastAsia" w:ascii="仿宋" w:hAnsi="仿宋" w:eastAsia="仿宋" w:cs="仿宋"/>
          <w:b/>
          <w:color w:val="auto"/>
          <w:sz w:val="24"/>
          <w:highlight w:val="none"/>
        </w:rPr>
      </w:pPr>
      <w:bookmarkStart w:id="38" w:name="_Toc44229884"/>
      <w:bookmarkStart w:id="39" w:name="_Toc35393635"/>
      <w:bookmarkStart w:id="40" w:name="_Toc35393804"/>
      <w:bookmarkStart w:id="41" w:name="_Toc71365911"/>
      <w:r>
        <w:rPr>
          <w:rFonts w:hint="eastAsia" w:ascii="仿宋" w:hAnsi="仿宋" w:eastAsia="仿宋" w:cs="仿宋"/>
          <w:b/>
          <w:color w:val="auto"/>
          <w:sz w:val="24"/>
          <w:highlight w:val="none"/>
        </w:rPr>
        <w:t>七、其他补充事宜</w:t>
      </w:r>
      <w:bookmarkEnd w:id="38"/>
      <w:bookmarkEnd w:id="39"/>
      <w:bookmarkEnd w:id="40"/>
      <w:bookmarkEnd w:id="41"/>
    </w:p>
    <w:p w14:paraId="1488BE17">
      <w:pPr>
        <w:spacing w:line="360" w:lineRule="exact"/>
        <w:ind w:firstLine="420" w:firstLineChars="200"/>
        <w:rPr>
          <w:rFonts w:hint="eastAsia" w:ascii="仿宋" w:hAnsi="仿宋" w:eastAsia="仿宋" w:cs="仿宋"/>
          <w:color w:val="auto"/>
          <w:szCs w:val="21"/>
          <w:highlight w:val="none"/>
        </w:rPr>
      </w:pPr>
      <w:bookmarkStart w:id="42" w:name="_Toc44229885"/>
      <w:bookmarkStart w:id="43" w:name="_Toc35393636"/>
      <w:bookmarkStart w:id="44" w:name="_Toc28359095"/>
      <w:bookmarkStart w:id="45" w:name="_Toc28359018"/>
      <w:bookmarkStart w:id="46" w:name="_Toc35393805"/>
      <w:r>
        <w:rPr>
          <w:rFonts w:hint="eastAsia" w:ascii="仿宋" w:hAnsi="仿宋" w:eastAsia="仿宋" w:cs="仿宋"/>
          <w:color w:val="auto"/>
          <w:szCs w:val="21"/>
          <w:highlight w:val="none"/>
        </w:rPr>
        <w:t>1、磋商保证金（人民币）：</w:t>
      </w:r>
      <w:r>
        <w:rPr>
          <w:rFonts w:hint="eastAsia" w:ascii="仿宋" w:hAnsi="仿宋" w:eastAsia="仿宋" w:cs="仿宋"/>
          <w:color w:val="auto"/>
          <w:szCs w:val="21"/>
          <w:highlight w:val="none"/>
          <w:lang w:val="en-US" w:eastAsia="zh-CN"/>
        </w:rPr>
        <w:t>本项目不收取磋商保证金</w:t>
      </w:r>
      <w:r>
        <w:rPr>
          <w:rFonts w:hint="eastAsia" w:ascii="仿宋" w:hAnsi="仿宋" w:eastAsia="仿宋" w:cs="仿宋"/>
          <w:color w:val="auto"/>
          <w:szCs w:val="21"/>
          <w:highlight w:val="none"/>
        </w:rPr>
        <w:t>。</w:t>
      </w:r>
    </w:p>
    <w:p w14:paraId="5CA0EFEC">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2、发布公告的媒介：中国政府采购网、广西壮族自治区政府采购网。</w:t>
      </w:r>
    </w:p>
    <w:p w14:paraId="43C8E113">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3、本项目需要落实的政府采购政策：</w:t>
      </w:r>
    </w:p>
    <w:p w14:paraId="24CF1FEA">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（1）政府采购促进中小企业发展；</w:t>
      </w:r>
    </w:p>
    <w:p w14:paraId="00423F68">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（2）政府采购支持监狱企业发展；</w:t>
      </w:r>
    </w:p>
    <w:p w14:paraId="337BE925">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（3）政府采购促进残疾人就业政策；</w:t>
      </w:r>
    </w:p>
    <w:p w14:paraId="07751C0D">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（4）本项目为服务项目，不涉及强制采购节能产品；</w:t>
      </w:r>
    </w:p>
    <w:p w14:paraId="2F041093">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（5）政府采购支持采用本国产品的政策；</w:t>
      </w:r>
    </w:p>
    <w:p w14:paraId="5C254A40">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（6）优先采购节能产品、环境标志产品。</w:t>
      </w:r>
    </w:p>
    <w:p w14:paraId="2CBD8B19">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4、资格条件特别说明：</w:t>
      </w:r>
    </w:p>
    <w:p w14:paraId="0C739E78">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0C480D9">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BB37131">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(3)已获取磋商文件的供应商不等于符合本项目的供应商资格条件。</w:t>
      </w:r>
    </w:p>
    <w:p w14:paraId="1E05FC2B">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5、广西政府采购云平台电子竞标相关事宜：</w:t>
      </w:r>
    </w:p>
    <w:p w14:paraId="10F565FC">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为全流程电子化采购项目，通过广西政府采购云平台实行在线电子竞标，供应商应先安装“广西政府采购云平台新版客户端”（请自行前往广西政府采购云平台进行下载），并按照本项目采购文件和广西政府采购云平台的要求编制、加密后在响应截止时间前通过网络上传至广西政府采购云平台。</w:t>
      </w:r>
    </w:p>
    <w:p w14:paraId="75E89E55">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进行网上注册并办理数字证书（CA认证）的供应商将无法参与本项目政府采购活动，供应商应当在响应截止时间前，完成电子交易平台上的CA数字证书办理及响应文件的提交（供应商可登录“广西政府采购网”，依次进入“办事服务-下载专区”或者登陆广西政府采购云平台，查看CA数字证书办理操作流程。如在操作过程中遇到问题或者需要技术支持，可拨打广西政府采购云平台服务热线获取热线服务帮助）。</w:t>
      </w:r>
    </w:p>
    <w:p w14:paraId="58E6E35C">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1B3EF797">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响应截止时间前完成电子响应文件的上传、提交，响应截止时间前可以补充、修改或者撤回响应文件。补充或者修改响应文件的，应当先行撤回原响应文件，补充、修改后重新上传、提交，响应截止时间前未完成上传、提交的，视为撤回响应文件。响应截止时间以后上传递交的响应文件，广西政府采购云平台将予以拒收。</w:t>
      </w:r>
    </w:p>
    <w:p w14:paraId="7A5B5F95">
      <w:pPr>
        <w:pStyle w:val="44"/>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6、评标说明注意事项：本项目采用远程异地评标，评标主会场地址：广西翔正项目管理有限公司（贺州市太安巷56号 联系电话：0774-5297678），评标副会场地址：广西正贤工程咨询有限公司（百色市百色市右江区龙翔路12号龙景中心商务写字楼六楼 ）联系电话：0776-2960260。</w:t>
      </w:r>
    </w:p>
    <w:p w14:paraId="569DED02">
      <w:pPr>
        <w:pStyle w:val="16"/>
        <w:spacing w:line="380" w:lineRule="exact"/>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7、监督部门：贺州市政府采购监督管理办公室，电话：0774-5135553。</w:t>
      </w:r>
    </w:p>
    <w:p w14:paraId="57A51D9F">
      <w:pPr>
        <w:spacing w:line="360" w:lineRule="exact"/>
        <w:ind w:firstLine="354" w:firstLineChars="14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八、凡对本次采购提出询问，请按以下方式联系。</w:t>
      </w:r>
      <w:bookmarkEnd w:id="42"/>
      <w:bookmarkEnd w:id="43"/>
      <w:bookmarkEnd w:id="44"/>
      <w:bookmarkEnd w:id="45"/>
      <w:bookmarkEnd w:id="46"/>
    </w:p>
    <w:bookmarkEnd w:id="1"/>
    <w:p w14:paraId="3E48261E">
      <w:pPr>
        <w:spacing w:line="36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1.采购人信息</w:t>
      </w:r>
    </w:p>
    <w:p w14:paraId="58BBFF6D">
      <w:pPr>
        <w:spacing w:line="36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名    称：</w:t>
      </w:r>
      <w:r>
        <w:rPr>
          <w:rFonts w:hint="eastAsia" w:ascii="仿宋" w:hAnsi="仿宋" w:eastAsia="仿宋" w:cs="仿宋"/>
          <w:color w:val="auto"/>
          <w:kern w:val="0"/>
          <w:szCs w:val="21"/>
          <w:highlight w:val="none"/>
          <w:lang w:eastAsia="zh-CN"/>
        </w:rPr>
        <w:t>贺州市公安局</w:t>
      </w:r>
      <w:r>
        <w:rPr>
          <w:rFonts w:hint="eastAsia" w:ascii="仿宋" w:hAnsi="仿宋" w:eastAsia="仿宋" w:cs="仿宋"/>
          <w:color w:val="auto"/>
          <w:kern w:val="0"/>
          <w:szCs w:val="21"/>
          <w:highlight w:val="none"/>
        </w:rPr>
        <w:t> </w:t>
      </w:r>
    </w:p>
    <w:p w14:paraId="6A8E59E2">
      <w:pPr>
        <w:spacing w:line="360" w:lineRule="exact"/>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地    址：</w:t>
      </w:r>
      <w:r>
        <w:rPr>
          <w:rFonts w:hint="eastAsia" w:ascii="仿宋" w:hAnsi="仿宋" w:eastAsia="仿宋" w:cs="仿宋"/>
          <w:color w:val="auto"/>
          <w:kern w:val="0"/>
          <w:szCs w:val="21"/>
          <w:highlight w:val="none"/>
          <w:lang w:val="en-US" w:eastAsia="zh-CN"/>
        </w:rPr>
        <w:t>贺州市贺州大道18号</w:t>
      </w:r>
    </w:p>
    <w:p w14:paraId="12732A9C">
      <w:pPr>
        <w:spacing w:line="360" w:lineRule="exact"/>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联系方式：</w:t>
      </w:r>
      <w:r>
        <w:rPr>
          <w:rFonts w:hint="eastAsia" w:ascii="仿宋" w:hAnsi="仿宋" w:eastAsia="仿宋" w:cs="仿宋"/>
          <w:color w:val="auto"/>
          <w:kern w:val="0"/>
          <w:szCs w:val="21"/>
          <w:highlight w:val="none"/>
          <w:lang w:val="en-US" w:eastAsia="zh-CN"/>
        </w:rPr>
        <w:t>彭警官 0774-5625800</w:t>
      </w:r>
    </w:p>
    <w:p w14:paraId="6E5894B9">
      <w:pPr>
        <w:spacing w:line="36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2.采购代理机构信息</w:t>
      </w:r>
    </w:p>
    <w:p w14:paraId="2BE267DF">
      <w:pPr>
        <w:spacing w:line="360" w:lineRule="exact"/>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名    称：</w:t>
      </w:r>
      <w:r>
        <w:rPr>
          <w:rFonts w:hint="eastAsia" w:ascii="仿宋" w:hAnsi="仿宋" w:eastAsia="仿宋" w:cs="仿宋"/>
          <w:color w:val="auto"/>
          <w:kern w:val="0"/>
          <w:szCs w:val="21"/>
          <w:highlight w:val="none"/>
          <w:lang w:eastAsia="zh-CN"/>
        </w:rPr>
        <w:t>广西翔正项目管理有限公司</w:t>
      </w:r>
    </w:p>
    <w:p w14:paraId="1F13E64E">
      <w:pPr>
        <w:spacing w:line="360" w:lineRule="exact"/>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地　　址：</w:t>
      </w:r>
      <w:r>
        <w:rPr>
          <w:rFonts w:hint="eastAsia" w:ascii="仿宋" w:hAnsi="仿宋" w:eastAsia="仿宋" w:cs="仿宋"/>
          <w:color w:val="auto"/>
          <w:kern w:val="0"/>
          <w:szCs w:val="21"/>
          <w:highlight w:val="none"/>
          <w:lang w:val="en-US" w:eastAsia="zh-CN"/>
        </w:rPr>
        <w:t>贺州市八区太安巷56号</w:t>
      </w:r>
    </w:p>
    <w:p w14:paraId="414571AB">
      <w:pPr>
        <w:spacing w:line="360" w:lineRule="exact"/>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联系方式：</w:t>
      </w:r>
      <w:r>
        <w:rPr>
          <w:rFonts w:hint="eastAsia" w:ascii="仿宋" w:hAnsi="仿宋" w:eastAsia="仿宋" w:cs="仿宋"/>
          <w:color w:val="auto"/>
          <w:kern w:val="0"/>
          <w:szCs w:val="21"/>
          <w:highlight w:val="none"/>
          <w:lang w:val="en-US" w:eastAsia="zh-CN"/>
        </w:rPr>
        <w:t>黄馨谊</w:t>
      </w:r>
    </w:p>
    <w:p w14:paraId="2D84CDA1">
      <w:pPr>
        <w:spacing w:line="36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3.项目联系方式</w:t>
      </w:r>
    </w:p>
    <w:p w14:paraId="154C7636">
      <w:pPr>
        <w:spacing w:line="360" w:lineRule="exact"/>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项目联系人：</w:t>
      </w:r>
      <w:r>
        <w:rPr>
          <w:rFonts w:hint="eastAsia" w:ascii="仿宋" w:hAnsi="仿宋" w:eastAsia="仿宋" w:cs="仿宋"/>
          <w:color w:val="auto"/>
          <w:kern w:val="0"/>
          <w:szCs w:val="21"/>
          <w:highlight w:val="none"/>
          <w:lang w:val="en-US" w:eastAsia="zh-CN"/>
        </w:rPr>
        <w:t xml:space="preserve">黄馨谊  </w:t>
      </w:r>
    </w:p>
    <w:p w14:paraId="05558EBD">
      <w:pPr>
        <w:spacing w:line="36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电　　话：</w:t>
      </w:r>
      <w:r>
        <w:rPr>
          <w:rFonts w:hint="eastAsia" w:ascii="仿宋" w:hAnsi="仿宋" w:eastAsia="仿宋" w:cs="仿宋"/>
          <w:color w:val="auto"/>
          <w:kern w:val="0"/>
          <w:szCs w:val="21"/>
          <w:highlight w:val="none"/>
          <w:lang w:val="en-US" w:eastAsia="zh-CN"/>
        </w:rPr>
        <w:t>0774-5297678</w:t>
      </w:r>
    </w:p>
    <w:p w14:paraId="57524799">
      <w:pPr>
        <w:pStyle w:val="2"/>
        <w:rPr>
          <w:rFonts w:hint="eastAsia" w:ascii="仿宋" w:hAnsi="仿宋" w:eastAsia="仿宋" w:cs="仿宋"/>
          <w:color w:val="auto"/>
          <w:highlight w:val="none"/>
        </w:rPr>
        <w:sectPr>
          <w:footerReference r:id="rId8" w:type="first"/>
          <w:footerReference r:id="rId7" w:type="default"/>
          <w:pgSz w:w="11906" w:h="16838"/>
          <w:pgMar w:top="1440" w:right="1080" w:bottom="1440" w:left="1080" w:header="851" w:footer="992" w:gutter="0"/>
          <w:pgNumType w:start="1"/>
          <w:cols w:space="720" w:num="1"/>
          <w:titlePg/>
          <w:docGrid w:type="lines" w:linePitch="312" w:charSpace="0"/>
        </w:sectPr>
      </w:pPr>
      <w:bookmarkStart w:id="47" w:name="_Toc151675537"/>
    </w:p>
    <w:p w14:paraId="40E6D11E">
      <w:pPr>
        <w:pStyle w:val="2"/>
        <w:jc w:val="center"/>
        <w:rPr>
          <w:rFonts w:hint="eastAsia" w:ascii="仿宋" w:hAnsi="仿宋" w:eastAsia="仿宋" w:cs="仿宋"/>
          <w:color w:val="auto"/>
          <w:highlight w:val="none"/>
        </w:rPr>
      </w:pPr>
      <w:r>
        <w:rPr>
          <w:rFonts w:hint="eastAsia" w:ascii="仿宋" w:hAnsi="仿宋" w:eastAsia="仿宋" w:cs="仿宋"/>
          <w:color w:val="auto"/>
          <w:highlight w:val="none"/>
        </w:rPr>
        <w:t>第二章  供应商须知</w:t>
      </w:r>
      <w:bookmarkEnd w:id="47"/>
    </w:p>
    <w:p w14:paraId="3A5D4866">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供应商须知前附表</w:t>
      </w:r>
    </w:p>
    <w:p w14:paraId="703E70C3">
      <w:pPr>
        <w:spacing w:line="400" w:lineRule="exact"/>
        <w:jc w:val="center"/>
        <w:rPr>
          <w:rFonts w:hint="eastAsia" w:ascii="仿宋" w:hAnsi="仿宋" w:eastAsia="仿宋" w:cs="仿宋"/>
          <w:b/>
          <w:color w:val="auto"/>
          <w:sz w:val="32"/>
          <w:szCs w:val="32"/>
          <w:highlight w:val="none"/>
        </w:rPr>
      </w:pPr>
    </w:p>
    <w:tbl>
      <w:tblPr>
        <w:tblStyle w:val="34"/>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9"/>
        <w:gridCol w:w="8359"/>
      </w:tblGrid>
      <w:tr w14:paraId="21D90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tcPr>
          <w:p w14:paraId="7B4A638C">
            <w:pPr>
              <w:spacing w:line="43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8359" w:type="dxa"/>
          </w:tcPr>
          <w:p w14:paraId="1A9848D6">
            <w:pPr>
              <w:spacing w:line="43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内容</w:t>
            </w:r>
          </w:p>
        </w:tc>
      </w:tr>
      <w:tr w14:paraId="7A5E6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91D228B">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359" w:type="dxa"/>
            <w:vAlign w:val="center"/>
          </w:tcPr>
          <w:p w14:paraId="63C97986">
            <w:pPr>
              <w:spacing w:line="430" w:lineRule="exac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1.供应商的资格条件</w:t>
            </w:r>
            <w:r>
              <w:rPr>
                <w:rFonts w:hint="eastAsia" w:ascii="仿宋" w:hAnsi="仿宋" w:eastAsia="仿宋" w:cs="仿宋"/>
                <w:color w:val="auto"/>
                <w:szCs w:val="21"/>
                <w:highlight w:val="none"/>
              </w:rPr>
              <w:t>：详见竞争性磋商公告</w:t>
            </w:r>
          </w:p>
          <w:p w14:paraId="57E71DFB">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bCs/>
                <w:color w:val="auto"/>
                <w:szCs w:val="21"/>
                <w:highlight w:val="none"/>
              </w:rPr>
              <w:t>供应商</w:t>
            </w:r>
            <w:r>
              <w:rPr>
                <w:rFonts w:hint="eastAsia" w:ascii="仿宋" w:hAnsi="仿宋" w:eastAsia="仿宋" w:cs="仿宋"/>
                <w:color w:val="auto"/>
                <w:szCs w:val="21"/>
                <w:highlight w:val="none"/>
              </w:rPr>
              <w:t>出现下列情形之一的，不得参加政府采购活动：</w:t>
            </w:r>
          </w:p>
          <w:p w14:paraId="4924C14E">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89750C8">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3969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0F7A944">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8359" w:type="dxa"/>
            <w:vAlign w:val="center"/>
          </w:tcPr>
          <w:p w14:paraId="7C8E68EC">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是否接受联合体竞标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详见竞争性磋商公告</w:t>
            </w:r>
          </w:p>
        </w:tc>
      </w:tr>
      <w:tr w14:paraId="5DD8C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DF5980B">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8359" w:type="dxa"/>
            <w:vAlign w:val="center"/>
          </w:tcPr>
          <w:p w14:paraId="36610E71">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如接受联合体磋商，联合体磋商要求如下：</w:t>
            </w:r>
          </w:p>
          <w:p w14:paraId="621407A9">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1.两个以上供应商可以组成一个磋商联合体，以一个供应商的身份共同参加磋商。联合体磋商的，须提供《联合体竞标协议书》（格式后附）。</w:t>
            </w:r>
          </w:p>
          <w:p w14:paraId="6E8A6EA0">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以联合体形式参加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2464E59E">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3.联合体各方之间必须签订联合磋商协议，协议书必须明确主体方（或者牵头方）并明确约定联合体各方承担的工作和相应的责任（</w:t>
            </w:r>
            <w:r>
              <w:rPr>
                <w:rFonts w:hint="eastAsia" w:ascii="仿宋" w:hAnsi="仿宋" w:eastAsia="仿宋" w:cs="仿宋"/>
                <w:b/>
                <w:color w:val="auto"/>
                <w:szCs w:val="21"/>
                <w:highlight w:val="none"/>
              </w:rPr>
              <w:t>各方承担责任与义务的分工必须符合采购需求，否则，联合体竞标无效</w:t>
            </w:r>
            <w:r>
              <w:rPr>
                <w:rFonts w:hint="eastAsia" w:ascii="仿宋" w:hAnsi="仿宋" w:eastAsia="仿宋" w:cs="仿宋"/>
                <w:color w:val="auto"/>
                <w:szCs w:val="21"/>
                <w:highlight w:val="none"/>
              </w:rPr>
              <w:t>），并将联合竞标协议放入响应文件。联合体各方必须共同与采购人签订采购合同，就采购合同约定的事项对采购人承担连带责任。</w:t>
            </w:r>
          </w:p>
          <w:p w14:paraId="018D7449">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4.以联合体形式参加政府采购活动的，联合体各方不得再单独参加或者与其他供应商另外组成联合体参加同一合同项下的政府采购活动。</w:t>
            </w:r>
          </w:p>
          <w:p w14:paraId="5CB8EF9C">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5.联合体中有同类资质的供应商按照联合体分工承担相同工作的，应当按照资质等级较低的供应商确定资质等级。</w:t>
            </w:r>
          </w:p>
          <w:p w14:paraId="23FDBDEE">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6.联合体磋商业绩、履约能力按照联合体各方中较高的一方认定并计算（磋商文件另有规定的除外）。</w:t>
            </w:r>
          </w:p>
          <w:p w14:paraId="7BB72634">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7.供应商为联合体的，可以由联合体中的一方或者多方共同交纳磋商保证金，其交纳的保证金对联合体各方均具有约束力。</w:t>
            </w:r>
          </w:p>
          <w:p w14:paraId="46BE9F79">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8.联合体各方均应按照磋商文件的规定提交资格证明文件。</w:t>
            </w:r>
          </w:p>
        </w:tc>
      </w:tr>
      <w:tr w14:paraId="029B9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A765B7B">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8359" w:type="dxa"/>
            <w:vAlign w:val="center"/>
          </w:tcPr>
          <w:p w14:paraId="7388E586">
            <w:pPr>
              <w:pStyle w:val="14"/>
              <w:spacing w:line="43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√不允许分包</w:t>
            </w:r>
          </w:p>
          <w:p w14:paraId="321A013B">
            <w:pPr>
              <w:pStyle w:val="14"/>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□允许分包</w:t>
            </w:r>
          </w:p>
          <w:p w14:paraId="6F5A7118">
            <w:pPr>
              <w:pStyle w:val="14"/>
              <w:spacing w:line="43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分包内容：</w:t>
            </w:r>
            <w:r>
              <w:rPr>
                <w:rFonts w:hint="eastAsia" w:ascii="仿宋" w:hAnsi="仿宋" w:eastAsia="仿宋" w:cs="仿宋"/>
                <w:color w:val="auto"/>
                <w:szCs w:val="21"/>
                <w:highlight w:val="none"/>
                <w:u w:val="single"/>
              </w:rPr>
              <w:t>/。</w:t>
            </w:r>
          </w:p>
          <w:p w14:paraId="1BC3D020">
            <w:pPr>
              <w:pStyle w:val="14"/>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分包金额或者比例：</w:t>
            </w:r>
            <w:r>
              <w:rPr>
                <w:rFonts w:hint="eastAsia" w:ascii="仿宋" w:hAnsi="仿宋" w:eastAsia="仿宋" w:cs="仿宋"/>
                <w:color w:val="auto"/>
                <w:szCs w:val="21"/>
                <w:highlight w:val="none"/>
                <w:u w:val="single"/>
              </w:rPr>
              <w:t>。</w:t>
            </w:r>
          </w:p>
        </w:tc>
      </w:tr>
      <w:tr w14:paraId="3724D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593649F">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12.1.1</w:t>
            </w:r>
          </w:p>
        </w:tc>
        <w:tc>
          <w:tcPr>
            <w:tcW w:w="8359" w:type="dxa"/>
            <w:vAlign w:val="center"/>
          </w:tcPr>
          <w:p w14:paraId="73887707">
            <w:pPr>
              <w:pStyle w:val="14"/>
              <w:spacing w:line="430" w:lineRule="exact"/>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1.贺州市政府采购供应商信用承诺函（格式后附）；（必须提供，否则响应文件按无效响应处理）</w:t>
            </w:r>
          </w:p>
          <w:p w14:paraId="49D44598">
            <w:pPr>
              <w:pStyle w:val="14"/>
              <w:spacing w:line="430" w:lineRule="exact"/>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2.供应商直接控股股东信息、直接管理关系信息表；（必须提供，否则响应文件按无效响应处理）</w:t>
            </w:r>
          </w:p>
          <w:p w14:paraId="47C0BC67">
            <w:pPr>
              <w:pStyle w:val="14"/>
              <w:spacing w:line="430" w:lineRule="exact"/>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3.资格声明函；（必须提供，否则响应文件按无效响应处理）</w:t>
            </w:r>
          </w:p>
          <w:p w14:paraId="2F2523E0">
            <w:pPr>
              <w:pStyle w:val="14"/>
              <w:spacing w:line="430" w:lineRule="exact"/>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4.投标保证金提交凭证；（必须提供，否则作无效响应处理）</w:t>
            </w:r>
          </w:p>
          <w:p w14:paraId="69D86A9E">
            <w:pPr>
              <w:pStyle w:val="14"/>
              <w:spacing w:line="430" w:lineRule="exact"/>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5.</w:t>
            </w:r>
            <w:r>
              <w:rPr>
                <w:rFonts w:hint="eastAsia" w:ascii="仿宋" w:hAnsi="仿宋" w:eastAsia="仿宋" w:cs="仿宋"/>
                <w:b w:val="0"/>
                <w:bCs/>
                <w:color w:val="auto"/>
                <w:szCs w:val="21"/>
                <w:highlight w:val="none"/>
                <w:lang w:val="en-US" w:eastAsia="zh-CN"/>
              </w:rPr>
              <w:t>中</w:t>
            </w:r>
            <w:r>
              <w:rPr>
                <w:rFonts w:hint="eastAsia" w:ascii="仿宋" w:hAnsi="仿宋" w:eastAsia="仿宋" w:cs="仿宋"/>
                <w:b w:val="0"/>
                <w:bCs/>
                <w:color w:val="auto"/>
                <w:szCs w:val="21"/>
                <w:highlight w:val="none"/>
              </w:rPr>
              <w:t>小</w:t>
            </w:r>
            <w:r>
              <w:rPr>
                <w:rFonts w:hint="eastAsia" w:ascii="仿宋" w:hAnsi="仿宋" w:eastAsia="仿宋" w:cs="仿宋"/>
                <w:b w:val="0"/>
                <w:bCs/>
                <w:color w:val="auto"/>
                <w:szCs w:val="21"/>
                <w:highlight w:val="none"/>
                <w:lang w:val="en-US" w:eastAsia="zh-CN"/>
              </w:rPr>
              <w:t>微</w:t>
            </w:r>
            <w:r>
              <w:rPr>
                <w:rFonts w:hint="eastAsia" w:ascii="仿宋" w:hAnsi="仿宋" w:eastAsia="仿宋" w:cs="仿宋"/>
                <w:b w:val="0"/>
                <w:bCs/>
                <w:color w:val="auto"/>
                <w:szCs w:val="21"/>
                <w:highlight w:val="none"/>
              </w:rPr>
              <w:t>企业声明函；（必须提供，否则作无效响应处理）</w:t>
            </w:r>
          </w:p>
          <w:p w14:paraId="08A4E247">
            <w:pPr>
              <w:pStyle w:val="14"/>
              <w:spacing w:line="430" w:lineRule="exact"/>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6.本项目特定资格要求提供的证明材料；（必须提供，否则作无效响应处理）</w:t>
            </w:r>
          </w:p>
          <w:p w14:paraId="51AC8B40">
            <w:pPr>
              <w:pStyle w:val="14"/>
              <w:spacing w:line="430" w:lineRule="exact"/>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7.除投标文件规定必须提供以外，供应商认为需要提供的其他证明材料。</w:t>
            </w:r>
          </w:p>
          <w:p w14:paraId="6FCAAD2E">
            <w:pPr>
              <w:pStyle w:val="14"/>
              <w:spacing w:line="43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注：1.以上标明“必须提供”的材料属于复印件的扫描件的，必须加盖供应商电子公章，否则响应文件按无效响应处理。</w:t>
            </w:r>
          </w:p>
        </w:tc>
      </w:tr>
      <w:tr w14:paraId="28484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E07E1E6">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w:t>
            </w:r>
          </w:p>
        </w:tc>
        <w:tc>
          <w:tcPr>
            <w:tcW w:w="8359" w:type="dxa"/>
            <w:vAlign w:val="center"/>
          </w:tcPr>
          <w:p w14:paraId="6CAED20B">
            <w:pPr>
              <w:spacing w:line="43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报价文件</w:t>
            </w:r>
          </w:p>
          <w:p w14:paraId="6C993EC2">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1.响应函（格式后附）；（</w:t>
            </w:r>
            <w:r>
              <w:rPr>
                <w:rFonts w:hint="eastAsia" w:ascii="仿宋" w:hAnsi="仿宋" w:eastAsia="仿宋" w:cs="仿宋"/>
                <w:b/>
                <w:color w:val="auto"/>
                <w:szCs w:val="21"/>
                <w:highlight w:val="none"/>
              </w:rPr>
              <w:t>必须提供，否则响应文件按无效处理</w:t>
            </w:r>
            <w:r>
              <w:rPr>
                <w:rFonts w:hint="eastAsia" w:ascii="仿宋" w:hAnsi="仿宋" w:eastAsia="仿宋" w:cs="仿宋"/>
                <w:color w:val="auto"/>
                <w:szCs w:val="21"/>
                <w:highlight w:val="none"/>
              </w:rPr>
              <w:t>）</w:t>
            </w:r>
          </w:p>
          <w:p w14:paraId="038CE9E4">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2.磋商报价表（格式后附）；（</w:t>
            </w:r>
            <w:r>
              <w:rPr>
                <w:rFonts w:hint="eastAsia" w:ascii="仿宋" w:hAnsi="仿宋" w:eastAsia="仿宋" w:cs="仿宋"/>
                <w:b/>
                <w:color w:val="auto"/>
                <w:szCs w:val="21"/>
                <w:highlight w:val="none"/>
              </w:rPr>
              <w:t>必须提供，否则响应文件按无效处理</w:t>
            </w:r>
            <w:r>
              <w:rPr>
                <w:rFonts w:hint="eastAsia" w:ascii="仿宋" w:hAnsi="仿宋" w:eastAsia="仿宋" w:cs="仿宋"/>
                <w:color w:val="auto"/>
                <w:szCs w:val="21"/>
                <w:highlight w:val="none"/>
              </w:rPr>
              <w:t>）</w:t>
            </w:r>
          </w:p>
          <w:p w14:paraId="46CFAFC6">
            <w:pPr>
              <w:spacing w:line="43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3.供应商认为需要提供的其他有关资料。</w:t>
            </w:r>
          </w:p>
          <w:p w14:paraId="41EA6E80">
            <w:pPr>
              <w:snapToGrid w:val="0"/>
              <w:spacing w:line="43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w:t>
            </w:r>
          </w:p>
          <w:p w14:paraId="55FA75DD">
            <w:pPr>
              <w:snapToGrid w:val="0"/>
              <w:spacing w:line="430" w:lineRule="exact"/>
              <w:ind w:firstLine="413" w:firstLineChars="196"/>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1.以上标明“必须提供”的材料属于复印件的，必须加盖供应商电子签章，否则响应文件按无效处理。</w:t>
            </w:r>
          </w:p>
        </w:tc>
      </w:tr>
      <w:tr w14:paraId="24CA0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0111F58">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12.1.3</w:t>
            </w:r>
          </w:p>
        </w:tc>
        <w:tc>
          <w:tcPr>
            <w:tcW w:w="8359" w:type="dxa"/>
            <w:vAlign w:val="center"/>
          </w:tcPr>
          <w:p w14:paraId="65245ABD">
            <w:pPr>
              <w:spacing w:line="43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商务技术文件</w:t>
            </w:r>
          </w:p>
          <w:p w14:paraId="218569C9">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1.无串通竞标行为的承诺函（格式后附）；（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256CC2D0">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2.法定代表人身份证明书及法定代表人有效身份证正反面复印件（格式后附）；（</w:t>
            </w:r>
            <w:r>
              <w:rPr>
                <w:rFonts w:hint="eastAsia" w:ascii="仿宋" w:hAnsi="仿宋" w:eastAsia="仿宋" w:cs="仿宋"/>
                <w:b/>
                <w:bCs/>
                <w:color w:val="auto"/>
                <w:szCs w:val="21"/>
                <w:highlight w:val="none"/>
              </w:rPr>
              <w:t>除自然人竞标外</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5D74D301">
            <w:pPr>
              <w:spacing w:line="43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3.授权委托书及委托代理人有效身份证正反面复印件（格式后附）；（</w:t>
            </w:r>
            <w:r>
              <w:rPr>
                <w:rFonts w:hint="eastAsia" w:ascii="仿宋" w:hAnsi="仿宋" w:eastAsia="仿宋" w:cs="仿宋"/>
                <w:b/>
                <w:color w:val="auto"/>
                <w:szCs w:val="21"/>
                <w:highlight w:val="none"/>
              </w:rPr>
              <w:t>委托时必须提供，否则响应文件按无效响应处理</w:t>
            </w:r>
            <w:r>
              <w:rPr>
                <w:rFonts w:hint="eastAsia" w:ascii="仿宋" w:hAnsi="仿宋" w:eastAsia="仿宋" w:cs="仿宋"/>
                <w:color w:val="auto"/>
                <w:szCs w:val="21"/>
                <w:highlight w:val="none"/>
              </w:rPr>
              <w:t>）</w:t>
            </w:r>
          </w:p>
          <w:p w14:paraId="3CEA04F3">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4.磋商保证金提交凭证；</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val="en-US" w:eastAsia="zh-CN"/>
              </w:rPr>
              <w:t>如有要求</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35C9C45D">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5.商务要求偏离表（格式后附）；（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278780E3">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6.技术要求偏离表（格式后附）；（</w:t>
            </w:r>
            <w:r>
              <w:rPr>
                <w:rFonts w:hint="eastAsia" w:ascii="仿宋" w:hAnsi="仿宋" w:eastAsia="仿宋" w:cs="仿宋"/>
                <w:b/>
                <w:color w:val="auto"/>
                <w:szCs w:val="21"/>
                <w:highlight w:val="none"/>
              </w:rPr>
              <w:t>必须提供，否则响应文件按无效响应处理</w:t>
            </w:r>
            <w:r>
              <w:rPr>
                <w:rFonts w:hint="eastAsia" w:ascii="仿宋" w:hAnsi="仿宋" w:eastAsia="仿宋" w:cs="仿宋"/>
                <w:color w:val="auto"/>
                <w:szCs w:val="21"/>
                <w:highlight w:val="none"/>
              </w:rPr>
              <w:t>）</w:t>
            </w:r>
          </w:p>
          <w:p w14:paraId="41D87FE9">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7.服务方案、服务质量承诺、服务进度保证措施（格式自拟）；</w:t>
            </w:r>
          </w:p>
          <w:p w14:paraId="0943F710">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8.项目实施人员一览表（格式自拟）；</w:t>
            </w:r>
          </w:p>
          <w:p w14:paraId="48BFC731">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9.对应采购需求的技术要求、商务要求提供的其他文件资料（格式自拟）；</w:t>
            </w:r>
          </w:p>
          <w:p w14:paraId="5FA409A1">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10.供应商认为需要提供的其他有关资料。</w:t>
            </w:r>
          </w:p>
          <w:p w14:paraId="25453AA7">
            <w:pPr>
              <w:snapToGrid w:val="0"/>
              <w:spacing w:line="43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注：以上标明“必须提供”的材料属于复印件的，必须加盖供应商</w:t>
            </w:r>
            <w:r>
              <w:rPr>
                <w:rFonts w:hint="eastAsia" w:ascii="仿宋" w:hAnsi="仿宋" w:eastAsia="仿宋" w:cs="仿宋"/>
                <w:b/>
                <w:bCs/>
                <w:color w:val="auto"/>
                <w:szCs w:val="21"/>
                <w:highlight w:val="none"/>
              </w:rPr>
              <w:t>电子签章</w:t>
            </w:r>
            <w:r>
              <w:rPr>
                <w:rFonts w:hint="eastAsia" w:ascii="仿宋" w:hAnsi="仿宋" w:eastAsia="仿宋" w:cs="仿宋"/>
                <w:b/>
                <w:color w:val="auto"/>
                <w:szCs w:val="21"/>
                <w:highlight w:val="none"/>
              </w:rPr>
              <w:t>，否则响应文件按无效响应处理。</w:t>
            </w:r>
          </w:p>
        </w:tc>
      </w:tr>
      <w:tr w14:paraId="18BC3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8F55804">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8359" w:type="dxa"/>
            <w:vAlign w:val="center"/>
          </w:tcPr>
          <w:p w14:paraId="6C161CD0">
            <w:pPr>
              <w:spacing w:line="430" w:lineRule="exact"/>
              <w:contextualSpacing/>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磋商报价是供应商完成本项目的全部服务内容及其相关工作所需的全部费用：应包括服务价款，备件、技术培训及技术资料和税费等全部费用。</w:t>
            </w:r>
          </w:p>
          <w:p w14:paraId="0531DA65">
            <w:pPr>
              <w:spacing w:line="36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标项1：</w:t>
            </w: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eastAsia="zh-CN"/>
              </w:rPr>
              <w:t>：92.58万元</w:t>
            </w:r>
          </w:p>
          <w:p w14:paraId="2892FD1B">
            <w:pPr>
              <w:spacing w:line="36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最高限价（如有）：</w:t>
            </w:r>
            <w:r>
              <w:rPr>
                <w:rFonts w:hint="eastAsia" w:ascii="仿宋" w:hAnsi="仿宋" w:eastAsia="仿宋" w:cs="仿宋"/>
                <w:color w:val="auto"/>
                <w:szCs w:val="21"/>
                <w:highlight w:val="none"/>
                <w:lang w:val="en-US" w:eastAsia="zh-CN"/>
              </w:rPr>
              <w:t>92.58万元，按折扣率报价，折扣率上限：≦100%。</w:t>
            </w:r>
          </w:p>
          <w:p w14:paraId="25199A93">
            <w:pPr>
              <w:spacing w:line="36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标项2：</w:t>
            </w: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eastAsia="zh-CN"/>
              </w:rPr>
              <w:t>：8.05万</w:t>
            </w:r>
          </w:p>
          <w:p w14:paraId="0DD78E44">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最高限价（如有）：</w:t>
            </w:r>
            <w:r>
              <w:rPr>
                <w:rFonts w:hint="eastAsia" w:ascii="仿宋" w:hAnsi="仿宋" w:eastAsia="仿宋" w:cs="仿宋"/>
                <w:color w:val="auto"/>
                <w:szCs w:val="21"/>
                <w:highlight w:val="none"/>
                <w:lang w:val="en-US" w:eastAsia="zh-CN"/>
              </w:rPr>
              <w:t>8.05万</w:t>
            </w:r>
          </w:p>
          <w:p w14:paraId="60FB231E">
            <w:pPr>
              <w:widowControl/>
              <w:shd w:val="clear" w:color="auto" w:fill="FFFFFF"/>
              <w:spacing w:line="360" w:lineRule="atLeast"/>
              <w:ind w:firstLine="480"/>
              <w:jc w:val="lef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备注：当某投标供应商投标报价（注：本项目指折扣率报价，以下同）明显低于其他通过符合性审查投标人的报价的，有可能影响产品质量或者不能诚信履约的，投标供应商的响应文件须附针对其投标报价的书面说明（成本分析、利润比较）并提供相关证明材料。投标供应商在评标现场合理的时间内不能提供合理书面说明并不能提供相关证明材料的，视作该投标供应商以低于企业成本报价投标，作为无效投标处理。</w:t>
            </w:r>
          </w:p>
          <w:p w14:paraId="08ADE383">
            <w:pPr>
              <w:widowControl/>
              <w:shd w:val="clear" w:color="auto" w:fill="FFFFFF"/>
              <w:spacing w:line="360" w:lineRule="atLeast"/>
              <w:jc w:val="left"/>
              <w:rPr>
                <w:rFonts w:hint="eastAsia" w:ascii="仿宋" w:hAnsi="仿宋" w:eastAsia="仿宋" w:cs="仿宋"/>
                <w:b/>
                <w:bCs/>
                <w:color w:val="auto"/>
                <w:szCs w:val="21"/>
                <w:highlight w:val="none"/>
                <w:lang w:val="en-US" w:eastAsia="zh-CN"/>
              </w:rPr>
            </w:pPr>
            <w:r>
              <w:rPr>
                <w:rFonts w:ascii="Arial" w:hAnsi="Arial" w:cs="Arial"/>
                <w:color w:val="auto"/>
                <w:kern w:val="0"/>
                <w:szCs w:val="21"/>
                <w:highlight w:val="none"/>
              </w:rPr>
              <w:t xml:space="preserve"> </w:t>
            </w:r>
            <w:r>
              <w:rPr>
                <w:rFonts w:hint="eastAsia" w:ascii="仿宋" w:hAnsi="仿宋" w:eastAsia="仿宋" w:cs="仿宋"/>
                <w:b/>
                <w:bCs/>
                <w:color w:val="auto"/>
                <w:szCs w:val="21"/>
                <w:highlight w:val="none"/>
                <w:lang w:val="en-US" w:eastAsia="zh-CN"/>
              </w:rPr>
              <w:t>（1）投标人财务情况：2022至2024年度（注：对于《营业执照（或事业单位法人证书）》载明“成立日期”至本项目竞标截标日不足要求年数的投标人，只需提交投标人《营业执照（或事业单位法人证书）》载明“成立日期”所在年份至所要求最近年份）须持有经审计的《财务报表》，内容至少须含有“四表一注”，即资产负债表、利润表、现金流量表、所有者权益变动表及附注（或财务情况说明书)。</w:t>
            </w:r>
          </w:p>
          <w:p w14:paraId="10019998">
            <w:pPr>
              <w:spacing w:line="360" w:lineRule="exac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供应商依法纳税（或免税）情况：已履行“缴税”义务（说明：“税种”必须包含增值税、所得税、印花税、教育附加税等实际交易行为发生时依法产生的相应税种，“税款所属时期”显示为2025年4月至2025年6月，属于有特殊政策扶持情形的地区，亦须出具①国家税务部门（或其授权设立的第三方机构）出具的证明函件，或②该政策文件在网查询的页面截图（须能情形反映查询网址以供核验），《营业执照（或事业单位法人证书）》载明“成立日期”至竞标截标日不足半年的投标人，此项材料不需提交）。</w:t>
            </w:r>
          </w:p>
          <w:p w14:paraId="68ED1C7C">
            <w:pPr>
              <w:spacing w:line="360" w:lineRule="exac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（3）供应商对拟委任本项目人员的投入人工成本情况，供应商对拟委任本项目人员的投入人工成本情况，包含但不限于以下证明材料：</w:t>
            </w:r>
          </w:p>
          <w:p w14:paraId="4782EBDE">
            <w:pPr>
              <w:spacing w:line="360" w:lineRule="exac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①供应商与其拟委任本项目人员签订的《聘用合同》；</w:t>
            </w:r>
          </w:p>
          <w:p w14:paraId="11AD8692">
            <w:pPr>
              <w:spacing w:line="360" w:lineRule="exac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②供应商拟委任本项目人员依法缴纳“个人所得税”情况：附政府机构税务部门为该人员开具的投标截止之日前半年内连续三个月的依法缴纳个人所得税（或依法免缴个人所得税）的凭证（说明：“税款所属时期”显示为2025年4月至2025年6月，属于有特殊政策扶持情形的地区，亦须出具①国家税务部门（或其授权设立的第三方机构）出具的证明函件，或②该政策文件在网查询的页面截图（须能清晰反映查询网址以供核验）。</w:t>
            </w:r>
          </w:p>
          <w:p w14:paraId="757582DF">
            <w:pPr>
              <w:rPr>
                <w:rFonts w:hint="eastAsia"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（4）成功案例：供应商拟委任本项目人员完成过质量合格的类似项目：供应商完成过质量合格的类似项目业绩已证明其以等量及以上让利幅度完成过质量合格的类似项目（有成功案例）。</w:t>
            </w:r>
          </w:p>
        </w:tc>
      </w:tr>
      <w:tr w14:paraId="1DC77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9" w:type="dxa"/>
            <w:vAlign w:val="center"/>
          </w:tcPr>
          <w:p w14:paraId="088B2C26">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8359" w:type="dxa"/>
            <w:vAlign w:val="center"/>
          </w:tcPr>
          <w:p w14:paraId="155430FD">
            <w:pPr>
              <w:pStyle w:val="12"/>
              <w:widowControl w:val="0"/>
              <w:tabs>
                <w:tab w:val="clear" w:pos="454"/>
              </w:tabs>
              <w:snapToGrid w:val="0"/>
              <w:spacing w:afterLines="0" w:line="430" w:lineRule="exact"/>
              <w:ind w:left="283" w:hanging="283" w:hangingChars="135"/>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竞标有效期：自首次响应文件提交截止之日起</w:t>
            </w:r>
            <w:r>
              <w:rPr>
                <w:rFonts w:hint="eastAsia" w:ascii="仿宋" w:hAnsi="仿宋" w:eastAsia="仿宋" w:cs="仿宋"/>
                <w:color w:val="auto"/>
                <w:kern w:val="2"/>
                <w:sz w:val="21"/>
                <w:szCs w:val="21"/>
                <w:highlight w:val="none"/>
                <w:u w:val="single"/>
              </w:rPr>
              <w:t>60</w:t>
            </w:r>
            <w:r>
              <w:rPr>
                <w:rFonts w:hint="eastAsia" w:ascii="仿宋" w:hAnsi="仿宋" w:eastAsia="仿宋" w:cs="仿宋"/>
                <w:color w:val="auto"/>
                <w:kern w:val="2"/>
                <w:sz w:val="21"/>
                <w:szCs w:val="21"/>
                <w:highlight w:val="none"/>
              </w:rPr>
              <w:t>日。</w:t>
            </w:r>
          </w:p>
        </w:tc>
      </w:tr>
      <w:tr w14:paraId="18ECC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3F3C5D67">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p>
        </w:tc>
        <w:tc>
          <w:tcPr>
            <w:tcW w:w="8359" w:type="dxa"/>
            <w:vAlign w:val="center"/>
          </w:tcPr>
          <w:p w14:paraId="26639A0E">
            <w:pPr>
              <w:autoSpaceDE w:val="0"/>
              <w:autoSpaceDN w:val="0"/>
              <w:snapToGrid w:val="0"/>
              <w:spacing w:line="43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本项目不收取磋商保证金。</w:t>
            </w:r>
          </w:p>
        </w:tc>
      </w:tr>
      <w:tr w14:paraId="76604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E8885B5">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8359" w:type="dxa"/>
            <w:vAlign w:val="center"/>
          </w:tcPr>
          <w:p w14:paraId="128763E6">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本项目不接受电子备份响应文件</w:t>
            </w:r>
          </w:p>
        </w:tc>
      </w:tr>
      <w:tr w14:paraId="6586F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9" w:type="dxa"/>
            <w:vAlign w:val="center"/>
          </w:tcPr>
          <w:p w14:paraId="6FDCAA89">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w:t>
            </w:r>
          </w:p>
        </w:tc>
        <w:tc>
          <w:tcPr>
            <w:tcW w:w="8359" w:type="dxa"/>
            <w:vAlign w:val="center"/>
          </w:tcPr>
          <w:p w14:paraId="3B995306">
            <w:pPr>
              <w:spacing w:line="430" w:lineRule="exact"/>
              <w:contextualSpacing/>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响应文件提交截止时间：详见竞争性磋商公告。</w:t>
            </w:r>
          </w:p>
          <w:p w14:paraId="48180DCB">
            <w:pPr>
              <w:spacing w:line="430" w:lineRule="exact"/>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响应文件提交地点：详见竞争性磋商公告。</w:t>
            </w:r>
          </w:p>
        </w:tc>
      </w:tr>
      <w:tr w14:paraId="0ACA9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CE87344">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w:t>
            </w:r>
          </w:p>
        </w:tc>
        <w:tc>
          <w:tcPr>
            <w:tcW w:w="8359" w:type="dxa"/>
            <w:vAlign w:val="center"/>
          </w:tcPr>
          <w:p w14:paraId="4EA98B0D">
            <w:pPr>
              <w:snapToGrid w:val="0"/>
              <w:spacing w:line="43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磋商小组的人数：</w:t>
            </w:r>
            <w:r>
              <w:rPr>
                <w:rFonts w:hint="eastAsia" w:ascii="仿宋" w:hAnsi="仿宋" w:eastAsia="仿宋" w:cs="仿宋"/>
                <w:color w:val="auto"/>
                <w:szCs w:val="21"/>
                <w:highlight w:val="none"/>
                <w:u w:val="single"/>
              </w:rPr>
              <w:t>3</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eastAsia="zh-CN"/>
              </w:rPr>
              <w:t>，采购人代表：</w:t>
            </w:r>
            <w:r>
              <w:rPr>
                <w:rFonts w:hint="eastAsia" w:ascii="仿宋" w:hAnsi="仿宋" w:eastAsia="仿宋" w:cs="仿宋"/>
                <w:color w:val="auto"/>
                <w:szCs w:val="21"/>
                <w:highlight w:val="none"/>
                <w:lang w:val="en-US" w:eastAsia="zh-CN"/>
              </w:rPr>
              <w:t>1人，专家：2人，抽取方式：广西政府采购云平台随机抽取</w:t>
            </w:r>
            <w:r>
              <w:rPr>
                <w:rFonts w:hint="eastAsia" w:ascii="仿宋" w:hAnsi="仿宋" w:eastAsia="仿宋" w:cs="仿宋"/>
                <w:color w:val="auto"/>
                <w:szCs w:val="21"/>
                <w:highlight w:val="none"/>
              </w:rPr>
              <w:t>。</w:t>
            </w:r>
          </w:p>
        </w:tc>
      </w:tr>
      <w:tr w14:paraId="6C5FA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1DB95AD">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8359" w:type="dxa"/>
            <w:vAlign w:val="center"/>
          </w:tcPr>
          <w:p w14:paraId="08321A53">
            <w:pPr>
              <w:snapToGrid w:val="0"/>
              <w:spacing w:line="43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首次响应文件开启时间详见“竞争性磋商公告”</w:t>
            </w:r>
          </w:p>
          <w:p w14:paraId="608D1684">
            <w:pPr>
              <w:snapToGrid w:val="0"/>
              <w:spacing w:line="43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首次响应文件解密时间：</w:t>
            </w:r>
            <w:r>
              <w:rPr>
                <w:rFonts w:hint="eastAsia" w:ascii="仿宋" w:hAnsi="仿宋" w:eastAsia="仿宋" w:cs="仿宋"/>
                <w:color w:val="auto"/>
                <w:szCs w:val="21"/>
                <w:highlight w:val="none"/>
                <w:u w:val="single"/>
              </w:rPr>
              <w:t xml:space="preserve">30 </w:t>
            </w:r>
            <w:r>
              <w:rPr>
                <w:rFonts w:hint="eastAsia" w:ascii="仿宋" w:hAnsi="仿宋" w:eastAsia="仿宋" w:cs="仿宋"/>
                <w:color w:val="auto"/>
                <w:szCs w:val="21"/>
                <w:highlight w:val="none"/>
              </w:rPr>
              <w:t>分钟</w:t>
            </w:r>
          </w:p>
        </w:tc>
      </w:tr>
      <w:tr w14:paraId="24B1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5F01912">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28.1</w:t>
            </w:r>
          </w:p>
        </w:tc>
        <w:tc>
          <w:tcPr>
            <w:tcW w:w="8359" w:type="dxa"/>
            <w:vAlign w:val="center"/>
          </w:tcPr>
          <w:p w14:paraId="29EC7936">
            <w:pPr>
              <w:autoSpaceDE w:val="0"/>
              <w:autoSpaceDN w:val="0"/>
              <w:snapToGrid w:val="0"/>
              <w:spacing w:line="360" w:lineRule="auto"/>
              <w:textAlignment w:val="bottom"/>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本项目不收取履约保证金。</w:t>
            </w:r>
          </w:p>
          <w:p w14:paraId="62F27721">
            <w:pPr>
              <w:autoSpaceDE w:val="0"/>
              <w:autoSpaceDN w:val="0"/>
              <w:snapToGrid w:val="0"/>
              <w:spacing w:line="360" w:lineRule="auto"/>
              <w:textAlignment w:val="bottom"/>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本项目收取履约保证金，具体规定如下：</w:t>
            </w:r>
          </w:p>
          <w:p w14:paraId="3BBE3813">
            <w:pPr>
              <w:spacing w:line="360" w:lineRule="auto"/>
              <w:contextualSpacing/>
              <w:rPr>
                <w:rFonts w:hint="eastAsia" w:ascii="仿宋" w:hAnsi="仿宋" w:eastAsia="仿宋" w:cs="仿宋"/>
                <w:color w:val="auto"/>
                <w:highlight w:val="none"/>
              </w:rPr>
            </w:pPr>
            <w:r>
              <w:rPr>
                <w:rFonts w:hint="eastAsia" w:ascii="仿宋" w:hAnsi="仿宋" w:eastAsia="仿宋" w:cs="仿宋"/>
                <w:color w:val="auto"/>
                <w:highlight w:val="none"/>
              </w:rPr>
              <w:t>履约保证金金额：本项目按成交金额的</w:t>
            </w:r>
            <w:r>
              <w:rPr>
                <w:rFonts w:hint="eastAsia" w:ascii="仿宋" w:hAnsi="仿宋" w:eastAsia="仿宋" w:cs="仿宋"/>
                <w:color w:val="auto"/>
                <w:highlight w:val="none"/>
                <w:u w:val="single"/>
              </w:rPr>
              <w:t xml:space="preserve"> 2 </w:t>
            </w:r>
            <w:r>
              <w:rPr>
                <w:rFonts w:hint="eastAsia" w:ascii="仿宋" w:hAnsi="仿宋" w:eastAsia="仿宋" w:cs="仿宋"/>
                <w:color w:val="auto"/>
                <w:highlight w:val="none"/>
              </w:rPr>
              <w:t>%（注：履约保证金不超政府采购合同金额的5%）。政府采购要加大对中小企业发展的扶持力度，对中小企业收取的履约保证金数额不得超过政府采购合同金额的2%）。</w:t>
            </w:r>
          </w:p>
          <w:p w14:paraId="0C525955">
            <w:pPr>
              <w:spacing w:line="360" w:lineRule="auto"/>
              <w:contextualSpacing/>
              <w:rPr>
                <w:rFonts w:hint="eastAsia" w:ascii="仿宋" w:hAnsi="仿宋" w:eastAsia="仿宋" w:cs="仿宋"/>
                <w:color w:val="auto"/>
                <w:highlight w:val="none"/>
              </w:rPr>
            </w:pPr>
            <w:r>
              <w:rPr>
                <w:rFonts w:hint="eastAsia" w:ascii="仿宋" w:hAnsi="仿宋" w:eastAsia="仿宋" w:cs="仿宋"/>
                <w:color w:val="auto"/>
                <w:highlight w:val="none"/>
              </w:rPr>
              <w:t>履约保证金提交方式：银行转账、支票、汇票、本票或者银行、保险机构出具的保函等非现金方式（参照竞标保证金）。</w:t>
            </w:r>
          </w:p>
          <w:p w14:paraId="0584A4A5">
            <w:pPr>
              <w:spacing w:line="360" w:lineRule="auto"/>
              <w:contextualSpacing/>
              <w:rPr>
                <w:rFonts w:hint="eastAsia" w:ascii="仿宋" w:hAnsi="仿宋" w:eastAsia="仿宋" w:cs="仿宋"/>
                <w:strike/>
                <w:color w:val="auto"/>
                <w:highlight w:val="none"/>
              </w:rPr>
            </w:pPr>
            <w:r>
              <w:rPr>
                <w:rFonts w:hint="eastAsia" w:ascii="仿宋" w:hAnsi="仿宋" w:eastAsia="仿宋" w:cs="仿宋"/>
                <w:color w:val="auto"/>
                <w:highlight w:val="none"/>
              </w:rPr>
              <w:t>履约保证金退付方式、时间及条件：</w:t>
            </w:r>
            <w:r>
              <w:rPr>
                <w:rFonts w:hint="eastAsia" w:ascii="仿宋" w:hAnsi="仿宋" w:eastAsia="仿宋" w:cs="仿宋"/>
                <w:color w:val="auto"/>
                <w:highlight w:val="none"/>
                <w:u w:val="single"/>
              </w:rPr>
              <w:t>由成交供应商向履约保证金收取单位提供《广西壮族自治区政府采购项目合同验收书》（详见桂财采〔2015〕22号），保证金收取单位在收到合格材料后5个工作日内办理退还手续（不计利息）。</w:t>
            </w:r>
          </w:p>
          <w:p w14:paraId="1AFA7523">
            <w:pPr>
              <w:spacing w:line="360" w:lineRule="auto"/>
              <w:contextualSpacing/>
              <w:rPr>
                <w:rFonts w:hint="eastAsia" w:ascii="仿宋" w:hAnsi="仿宋" w:eastAsia="仿宋" w:cs="仿宋"/>
                <w:color w:val="auto"/>
                <w:highlight w:val="none"/>
              </w:rPr>
            </w:pPr>
            <w:r>
              <w:rPr>
                <w:rFonts w:hint="eastAsia" w:ascii="仿宋" w:hAnsi="仿宋" w:eastAsia="仿宋" w:cs="仿宋"/>
                <w:color w:val="auto"/>
                <w:highlight w:val="none"/>
              </w:rPr>
              <w:t>备注：</w:t>
            </w:r>
          </w:p>
          <w:p w14:paraId="7AAE5311">
            <w:pPr>
              <w:spacing w:line="360" w:lineRule="auto"/>
              <w:contextualSpacing/>
              <w:rPr>
                <w:rFonts w:hint="eastAsia" w:ascii="仿宋" w:hAnsi="仿宋" w:eastAsia="仿宋" w:cs="仿宋"/>
                <w:b/>
                <w:color w:val="auto"/>
                <w:highlight w:val="none"/>
              </w:rPr>
            </w:pPr>
            <w:r>
              <w:rPr>
                <w:rFonts w:hint="eastAsia" w:ascii="仿宋" w:hAnsi="仿宋" w:eastAsia="仿宋" w:cs="仿宋"/>
                <w:b/>
                <w:color w:val="auto"/>
                <w:highlight w:val="none"/>
              </w:rPr>
              <w:t xml:space="preserve">1. </w:t>
            </w:r>
            <w:bookmarkStart w:id="48" w:name="_Hlk54170335"/>
            <w:r>
              <w:rPr>
                <w:rFonts w:hint="eastAsia" w:ascii="仿宋" w:hAnsi="仿宋" w:eastAsia="仿宋" w:cs="仿宋"/>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仿宋" w:hAnsi="仿宋" w:eastAsia="仿宋" w:cs="仿宋"/>
                <w:b/>
                <w:color w:val="auto"/>
                <w:highlight w:val="none"/>
              </w:rPr>
              <w:t>采购人可根据供应商的资信等情况减免履约保证金。</w:t>
            </w:r>
            <w:bookmarkEnd w:id="48"/>
          </w:p>
          <w:p w14:paraId="7DE4E36B">
            <w:pPr>
              <w:spacing w:line="360" w:lineRule="auto"/>
              <w:contextualSpacing/>
              <w:rPr>
                <w:rFonts w:hint="eastAsia" w:ascii="仿宋" w:hAnsi="仿宋" w:eastAsia="仿宋" w:cs="仿宋"/>
                <w:b/>
                <w:color w:val="auto"/>
                <w:highlight w:val="none"/>
              </w:rPr>
            </w:pPr>
            <w:r>
              <w:rPr>
                <w:rFonts w:hint="eastAsia" w:ascii="仿宋" w:hAnsi="仿宋" w:eastAsia="仿宋" w:cs="仿宋"/>
                <w:b/>
                <w:color w:val="auto"/>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718994C3">
            <w:pPr>
              <w:spacing w:line="360" w:lineRule="auto"/>
              <w:contextualSpacing/>
              <w:rPr>
                <w:rFonts w:hint="eastAsia" w:ascii="仿宋" w:hAnsi="仿宋" w:eastAsia="仿宋" w:cs="仿宋"/>
                <w:b/>
                <w:color w:val="auto"/>
                <w:highlight w:val="none"/>
              </w:rPr>
            </w:pPr>
            <w:r>
              <w:rPr>
                <w:rFonts w:hint="eastAsia" w:ascii="仿宋" w:hAnsi="仿宋" w:eastAsia="仿宋" w:cs="仿宋"/>
                <w:b/>
                <w:color w:val="auto"/>
                <w:highlight w:val="none"/>
              </w:rPr>
              <w:t>3.采用银行、保险机构出具的保函的，必须为无条件保函，否则不予签订合同。</w:t>
            </w:r>
          </w:p>
          <w:p w14:paraId="6A440A16">
            <w:pPr>
              <w:autoSpaceDE w:val="0"/>
              <w:autoSpaceDN w:val="0"/>
              <w:snapToGrid w:val="0"/>
              <w:spacing w:line="430" w:lineRule="exact"/>
              <w:textAlignment w:val="bottom"/>
              <w:rPr>
                <w:rFonts w:hint="eastAsia" w:ascii="仿宋" w:hAnsi="仿宋" w:eastAsia="仿宋" w:cs="仿宋"/>
                <w:color w:val="auto"/>
                <w:szCs w:val="21"/>
                <w:highlight w:val="none"/>
                <w:lang w:val="en-US" w:eastAsia="zh-CN"/>
              </w:rPr>
            </w:pPr>
            <w:r>
              <w:rPr>
                <w:rFonts w:hint="eastAsia" w:ascii="仿宋" w:hAnsi="仿宋" w:eastAsia="仿宋" w:cs="仿宋"/>
                <w:b/>
                <w:color w:val="auto"/>
                <w:szCs w:val="21"/>
                <w:highlight w:val="none"/>
              </w:rPr>
              <w:t>4.供应商为联合体的，由联合体任意一方按规定提交的履约保证金，视为有效履约保证金。</w:t>
            </w:r>
          </w:p>
        </w:tc>
      </w:tr>
      <w:tr w14:paraId="3BA06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BCBDA75">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29.1</w:t>
            </w:r>
          </w:p>
        </w:tc>
        <w:tc>
          <w:tcPr>
            <w:tcW w:w="8359" w:type="dxa"/>
            <w:vAlign w:val="center"/>
          </w:tcPr>
          <w:p w14:paraId="25D2D237">
            <w:pPr>
              <w:autoSpaceDE w:val="0"/>
              <w:autoSpaceDN w:val="0"/>
              <w:snapToGrid w:val="0"/>
              <w:spacing w:line="43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签订合同携带的证明材料：</w:t>
            </w:r>
          </w:p>
          <w:p w14:paraId="13462A4D">
            <w:pPr>
              <w:autoSpaceDE w:val="0"/>
              <w:autoSpaceDN w:val="0"/>
              <w:snapToGrid w:val="0"/>
              <w:spacing w:line="43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委托代理人负责签订合同的，须携带授权委托书及委托代理人身份证原件等其他资格证件。</w:t>
            </w:r>
          </w:p>
          <w:p w14:paraId="135393DA">
            <w:pPr>
              <w:snapToGrid w:val="0"/>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法定代表人负责签订合同的，须携带法定代表人身份证明原件及身份证原件等其他证明材料。</w:t>
            </w:r>
          </w:p>
        </w:tc>
      </w:tr>
      <w:tr w14:paraId="7D354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0D6305D">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31.2</w:t>
            </w:r>
          </w:p>
        </w:tc>
        <w:tc>
          <w:tcPr>
            <w:tcW w:w="8359" w:type="dxa"/>
            <w:vAlign w:val="center"/>
          </w:tcPr>
          <w:p w14:paraId="796C2DFF">
            <w:pPr>
              <w:snapToGrid w:val="0"/>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接收质疑函方式：以书面形式。</w:t>
            </w:r>
          </w:p>
          <w:p w14:paraId="44CD4101">
            <w:pPr>
              <w:snapToGrid w:val="0"/>
              <w:spacing w:line="43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质疑联系部门及联系方式：</w:t>
            </w:r>
            <w:r>
              <w:rPr>
                <w:rFonts w:hint="eastAsia" w:ascii="仿宋" w:hAnsi="仿宋" w:eastAsia="仿宋" w:cs="仿宋"/>
                <w:color w:val="auto"/>
                <w:szCs w:val="21"/>
                <w:highlight w:val="none"/>
                <w:u w:val="single"/>
                <w:lang w:eastAsia="zh-CN"/>
              </w:rPr>
              <w:t>广西翔正项目管理有限公司</w:t>
            </w: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详见采购公告</w:t>
            </w:r>
          </w:p>
          <w:p w14:paraId="654BE82A">
            <w:pPr>
              <w:snapToGrid w:val="0"/>
              <w:spacing w:line="43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通讯地址：</w:t>
            </w:r>
            <w:r>
              <w:rPr>
                <w:rFonts w:hint="eastAsia" w:ascii="仿宋" w:hAnsi="仿宋" w:eastAsia="仿宋" w:cs="仿宋"/>
                <w:color w:val="auto"/>
                <w:szCs w:val="21"/>
                <w:highlight w:val="none"/>
                <w:u w:val="single"/>
              </w:rPr>
              <w:t>详见采购公告</w:t>
            </w:r>
          </w:p>
          <w:p w14:paraId="15D9CA85">
            <w:pPr>
              <w:snapToGrid w:val="0"/>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业务时间：工作日每天上午8时30分到12时00分，下午15时00分到18时00分，双休日和法定节假日不办理业务。</w:t>
            </w:r>
          </w:p>
        </w:tc>
      </w:tr>
      <w:tr w14:paraId="462B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5D46F81">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w:t>
            </w:r>
          </w:p>
        </w:tc>
        <w:tc>
          <w:tcPr>
            <w:tcW w:w="8359" w:type="dxa"/>
            <w:vAlign w:val="center"/>
          </w:tcPr>
          <w:p w14:paraId="1A411335">
            <w:pPr>
              <w:pStyle w:val="20"/>
              <w:snapToGrid w:val="0"/>
              <w:spacing w:line="43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1.采购代理费支付方式：</w:t>
            </w:r>
          </w:p>
          <w:p w14:paraId="6782C6B4">
            <w:pPr>
              <w:pStyle w:val="20"/>
              <w:snapToGrid w:val="0"/>
              <w:spacing w:line="43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本项目代理服务费按如下规定由</w:t>
            </w:r>
            <w:r>
              <w:rPr>
                <w:rFonts w:hint="eastAsia" w:ascii="仿宋" w:hAnsi="仿宋" w:eastAsia="仿宋" w:cs="仿宋"/>
                <w:color w:val="auto"/>
                <w:sz w:val="21"/>
                <w:highlight w:val="none"/>
                <w:u w:val="single"/>
              </w:rPr>
              <w:t>成交供应商</w:t>
            </w:r>
            <w:r>
              <w:rPr>
                <w:rFonts w:hint="eastAsia" w:ascii="仿宋" w:hAnsi="仿宋" w:eastAsia="仿宋" w:cs="仿宋"/>
                <w:color w:val="auto"/>
                <w:sz w:val="21"/>
                <w:highlight w:val="none"/>
              </w:rPr>
              <w:t>在领取成交通知书前，一次性向采购代理机构支付。</w:t>
            </w:r>
          </w:p>
          <w:p w14:paraId="33CBB7C9">
            <w:pPr>
              <w:pStyle w:val="20"/>
              <w:snapToGrid w:val="0"/>
              <w:spacing w:line="43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2.采购代理费收取标准：</w:t>
            </w:r>
          </w:p>
          <w:p w14:paraId="48639FBF">
            <w:pPr>
              <w:pStyle w:val="20"/>
              <w:snapToGrid w:val="0"/>
              <w:spacing w:line="43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1分标：</w:t>
            </w:r>
            <w:r>
              <w:rPr>
                <w:rFonts w:hint="eastAsia" w:ascii="仿宋" w:hAnsi="仿宋" w:eastAsia="仿宋" w:cs="仿宋"/>
                <w:color w:val="auto"/>
                <w:sz w:val="21"/>
                <w:highlight w:val="none"/>
              </w:rPr>
              <w:t>以预算金额92.58</w:t>
            </w:r>
            <w:r>
              <w:rPr>
                <w:rFonts w:hint="eastAsia" w:ascii="仿宋" w:hAnsi="仿宋" w:eastAsia="仿宋" w:cs="仿宋"/>
                <w:color w:val="auto"/>
                <w:sz w:val="21"/>
                <w:highlight w:val="none"/>
                <w:lang w:val="en-US" w:eastAsia="zh-CN"/>
              </w:rPr>
              <w:t>万元</w:t>
            </w:r>
            <w:r>
              <w:rPr>
                <w:rFonts w:hint="eastAsia" w:ascii="仿宋" w:hAnsi="仿宋" w:eastAsia="仿宋" w:cs="仿宋"/>
                <w:color w:val="auto"/>
                <w:sz w:val="21"/>
                <w:highlight w:val="none"/>
              </w:rPr>
              <w:t>为计费额，</w:t>
            </w:r>
            <w:r>
              <w:rPr>
                <w:rFonts w:hint="eastAsia" w:ascii="仿宋" w:hAnsi="仿宋" w:eastAsia="仿宋" w:cs="仿宋"/>
                <w:color w:val="auto"/>
                <w:sz w:val="21"/>
                <w:highlight w:val="none"/>
                <w:lang w:val="en-US" w:eastAsia="zh-CN"/>
              </w:rPr>
              <w:t>参照</w:t>
            </w:r>
            <w:r>
              <w:rPr>
                <w:rFonts w:hint="eastAsia" w:ascii="仿宋" w:hAnsi="仿宋" w:eastAsia="仿宋" w:cs="仿宋"/>
                <w:color w:val="auto"/>
                <w:sz w:val="21"/>
                <w:highlight w:val="none"/>
              </w:rPr>
              <w:t>原国家计委关于《招标代理服务收费管理暂行办法》的通知（计价格〔2002〕1980号）、《国家发展改革委办公厅关于招标代理服务收费有关问题的通知》（发改办价格［2003］857号）以及《国家发展改革委关于降低部分建设项目收费标准规范收费行为等有关问题的通知》（发改价格〔2011〕534号）采用差额定率累进法计算出收费基准价格，采购代理收费以收费基准价格收取。</w:t>
            </w:r>
          </w:p>
          <w:p w14:paraId="5F9E3FEB">
            <w:pPr>
              <w:pStyle w:val="20"/>
              <w:snapToGrid w:val="0"/>
              <w:spacing w:line="430" w:lineRule="exact"/>
              <w:rPr>
                <w:rFonts w:hint="default"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2分标：预算金额8.05万元，按最低收费标准2000元收取。</w:t>
            </w:r>
          </w:p>
        </w:tc>
      </w:tr>
      <w:tr w14:paraId="3F1D5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ACA8230">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33.1</w:t>
            </w:r>
          </w:p>
        </w:tc>
        <w:tc>
          <w:tcPr>
            <w:tcW w:w="8359" w:type="dxa"/>
            <w:vAlign w:val="center"/>
          </w:tcPr>
          <w:p w14:paraId="4DEFC317">
            <w:pPr>
              <w:pStyle w:val="20"/>
              <w:snapToGrid w:val="0"/>
              <w:spacing w:line="430" w:lineRule="exact"/>
              <w:rPr>
                <w:rFonts w:hint="eastAsia" w:ascii="仿宋" w:hAnsi="仿宋" w:eastAsia="仿宋" w:cs="仿宋"/>
                <w:color w:val="auto"/>
                <w:kern w:val="2"/>
                <w:sz w:val="21"/>
                <w:highlight w:val="none"/>
              </w:rPr>
            </w:pPr>
            <w:r>
              <w:rPr>
                <w:rFonts w:hint="eastAsia" w:ascii="仿宋" w:hAnsi="仿宋" w:eastAsia="仿宋" w:cs="仿宋"/>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2D376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E65B250">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33.2</w:t>
            </w:r>
          </w:p>
        </w:tc>
        <w:tc>
          <w:tcPr>
            <w:tcW w:w="8359" w:type="dxa"/>
            <w:vAlign w:val="center"/>
          </w:tcPr>
          <w:p w14:paraId="6EA8D78C">
            <w:pPr>
              <w:pStyle w:val="20"/>
              <w:snapToGrid w:val="0"/>
              <w:spacing w:line="43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3FC137A">
            <w:pPr>
              <w:pStyle w:val="20"/>
              <w:snapToGrid w:val="0"/>
              <w:spacing w:line="430" w:lineRule="exact"/>
              <w:rPr>
                <w:rFonts w:hint="eastAsia" w:ascii="仿宋" w:hAnsi="仿宋" w:eastAsia="仿宋" w:cs="仿宋"/>
                <w:color w:val="auto"/>
                <w:sz w:val="21"/>
                <w:highlight w:val="none"/>
              </w:rPr>
            </w:pPr>
            <w:r>
              <w:rPr>
                <w:rFonts w:hint="eastAsia" w:ascii="仿宋" w:hAnsi="仿宋" w:eastAsia="仿宋" w:cs="仿宋"/>
                <w:bCs/>
                <w:color w:val="auto"/>
                <w:sz w:val="21"/>
                <w:highlight w:val="none"/>
              </w:rPr>
              <w:t>2.本磋商文件所称的“</w:t>
            </w:r>
            <w:r>
              <w:rPr>
                <w:rFonts w:hint="eastAsia" w:ascii="仿宋" w:hAnsi="仿宋" w:eastAsia="仿宋" w:cs="仿宋"/>
                <w:color w:val="auto"/>
                <w:sz w:val="21"/>
                <w:highlight w:val="none"/>
              </w:rPr>
              <w:t>电子签章</w:t>
            </w:r>
            <w:r>
              <w:rPr>
                <w:rFonts w:hint="eastAsia" w:ascii="仿宋" w:hAnsi="仿宋" w:eastAsia="仿宋" w:cs="仿宋"/>
                <w:bCs/>
                <w:color w:val="auto"/>
                <w:sz w:val="21"/>
                <w:highlight w:val="none"/>
              </w:rPr>
              <w:t>”、“电子签名”</w:t>
            </w:r>
            <w:r>
              <w:rPr>
                <w:rFonts w:hint="eastAsia" w:ascii="仿宋" w:hAnsi="仿宋" w:eastAsia="仿宋" w:cs="仿宋"/>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55E9B423">
            <w:pPr>
              <w:pStyle w:val="20"/>
              <w:snapToGrid w:val="0"/>
              <w:spacing w:line="430" w:lineRule="exact"/>
              <w:rPr>
                <w:rFonts w:hint="eastAsia" w:ascii="仿宋" w:hAnsi="仿宋" w:eastAsia="仿宋" w:cs="仿宋"/>
                <w:bCs/>
                <w:color w:val="auto"/>
                <w:sz w:val="21"/>
                <w:highlight w:val="none"/>
              </w:rPr>
            </w:pPr>
            <w:r>
              <w:rPr>
                <w:rFonts w:hint="eastAsia" w:ascii="仿宋" w:hAnsi="仿宋" w:eastAsia="仿宋" w:cs="仿宋"/>
                <w:color w:val="auto"/>
                <w:sz w:val="21"/>
                <w:highlight w:val="none"/>
              </w:rPr>
              <w:t>3.供应商为其他组织或者自然人时，本磋商文件规定的法定代表人指负责人或者自然人。本磋商文件所称负责人是指参加竞标的其他组织</w:t>
            </w:r>
            <w:r>
              <w:rPr>
                <w:rFonts w:hint="eastAsia" w:ascii="仿宋" w:hAnsi="仿宋" w:eastAsia="仿宋" w:cs="仿宋"/>
                <w:bCs/>
                <w:color w:val="auto"/>
                <w:sz w:val="21"/>
                <w:highlight w:val="none"/>
              </w:rPr>
              <w:t>营业执照或者执业许可证等证照上的</w:t>
            </w:r>
            <w:r>
              <w:rPr>
                <w:rFonts w:hint="eastAsia" w:ascii="仿宋" w:hAnsi="仿宋" w:eastAsia="仿宋" w:cs="仿宋"/>
                <w:color w:val="auto"/>
                <w:sz w:val="21"/>
                <w:highlight w:val="none"/>
              </w:rPr>
              <w:t>负责人，本磋商文件所称自然人指参与竞标的自然人本人，</w:t>
            </w:r>
            <w:r>
              <w:rPr>
                <w:rFonts w:hint="eastAsia" w:ascii="仿宋" w:hAnsi="仿宋" w:eastAsia="仿宋" w:cs="仿宋"/>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1024AB44">
            <w:pPr>
              <w:pStyle w:val="20"/>
              <w:snapToGrid w:val="0"/>
              <w:spacing w:line="43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14:paraId="7BD3AD1A">
            <w:pPr>
              <w:pStyle w:val="20"/>
              <w:snapToGrid w:val="0"/>
              <w:spacing w:line="430" w:lineRule="exact"/>
              <w:rPr>
                <w:rFonts w:hint="eastAsia" w:ascii="仿宋" w:hAnsi="仿宋" w:eastAsia="仿宋" w:cs="仿宋"/>
                <w:color w:val="auto"/>
                <w:sz w:val="21"/>
                <w:highlight w:val="none"/>
              </w:rPr>
            </w:pPr>
            <w:r>
              <w:rPr>
                <w:rFonts w:hint="eastAsia" w:ascii="仿宋" w:hAnsi="仿宋" w:eastAsia="仿宋" w:cs="仿宋"/>
                <w:color w:val="auto"/>
                <w:sz w:val="21"/>
                <w:highlight w:val="none"/>
              </w:rPr>
              <w:t>5.本磋商文件所称的“以上”“以下”“以内”“届满”，包括本数；所称的“不满”“超过”“以外”，不包括本数。</w:t>
            </w:r>
          </w:p>
        </w:tc>
      </w:tr>
      <w:tr w14:paraId="5BB4D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BFB716A">
            <w:pPr>
              <w:spacing w:line="43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特别说明</w:t>
            </w:r>
          </w:p>
        </w:tc>
        <w:tc>
          <w:tcPr>
            <w:tcW w:w="8359" w:type="dxa"/>
            <w:vAlign w:val="center"/>
          </w:tcPr>
          <w:p w14:paraId="5EFFA523">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截标后将进行磋商：</w:t>
            </w:r>
          </w:p>
          <w:p w14:paraId="0C20AA9A">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（1）委托代理人（法定代表人）请注意预留的手机号码中广西政府采购云平台系统发送的短信提示，并按照要求进行响应及报价。</w:t>
            </w:r>
          </w:p>
          <w:p w14:paraId="028F5795">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（2）进入广西政府采购云平台系统，点击页面右上角的“待办”，找到对应的项目，按系统提示操作。</w:t>
            </w:r>
          </w:p>
          <w:p w14:paraId="2D6F9E2B">
            <w:pPr>
              <w:spacing w:line="43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（3）如仍无法找到，请电话咨询</w:t>
            </w:r>
            <w:r>
              <w:rPr>
                <w:rFonts w:hint="eastAsia" w:ascii="仿宋" w:hAnsi="仿宋" w:eastAsia="仿宋" w:cs="仿宋"/>
                <w:color w:val="auto"/>
                <w:szCs w:val="21"/>
                <w:highlight w:val="none"/>
                <w:lang w:eastAsia="zh-CN"/>
              </w:rPr>
              <w:t>广西翔正项目管理有限公司</w:t>
            </w:r>
            <w:r>
              <w:rPr>
                <w:rFonts w:hint="eastAsia" w:ascii="仿宋" w:hAnsi="仿宋" w:eastAsia="仿宋" w:cs="仿宋"/>
                <w:color w:val="auto"/>
                <w:szCs w:val="21"/>
                <w:highlight w:val="none"/>
              </w:rPr>
              <w:t>。</w:t>
            </w:r>
          </w:p>
        </w:tc>
      </w:tr>
    </w:tbl>
    <w:p w14:paraId="4B740E89">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供应商须知正文</w:t>
      </w:r>
    </w:p>
    <w:p w14:paraId="3B7A61A7">
      <w:pPr>
        <w:spacing w:line="400" w:lineRule="exact"/>
        <w:jc w:val="center"/>
        <w:rPr>
          <w:rFonts w:hint="eastAsia" w:ascii="仿宋" w:hAnsi="仿宋" w:eastAsia="仿宋" w:cs="仿宋"/>
          <w:b/>
          <w:color w:val="auto"/>
          <w:sz w:val="32"/>
          <w:szCs w:val="32"/>
          <w:highlight w:val="none"/>
        </w:rPr>
      </w:pPr>
    </w:p>
    <w:p w14:paraId="04F373BC">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666811E4">
      <w:pPr>
        <w:spacing w:line="400" w:lineRule="exact"/>
        <w:rPr>
          <w:rFonts w:hint="eastAsia" w:ascii="仿宋" w:hAnsi="仿宋" w:eastAsia="仿宋" w:cs="仿宋"/>
          <w:color w:val="auto"/>
          <w:szCs w:val="21"/>
          <w:highlight w:val="none"/>
        </w:rPr>
      </w:pPr>
    </w:p>
    <w:p w14:paraId="10AE29A9">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1.适用范围</w:t>
      </w:r>
    </w:p>
    <w:p w14:paraId="21658AE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0D00A6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r>
        <w:rPr>
          <w:rFonts w:hint="eastAsia" w:ascii="仿宋" w:hAnsi="仿宋" w:eastAsia="仿宋" w:cs="仿宋"/>
          <w:color w:val="auto"/>
          <w:spacing w:val="-6"/>
          <w:szCs w:val="21"/>
          <w:highlight w:val="none"/>
        </w:rPr>
        <w:t>本竞争性磋商文件（以下简称磋商文件）适用于本项目的所有采购程序和环节（法律、法规另有规定的，从其规定）。</w:t>
      </w:r>
    </w:p>
    <w:p w14:paraId="7F987D5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2.定义</w:t>
      </w:r>
    </w:p>
    <w:p w14:paraId="2622324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2.1“采购人”是指依法进行政府采购的国家机关、事业单位、团体组织。</w:t>
      </w:r>
    </w:p>
    <w:p w14:paraId="6E6CE7DE">
      <w:pPr>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2.2“采购代理机构”是指政府采购集中采购机构和集中采购机构以外的采购代理机构。</w:t>
      </w:r>
    </w:p>
    <w:p w14:paraId="533E6B8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2.3“供应商”是指向采购人提供货物、工程或者服务的法人、其他组织或者自然人。</w:t>
      </w:r>
    </w:p>
    <w:p w14:paraId="69037B5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2.4“服务”是指除货物和工程以外的其他政府采购对象。</w:t>
      </w:r>
    </w:p>
    <w:p w14:paraId="4669F47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2.5“竞标”是指供应商按照本项目竞争性磋商公告或者邀请函规定的方式获取磋商文件、提交响应文件并希望获得标的的行为。</w:t>
      </w:r>
    </w:p>
    <w:p w14:paraId="1F348D8B">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2.6“书面形式”是指合同书、信件和数据电文（包括电报、电传、传真、电子数据交换和电子邮件）等可以有形地表现所载内容的形式。</w:t>
      </w:r>
    </w:p>
    <w:p w14:paraId="103E0829">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2.7“响应文件”</w:t>
      </w:r>
      <w:r>
        <w:rPr>
          <w:rFonts w:hint="eastAsia" w:ascii="仿宋" w:hAnsi="仿宋" w:eastAsia="仿宋" w:cs="仿宋"/>
          <w:color w:val="auto"/>
          <w:spacing w:val="-6"/>
          <w:szCs w:val="21"/>
          <w:highlight w:val="none"/>
        </w:rPr>
        <w:t>是指：供应商根据本磋商文件要求，编制包含资格证明、报价、商务技术等所有内容的文件。</w:t>
      </w:r>
    </w:p>
    <w:p w14:paraId="4CD9A28E">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2.8“实质性要求”是指磋商文件中已经指明不满足则响应文件按无效响应处理的条款，或者不能负偏离的条款，或者采购需求中带“▲”的条款。</w:t>
      </w:r>
    </w:p>
    <w:p w14:paraId="1DD1D03E">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2.9“正偏离”，是指响应文件对磋商文件“采购需求”中有关条款作出的响应优于条款要求并有利于采购人的情形。</w:t>
      </w:r>
    </w:p>
    <w:p w14:paraId="1075E79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2.10“负偏离”，是指响应文件对磋商文件“采购需求”中有关条款作出的响应不满足条款要求，导致采购人要求不能得到满足的情形。</w:t>
      </w:r>
    </w:p>
    <w:p w14:paraId="1EB74E9C">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2.11“允许负偏离的条款”是指采购需求中的不属于“实质性要求”的条款。</w:t>
      </w:r>
    </w:p>
    <w:p w14:paraId="08FB9FF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2.12“首次报价”是指供应商提交的首次响应文件中的报价。</w:t>
      </w:r>
    </w:p>
    <w:p w14:paraId="41F3BF9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3.供应商的资格条件</w:t>
      </w:r>
    </w:p>
    <w:p w14:paraId="23DA529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供应商的资格条件详见“供应商须知前附表”。</w:t>
      </w:r>
    </w:p>
    <w:p w14:paraId="5D7184F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4.磋商费用</w:t>
      </w:r>
    </w:p>
    <w:p w14:paraId="07CE460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821C56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5.联合体竞标</w:t>
      </w:r>
    </w:p>
    <w:p w14:paraId="40D76D7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5.1本项目是否接受联合体竞标，详见“供应商须知前附表”。</w:t>
      </w:r>
    </w:p>
    <w:p w14:paraId="626AF06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w:t>
      </w:r>
      <w:r>
        <w:rPr>
          <w:rFonts w:hint="eastAsia" w:ascii="仿宋" w:hAnsi="仿宋" w:eastAsia="仿宋" w:cs="仿宋"/>
          <w:color w:val="auto"/>
          <w:highlight w:val="none"/>
        </w:rPr>
        <w:t>如接受联合体竞标，</w:t>
      </w:r>
      <w:r>
        <w:rPr>
          <w:rFonts w:hint="eastAsia" w:ascii="仿宋" w:hAnsi="仿宋" w:eastAsia="仿宋" w:cs="仿宋"/>
          <w:color w:val="auto"/>
          <w:szCs w:val="21"/>
          <w:highlight w:val="none"/>
        </w:rPr>
        <w:t>联合体竞标要求详见“供应商须知前附表”。</w:t>
      </w:r>
    </w:p>
    <w:p w14:paraId="68ABDD9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w:t>
      </w:r>
      <w:bookmarkStart w:id="49" w:name="_Hlk66782192"/>
      <w:r>
        <w:rPr>
          <w:rFonts w:hint="eastAsia" w:ascii="仿宋" w:hAnsi="仿宋" w:eastAsia="仿宋" w:cs="仿宋"/>
          <w:color w:val="auto"/>
          <w:szCs w:val="21"/>
          <w:highlight w:val="none"/>
        </w:rPr>
        <w:t>根据《政府采购促进中小企业发展管理办法》（财库〔2020〕46号）第九条第二款及桂财采〔2022〕30号广西壮族自治区财政厅关于进一步发挥政府采购政策功能促进企业发展的通知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49"/>
    </w:p>
    <w:p w14:paraId="6DADC56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6.转包与分包</w:t>
      </w:r>
    </w:p>
    <w:p w14:paraId="41AA881C">
      <w:pPr>
        <w:spacing w:line="360" w:lineRule="auto"/>
        <w:ind w:left="420" w:leftChars="200"/>
        <w:rPr>
          <w:rFonts w:hint="eastAsia" w:ascii="仿宋" w:hAnsi="仿宋" w:eastAsia="仿宋" w:cs="仿宋"/>
          <w:color w:val="auto"/>
          <w:szCs w:val="21"/>
          <w:highlight w:val="none"/>
        </w:rPr>
      </w:pPr>
      <w:bookmarkStart w:id="50" w:name="_Toc254970673"/>
      <w:bookmarkStart w:id="51" w:name="_Toc254970532"/>
      <w:r>
        <w:rPr>
          <w:rFonts w:hint="eastAsia" w:ascii="仿宋" w:hAnsi="仿宋" w:eastAsia="仿宋" w:cs="仿宋"/>
          <w:color w:val="auto"/>
          <w:szCs w:val="21"/>
          <w:highlight w:val="none"/>
        </w:rPr>
        <w:t>6.1本项目不允许转包。</w:t>
      </w:r>
    </w:p>
    <w:p w14:paraId="4EE9551D">
      <w:pPr>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0A8DAB7">
      <w:pPr>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3DC90CD9">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7.特别说明</w:t>
      </w:r>
      <w:bookmarkEnd w:id="50"/>
      <w:bookmarkEnd w:id="51"/>
    </w:p>
    <w:p w14:paraId="171E20AB">
      <w:pPr>
        <w:spacing w:line="360" w:lineRule="auto"/>
        <w:ind w:firstLine="420" w:firstLineChars="200"/>
        <w:rPr>
          <w:rFonts w:hint="eastAsia" w:ascii="仿宋" w:hAnsi="仿宋" w:eastAsia="仿宋" w:cs="仿宋"/>
          <w:color w:val="auto"/>
          <w:szCs w:val="21"/>
          <w:highlight w:val="none"/>
        </w:rPr>
      </w:pPr>
      <w:bookmarkStart w:id="52" w:name="_8.1提供相同品牌产品且通过资格审查、符合性审查的不同投标人参加同一合"/>
      <w:bookmarkEnd w:id="52"/>
      <w:r>
        <w:rPr>
          <w:rFonts w:hint="eastAsia" w:ascii="仿宋" w:hAnsi="仿宋" w:eastAsia="仿宋" w:cs="仿宋"/>
          <w:color w:val="auto"/>
          <w:szCs w:val="21"/>
          <w:highlight w:val="none"/>
        </w:rPr>
        <w:t>7.1</w:t>
      </w:r>
      <w:bookmarkStart w:id="53" w:name="_Hlk65832145"/>
      <w:r>
        <w:rPr>
          <w:rFonts w:hint="eastAsia" w:ascii="仿宋" w:hAnsi="仿宋" w:eastAsia="仿宋" w:cs="仿宋"/>
          <w:color w:val="auto"/>
          <w:szCs w:val="21"/>
          <w:highlight w:val="none"/>
        </w:rPr>
        <w:t>如果本磋商文件要求提供供应商或制造商的资格、信誉、荣誉、业绩与企业认证等材料的，资格、信誉、荣誉、业绩与企业认证等必须为供应商或者制造商所拥有或自身获得。</w:t>
      </w:r>
    </w:p>
    <w:bookmarkEnd w:id="53"/>
    <w:p w14:paraId="07DCDB0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7.2供应商应仔细阅读磋商文件的所有内容，按照磋商文件的要求提交响应文件，并对所提供的全部资料的真实性承担法律责任。</w:t>
      </w:r>
    </w:p>
    <w:p w14:paraId="31125B8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8E5158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7.4在政府采购活动中，采购人员及相关人员与供应商有下列利害关系之一的，应当回避：</w:t>
      </w:r>
    </w:p>
    <w:p w14:paraId="7494C5D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（1）参加采购活动前3年内与供应商存在劳动关系；</w:t>
      </w:r>
    </w:p>
    <w:p w14:paraId="0D006B9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（2）参加采购活动前3年内担任供应商的董事、监事；</w:t>
      </w:r>
    </w:p>
    <w:p w14:paraId="1BF79AE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（3）参加采购活动前3年内是供应商的控股股东或者实际控制人；</w:t>
      </w:r>
    </w:p>
    <w:p w14:paraId="541BC86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（4）与供应商的法定代表人或者负责人有夫妻、直系血亲、三代以内旁系血亲或者近姻亲关系；</w:t>
      </w:r>
    </w:p>
    <w:p w14:paraId="512483D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（5）与供应商有其他可能影响政府采购活动公平、公正进行的关系。</w:t>
      </w:r>
    </w:p>
    <w:p w14:paraId="54AB57E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764D0D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7.5有下列情形之一的视为供应商相互串通竞标，响应文件将被视为无效：</w:t>
      </w:r>
    </w:p>
    <w:p w14:paraId="4EF6AB9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（1）不同供应商的响应文件由同一单位或者个人编制；</w:t>
      </w:r>
    </w:p>
    <w:p w14:paraId="331F696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（2）不同供应商委托同一单位或者个人办理竞标事宜；</w:t>
      </w:r>
    </w:p>
    <w:p w14:paraId="55296E5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（3）不同的供应商的响应文件载明的项目管理员为同一个人；</w:t>
      </w:r>
    </w:p>
    <w:p w14:paraId="7E329A3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（4）不同供应商的响应文件异常一致或者报价呈规律性差异；</w:t>
      </w:r>
    </w:p>
    <w:p w14:paraId="196801C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（5）不同供应商的响应文件相互混装；</w:t>
      </w:r>
    </w:p>
    <w:p w14:paraId="1C99A638">
      <w:pPr>
        <w:tabs>
          <w:tab w:val="left" w:pos="6931"/>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（6）不同供应商的磋商保证金从同一单位或者个人账户转出。</w:t>
      </w:r>
      <w:r>
        <w:rPr>
          <w:rFonts w:hint="eastAsia" w:ascii="仿宋" w:hAnsi="仿宋" w:eastAsia="仿宋" w:cs="仿宋"/>
          <w:color w:val="auto"/>
          <w:szCs w:val="21"/>
          <w:highlight w:val="none"/>
        </w:rPr>
        <w:tab/>
      </w:r>
    </w:p>
    <w:p w14:paraId="1CE9E7B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7.6供应商有下列情形之一的，属于恶意串通行为，将报同级监督管理部门：</w:t>
      </w:r>
    </w:p>
    <w:p w14:paraId="62DCCE6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（1）供应商直接或者间接从采购人或者采购代理机构处获得其他供应商的相关信息并修改其响应文件；</w:t>
      </w:r>
    </w:p>
    <w:p w14:paraId="2D14D48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（2）供应商按照采购人或者采购代理机构的授意撤换、修改响应文件；</w:t>
      </w:r>
    </w:p>
    <w:p w14:paraId="5DAEFAC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（3）供应商之间协商报价、技术方案等响应文件或者响应文件的实质性内容；</w:t>
      </w:r>
    </w:p>
    <w:p w14:paraId="5C8701F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（4）属于同一集团、协会、商会等组织成员的供应商按照该组织要求协同参加政府采购活动；</w:t>
      </w:r>
    </w:p>
    <w:p w14:paraId="3B0B54F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877CAA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（6）供应商之间商定部分供应商放弃参加政府采购活动或者放弃成交；</w:t>
      </w:r>
    </w:p>
    <w:p w14:paraId="4D94399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（7）供应商与采购人或者采购代理机构之间、供应商相互之间，为谋求特定供应商成交或者排斥其他供应商的其他串通行为。</w:t>
      </w:r>
      <w:bookmarkStart w:id="54" w:name="_Toc254970675"/>
      <w:bookmarkStart w:id="55" w:name="_Toc254970534"/>
    </w:p>
    <w:p w14:paraId="3E231E26">
      <w:pPr>
        <w:pStyle w:val="1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（8)不同投标人的投标文件由同一单位或者个人编制；或不同投标人报名的IP地址一致的；此类投标供应商将视为无效。</w:t>
      </w:r>
    </w:p>
    <w:p w14:paraId="1BF2FF9B">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二、磋商文件</w:t>
      </w:r>
      <w:bookmarkEnd w:id="54"/>
      <w:bookmarkEnd w:id="55"/>
    </w:p>
    <w:p w14:paraId="2FA38F59">
      <w:pPr>
        <w:spacing w:line="360" w:lineRule="auto"/>
        <w:rPr>
          <w:rFonts w:hint="eastAsia" w:ascii="仿宋" w:hAnsi="仿宋" w:eastAsia="仿宋" w:cs="仿宋"/>
          <w:color w:val="auto"/>
          <w:szCs w:val="21"/>
          <w:highlight w:val="none"/>
        </w:rPr>
      </w:pPr>
    </w:p>
    <w:p w14:paraId="61C9704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8.磋商文件的构成</w:t>
      </w:r>
    </w:p>
    <w:p w14:paraId="53077525">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（1）竞争性磋商公告；</w:t>
      </w:r>
    </w:p>
    <w:p w14:paraId="7234F9E0">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（2）供应商须知；</w:t>
      </w:r>
    </w:p>
    <w:p w14:paraId="13998D4A">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（3）采购需求；</w:t>
      </w:r>
    </w:p>
    <w:p w14:paraId="7CB27E53">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（4）评审程序、评审方法和评审标准；</w:t>
      </w:r>
    </w:p>
    <w:p w14:paraId="21E4957E">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（5）响应文件格式；</w:t>
      </w:r>
    </w:p>
    <w:p w14:paraId="0E7E10F3">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（6）合同文本。</w:t>
      </w:r>
    </w:p>
    <w:p w14:paraId="4428473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9.供应商的询问</w:t>
      </w:r>
    </w:p>
    <w:p w14:paraId="007937D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58C6935B">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10.磋商文件的澄清和修改</w:t>
      </w:r>
    </w:p>
    <w:p w14:paraId="432DDF9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个</w:t>
      </w:r>
      <w:r>
        <w:rPr>
          <w:rFonts w:hint="eastAsia" w:ascii="仿宋" w:hAnsi="仿宋" w:eastAsia="仿宋" w:cs="仿宋"/>
          <w:color w:val="auto"/>
          <w:szCs w:val="21"/>
          <w:highlight w:val="none"/>
          <w:lang w:val="en-US" w:eastAsia="zh-CN"/>
        </w:rPr>
        <w:t>自然</w:t>
      </w:r>
      <w:r>
        <w:rPr>
          <w:rFonts w:hint="eastAsia" w:ascii="仿宋" w:hAnsi="仿宋" w:eastAsia="仿宋" w:cs="仿宋"/>
          <w:color w:val="auto"/>
          <w:szCs w:val="21"/>
          <w:highlight w:val="none"/>
        </w:rPr>
        <w:t>日前，以书面形式通知所有获取磋商文件的供应商，不足</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个</w:t>
      </w:r>
      <w:r>
        <w:rPr>
          <w:rFonts w:hint="eastAsia" w:ascii="仿宋" w:hAnsi="仿宋" w:eastAsia="仿宋" w:cs="仿宋"/>
          <w:color w:val="auto"/>
          <w:szCs w:val="21"/>
          <w:highlight w:val="none"/>
          <w:lang w:val="en-US" w:eastAsia="zh-CN"/>
        </w:rPr>
        <w:t>自然</w:t>
      </w:r>
      <w:r>
        <w:rPr>
          <w:rFonts w:hint="eastAsia" w:ascii="仿宋" w:hAnsi="仿宋" w:eastAsia="仿宋" w:cs="仿宋"/>
          <w:color w:val="auto"/>
          <w:szCs w:val="21"/>
          <w:highlight w:val="none"/>
        </w:rPr>
        <w:t>日的，应当顺延提交首次响应文件截止之日。</w:t>
      </w:r>
    </w:p>
    <w:p w14:paraId="1FE7385B">
      <w:pPr>
        <w:spacing w:line="360" w:lineRule="auto"/>
        <w:rPr>
          <w:rFonts w:hint="eastAsia" w:ascii="仿宋" w:hAnsi="仿宋" w:eastAsia="仿宋" w:cs="仿宋"/>
          <w:color w:val="auto"/>
          <w:szCs w:val="21"/>
          <w:highlight w:val="none"/>
        </w:rPr>
      </w:pPr>
    </w:p>
    <w:p w14:paraId="3C9586E7">
      <w:pPr>
        <w:spacing w:line="36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 w:val="32"/>
          <w:szCs w:val="32"/>
          <w:highlight w:val="none"/>
        </w:rPr>
        <w:t>三、响应文件的编制</w:t>
      </w:r>
    </w:p>
    <w:p w14:paraId="27B6AEDC">
      <w:pPr>
        <w:spacing w:line="360" w:lineRule="auto"/>
        <w:rPr>
          <w:rFonts w:hint="eastAsia" w:ascii="仿宋" w:hAnsi="仿宋" w:eastAsia="仿宋" w:cs="仿宋"/>
          <w:color w:val="auto"/>
          <w:szCs w:val="21"/>
          <w:highlight w:val="none"/>
        </w:rPr>
      </w:pPr>
    </w:p>
    <w:p w14:paraId="1164C42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11.响应文件的编制原则</w:t>
      </w:r>
    </w:p>
    <w:p w14:paraId="14BC253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供应商必须按照磋商文件的要求编制响应文件，并对其提交的响应文件的真实性、合法性承担法律责任。响应文件必须对磋商文件作出实质性响应。</w:t>
      </w:r>
    </w:p>
    <w:p w14:paraId="53AFB30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12.响应文件的组成</w:t>
      </w:r>
    </w:p>
    <w:p w14:paraId="0043F60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12.1响应文件由资格证明文件、报价文件、商务技术文件三部分组成。</w:t>
      </w:r>
    </w:p>
    <w:p w14:paraId="248C5E7E">
      <w:pPr>
        <w:spacing w:line="360" w:lineRule="auto"/>
        <w:ind w:left="840" w:leftChars="200" w:hanging="420" w:hanging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12.1.1资格证明文件：详见“供应商须知前附表”</w:t>
      </w:r>
    </w:p>
    <w:p w14:paraId="5BB9F9AD">
      <w:pPr>
        <w:spacing w:line="360" w:lineRule="auto"/>
        <w:ind w:left="840" w:leftChars="200" w:hanging="420" w:hanging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12.1.2报价文件：详见“供应商须知前附表”</w:t>
      </w:r>
    </w:p>
    <w:p w14:paraId="1075E349">
      <w:pPr>
        <w:spacing w:line="360" w:lineRule="auto"/>
        <w:ind w:left="840" w:leftChars="200" w:hanging="420" w:hanging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12.1.3商务技术文件：详见“供应商须知前附表”</w:t>
      </w:r>
    </w:p>
    <w:p w14:paraId="522412F9">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13.计量单位</w:t>
      </w:r>
    </w:p>
    <w:p w14:paraId="73A3567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磋商文件已有明确规定的，使用磋商文件规定的计量单位；磋商文件没有规定的，应采用中华人民共和国法定计量单位，货币种类为人民币，否则视同未响应。</w:t>
      </w:r>
    </w:p>
    <w:p w14:paraId="5BF3BB0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14.磋商的风险</w:t>
      </w:r>
    </w:p>
    <w:p w14:paraId="215A134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供应商没有按照磋商文件要求提供全部资料，或者供应商没有对磋商文件在各方面作出实质性响应可能导致其响应无效，是供应商应当考虑的风险。</w:t>
      </w:r>
    </w:p>
    <w:p w14:paraId="0576F9E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15.磋商报价</w:t>
      </w:r>
    </w:p>
    <w:p w14:paraId="0CC2FC0C">
      <w:pPr>
        <w:tabs>
          <w:tab w:val="left" w:pos="2492"/>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15.1磋商报价应按磋商文件中“磋商报价表”格式填写。</w:t>
      </w:r>
    </w:p>
    <w:p w14:paraId="6D83395D">
      <w:pPr>
        <w:tabs>
          <w:tab w:val="left" w:pos="2492"/>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15.2磋商报价的内容见“供应商须知前附表”。</w:t>
      </w:r>
    </w:p>
    <w:p w14:paraId="6773FE03">
      <w:pPr>
        <w:spacing w:line="360" w:lineRule="auto"/>
        <w:ind w:left="426" w:leftChars="203"/>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15.3磋商报价要求</w:t>
      </w:r>
    </w:p>
    <w:p w14:paraId="19ACDAE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15.3.1供应商的磋商报价应符合以下要求，否则响应文件按无效响应处理：</w:t>
      </w:r>
    </w:p>
    <w:p w14:paraId="7F73A8FF">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（1）供应商必须就“采购需求”中所竞标的每个分标的全部内容分别作完整唯一总价报价，</w:t>
      </w:r>
    </w:p>
    <w:p w14:paraId="333A1BF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不得存在漏项报价；</w:t>
      </w:r>
    </w:p>
    <w:p w14:paraId="587165B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（2）供应商必须就所竞标的分标的单项内容作唯一报价。</w:t>
      </w:r>
    </w:p>
    <w:p w14:paraId="04DF64F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15.3.2磋商报价（包含首次报价、最后报价）超过所磋商分标规定的采购预算金额或者最高限价的，其响应文件将按无效处理。</w:t>
      </w:r>
    </w:p>
    <w:p w14:paraId="644C35E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15.3.3</w:t>
      </w:r>
      <w:bookmarkStart w:id="56" w:name="_Hlk42592874"/>
      <w:r>
        <w:rPr>
          <w:rFonts w:hint="eastAsia" w:ascii="仿宋" w:hAnsi="仿宋" w:eastAsia="仿宋" w:cs="仿宋"/>
          <w:color w:val="auto"/>
          <w:szCs w:val="21"/>
          <w:highlight w:val="none"/>
        </w:rPr>
        <w:t>磋商报价（包含首次报价、最后报价）超过分项采购预算金额或者最高限价的，其响应文件将按无效处理。</w:t>
      </w:r>
    </w:p>
    <w:bookmarkEnd w:id="56"/>
    <w:p w14:paraId="58336D4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16.竞标有效期</w:t>
      </w:r>
    </w:p>
    <w:p w14:paraId="4788061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127A3E4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 竞标有效期应由供应商按“供应商须知前附表”规定的期限作出响应。</w:t>
      </w:r>
    </w:p>
    <w:p w14:paraId="31B50C4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16.3供应商的响应文件在竞标有效期内均保持有效。</w:t>
      </w:r>
    </w:p>
    <w:p w14:paraId="5A49C10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17.磋商保证金</w:t>
      </w:r>
    </w:p>
    <w:p w14:paraId="4442D43E">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17.1供应商须按“供应商须知前附表”的规定提交磋商保证金。</w:t>
      </w:r>
    </w:p>
    <w:p w14:paraId="0E46124A">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17.2磋商保证金的退还</w:t>
      </w:r>
    </w:p>
    <w:p w14:paraId="10FEB9B6">
      <w:pPr>
        <w:spacing w:line="360" w:lineRule="auto"/>
        <w:ind w:firstLine="420" w:firstLineChars="200"/>
        <w:rPr>
          <w:rFonts w:hint="eastAsia" w:ascii="仿宋" w:hAnsi="仿宋" w:eastAsia="仿宋" w:cs="仿宋"/>
          <w:color w:val="auto"/>
          <w:szCs w:val="21"/>
          <w:highlight w:val="none"/>
        </w:rPr>
      </w:pPr>
      <w:bookmarkStart w:id="57" w:name="_Hlk66782243"/>
      <w:r>
        <w:rPr>
          <w:rFonts w:hint="eastAsia" w:ascii="仿宋" w:hAnsi="仿宋" w:eastAsia="仿宋" w:cs="仿宋"/>
          <w:color w:val="auto"/>
          <w:szCs w:val="21"/>
          <w:highlight w:val="none"/>
        </w:rPr>
        <w:t>未</w:t>
      </w:r>
      <w:r>
        <w:rPr>
          <w:rFonts w:hint="eastAsia" w:ascii="仿宋" w:hAnsi="仿宋" w:eastAsia="仿宋" w:cs="仿宋"/>
          <w:color w:val="auto"/>
          <w:spacing w:val="-6"/>
          <w:szCs w:val="21"/>
          <w:highlight w:val="none"/>
        </w:rPr>
        <w:t>成交供应商的竞标保证金自成交通知书发出之日起5个工作日内退还；</w:t>
      </w:r>
      <w:r>
        <w:rPr>
          <w:rFonts w:hint="eastAsia" w:ascii="仿宋" w:hAnsi="仿宋" w:eastAsia="仿宋" w:cs="仿宋"/>
          <w:color w:val="auto"/>
          <w:szCs w:val="21"/>
          <w:highlight w:val="none"/>
        </w:rPr>
        <w:t>成交供应商的磋商保证金自签订合同之日起5个工作日内退还。</w:t>
      </w:r>
      <w:bookmarkEnd w:id="57"/>
    </w:p>
    <w:p w14:paraId="0F295201">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17.3磋商保证金不计息。</w:t>
      </w:r>
    </w:p>
    <w:p w14:paraId="488F9B86">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17.4供应商有下列情形之一的，磋商保证金将不予退还：</w:t>
      </w:r>
    </w:p>
    <w:p w14:paraId="0B6441EB">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（1）供应商在提交响应文件截止时间后撤回响应文件的；</w:t>
      </w:r>
    </w:p>
    <w:p w14:paraId="157BE1BC">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（2）未按规定提交履约保证金的；</w:t>
      </w:r>
    </w:p>
    <w:p w14:paraId="1455DE29">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（3）供应商在响应文件中提供虚假材料的；</w:t>
      </w:r>
    </w:p>
    <w:p w14:paraId="1A77B7A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（4）除因不可抗力或者磋商文件认可的情形以外，成交供应商不与采购人签订合同的；</w:t>
      </w:r>
    </w:p>
    <w:p w14:paraId="6AC251D9">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（5）供应商与采购人、其他供应商或者采购代理机构恶意串通的；</w:t>
      </w:r>
    </w:p>
    <w:p w14:paraId="3652A6B5">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（6）法律法规规定的其他情形。</w:t>
      </w:r>
    </w:p>
    <w:p w14:paraId="4C17AB5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18.响应文件编制的要求</w:t>
      </w:r>
    </w:p>
    <w:p w14:paraId="5D26B49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18.1供应商应先安装“广西政府采购云平台新版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2B46325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552AA5B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18.3响应文件须由供应商在规定位置签字、盖章（具体以供应商须知前附表或响应文件格式规定为准），否则按无效响应处理。</w:t>
      </w:r>
    </w:p>
    <w:p w14:paraId="082D612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41F9BD5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9AC2BB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19.电子</w:t>
      </w:r>
      <w:r>
        <w:rPr>
          <w:rFonts w:hint="eastAsia" w:ascii="仿宋" w:hAnsi="仿宋" w:eastAsia="仿宋" w:cs="仿宋"/>
          <w:b/>
          <w:color w:val="auto"/>
          <w:sz w:val="24"/>
          <w:highlight w:val="none"/>
        </w:rPr>
        <w:t>备份响应文件</w:t>
      </w:r>
    </w:p>
    <w:p w14:paraId="14AA530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电子备份响应文件是指通过“</w:t>
      </w:r>
      <w:r>
        <w:rPr>
          <w:rFonts w:hint="eastAsia" w:ascii="仿宋" w:hAnsi="仿宋" w:eastAsia="仿宋" w:cs="仿宋"/>
          <w:color w:val="auto"/>
          <w:szCs w:val="21"/>
          <w:highlight w:val="none"/>
        </w:rPr>
        <w:t>广西政府采购云平台新版客户端</w:t>
      </w:r>
      <w:r>
        <w:rPr>
          <w:rFonts w:hint="eastAsia" w:ascii="仿宋" w:hAnsi="仿宋" w:eastAsia="仿宋" w:cs="仿宋"/>
          <w:color w:val="auto"/>
          <w:highlight w:val="none"/>
        </w:rPr>
        <w:t>”在线编制生成且后缀名为“bfbs”的文件，是否接受电子备份响应文件</w:t>
      </w:r>
      <w:r>
        <w:rPr>
          <w:rFonts w:hint="eastAsia" w:ascii="仿宋" w:hAnsi="仿宋" w:eastAsia="仿宋" w:cs="仿宋"/>
          <w:bCs/>
          <w:color w:val="auto"/>
          <w:szCs w:val="21"/>
          <w:highlight w:val="none"/>
        </w:rPr>
        <w:t>详见在“供应商须知前附表”。</w:t>
      </w:r>
    </w:p>
    <w:p w14:paraId="0D9F21A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20.响应文件的提交</w:t>
      </w:r>
    </w:p>
    <w:p w14:paraId="60D6C6F0">
      <w:pPr>
        <w:spacing w:line="360" w:lineRule="auto"/>
        <w:ind w:firstLine="420" w:firstLineChars="200"/>
        <w:rPr>
          <w:rFonts w:hint="eastAsia" w:ascii="仿宋" w:hAnsi="仿宋" w:eastAsia="仿宋" w:cs="仿宋"/>
          <w:b/>
          <w:color w:val="auto"/>
          <w:highlight w:val="none"/>
        </w:rPr>
      </w:pPr>
      <w:r>
        <w:rPr>
          <w:rFonts w:hint="eastAsia" w:ascii="仿宋" w:hAnsi="仿宋" w:eastAsia="仿宋" w:cs="仿宋"/>
          <w:bCs/>
          <w:color w:val="auto"/>
          <w:szCs w:val="21"/>
          <w:highlight w:val="none"/>
        </w:rPr>
        <w:t>20.1供应商必须按“供应商须知前附表”规定的</w:t>
      </w:r>
      <w:r>
        <w:rPr>
          <w:rFonts w:hint="eastAsia" w:ascii="仿宋" w:hAnsi="仿宋" w:eastAsia="仿宋" w:cs="仿宋"/>
          <w:color w:val="auto"/>
          <w:szCs w:val="21"/>
          <w:highlight w:val="none"/>
        </w:rPr>
        <w:t>时间及</w:t>
      </w:r>
      <w:r>
        <w:rPr>
          <w:rFonts w:hint="eastAsia" w:ascii="仿宋" w:hAnsi="仿宋" w:eastAsia="仿宋" w:cs="仿宋"/>
          <w:bCs/>
          <w:color w:val="auto"/>
          <w:szCs w:val="21"/>
          <w:highlight w:val="none"/>
        </w:rPr>
        <w:t>地点提交响应文件。电子响应文件应在制作完成后，在提交响应文件截止时间前通过有效数字证书（CA认证锁）进行电子签章、加密，然后通过网络将加密的电子响应文件提交至</w:t>
      </w:r>
      <w:r>
        <w:rPr>
          <w:rFonts w:hint="eastAsia" w:ascii="仿宋" w:hAnsi="仿宋" w:eastAsia="仿宋" w:cs="仿宋"/>
          <w:color w:val="auto"/>
          <w:szCs w:val="21"/>
          <w:highlight w:val="none"/>
        </w:rPr>
        <w:t>广西政府采购云平台</w:t>
      </w:r>
      <w:r>
        <w:rPr>
          <w:rFonts w:hint="eastAsia" w:ascii="仿宋" w:hAnsi="仿宋" w:eastAsia="仿宋" w:cs="仿宋"/>
          <w:bCs/>
          <w:color w:val="auto"/>
          <w:szCs w:val="21"/>
          <w:highlight w:val="none"/>
        </w:rPr>
        <w:t>。</w:t>
      </w:r>
    </w:p>
    <w:p w14:paraId="1CC431B3">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20.2未在规定时间内提交或者未按照磋商文件要求加密的电子响应文件，广西政府采购云平台将拒收。</w:t>
      </w:r>
    </w:p>
    <w:p w14:paraId="46D129B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21.首次响应文件的补充、修改与撤回</w:t>
      </w:r>
    </w:p>
    <w:p w14:paraId="15ECC6D6">
      <w:pPr>
        <w:snapToGrid w:val="0"/>
        <w:spacing w:line="360" w:lineRule="auto"/>
        <w:ind w:firstLine="420"/>
        <w:jc w:val="left"/>
        <w:rPr>
          <w:rFonts w:hint="eastAsia" w:ascii="仿宋" w:hAnsi="仿宋" w:eastAsia="仿宋" w:cs="仿宋"/>
          <w:color w:val="auto"/>
          <w:szCs w:val="21"/>
          <w:highlight w:val="none"/>
        </w:rPr>
      </w:pPr>
      <w:bookmarkStart w:id="58" w:name="_Toc254970543"/>
      <w:bookmarkStart w:id="59" w:name="_Toc254970684"/>
      <w:r>
        <w:rPr>
          <w:rFonts w:hint="eastAsia" w:ascii="仿宋" w:hAnsi="仿宋" w:eastAsia="仿宋" w:cs="仿宋"/>
          <w:color w:val="auto"/>
          <w:szCs w:val="21"/>
          <w:highlight w:val="none"/>
        </w:rPr>
        <w:t>21.1</w:t>
      </w:r>
      <w:r>
        <w:rPr>
          <w:rFonts w:hint="eastAsia" w:ascii="仿宋" w:hAnsi="仿宋" w:eastAsia="仿宋" w:cs="仿宋"/>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仿宋" w:hAnsi="仿宋" w:eastAsia="仿宋" w:cs="仿宋"/>
          <w:color w:val="auto"/>
          <w:szCs w:val="21"/>
          <w:highlight w:val="none"/>
        </w:rPr>
        <w:t>（补充、修改或者撤回方式可登录</w:t>
      </w:r>
      <w:r>
        <w:rPr>
          <w:rFonts w:hint="eastAsia" w:ascii="仿宋" w:hAnsi="仿宋" w:eastAsia="仿宋" w:cs="仿宋"/>
          <w:color w:val="auto"/>
          <w:kern w:val="0"/>
          <w:szCs w:val="21"/>
          <w:highlight w:val="none"/>
        </w:rPr>
        <w:t>广西政府采购云平台，</w:t>
      </w:r>
      <w:r>
        <w:rPr>
          <w:rFonts w:hint="eastAsia" w:ascii="仿宋" w:hAnsi="仿宋" w:eastAsia="仿宋" w:cs="仿宋"/>
          <w:color w:val="auto"/>
          <w:szCs w:val="21"/>
          <w:highlight w:val="none"/>
        </w:rPr>
        <w:t>进入“服务中心”中查看“电子投标文件制作与投送教程”）</w:t>
      </w:r>
    </w:p>
    <w:bookmarkEnd w:id="58"/>
    <w:bookmarkEnd w:id="59"/>
    <w:p w14:paraId="706E1E72">
      <w:pPr>
        <w:pStyle w:val="64"/>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21.2在提交响应文件截止时间前，除供应商补充、修改或者撤回响应文件外，任何单位和个人不得解密或提取响应文件。</w:t>
      </w:r>
    </w:p>
    <w:p w14:paraId="741B3157">
      <w:pPr>
        <w:spacing w:line="360" w:lineRule="auto"/>
        <w:ind w:firstLine="482" w:firstLineChars="200"/>
        <w:rPr>
          <w:rFonts w:hint="eastAsia" w:ascii="仿宋" w:hAnsi="仿宋" w:eastAsia="仿宋" w:cs="仿宋"/>
          <w:b/>
          <w:bCs/>
          <w:color w:val="auto"/>
          <w:sz w:val="24"/>
          <w:highlight w:val="none"/>
        </w:rPr>
      </w:pPr>
      <w:bookmarkStart w:id="60" w:name="_Hlk45702405"/>
      <w:r>
        <w:rPr>
          <w:rFonts w:hint="eastAsia" w:ascii="仿宋" w:hAnsi="仿宋" w:eastAsia="仿宋" w:cs="仿宋"/>
          <w:b/>
          <w:bCs/>
          <w:color w:val="auto"/>
          <w:sz w:val="24"/>
          <w:highlight w:val="none"/>
        </w:rPr>
        <w:t>22.响应文件的退回</w:t>
      </w:r>
    </w:p>
    <w:p w14:paraId="7118ACE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采购人和采购代理机构对已提交的响应文件概不退回。</w:t>
      </w:r>
    </w:p>
    <w:p w14:paraId="71F5F11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23.截止时间后的撤回</w:t>
      </w:r>
    </w:p>
    <w:p w14:paraId="5CF9ED5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供应商在响应文件提交截止时间后向采购人、采购代理机构书面申请撤回响应文件的，将根据本须知正文17.4的规定不予退还其磋商保证金。</w:t>
      </w:r>
    </w:p>
    <w:bookmarkEnd w:id="60"/>
    <w:p w14:paraId="2117F5C7">
      <w:pPr>
        <w:spacing w:line="360" w:lineRule="auto"/>
        <w:rPr>
          <w:rFonts w:hint="eastAsia" w:ascii="仿宋" w:hAnsi="仿宋" w:eastAsia="仿宋" w:cs="仿宋"/>
          <w:color w:val="auto"/>
          <w:szCs w:val="21"/>
          <w:highlight w:val="none"/>
        </w:rPr>
      </w:pPr>
    </w:p>
    <w:p w14:paraId="104FFB18">
      <w:pPr>
        <w:spacing w:line="360" w:lineRule="auto"/>
        <w:ind w:left="420" w:firstLine="42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四、评审及磋商</w:t>
      </w:r>
    </w:p>
    <w:p w14:paraId="7F4ADEA5">
      <w:pPr>
        <w:spacing w:line="360" w:lineRule="auto"/>
        <w:ind w:left="420" w:firstLine="420"/>
        <w:rPr>
          <w:rFonts w:hint="eastAsia" w:ascii="仿宋" w:hAnsi="仿宋" w:eastAsia="仿宋" w:cs="仿宋"/>
          <w:color w:val="auto"/>
          <w:szCs w:val="21"/>
          <w:highlight w:val="none"/>
        </w:rPr>
      </w:pPr>
    </w:p>
    <w:p w14:paraId="361ACEE9">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24.磋商小组成立</w:t>
      </w:r>
    </w:p>
    <w:p w14:paraId="657A795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5CD0B3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6F6D52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24.3</w:t>
      </w:r>
      <w:r>
        <w:rPr>
          <w:rFonts w:hint="eastAsia" w:ascii="仿宋" w:hAnsi="仿宋" w:eastAsia="仿宋" w:cs="仿宋"/>
          <w:bCs/>
          <w:color w:val="auto"/>
          <w:szCs w:val="21"/>
          <w:highlight w:val="none"/>
        </w:rPr>
        <w:t>采购代理机构</w:t>
      </w:r>
      <w:r>
        <w:rPr>
          <w:rFonts w:hint="eastAsia" w:ascii="仿宋" w:hAnsi="仿宋" w:eastAsia="仿宋" w:cs="仿宋"/>
          <w:bCs/>
          <w:color w:val="auto"/>
          <w:highlight w:val="none"/>
        </w:rPr>
        <w:t>应当</w:t>
      </w:r>
      <w:r>
        <w:rPr>
          <w:rFonts w:hint="eastAsia" w:ascii="仿宋" w:hAnsi="仿宋" w:eastAsia="仿宋" w:cs="仿宋"/>
          <w:bCs/>
          <w:color w:val="auto"/>
          <w:szCs w:val="21"/>
          <w:highlight w:val="none"/>
        </w:rPr>
        <w:t>基于广西政府采购云平台</w:t>
      </w:r>
      <w:r>
        <w:rPr>
          <w:rFonts w:hint="eastAsia" w:ascii="仿宋" w:hAnsi="仿宋" w:eastAsia="仿宋" w:cs="仿宋"/>
          <w:bCs/>
          <w:color w:val="auto"/>
          <w:highlight w:val="none"/>
        </w:rPr>
        <w:t>抽（选）取</w:t>
      </w:r>
      <w:r>
        <w:rPr>
          <w:rFonts w:hint="eastAsia" w:ascii="仿宋" w:hAnsi="仿宋" w:eastAsia="仿宋" w:cs="仿宋"/>
          <w:bCs/>
          <w:color w:val="auto"/>
          <w:szCs w:val="21"/>
          <w:highlight w:val="none"/>
        </w:rPr>
        <w:t>评审专家。</w:t>
      </w:r>
    </w:p>
    <w:p w14:paraId="653DD29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25.首次响应文件的开启和解密</w:t>
      </w:r>
    </w:p>
    <w:p w14:paraId="4D88E7A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Cs/>
          <w:color w:val="auto"/>
          <w:highlight w:val="none"/>
        </w:rPr>
        <w:t>采购代理机构将在“供应商须知前附表”规定的时</w:t>
      </w:r>
      <w:r>
        <w:rPr>
          <w:rFonts w:hint="eastAsia" w:ascii="仿宋" w:hAnsi="仿宋" w:eastAsia="仿宋" w:cs="仿宋"/>
          <w:color w:val="auto"/>
          <w:highlight w:val="none"/>
        </w:rPr>
        <w:t>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w:t>
      </w:r>
      <w:r>
        <w:rPr>
          <w:rFonts w:hint="eastAsia" w:ascii="仿宋" w:hAnsi="仿宋" w:eastAsia="仿宋" w:cs="仿宋"/>
          <w:bCs/>
          <w:color w:val="auto"/>
          <w:szCs w:val="21"/>
          <w:highlight w:val="none"/>
        </w:rPr>
        <w:t>“供应商须知前附表”</w:t>
      </w:r>
      <w:r>
        <w:rPr>
          <w:rFonts w:hint="eastAsia" w:ascii="仿宋" w:hAnsi="仿宋" w:eastAsia="仿宋" w:cs="仿宋"/>
          <w:color w:val="auto"/>
          <w:highlight w:val="none"/>
        </w:rPr>
        <w:t>规定的时间内自行进行响应文件解密。</w:t>
      </w:r>
      <w:r>
        <w:rPr>
          <w:rFonts w:hint="eastAsia" w:ascii="仿宋" w:hAnsi="仿宋" w:eastAsia="仿宋" w:cs="仿宋"/>
          <w:b/>
          <w:color w:val="auto"/>
          <w:highlight w:val="none"/>
        </w:rPr>
        <w:t>供应商未在规定的时间内解密响应文件或者解密失败的，供应商</w:t>
      </w:r>
      <w:r>
        <w:rPr>
          <w:rFonts w:hint="eastAsia" w:ascii="仿宋" w:hAnsi="仿宋" w:eastAsia="仿宋" w:cs="仿宋"/>
          <w:b/>
          <w:color w:val="auto"/>
          <w:szCs w:val="21"/>
          <w:highlight w:val="none"/>
        </w:rPr>
        <w:t>的响应文件作无效处理</w:t>
      </w:r>
      <w:r>
        <w:rPr>
          <w:rFonts w:hint="eastAsia" w:ascii="仿宋" w:hAnsi="仿宋" w:eastAsia="仿宋" w:cs="仿宋"/>
          <w:b/>
          <w:color w:val="auto"/>
          <w:highlight w:val="none"/>
        </w:rPr>
        <w:t>。</w:t>
      </w:r>
    </w:p>
    <w:p w14:paraId="2ACE56E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26.评审程序、评审方法和评审标准</w:t>
      </w:r>
    </w:p>
    <w:p w14:paraId="33E9B7E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26.1本项目的评审方法为综合评分法。</w:t>
      </w:r>
    </w:p>
    <w:p w14:paraId="3981033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26.2磋商小组按照“第四章评审程序、评审方法和评审标准”规定的方法、评审因素、标准和程序对响应文件进行评审。</w:t>
      </w:r>
    </w:p>
    <w:p w14:paraId="7DE0FE2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26.3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66B7898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26.4电子交易活动的中止。采购过程中出现以下情形，导致电子交易平台无法正常运行，或者无法保证电子交易的公平、公正和安全时，采购机构可中止电子交易活动：</w:t>
      </w:r>
    </w:p>
    <w:p w14:paraId="3FCDBB92">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（1）电子交易平台发生故障而无法登录访问的；</w:t>
      </w:r>
    </w:p>
    <w:p w14:paraId="0EC52D1C">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（2）电子交易平台应用或数据库出现错误，不能进行正常操作的；</w:t>
      </w:r>
    </w:p>
    <w:p w14:paraId="3F21EEFC">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（3）电子交易平台发现严重安全漏洞，有潜在泄密危险的；</w:t>
      </w:r>
    </w:p>
    <w:p w14:paraId="703AB707">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（4）病毒发作导致不能进行正常操作的；</w:t>
      </w:r>
    </w:p>
    <w:p w14:paraId="77D2977A">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（5）其他无法保证电子交易的公平、公正和安全的情况。</w:t>
      </w:r>
    </w:p>
    <w:p w14:paraId="4D49EA2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3F74EC6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27.确定成交供应商及结果公告</w:t>
      </w:r>
    </w:p>
    <w:p w14:paraId="203F893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43AEA9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27.2采购代理机构应当在</w:t>
      </w:r>
      <w:r>
        <w:rPr>
          <w:rFonts w:hint="eastAsia" w:ascii="仿宋" w:hAnsi="仿宋" w:eastAsia="仿宋" w:cs="仿宋"/>
          <w:color w:val="auto"/>
          <w:kern w:val="0"/>
          <w:szCs w:val="21"/>
          <w:highlight w:val="none"/>
        </w:rPr>
        <w:t>成交</w:t>
      </w:r>
      <w:r>
        <w:rPr>
          <w:rFonts w:hint="eastAsia" w:ascii="仿宋" w:hAnsi="仿宋" w:eastAsia="仿宋" w:cs="仿宋"/>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1" w:name="_Hlk66782294"/>
      <w:r>
        <w:rPr>
          <w:rFonts w:hint="eastAsia" w:ascii="仿宋" w:hAnsi="仿宋" w:eastAsia="仿宋" w:cs="仿宋"/>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61"/>
    </w:p>
    <w:p w14:paraId="2FA9C75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27.3出现下列情形之一的，采购人或者采购代理机构应当终止竞争性磋商采购活动，发布项目终止公告并说明原因，重新开展采购活动：</w:t>
      </w:r>
    </w:p>
    <w:p w14:paraId="52B42D3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（1）因情况变化，不再符合规定的竞争性磋商采购方式适用情形的；</w:t>
      </w:r>
    </w:p>
    <w:p w14:paraId="08D7635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（2）出现影响采购公正的违法、违规行为的；</w:t>
      </w:r>
    </w:p>
    <w:p w14:paraId="363BC6F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（3）除“第四章评审程序、评审方法和评审标准”第4.3条规定的情形外，在采购过程中符合要求的供应商或者报价未超过采购预算的供应商不足3家的。</w:t>
      </w:r>
    </w:p>
    <w:p w14:paraId="62CF058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420B159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28.履约保证金</w:t>
      </w:r>
    </w:p>
    <w:p w14:paraId="055A30A9">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28.1履约保证金的金额、提交方式、退付的时间和条件详见“供应商须知前附表”。成交供应商未按规定提交履约保证金的，视为拒绝</w:t>
      </w:r>
      <w:r>
        <w:rPr>
          <w:rFonts w:hint="eastAsia" w:ascii="仿宋" w:hAnsi="仿宋" w:eastAsia="仿宋" w:cs="仿宋"/>
          <w:color w:val="auto"/>
          <w:highlight w:val="none"/>
        </w:rPr>
        <w:t>与采购人</w:t>
      </w:r>
      <w:r>
        <w:rPr>
          <w:rFonts w:hint="eastAsia" w:ascii="仿宋" w:hAnsi="仿宋" w:eastAsia="仿宋" w:cs="仿宋"/>
          <w:color w:val="auto"/>
          <w:szCs w:val="21"/>
          <w:highlight w:val="none"/>
        </w:rPr>
        <w:t>签订合同。</w:t>
      </w:r>
    </w:p>
    <w:p w14:paraId="11E6F956">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28.2在履约保证金退还日期前，若成交供应商的开户名称、开户银行、帐号有变动的，请以书面形式通知履约保证金收取单位，否则由此产生的后果由成交供应商自行承担。</w:t>
      </w:r>
    </w:p>
    <w:p w14:paraId="0D582EA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29.签订合同</w:t>
      </w:r>
    </w:p>
    <w:p w14:paraId="1BB7D820">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29.1签订电子采购合同：成交供应商领取电子成交通知书后，在</w:t>
      </w:r>
      <w:r>
        <w:rPr>
          <w:rFonts w:hint="eastAsia" w:ascii="仿宋" w:hAnsi="仿宋" w:eastAsia="仿宋" w:cs="仿宋"/>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40E5ECA1">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线下签订纸质合同：供应商领取成交通知书后，按“供应商须知前附表”规定向采购人出示相关证明材料，经采购人核验合格后方可签订合同。</w:t>
      </w:r>
    </w:p>
    <w:p w14:paraId="61AD511B">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29.2签订合同时间：按成交通知书规定的时间与采购人签订合同。</w:t>
      </w:r>
    </w:p>
    <w:p w14:paraId="6C2AED47">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289C28D">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EEEE880">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4DFFB303">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29.6如签订合同并生效后，供应商无故拒绝或延期，除按照合同条款处理外，将承担相应的法律责任。</w:t>
      </w:r>
    </w:p>
    <w:p w14:paraId="47785196">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BB7286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30.政府采购合同公告</w:t>
      </w:r>
    </w:p>
    <w:p w14:paraId="4B1B866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BCD2259">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询问、质疑和投诉</w:t>
      </w:r>
    </w:p>
    <w:p w14:paraId="26FFD0C0">
      <w:pPr>
        <w:pStyle w:val="7"/>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仿宋" w:hAnsi="仿宋" w:eastAsia="仿宋" w:cs="仿宋"/>
          <w:color w:val="auto"/>
          <w:szCs w:val="21"/>
          <w:highlight w:val="none"/>
        </w:rPr>
        <w:t>但答复的内容不得涉及商业秘密</w:t>
      </w:r>
      <w:r>
        <w:rPr>
          <w:rFonts w:hint="eastAsia" w:ascii="仿宋" w:hAnsi="仿宋" w:eastAsia="仿宋" w:cs="仿宋"/>
          <w:color w:val="auto"/>
          <w:highlight w:val="none"/>
        </w:rPr>
        <w:t>。</w:t>
      </w:r>
    </w:p>
    <w:p w14:paraId="05B85D0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w:t>
      </w:r>
      <w:r>
        <w:rPr>
          <w:rFonts w:hint="eastAsia" w:ascii="仿宋" w:hAnsi="仿宋" w:eastAsia="仿宋" w:cs="仿宋"/>
          <w:color w:val="auto"/>
          <w:szCs w:val="21"/>
          <w:highlight w:val="none"/>
        </w:rPr>
        <w:t>“供应商须知前附表”</w:t>
      </w:r>
      <w:r>
        <w:rPr>
          <w:rFonts w:hint="eastAsia" w:ascii="仿宋" w:hAnsi="仿宋" w:eastAsia="仿宋" w:cs="仿宋"/>
          <w:color w:val="auto"/>
          <w:highlight w:val="none"/>
        </w:rPr>
        <w:t>。具体质疑起算时间如下：</w:t>
      </w:r>
    </w:p>
    <w:p w14:paraId="45EECF4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（1）对可以质疑的磋商文件提出质疑的，为收到磋商文件之日或者竞争性磋商公告期限届满之日；</w:t>
      </w:r>
    </w:p>
    <w:p w14:paraId="2232979E">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（2）对采购过程提出质疑的，为各采购程序环节结束之日；</w:t>
      </w:r>
    </w:p>
    <w:p w14:paraId="584871E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（3）对成交结果提出质疑的，为成交结果公告期限届满之日。</w:t>
      </w:r>
    </w:p>
    <w:p w14:paraId="1F227DBB">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F4F8812">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31.4 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highlight w:val="none"/>
        </w:rPr>
        <w:t>（质疑函格式后附）</w:t>
      </w:r>
      <w:r>
        <w:rPr>
          <w:rFonts w:hint="eastAsia" w:ascii="仿宋" w:hAnsi="仿宋" w:eastAsia="仿宋" w:cs="仿宋"/>
          <w:color w:val="auto"/>
          <w:highlight w:val="none"/>
        </w:rPr>
        <w:t>：</w:t>
      </w:r>
    </w:p>
    <w:p w14:paraId="7063A355">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17199AB1">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（2）质疑项目的名称、编号；</w:t>
      </w:r>
    </w:p>
    <w:p w14:paraId="6C0ADAD1">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7B38A2E1">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（4）事实依据；</w:t>
      </w:r>
    </w:p>
    <w:p w14:paraId="65B320D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（5）必要的法律依据；</w:t>
      </w:r>
    </w:p>
    <w:p w14:paraId="1E37CC8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（6）提出质疑的日期。</w:t>
      </w:r>
    </w:p>
    <w:p w14:paraId="1C12E2F2">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供应商为自然人的，应当由本人签字；供应商为法人或者其他组织的，应当由法定代表人、主要负责人，或者其委托代理人签字或者盖章，并加盖公章。</w:t>
      </w:r>
    </w:p>
    <w:p w14:paraId="796046B5">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5FD538E">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（一）对采购文件提出的质疑，依法通过澄清或者修改可以继续开展采购活动的，澄清或者修改采购文件后继续开展采购活动；否则应当修改采购文件后重新开展采购活动。</w:t>
      </w:r>
    </w:p>
    <w:p w14:paraId="0AA03D01">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D042E28">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质疑答复导致成交结果改变的，采购人或者采购代理机构应当将有关情况书面报告本级财政部门。</w:t>
      </w:r>
    </w:p>
    <w:p w14:paraId="6BB88CB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0830AE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32.其他内容</w:t>
      </w:r>
    </w:p>
    <w:p w14:paraId="2394413A">
      <w:pPr>
        <w:tabs>
          <w:tab w:val="left" w:pos="2835"/>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32.1代理服务收取标准及缴费账户详见“供应商须知前附表”，供应商为联合体的，可以由联合体中的一方或者多方共同交纳代理服务费。</w:t>
      </w:r>
    </w:p>
    <w:p w14:paraId="57FFA1F2">
      <w:pPr>
        <w:spacing w:line="44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32.2代理服务费收费计算标准：</w:t>
      </w:r>
      <w:r>
        <w:rPr>
          <w:rFonts w:hint="eastAsia" w:ascii="仿宋" w:hAnsi="仿宋" w:eastAsia="仿宋" w:cs="仿宋"/>
          <w:color w:val="auto"/>
          <w:highlight w:val="none"/>
        </w:rPr>
        <w:t>详见“供应商须知前附表”。</w:t>
      </w: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3"/>
        <w:gridCol w:w="1832"/>
        <w:gridCol w:w="2088"/>
        <w:gridCol w:w="1896"/>
      </w:tblGrid>
      <w:tr w14:paraId="0B62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3663" w:type="dxa"/>
            <w:tcBorders>
              <w:top w:val="single" w:color="auto" w:sz="4" w:space="0"/>
              <w:left w:val="single" w:color="auto" w:sz="4" w:space="0"/>
              <w:bottom w:val="single" w:color="auto" w:sz="4" w:space="0"/>
              <w:right w:val="single" w:color="auto" w:sz="4" w:space="0"/>
            </w:tcBorders>
          </w:tcPr>
          <w:p w14:paraId="076E3753">
            <w:pPr>
              <w:spacing w:line="400" w:lineRule="exact"/>
              <w:ind w:firstLine="1640" w:firstLineChars="781"/>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36195</wp:posOffset>
                      </wp:positionV>
                      <wp:extent cx="2057400" cy="1176655"/>
                      <wp:effectExtent l="2540" t="4445" r="1651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H="1" flipV="1">
                                <a:off x="0" y="0"/>
                                <a:ext cx="2057400" cy="11766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0.65pt;margin-top:2.85pt;height:92.65pt;width:162pt;z-index:251660288;mso-width-relative:page;mso-height-relative:page;" filled="f" stroked="t" coordsize="21600,21600" o:gfxdata="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z+Vj0AAAAAcBAAAPAAAAAAAAAAEAIAAAACIAAABkcnMvZG93bnJldi54bWxQSwECFAAU&#10;AAAACACHTuJAS+NtI/kBAADSAwAADgAAAAAAAAABACAAAAAf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dN+1QAAAAkB&#10;AAAPAAAAAAAAAAEAIAAAACIAAABkcnMvZG93bnJldi54bWxQSwECFAAUAAAACACHTuJAtIgMBuUB&#10;AAC0AwAADgAAAAAAAAABACAAAAAkAQAAZHJzL2Uyb0RvYy54bWxQSwUGAAAAAAYABgBZAQAAewUA&#10;AAAA&#10;">
                      <v:fill on="f" focussize="0,0"/>
                      <v:stroke color="#000000" joinstyle="round"/>
                      <v:imagedata o:title=""/>
                      <o:lock v:ext="edit" aspectratio="f"/>
                    </v:line>
                  </w:pict>
                </mc:Fallback>
              </mc:AlternateContent>
            </w:r>
            <w:r>
              <w:rPr>
                <w:rFonts w:hint="eastAsia" w:ascii="仿宋" w:hAnsi="仿宋" w:eastAsia="仿宋" w:cs="仿宋"/>
                <w:b/>
                <w:bCs/>
                <w:color w:val="auto"/>
                <w:szCs w:val="21"/>
                <w:highlight w:val="none"/>
              </w:rPr>
              <w:t>服</w:t>
            </w:r>
          </w:p>
          <w:p w14:paraId="2DE4C6FD">
            <w:pPr>
              <w:spacing w:line="400" w:lineRule="exact"/>
              <w:ind w:firstLine="211" w:firstLineChars="1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费　　　　　      务</w:t>
            </w:r>
          </w:p>
          <w:p w14:paraId="712B910C">
            <w:pPr>
              <w:spacing w:line="400" w:lineRule="exact"/>
              <w:ind w:firstLine="1050" w:firstLineChars="5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133350</wp:posOffset>
                      </wp:positionV>
                      <wp:extent cx="2171700" cy="605155"/>
                      <wp:effectExtent l="1270" t="4445" r="1778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H="1" flipV="1">
                                <a:off x="0" y="0"/>
                                <a:ext cx="2171700" cy="6051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3.85pt;margin-top:10.5pt;height:47.65pt;width:171pt;z-index:251662336;mso-width-relative:page;mso-height-relative:page;" filled="f" stroked="t" coordsize="21600,21600" o:gfxdata="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GgfsdQAAAAJAQAADwAAAAAAAAABACAAAAAiAAAAZHJzL2Rvd25yZXYueG1sUEsB&#10;AhQAFAAAAAgAh07iQKiv8fv5AQAA0QMAAA4AAAAAAAAAAQAgAAAAIw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b/>
                <w:bCs/>
                <w:color w:val="auto"/>
                <w:szCs w:val="21"/>
                <w:highlight w:val="none"/>
              </w:rPr>
              <w:t>　　   　      类</w:t>
            </w:r>
          </w:p>
          <w:p w14:paraId="3784A0E7">
            <w:pPr>
              <w:spacing w:line="400" w:lineRule="exact"/>
              <w:ind w:firstLine="1777" w:firstLineChars="843"/>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率　　　   型     </w:t>
            </w:r>
          </w:p>
          <w:p w14:paraId="1E924EC6">
            <w:pPr>
              <w:spacing w:line="40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预算金额（万元）</w:t>
            </w:r>
          </w:p>
        </w:tc>
        <w:tc>
          <w:tcPr>
            <w:tcW w:w="1832" w:type="dxa"/>
            <w:tcBorders>
              <w:top w:val="single" w:color="auto" w:sz="4" w:space="0"/>
              <w:left w:val="single" w:color="auto" w:sz="4" w:space="0"/>
              <w:bottom w:val="single" w:color="auto" w:sz="4" w:space="0"/>
              <w:right w:val="single" w:color="auto" w:sz="4" w:space="0"/>
            </w:tcBorders>
            <w:vAlign w:val="center"/>
          </w:tcPr>
          <w:p w14:paraId="6B47F27B">
            <w:pPr>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货物采购</w:t>
            </w:r>
          </w:p>
        </w:tc>
        <w:tc>
          <w:tcPr>
            <w:tcW w:w="2088" w:type="dxa"/>
            <w:tcBorders>
              <w:top w:val="single" w:color="auto" w:sz="4" w:space="0"/>
              <w:left w:val="single" w:color="auto" w:sz="4" w:space="0"/>
              <w:bottom w:val="single" w:color="auto" w:sz="4" w:space="0"/>
              <w:right w:val="single" w:color="auto" w:sz="4" w:space="0"/>
            </w:tcBorders>
            <w:vAlign w:val="center"/>
          </w:tcPr>
          <w:p w14:paraId="61D15290">
            <w:pPr>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服务采购</w:t>
            </w:r>
          </w:p>
        </w:tc>
        <w:tc>
          <w:tcPr>
            <w:tcW w:w="1896" w:type="dxa"/>
            <w:tcBorders>
              <w:top w:val="single" w:color="auto" w:sz="4" w:space="0"/>
              <w:left w:val="single" w:color="auto" w:sz="4" w:space="0"/>
              <w:bottom w:val="single" w:color="auto" w:sz="4" w:space="0"/>
              <w:right w:val="single" w:color="auto" w:sz="4" w:space="0"/>
            </w:tcBorders>
            <w:vAlign w:val="center"/>
          </w:tcPr>
          <w:p w14:paraId="50B731FE">
            <w:pPr>
              <w:spacing w:line="40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工程采购</w:t>
            </w:r>
          </w:p>
        </w:tc>
      </w:tr>
      <w:tr w14:paraId="1C50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0651AD2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100以下</w:t>
            </w:r>
          </w:p>
        </w:tc>
        <w:tc>
          <w:tcPr>
            <w:tcW w:w="1832" w:type="dxa"/>
            <w:tcBorders>
              <w:top w:val="single" w:color="auto" w:sz="4" w:space="0"/>
              <w:left w:val="single" w:color="auto" w:sz="4" w:space="0"/>
              <w:bottom w:val="single" w:color="auto" w:sz="4" w:space="0"/>
              <w:right w:val="single" w:color="auto" w:sz="4" w:space="0"/>
            </w:tcBorders>
            <w:vAlign w:val="center"/>
          </w:tcPr>
          <w:p w14:paraId="59E68C3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1.20%</w:t>
            </w:r>
          </w:p>
        </w:tc>
        <w:tc>
          <w:tcPr>
            <w:tcW w:w="2088" w:type="dxa"/>
            <w:tcBorders>
              <w:top w:val="single" w:color="auto" w:sz="4" w:space="0"/>
              <w:left w:val="single" w:color="auto" w:sz="4" w:space="0"/>
              <w:bottom w:val="single" w:color="auto" w:sz="4" w:space="0"/>
              <w:right w:val="single" w:color="auto" w:sz="4" w:space="0"/>
            </w:tcBorders>
            <w:vAlign w:val="center"/>
          </w:tcPr>
          <w:p w14:paraId="1E97A7E5">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1.20%</w:t>
            </w:r>
          </w:p>
        </w:tc>
        <w:tc>
          <w:tcPr>
            <w:tcW w:w="1896" w:type="dxa"/>
            <w:tcBorders>
              <w:top w:val="single" w:color="auto" w:sz="4" w:space="0"/>
              <w:left w:val="single" w:color="auto" w:sz="4" w:space="0"/>
              <w:bottom w:val="single" w:color="auto" w:sz="4" w:space="0"/>
              <w:right w:val="single" w:color="auto" w:sz="4" w:space="0"/>
            </w:tcBorders>
            <w:vAlign w:val="center"/>
          </w:tcPr>
          <w:p w14:paraId="078E8045">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0.80%</w:t>
            </w:r>
          </w:p>
        </w:tc>
      </w:tr>
      <w:tr w14:paraId="635B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3D88C577">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w:t>
            </w:r>
          </w:p>
        </w:tc>
        <w:tc>
          <w:tcPr>
            <w:tcW w:w="1832" w:type="dxa"/>
            <w:tcBorders>
              <w:top w:val="single" w:color="auto" w:sz="4" w:space="0"/>
              <w:left w:val="single" w:color="auto" w:sz="4" w:space="0"/>
              <w:bottom w:val="single" w:color="auto" w:sz="4" w:space="0"/>
              <w:right w:val="single" w:color="auto" w:sz="4" w:space="0"/>
            </w:tcBorders>
            <w:vAlign w:val="center"/>
          </w:tcPr>
          <w:p w14:paraId="74746A6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0.88%</w:t>
            </w:r>
          </w:p>
        </w:tc>
        <w:tc>
          <w:tcPr>
            <w:tcW w:w="2088" w:type="dxa"/>
            <w:tcBorders>
              <w:top w:val="single" w:color="auto" w:sz="4" w:space="0"/>
              <w:left w:val="single" w:color="auto" w:sz="4" w:space="0"/>
              <w:bottom w:val="single" w:color="auto" w:sz="4" w:space="0"/>
              <w:right w:val="single" w:color="auto" w:sz="4" w:space="0"/>
            </w:tcBorders>
            <w:vAlign w:val="center"/>
          </w:tcPr>
          <w:p w14:paraId="788E504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0.64%</w:t>
            </w:r>
          </w:p>
        </w:tc>
        <w:tc>
          <w:tcPr>
            <w:tcW w:w="1896" w:type="dxa"/>
            <w:tcBorders>
              <w:top w:val="single" w:color="auto" w:sz="4" w:space="0"/>
              <w:left w:val="single" w:color="auto" w:sz="4" w:space="0"/>
              <w:bottom w:val="single" w:color="auto" w:sz="4" w:space="0"/>
              <w:right w:val="single" w:color="auto" w:sz="4" w:space="0"/>
            </w:tcBorders>
            <w:vAlign w:val="center"/>
          </w:tcPr>
          <w:p w14:paraId="6E979C5E">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0.56%</w:t>
            </w:r>
          </w:p>
        </w:tc>
      </w:tr>
      <w:tr w14:paraId="56AA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63" w:type="dxa"/>
            <w:tcBorders>
              <w:top w:val="single" w:color="auto" w:sz="4" w:space="0"/>
              <w:left w:val="single" w:color="auto" w:sz="4" w:space="0"/>
              <w:bottom w:val="single" w:color="auto" w:sz="4" w:space="0"/>
              <w:right w:val="single" w:color="auto" w:sz="4" w:space="0"/>
            </w:tcBorders>
            <w:vAlign w:val="center"/>
          </w:tcPr>
          <w:p w14:paraId="4FCD64F7">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500-1000</w:t>
            </w:r>
          </w:p>
        </w:tc>
        <w:tc>
          <w:tcPr>
            <w:tcW w:w="1832" w:type="dxa"/>
            <w:tcBorders>
              <w:top w:val="single" w:color="auto" w:sz="4" w:space="0"/>
              <w:left w:val="single" w:color="auto" w:sz="4" w:space="0"/>
              <w:bottom w:val="single" w:color="auto" w:sz="4" w:space="0"/>
              <w:right w:val="single" w:color="auto" w:sz="4" w:space="0"/>
            </w:tcBorders>
            <w:vAlign w:val="center"/>
          </w:tcPr>
          <w:p w14:paraId="6AEED35B">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0.64%</w:t>
            </w:r>
          </w:p>
        </w:tc>
        <w:tc>
          <w:tcPr>
            <w:tcW w:w="2088" w:type="dxa"/>
            <w:tcBorders>
              <w:top w:val="single" w:color="auto" w:sz="4" w:space="0"/>
              <w:left w:val="single" w:color="auto" w:sz="4" w:space="0"/>
              <w:bottom w:val="single" w:color="auto" w:sz="4" w:space="0"/>
              <w:right w:val="single" w:color="auto" w:sz="4" w:space="0"/>
            </w:tcBorders>
            <w:vAlign w:val="center"/>
          </w:tcPr>
          <w:p w14:paraId="7EA4C99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0.36%</w:t>
            </w:r>
          </w:p>
        </w:tc>
        <w:tc>
          <w:tcPr>
            <w:tcW w:w="1896" w:type="dxa"/>
            <w:tcBorders>
              <w:top w:val="single" w:color="auto" w:sz="4" w:space="0"/>
              <w:left w:val="single" w:color="auto" w:sz="4" w:space="0"/>
              <w:bottom w:val="single" w:color="auto" w:sz="4" w:space="0"/>
              <w:right w:val="single" w:color="auto" w:sz="4" w:space="0"/>
            </w:tcBorders>
            <w:vAlign w:val="center"/>
          </w:tcPr>
          <w:p w14:paraId="418D2B8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0.44%</w:t>
            </w:r>
          </w:p>
        </w:tc>
      </w:tr>
      <w:tr w14:paraId="134E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454C931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1000-5000</w:t>
            </w:r>
          </w:p>
        </w:tc>
        <w:tc>
          <w:tcPr>
            <w:tcW w:w="1832" w:type="dxa"/>
            <w:tcBorders>
              <w:top w:val="single" w:color="auto" w:sz="4" w:space="0"/>
              <w:left w:val="single" w:color="auto" w:sz="4" w:space="0"/>
              <w:bottom w:val="single" w:color="auto" w:sz="4" w:space="0"/>
              <w:right w:val="single" w:color="auto" w:sz="4" w:space="0"/>
            </w:tcBorders>
            <w:vAlign w:val="center"/>
          </w:tcPr>
          <w:p w14:paraId="3492A9EA">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0.40%</w:t>
            </w:r>
          </w:p>
        </w:tc>
        <w:tc>
          <w:tcPr>
            <w:tcW w:w="2088" w:type="dxa"/>
            <w:tcBorders>
              <w:top w:val="single" w:color="auto" w:sz="4" w:space="0"/>
              <w:left w:val="single" w:color="auto" w:sz="4" w:space="0"/>
              <w:bottom w:val="single" w:color="auto" w:sz="4" w:space="0"/>
              <w:right w:val="single" w:color="auto" w:sz="4" w:space="0"/>
            </w:tcBorders>
            <w:vAlign w:val="center"/>
          </w:tcPr>
          <w:p w14:paraId="46D2A9F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0.20%</w:t>
            </w:r>
          </w:p>
        </w:tc>
        <w:tc>
          <w:tcPr>
            <w:tcW w:w="1896" w:type="dxa"/>
            <w:tcBorders>
              <w:top w:val="single" w:color="auto" w:sz="4" w:space="0"/>
              <w:left w:val="single" w:color="auto" w:sz="4" w:space="0"/>
              <w:bottom w:val="single" w:color="auto" w:sz="4" w:space="0"/>
              <w:right w:val="single" w:color="auto" w:sz="4" w:space="0"/>
            </w:tcBorders>
            <w:vAlign w:val="center"/>
          </w:tcPr>
          <w:p w14:paraId="260487EC">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0.28%</w:t>
            </w:r>
          </w:p>
        </w:tc>
      </w:tr>
      <w:tr w14:paraId="0EF5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4D2EDAA4">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5000-10000</w:t>
            </w:r>
          </w:p>
        </w:tc>
        <w:tc>
          <w:tcPr>
            <w:tcW w:w="1832" w:type="dxa"/>
            <w:tcBorders>
              <w:top w:val="single" w:color="auto" w:sz="4" w:space="0"/>
              <w:left w:val="single" w:color="auto" w:sz="4" w:space="0"/>
              <w:bottom w:val="single" w:color="auto" w:sz="4" w:space="0"/>
              <w:right w:val="single" w:color="auto" w:sz="4" w:space="0"/>
            </w:tcBorders>
            <w:vAlign w:val="center"/>
          </w:tcPr>
          <w:p w14:paraId="6639B54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0.20%</w:t>
            </w:r>
          </w:p>
        </w:tc>
        <w:tc>
          <w:tcPr>
            <w:tcW w:w="2088" w:type="dxa"/>
            <w:tcBorders>
              <w:top w:val="single" w:color="auto" w:sz="4" w:space="0"/>
              <w:left w:val="single" w:color="auto" w:sz="4" w:space="0"/>
              <w:bottom w:val="single" w:color="auto" w:sz="4" w:space="0"/>
              <w:right w:val="single" w:color="auto" w:sz="4" w:space="0"/>
            </w:tcBorders>
            <w:vAlign w:val="center"/>
          </w:tcPr>
          <w:p w14:paraId="2AE6551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0.08%</w:t>
            </w:r>
          </w:p>
        </w:tc>
        <w:tc>
          <w:tcPr>
            <w:tcW w:w="1896" w:type="dxa"/>
            <w:tcBorders>
              <w:top w:val="single" w:color="auto" w:sz="4" w:space="0"/>
              <w:left w:val="single" w:color="auto" w:sz="4" w:space="0"/>
              <w:bottom w:val="single" w:color="auto" w:sz="4" w:space="0"/>
              <w:right w:val="single" w:color="auto" w:sz="4" w:space="0"/>
            </w:tcBorders>
            <w:vAlign w:val="center"/>
          </w:tcPr>
          <w:p w14:paraId="3F692824">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0.16%</w:t>
            </w:r>
          </w:p>
        </w:tc>
      </w:tr>
      <w:tr w14:paraId="1015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663" w:type="dxa"/>
            <w:tcBorders>
              <w:top w:val="single" w:color="auto" w:sz="4" w:space="0"/>
              <w:left w:val="single" w:color="auto" w:sz="4" w:space="0"/>
              <w:bottom w:val="single" w:color="auto" w:sz="4" w:space="0"/>
              <w:right w:val="single" w:color="auto" w:sz="4" w:space="0"/>
            </w:tcBorders>
            <w:vAlign w:val="center"/>
          </w:tcPr>
          <w:p w14:paraId="348CBC6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10000-100000</w:t>
            </w:r>
          </w:p>
        </w:tc>
        <w:tc>
          <w:tcPr>
            <w:tcW w:w="1832" w:type="dxa"/>
            <w:tcBorders>
              <w:top w:val="single" w:color="auto" w:sz="4" w:space="0"/>
              <w:left w:val="single" w:color="auto" w:sz="4" w:space="0"/>
              <w:bottom w:val="single" w:color="auto" w:sz="4" w:space="0"/>
              <w:right w:val="single" w:color="auto" w:sz="4" w:space="0"/>
            </w:tcBorders>
            <w:vAlign w:val="center"/>
          </w:tcPr>
          <w:p w14:paraId="6B533DC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0.04%</w:t>
            </w:r>
          </w:p>
        </w:tc>
        <w:tc>
          <w:tcPr>
            <w:tcW w:w="2088" w:type="dxa"/>
            <w:tcBorders>
              <w:top w:val="single" w:color="auto" w:sz="4" w:space="0"/>
              <w:left w:val="single" w:color="auto" w:sz="4" w:space="0"/>
              <w:bottom w:val="single" w:color="auto" w:sz="4" w:space="0"/>
              <w:right w:val="single" w:color="auto" w:sz="4" w:space="0"/>
            </w:tcBorders>
            <w:vAlign w:val="center"/>
          </w:tcPr>
          <w:p w14:paraId="547F0697">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0.04%</w:t>
            </w:r>
          </w:p>
        </w:tc>
        <w:tc>
          <w:tcPr>
            <w:tcW w:w="1896" w:type="dxa"/>
            <w:tcBorders>
              <w:top w:val="single" w:color="auto" w:sz="4" w:space="0"/>
              <w:left w:val="single" w:color="auto" w:sz="4" w:space="0"/>
              <w:bottom w:val="single" w:color="auto" w:sz="4" w:space="0"/>
              <w:right w:val="single" w:color="auto" w:sz="4" w:space="0"/>
            </w:tcBorders>
            <w:vAlign w:val="center"/>
          </w:tcPr>
          <w:p w14:paraId="0AC92DAA">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0.04%</w:t>
            </w:r>
          </w:p>
        </w:tc>
      </w:tr>
    </w:tbl>
    <w:p w14:paraId="4C405F3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33.需要补充的其他内容</w:t>
      </w:r>
    </w:p>
    <w:p w14:paraId="0EB9BA17">
      <w:pPr>
        <w:pStyle w:val="20"/>
        <w:spacing w:line="360" w:lineRule="auto"/>
        <w:ind w:firstLine="420" w:firstLineChars="200"/>
        <w:textAlignment w:val="center"/>
        <w:rPr>
          <w:rFonts w:hint="eastAsia" w:ascii="仿宋" w:hAnsi="仿宋" w:eastAsia="仿宋" w:cs="仿宋"/>
          <w:color w:val="auto"/>
          <w:kern w:val="2"/>
          <w:sz w:val="21"/>
          <w:highlight w:val="none"/>
        </w:rPr>
      </w:pPr>
      <w:r>
        <w:rPr>
          <w:rFonts w:hint="eastAsia" w:ascii="仿宋" w:hAnsi="仿宋" w:eastAsia="仿宋" w:cs="仿宋"/>
          <w:color w:val="auto"/>
          <w:kern w:val="2"/>
          <w:sz w:val="21"/>
          <w:highlight w:val="none"/>
        </w:rPr>
        <w:t>33.1本磋商文件解释规则详见“供应商须知前附表”。</w:t>
      </w:r>
    </w:p>
    <w:p w14:paraId="6DE6AD23">
      <w:pPr>
        <w:pStyle w:val="20"/>
        <w:spacing w:line="360" w:lineRule="auto"/>
        <w:ind w:firstLine="420" w:firstLineChars="200"/>
        <w:textAlignment w:val="center"/>
        <w:rPr>
          <w:rFonts w:hint="eastAsia" w:ascii="仿宋" w:hAnsi="仿宋" w:eastAsia="仿宋" w:cs="仿宋"/>
          <w:color w:val="auto"/>
          <w:kern w:val="2"/>
          <w:sz w:val="21"/>
          <w:highlight w:val="none"/>
        </w:rPr>
      </w:pPr>
      <w:r>
        <w:rPr>
          <w:rFonts w:hint="eastAsia" w:ascii="仿宋" w:hAnsi="仿宋" w:eastAsia="仿宋" w:cs="仿宋"/>
          <w:color w:val="auto"/>
          <w:kern w:val="2"/>
          <w:sz w:val="21"/>
          <w:highlight w:val="none"/>
        </w:rPr>
        <w:t>33.2其他事项详见“供应商须知前附表”。</w:t>
      </w:r>
    </w:p>
    <w:p w14:paraId="447B0A76">
      <w:pPr>
        <w:pStyle w:val="20"/>
        <w:spacing w:line="360" w:lineRule="auto"/>
        <w:ind w:firstLine="420" w:firstLineChars="200"/>
        <w:textAlignment w:val="center"/>
        <w:rPr>
          <w:rFonts w:hint="eastAsia" w:ascii="仿宋" w:hAnsi="仿宋" w:eastAsia="仿宋" w:cs="仿宋"/>
          <w:color w:val="auto"/>
          <w:kern w:val="2"/>
          <w:sz w:val="21"/>
          <w:highlight w:val="none"/>
        </w:rPr>
      </w:pPr>
      <w:r>
        <w:rPr>
          <w:rFonts w:hint="eastAsia" w:ascii="仿宋" w:hAnsi="仿宋" w:eastAsia="仿宋" w:cs="仿宋"/>
          <w:color w:val="auto"/>
          <w:kern w:val="2"/>
          <w:sz w:val="21"/>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98B4571">
      <w:pPr>
        <w:pStyle w:val="20"/>
        <w:spacing w:line="360" w:lineRule="auto"/>
        <w:ind w:firstLine="420" w:firstLineChars="200"/>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（1）在货物采购项目中，货物由中小企业制造，即货物由中小企业生产且使用该中小企业商号或者注册商标，不对其中涉及的工程承建商和服务的承接商作出要求；</w:t>
      </w:r>
    </w:p>
    <w:p w14:paraId="16CCA6F4">
      <w:pPr>
        <w:pStyle w:val="20"/>
        <w:spacing w:line="360" w:lineRule="auto"/>
        <w:ind w:firstLine="420" w:firstLineChars="200"/>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（2）在工程采购项目中，工程由中小企业承建，即工程施工单位为中小企业，不对其中涉及的货物的制造商和服务的承接商作出要求；</w:t>
      </w:r>
    </w:p>
    <w:p w14:paraId="0B746E05">
      <w:pPr>
        <w:pStyle w:val="20"/>
        <w:spacing w:line="360" w:lineRule="auto"/>
        <w:ind w:firstLine="420" w:firstLineChars="200"/>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CA54A00">
      <w:pPr>
        <w:pStyle w:val="20"/>
        <w:spacing w:line="360" w:lineRule="auto"/>
        <w:ind w:firstLine="420" w:firstLineChars="200"/>
        <w:textAlignment w:val="center"/>
        <w:rPr>
          <w:rFonts w:hint="eastAsia" w:ascii="仿宋" w:hAnsi="仿宋" w:eastAsia="仿宋" w:cs="仿宋"/>
          <w:color w:val="auto"/>
          <w:kern w:val="2"/>
          <w:sz w:val="21"/>
          <w:highlight w:val="none"/>
        </w:rPr>
      </w:pPr>
      <w:r>
        <w:rPr>
          <w:rFonts w:hint="eastAsia" w:ascii="仿宋" w:hAnsi="仿宋" w:eastAsia="仿宋" w:cs="仿宋"/>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7D31226">
      <w:pPr>
        <w:pStyle w:val="20"/>
        <w:spacing w:line="360" w:lineRule="auto"/>
        <w:ind w:firstLine="420" w:firstLineChars="200"/>
        <w:textAlignment w:val="center"/>
        <w:rPr>
          <w:rFonts w:hint="eastAsia" w:ascii="仿宋" w:hAnsi="仿宋" w:eastAsia="仿宋" w:cs="仿宋"/>
          <w:color w:val="auto"/>
          <w:kern w:val="2"/>
          <w:sz w:val="21"/>
          <w:highlight w:val="none"/>
        </w:rPr>
      </w:pPr>
      <w:r>
        <w:rPr>
          <w:rFonts w:hint="eastAsia" w:ascii="仿宋" w:hAnsi="仿宋" w:eastAsia="仿宋" w:cs="仿宋"/>
          <w:color w:val="auto"/>
          <w:kern w:val="2"/>
          <w:sz w:val="21"/>
          <w:highlight w:val="none"/>
        </w:rPr>
        <w:t>依据本磋商文件规定享受扶持政策获得政府采购合同的，小微企业不得将合同分包给大中型企业，中型企业不得将合同分包给大型企业。</w:t>
      </w:r>
    </w:p>
    <w:p w14:paraId="01B47A18">
      <w:pPr>
        <w:pStyle w:val="17"/>
        <w:ind w:firstLine="1126"/>
        <w:rPr>
          <w:rFonts w:hint="eastAsia" w:ascii="仿宋" w:hAnsi="仿宋" w:eastAsia="仿宋" w:cs="仿宋"/>
          <w:color w:val="auto"/>
          <w:szCs w:val="21"/>
          <w:highlight w:val="none"/>
        </w:rPr>
      </w:pPr>
      <w:r>
        <w:rPr>
          <w:rFonts w:hint="eastAsia" w:ascii="仿宋" w:hAnsi="仿宋" w:eastAsia="仿宋" w:cs="仿宋"/>
          <w:color w:val="auto"/>
          <w:highlight w:val="none"/>
        </w:rPr>
        <w:br w:type="page"/>
      </w:r>
    </w:p>
    <w:p w14:paraId="5F2180EA">
      <w:pPr>
        <w:pStyle w:val="20"/>
        <w:snapToGrid w:val="0"/>
        <w:spacing w:line="360" w:lineRule="auto"/>
        <w:ind w:left="840" w:hanging="420"/>
        <w:rPr>
          <w:rFonts w:hint="eastAsia" w:ascii="仿宋" w:hAnsi="仿宋" w:eastAsia="仿宋" w:cs="仿宋"/>
          <w:color w:val="auto"/>
          <w:highlight w:val="none"/>
        </w:rPr>
      </w:pPr>
      <w:r>
        <w:rPr>
          <w:rFonts w:hint="eastAsia" w:ascii="仿宋" w:hAnsi="仿宋" w:eastAsia="仿宋" w:cs="仿宋"/>
          <w:bCs/>
          <w:color w:val="auto"/>
          <w:sz w:val="32"/>
          <w:szCs w:val="32"/>
          <w:highlight w:val="none"/>
        </w:rPr>
        <w:t>附件1：</w:t>
      </w:r>
    </w:p>
    <w:p w14:paraId="3A92C5B9">
      <w:pPr>
        <w:widowControl/>
        <w:shd w:val="clear" w:color="auto" w:fill="FFFFFF"/>
        <w:spacing w:line="480" w:lineRule="atLeast"/>
        <w:jc w:val="center"/>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广西壮族自治区政府采购项目合同验收书（格式参考）</w:t>
      </w:r>
    </w:p>
    <w:p w14:paraId="5DB192FE">
      <w:pPr>
        <w:widowControl/>
        <w:shd w:val="clear" w:color="auto" w:fill="FFFFFF"/>
        <w:spacing w:line="480" w:lineRule="atLeast"/>
        <w:jc w:val="center"/>
        <w:rPr>
          <w:rFonts w:hint="eastAsia" w:ascii="仿宋" w:hAnsi="仿宋" w:eastAsia="仿宋" w:cs="仿宋"/>
          <w:color w:val="auto"/>
          <w:kern w:val="0"/>
          <w:sz w:val="32"/>
          <w:szCs w:val="32"/>
          <w:highlight w:val="none"/>
        </w:rPr>
      </w:pPr>
    </w:p>
    <w:p w14:paraId="2287C779">
      <w:pPr>
        <w:widowControl/>
        <w:shd w:val="clear" w:color="auto" w:fill="FFFFFF"/>
        <w:snapToGrid w:val="0"/>
        <w:spacing w:line="320" w:lineRule="atLeast"/>
        <w:ind w:firstLine="48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根据政府采购项目（</w:t>
      </w:r>
      <w:r>
        <w:rPr>
          <w:rFonts w:hint="eastAsia" w:ascii="仿宋" w:hAnsi="仿宋" w:eastAsia="仿宋" w:cs="仿宋"/>
          <w:color w:val="auto"/>
          <w:kern w:val="0"/>
          <w:szCs w:val="21"/>
          <w:highlight w:val="none"/>
          <w:u w:val="single"/>
        </w:rPr>
        <w:t>采购合同编号：</w:t>
      </w:r>
      <w:r>
        <w:rPr>
          <w:rFonts w:hint="eastAsia" w:ascii="仿宋" w:hAnsi="仿宋" w:eastAsia="仿宋" w:cs="仿宋"/>
          <w:color w:val="auto"/>
          <w:kern w:val="0"/>
          <w:szCs w:val="21"/>
          <w:highlight w:val="none"/>
          <w:u w:val="single"/>
        </w:rPr>
        <w:softHyphen/>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）的约定，我单位对（</w:t>
      </w:r>
      <w:r>
        <w:rPr>
          <w:rFonts w:hint="eastAsia" w:ascii="仿宋" w:hAnsi="仿宋" w:eastAsia="仿宋" w:cs="仿宋"/>
          <w:color w:val="auto"/>
          <w:kern w:val="0"/>
          <w:szCs w:val="21"/>
          <w:highlight w:val="none"/>
          <w:u w:val="single"/>
        </w:rPr>
        <w:t xml:space="preserve"> 项目名称 </w:t>
      </w:r>
      <w:r>
        <w:rPr>
          <w:rFonts w:hint="eastAsia" w:ascii="仿宋" w:hAnsi="仿宋" w:eastAsia="仿宋" w:cs="仿宋"/>
          <w:color w:val="auto"/>
          <w:kern w:val="0"/>
          <w:szCs w:val="21"/>
          <w:highlight w:val="none"/>
        </w:rPr>
        <w:t>） 政府采购项目成交供应商（</w:t>
      </w:r>
      <w:r>
        <w:rPr>
          <w:rFonts w:hint="eastAsia" w:ascii="仿宋" w:hAnsi="仿宋" w:eastAsia="仿宋" w:cs="仿宋"/>
          <w:color w:val="auto"/>
          <w:kern w:val="0"/>
          <w:szCs w:val="21"/>
          <w:highlight w:val="none"/>
          <w:u w:val="single"/>
        </w:rPr>
        <w:t xml:space="preserve"> 公司名称 </w:t>
      </w:r>
      <w:r>
        <w:rPr>
          <w:rFonts w:hint="eastAsia" w:ascii="仿宋" w:hAnsi="仿宋" w:eastAsia="仿宋" w:cs="仿宋"/>
          <w:color w:val="auto"/>
          <w:kern w:val="0"/>
          <w:szCs w:val="21"/>
          <w:highlight w:val="none"/>
        </w:rPr>
        <w:t>） 提供的货物（或者工程、服务）进行了验收，验收情况如下：</w:t>
      </w:r>
    </w:p>
    <w:tbl>
      <w:tblPr>
        <w:tblStyle w:val="34"/>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CCF712F">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11EB271F">
            <w:pPr>
              <w:widowControl/>
              <w:snapToGrid w:val="0"/>
              <w:spacing w:before="100" w:beforeAutospacing="1" w:after="100" w:afterAutospacing="1" w:line="320" w:lineRule="atLeast"/>
              <w:ind w:firstLine="5"/>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40A3DB0D">
            <w:pPr>
              <w:widowControl/>
              <w:snapToGrid w:val="0"/>
              <w:spacing w:before="100" w:beforeAutospacing="1" w:after="100" w:afterAutospacing="1" w:line="320" w:lineRule="atLeas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□自行验收 □委托验收</w:t>
            </w:r>
          </w:p>
        </w:tc>
      </w:tr>
      <w:tr w14:paraId="3D261B5C">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485E3120">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39379D6A">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262501BC">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CA737F5">
            <w:pPr>
              <w:widowControl/>
              <w:snapToGrid w:val="0"/>
              <w:spacing w:before="100" w:beforeAutospacing="1" w:after="100" w:afterAutospacing="1" w:line="320" w:lineRule="atLeas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14B4C85C">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金额</w:t>
            </w:r>
          </w:p>
        </w:tc>
      </w:tr>
      <w:tr w14:paraId="0A29C58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2288741">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95E0EF7">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4988672">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1CE68C3">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89C71D4">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2E5D9F38">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16C010F">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2FDD3D9">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4BF5569">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27CA1D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D4100E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50CE33E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E14F87C">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3DA75EF">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E8FC8FE">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F48222C">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9CF84E6">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5BC9931E">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0AE051A9">
            <w:pPr>
              <w:widowControl/>
              <w:snapToGrid w:val="0"/>
              <w:spacing w:before="100" w:beforeAutospacing="1" w:after="100" w:afterAutospacing="1" w:line="320" w:lineRule="atLeast"/>
              <w:ind w:firstLine="5"/>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4F466DBF">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A3CC4CE">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50069D8D">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521E3658">
            <w:pPr>
              <w:widowControl/>
              <w:snapToGrid w:val="0"/>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合计大写金额：  仟  佰  拾  万  仟  佰  拾  元</w:t>
            </w:r>
          </w:p>
        </w:tc>
      </w:tr>
      <w:tr w14:paraId="49EFE6C3">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6F278F1">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651D6058">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3034AEE1">
            <w:pPr>
              <w:widowControl/>
              <w:snapToGrid w:val="0"/>
              <w:spacing w:before="100" w:beforeAutospacing="1" w:after="100" w:afterAutospacing="1" w:line="320" w:lineRule="atLeast"/>
              <w:ind w:firstLine="46"/>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23F0D5E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26C89E34">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703039A">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7884B38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4B060B52">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704C0202">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6094206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47CC61">
            <w:pPr>
              <w:widowControl/>
              <w:snapToGrid w:val="0"/>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C730457">
            <w:pPr>
              <w:widowControl/>
              <w:snapToGrid w:val="0"/>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ECCF067">
        <w:tblPrEx>
          <w:tblCellMar>
            <w:top w:w="0" w:type="dxa"/>
            <w:left w:w="0" w:type="dxa"/>
            <w:bottom w:w="0" w:type="dxa"/>
            <w:right w:w="0" w:type="dxa"/>
          </w:tblCellMar>
        </w:tblPrEx>
        <w:trPr>
          <w:trHeight w:val="870"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2A0EE1">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3F51FCA4">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验收结论性意见：</w:t>
            </w:r>
          </w:p>
        </w:tc>
      </w:tr>
      <w:tr w14:paraId="7D9B371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6B928D75">
            <w:pPr>
              <w:widowControl/>
              <w:jc w:val="left"/>
              <w:rPr>
                <w:rFonts w:hint="eastAsia" w:ascii="仿宋" w:hAnsi="仿宋" w:eastAsia="仿宋" w:cs="仿宋"/>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D65738E">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有异议的意见和说明理由：</w:t>
            </w:r>
          </w:p>
          <w:p w14:paraId="5A252F3A">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签字：</w:t>
            </w:r>
          </w:p>
        </w:tc>
      </w:tr>
      <w:tr w14:paraId="78FF1EF7">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0F8BA0">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验收小组成员签字：</w:t>
            </w:r>
          </w:p>
        </w:tc>
      </w:tr>
      <w:tr w14:paraId="7091FC0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D81098">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监督人员或者其他相关人员签字：</w:t>
            </w:r>
          </w:p>
          <w:p w14:paraId="32700B19">
            <w:pPr>
              <w:widowControl/>
              <w:spacing w:before="100" w:beforeAutospacing="1" w:after="100" w:afterAutospacing="1" w:line="320" w:lineRule="atLeast"/>
              <w:ind w:firstLine="74"/>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或者受邀机构的意见（盖章）：</w:t>
            </w:r>
          </w:p>
        </w:tc>
      </w:tr>
      <w:tr w14:paraId="6648F9EA">
        <w:tblPrEx>
          <w:tblCellMar>
            <w:top w:w="0" w:type="dxa"/>
            <w:left w:w="0" w:type="dxa"/>
            <w:bottom w:w="0" w:type="dxa"/>
            <w:right w:w="0" w:type="dxa"/>
          </w:tblCellMar>
        </w:tblPrEx>
        <w:trPr>
          <w:trHeight w:val="264"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204399BD">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成交供应商负责人签字或者盖章：</w:t>
            </w:r>
          </w:p>
          <w:p w14:paraId="230B38A6">
            <w:pPr>
              <w:widowControl/>
              <w:spacing w:before="100" w:beforeAutospacing="1" w:after="100" w:afterAutospacing="1" w:line="320" w:lineRule="atLeast"/>
              <w:jc w:val="left"/>
              <w:rPr>
                <w:rFonts w:hint="eastAsia" w:ascii="仿宋" w:hAnsi="仿宋" w:eastAsia="仿宋" w:cs="仿宋"/>
                <w:color w:val="auto"/>
                <w:kern w:val="0"/>
                <w:szCs w:val="21"/>
                <w:highlight w:val="none"/>
              </w:rPr>
            </w:pPr>
          </w:p>
          <w:p w14:paraId="07BD2D54">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21CD5599">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采购人或者受托机构的意见（盖章）：</w:t>
            </w:r>
          </w:p>
          <w:p w14:paraId="122D5B5B">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p>
          <w:p w14:paraId="4FC2CA29">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联系电话：                  年  月  日</w:t>
            </w:r>
          </w:p>
        </w:tc>
      </w:tr>
    </w:tbl>
    <w:p w14:paraId="729397A4">
      <w:pPr>
        <w:pStyle w:val="20"/>
        <w:snapToGrid w:val="0"/>
        <w:ind w:left="840" w:hanging="42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C83D5BE">
      <w:pPr>
        <w:pStyle w:val="20"/>
        <w:snapToGrid w:val="0"/>
        <w:ind w:left="1060" w:hanging="640"/>
        <w:rPr>
          <w:rFonts w:hint="eastAsia" w:ascii="仿宋" w:hAnsi="仿宋" w:eastAsia="仿宋" w:cs="仿宋"/>
          <w:color w:val="auto"/>
          <w:sz w:val="32"/>
          <w:szCs w:val="32"/>
          <w:highlight w:val="none"/>
        </w:rPr>
      </w:pPr>
    </w:p>
    <w:p w14:paraId="6BD639A2">
      <w:pPr>
        <w:pStyle w:val="20"/>
        <w:snapToGrid w:val="0"/>
        <w:ind w:left="1060" w:hanging="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附件2：</w:t>
      </w:r>
    </w:p>
    <w:p w14:paraId="33FBC0ED">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政府采购项目履约保证金退付意见书</w:t>
      </w:r>
    </w:p>
    <w:p w14:paraId="093C5297">
      <w:pPr>
        <w:jc w:val="center"/>
        <w:rPr>
          <w:rFonts w:hint="eastAsia" w:ascii="仿宋" w:hAnsi="仿宋" w:eastAsia="仿宋" w:cs="仿宋"/>
          <w:color w:val="auto"/>
          <w:sz w:val="36"/>
          <w:szCs w:val="36"/>
          <w:highlight w:val="none"/>
        </w:rPr>
      </w:pPr>
      <w:r>
        <w:rPr>
          <w:rFonts w:hint="eastAsia" w:ascii="仿宋" w:hAnsi="仿宋" w:eastAsia="仿宋" w:cs="仿宋"/>
          <w:b/>
          <w:bCs/>
          <w:color w:val="auto"/>
          <w:kern w:val="0"/>
          <w:sz w:val="18"/>
          <w:szCs w:val="18"/>
          <w:highlight w:val="none"/>
        </w:rPr>
        <w:t>（本项目如有，可以参考使用）</w:t>
      </w:r>
    </w:p>
    <w:tbl>
      <w:tblPr>
        <w:tblStyle w:val="34"/>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7FE0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76DCDD6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w:t>
            </w:r>
          </w:p>
          <w:p w14:paraId="68D448B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应</w:t>
            </w:r>
          </w:p>
          <w:p w14:paraId="38316B2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w:t>
            </w:r>
          </w:p>
          <w:p w14:paraId="474D053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申</w:t>
            </w:r>
          </w:p>
          <w:p w14:paraId="16B94AB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请</w:t>
            </w:r>
          </w:p>
        </w:tc>
        <w:tc>
          <w:tcPr>
            <w:tcW w:w="8009" w:type="dxa"/>
            <w:vAlign w:val="center"/>
          </w:tcPr>
          <w:p w14:paraId="230050E3">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c>
      </w:tr>
      <w:tr w14:paraId="3AF5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3E61ED37">
            <w:pPr>
              <w:rPr>
                <w:rFonts w:hint="eastAsia" w:ascii="仿宋" w:hAnsi="仿宋" w:eastAsia="仿宋" w:cs="仿宋"/>
                <w:color w:val="auto"/>
                <w:sz w:val="24"/>
                <w:highlight w:val="none"/>
              </w:rPr>
            </w:pPr>
          </w:p>
        </w:tc>
        <w:tc>
          <w:tcPr>
            <w:tcW w:w="8009" w:type="dxa"/>
            <w:vAlign w:val="center"/>
          </w:tcPr>
          <w:p w14:paraId="35AD0BC6">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r>
      <w:tr w14:paraId="2AC2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5EDBE152">
            <w:pPr>
              <w:rPr>
                <w:rFonts w:hint="eastAsia" w:ascii="仿宋" w:hAnsi="仿宋" w:eastAsia="仿宋" w:cs="仿宋"/>
                <w:color w:val="auto"/>
                <w:sz w:val="24"/>
                <w:highlight w:val="none"/>
              </w:rPr>
            </w:pPr>
          </w:p>
        </w:tc>
        <w:tc>
          <w:tcPr>
            <w:tcW w:w="8009" w:type="dxa"/>
          </w:tcPr>
          <w:p w14:paraId="217F4A1D">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F64E2E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该项目已于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日验收并交付。根据合同规定，该项目的履约保证金期限于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日已满，请将履约保证金</w:t>
            </w:r>
          </w:p>
          <w:p w14:paraId="63B79479">
            <w:pP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（小写）退付到达以下帐户。</w:t>
            </w:r>
          </w:p>
          <w:p w14:paraId="1191998A">
            <w:pP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w:t>
            </w:r>
          </w:p>
          <w:p w14:paraId="7327767A">
            <w:pPr>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p w14:paraId="460EBAB4">
            <w:pPr>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p>
          <w:p w14:paraId="700A7238">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联系人及电话：</w:t>
            </w:r>
          </w:p>
          <w:p w14:paraId="5B14209A">
            <w:pPr>
              <w:rPr>
                <w:rFonts w:hint="eastAsia" w:ascii="仿宋" w:hAnsi="仿宋" w:eastAsia="仿宋" w:cs="仿宋"/>
                <w:color w:val="auto"/>
                <w:sz w:val="24"/>
                <w:highlight w:val="none"/>
              </w:rPr>
            </w:pPr>
          </w:p>
          <w:p w14:paraId="22F3B71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供应商公章：</w:t>
            </w:r>
          </w:p>
          <w:p w14:paraId="4AF07B0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tr w14:paraId="4FF8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1E9AB18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w:t>
            </w:r>
          </w:p>
          <w:p w14:paraId="0213792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购</w:t>
            </w:r>
          </w:p>
          <w:p w14:paraId="106527A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w:t>
            </w:r>
          </w:p>
          <w:p w14:paraId="772019A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位</w:t>
            </w:r>
          </w:p>
          <w:p w14:paraId="3679565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意</w:t>
            </w:r>
          </w:p>
          <w:p w14:paraId="3DF2DB8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p>
        </w:tc>
        <w:tc>
          <w:tcPr>
            <w:tcW w:w="8009" w:type="dxa"/>
          </w:tcPr>
          <w:p w14:paraId="1DA47957">
            <w:pPr>
              <w:rPr>
                <w:rFonts w:hint="eastAsia" w:ascii="仿宋" w:hAnsi="仿宋" w:eastAsia="仿宋" w:cs="仿宋"/>
                <w:color w:val="auto"/>
                <w:sz w:val="24"/>
                <w:highlight w:val="none"/>
              </w:rPr>
            </w:pPr>
          </w:p>
          <w:p w14:paraId="4F7453C3">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退付意见：是否同意退付履约保证金及退付金额：</w:t>
            </w:r>
          </w:p>
          <w:p w14:paraId="71BFA534">
            <w:pPr>
              <w:rPr>
                <w:rFonts w:hint="eastAsia" w:ascii="仿宋" w:hAnsi="仿宋" w:eastAsia="仿宋" w:cs="仿宋"/>
                <w:color w:val="auto"/>
                <w:sz w:val="24"/>
                <w:highlight w:val="none"/>
              </w:rPr>
            </w:pPr>
          </w:p>
          <w:p w14:paraId="784213DC">
            <w:pPr>
              <w:rPr>
                <w:rFonts w:hint="eastAsia" w:ascii="仿宋" w:hAnsi="仿宋" w:eastAsia="仿宋" w:cs="仿宋"/>
                <w:color w:val="auto"/>
                <w:sz w:val="24"/>
                <w:highlight w:val="none"/>
              </w:rPr>
            </w:pPr>
          </w:p>
          <w:p w14:paraId="1669BF34">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联系人及电话：                                </w:t>
            </w:r>
          </w:p>
          <w:p w14:paraId="25FD4278">
            <w:pPr>
              <w:rPr>
                <w:rFonts w:hint="eastAsia" w:ascii="仿宋" w:hAnsi="仿宋" w:eastAsia="仿宋" w:cs="仿宋"/>
                <w:color w:val="auto"/>
                <w:sz w:val="24"/>
                <w:highlight w:val="none"/>
              </w:rPr>
            </w:pPr>
          </w:p>
          <w:p w14:paraId="3EF19588">
            <w:pPr>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采购单位公章：</w:t>
            </w:r>
          </w:p>
          <w:p w14:paraId="21DEC15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tr w14:paraId="5EC6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42C6057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财</w:t>
            </w:r>
          </w:p>
          <w:p w14:paraId="72E3B9E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务</w:t>
            </w:r>
          </w:p>
          <w:p w14:paraId="6FF417A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部</w:t>
            </w:r>
          </w:p>
          <w:p w14:paraId="37B5D10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门</w:t>
            </w:r>
          </w:p>
          <w:p w14:paraId="33407A4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意</w:t>
            </w:r>
          </w:p>
          <w:p w14:paraId="44F5C42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p>
        </w:tc>
        <w:tc>
          <w:tcPr>
            <w:tcW w:w="8009" w:type="dxa"/>
          </w:tcPr>
          <w:p w14:paraId="24E664B0">
            <w:pPr>
              <w:rPr>
                <w:rFonts w:hint="eastAsia" w:ascii="仿宋" w:hAnsi="仿宋" w:eastAsia="仿宋" w:cs="仿宋"/>
                <w:color w:val="auto"/>
                <w:sz w:val="24"/>
                <w:highlight w:val="none"/>
              </w:rPr>
            </w:pPr>
            <w:r>
              <w:rPr>
                <w:rFonts w:hint="eastAsia" w:ascii="仿宋" w:hAnsi="仿宋" w:eastAsia="仿宋" w:cs="仿宋"/>
                <w:color w:val="auto"/>
                <w:sz w:val="24"/>
                <w:highlight w:val="none"/>
              </w:rPr>
              <w:t>此表于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日收到。</w:t>
            </w:r>
          </w:p>
          <w:p w14:paraId="3138566A">
            <w:pPr>
              <w:rPr>
                <w:rFonts w:hint="eastAsia" w:ascii="仿宋" w:hAnsi="仿宋" w:eastAsia="仿宋" w:cs="仿宋"/>
                <w:color w:val="auto"/>
                <w:sz w:val="24"/>
                <w:highlight w:val="none"/>
              </w:rPr>
            </w:pPr>
          </w:p>
          <w:p w14:paraId="41D93A0F">
            <w:pPr>
              <w:rPr>
                <w:rFonts w:hint="eastAsia" w:ascii="仿宋" w:hAnsi="仿宋" w:eastAsia="仿宋" w:cs="仿宋"/>
                <w:color w:val="auto"/>
                <w:sz w:val="24"/>
                <w:highlight w:val="none"/>
              </w:rPr>
            </w:pPr>
            <w:r>
              <w:rPr>
                <w:rFonts w:hint="eastAsia" w:ascii="仿宋" w:hAnsi="仿宋" w:eastAsia="仿宋" w:cs="仿宋"/>
                <w:color w:val="auto"/>
                <w:sz w:val="24"/>
                <w:highlight w:val="none"/>
              </w:rPr>
              <w:t>会计审核：</w:t>
            </w:r>
          </w:p>
          <w:p w14:paraId="47FB0339">
            <w:pPr>
              <w:rPr>
                <w:rFonts w:hint="eastAsia" w:ascii="仿宋" w:hAnsi="仿宋" w:eastAsia="仿宋" w:cs="仿宋"/>
                <w:color w:val="auto"/>
                <w:sz w:val="24"/>
                <w:highlight w:val="none"/>
              </w:rPr>
            </w:pPr>
          </w:p>
          <w:p w14:paraId="7D32CA2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财务负责人审核：</w:t>
            </w:r>
          </w:p>
          <w:p w14:paraId="3247FC22">
            <w:pPr>
              <w:rPr>
                <w:rFonts w:hint="eastAsia" w:ascii="仿宋" w:hAnsi="仿宋" w:eastAsia="仿宋" w:cs="仿宋"/>
                <w:color w:val="auto"/>
                <w:sz w:val="24"/>
                <w:highlight w:val="none"/>
              </w:rPr>
            </w:pPr>
          </w:p>
          <w:p w14:paraId="78DA5AFA">
            <w:pP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单位负责人签字：</w:t>
            </w:r>
          </w:p>
          <w:p w14:paraId="492EC255">
            <w:pPr>
              <w:rPr>
                <w:rFonts w:hint="eastAsia" w:ascii="仿宋" w:hAnsi="仿宋" w:eastAsia="仿宋" w:cs="仿宋"/>
                <w:color w:val="auto"/>
                <w:sz w:val="24"/>
                <w:highlight w:val="none"/>
              </w:rPr>
            </w:pPr>
          </w:p>
          <w:p w14:paraId="779C2D6D">
            <w:pPr>
              <w:rPr>
                <w:rFonts w:hint="eastAsia" w:ascii="仿宋" w:hAnsi="仿宋" w:eastAsia="仿宋" w:cs="仿宋"/>
                <w:color w:val="auto"/>
                <w:sz w:val="24"/>
                <w:highlight w:val="none"/>
              </w:rPr>
            </w:pPr>
            <w:r>
              <w:rPr>
                <w:rFonts w:hint="eastAsia" w:ascii="仿宋" w:hAnsi="仿宋" w:eastAsia="仿宋" w:cs="仿宋"/>
                <w:color w:val="auto"/>
                <w:sz w:val="24"/>
                <w:highlight w:val="none"/>
              </w:rPr>
              <w:t>出纳办理转帐日期：</w:t>
            </w:r>
          </w:p>
        </w:tc>
      </w:tr>
    </w:tbl>
    <w:p w14:paraId="4959CD7B">
      <w:pPr>
        <w:pStyle w:val="16"/>
        <w:ind w:left="1" w:firstLine="2" w:firstLineChars="1"/>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注：供应商凭经采购单位审批的退付意见书到履约保证金收取单位财务部门办理履约保证金退付事宜。</w:t>
      </w:r>
    </w:p>
    <w:p w14:paraId="450967BA">
      <w:pPr>
        <w:pStyle w:val="20"/>
        <w:spacing w:line="360" w:lineRule="auto"/>
        <w:ind w:firstLine="402" w:firstLineChars="200"/>
        <w:textAlignment w:val="center"/>
        <w:rPr>
          <w:rFonts w:hint="eastAsia" w:ascii="仿宋" w:hAnsi="仿宋" w:eastAsia="仿宋" w:cs="仿宋"/>
          <w:b/>
          <w:color w:val="auto"/>
          <w:sz w:val="32"/>
          <w:szCs w:val="32"/>
          <w:highlight w:val="none"/>
        </w:rPr>
      </w:pPr>
      <w:r>
        <w:rPr>
          <w:rFonts w:hint="eastAsia" w:ascii="仿宋" w:hAnsi="仿宋" w:eastAsia="仿宋" w:cs="仿宋"/>
          <w:b/>
          <w:color w:val="auto"/>
          <w:highlight w:val="none"/>
        </w:rPr>
        <w:br w:type="page"/>
      </w:r>
    </w:p>
    <w:p w14:paraId="4698EC66">
      <w:pPr>
        <w:jc w:val="center"/>
        <w:outlineLvl w:val="0"/>
        <w:rPr>
          <w:rFonts w:hint="eastAsia" w:ascii="仿宋" w:hAnsi="仿宋" w:eastAsia="仿宋" w:cs="仿宋"/>
          <w:b/>
          <w:bCs/>
          <w:color w:val="auto"/>
          <w:sz w:val="44"/>
          <w:szCs w:val="44"/>
          <w:highlight w:val="none"/>
        </w:rPr>
      </w:pPr>
      <w:bookmarkStart w:id="62" w:name="_Toc151675538"/>
      <w:r>
        <w:rPr>
          <w:rFonts w:hint="eastAsia" w:ascii="仿宋" w:hAnsi="仿宋" w:eastAsia="仿宋" w:cs="仿宋"/>
          <w:b/>
          <w:bCs/>
          <w:color w:val="auto"/>
          <w:sz w:val="44"/>
          <w:szCs w:val="44"/>
          <w:highlight w:val="none"/>
        </w:rPr>
        <w:t>“政采贷”政策告知函</w:t>
      </w:r>
    </w:p>
    <w:p w14:paraId="6370041F">
      <w:pPr>
        <w:spacing w:line="46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各供应商</w:t>
      </w:r>
      <w:r>
        <w:rPr>
          <w:rFonts w:hint="eastAsia" w:ascii="仿宋" w:hAnsi="仿宋" w:eastAsia="仿宋" w:cs="仿宋"/>
          <w:color w:val="auto"/>
          <w:szCs w:val="21"/>
          <w:highlight w:val="none"/>
          <w:lang w:eastAsia="zh-CN"/>
        </w:rPr>
        <w:t>：</w:t>
      </w:r>
    </w:p>
    <w:p w14:paraId="7E5836E1">
      <w:pPr>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欢迎贵公司参与贺州市政府采购活动!</w:t>
      </w:r>
    </w:p>
    <w:p w14:paraId="54D369A1">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0ADC6160">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一、“政采贷”操作流程</w:t>
      </w:r>
    </w:p>
    <w:p w14:paraId="4149FB66">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进入“广西政府采购网”（</w:t>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"http://zfcg.gxzf.gov.cn/" </w:instrText>
      </w:r>
      <w:r>
        <w:rPr>
          <w:rFonts w:hint="eastAsia" w:ascii="仿宋" w:hAnsi="仿宋" w:eastAsia="仿宋" w:cs="仿宋"/>
          <w:color w:val="auto"/>
          <w:szCs w:val="21"/>
          <w:highlight w:val="none"/>
        </w:rPr>
        <w:fldChar w:fldCharType="separate"/>
      </w:r>
      <w:r>
        <w:rPr>
          <w:rStyle w:val="41"/>
          <w:rFonts w:hint="eastAsia" w:ascii="仿宋" w:hAnsi="仿宋" w:eastAsia="仿宋" w:cs="仿宋"/>
          <w:color w:val="auto"/>
          <w:szCs w:val="21"/>
          <w:highlight w:val="none"/>
        </w:rPr>
        <w:t>http</w:t>
      </w:r>
      <w:r>
        <w:rPr>
          <w:rStyle w:val="41"/>
          <w:rFonts w:hint="eastAsia" w:ascii="仿宋" w:hAnsi="仿宋" w:eastAsia="仿宋" w:cs="仿宋"/>
          <w:color w:val="auto"/>
          <w:szCs w:val="21"/>
          <w:highlight w:val="none"/>
          <w:lang w:eastAsia="zh-CN"/>
        </w:rPr>
        <w:t>：</w:t>
      </w:r>
      <w:r>
        <w:rPr>
          <w:rStyle w:val="41"/>
          <w:rFonts w:hint="eastAsia" w:ascii="仿宋" w:hAnsi="仿宋" w:eastAsia="仿宋" w:cs="仿宋"/>
          <w:color w:val="auto"/>
          <w:szCs w:val="21"/>
          <w:highlight w:val="none"/>
        </w:rPr>
        <w:t>//zfcg.gxzf.gov.cn/</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办事指南”专栏找到“金融融资”板块，进入“广西政府采购金融服务平台”登录，选择试点银行机构进行合同融资预申请。（详情请按照《贺州市财政局关于进一步推行“政采贷”工作的通知》（贺财采〔2024〕3号）文件执行）</w:t>
      </w:r>
    </w:p>
    <w:p w14:paraId="7D2DDD11">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二、承接银行联系方式</w:t>
      </w:r>
    </w:p>
    <w:p w14:paraId="22BB7CE9">
      <w:pPr>
        <w:widowControl/>
        <w:adjustRightInd w:val="0"/>
        <w:snapToGrid w:val="0"/>
        <w:spacing w:line="4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1.中国建设银行贺州分行</w:t>
      </w:r>
      <w:r>
        <w:rPr>
          <w:rFonts w:hint="eastAsia" w:ascii="仿宋" w:hAnsi="仿宋" w:eastAsia="仿宋" w:cs="仿宋"/>
          <w:color w:val="auto"/>
          <w:sz w:val="22"/>
          <w:szCs w:val="22"/>
          <w:highlight w:val="none"/>
        </w:rPr>
        <w:tab/>
      </w:r>
    </w:p>
    <w:tbl>
      <w:tblPr>
        <w:tblStyle w:val="34"/>
        <w:tblpPr w:leftFromText="180" w:rightFromText="180" w:vertAnchor="text" w:horzAnchor="page" w:tblpX="1362" w:tblpY="142"/>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215"/>
        <w:gridCol w:w="1082"/>
        <w:gridCol w:w="1650"/>
        <w:gridCol w:w="1468"/>
        <w:gridCol w:w="2795"/>
      </w:tblGrid>
      <w:tr w14:paraId="0C0C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vAlign w:val="center"/>
          </w:tcPr>
          <w:p w14:paraId="5DF0B676">
            <w:pPr>
              <w:widowControl/>
              <w:tabs>
                <w:tab w:val="left" w:pos="2172"/>
              </w:tabs>
              <w:adjustRightInd w:val="0"/>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中国建设银行贺州分行 总协调人：杨宏毅  职务：公司业务部副总经理  手机号码：18077397188</w:t>
            </w:r>
          </w:p>
        </w:tc>
      </w:tr>
      <w:tr w14:paraId="563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Align w:val="center"/>
          </w:tcPr>
          <w:p w14:paraId="75144C9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 w:val="24"/>
                <w:highlight w:val="none"/>
                <w:lang w:bidi="ar"/>
              </w:rPr>
              <w:t>序号</w:t>
            </w:r>
          </w:p>
        </w:tc>
        <w:tc>
          <w:tcPr>
            <w:tcW w:w="2215" w:type="dxa"/>
            <w:vAlign w:val="center"/>
          </w:tcPr>
          <w:p w14:paraId="2C2AB0ED">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金融机构</w:t>
            </w:r>
          </w:p>
        </w:tc>
        <w:tc>
          <w:tcPr>
            <w:tcW w:w="1082" w:type="dxa"/>
            <w:vAlign w:val="center"/>
          </w:tcPr>
          <w:p w14:paraId="672625D2">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1650" w:type="dxa"/>
            <w:vAlign w:val="center"/>
          </w:tcPr>
          <w:p w14:paraId="304C096E">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68" w:type="dxa"/>
            <w:vAlign w:val="center"/>
          </w:tcPr>
          <w:p w14:paraId="5CF74EA4">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手机号码</w:t>
            </w:r>
          </w:p>
        </w:tc>
        <w:tc>
          <w:tcPr>
            <w:tcW w:w="2795" w:type="dxa"/>
            <w:vAlign w:val="center"/>
          </w:tcPr>
          <w:p w14:paraId="37F425D6">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银行地址</w:t>
            </w:r>
          </w:p>
        </w:tc>
      </w:tr>
      <w:tr w14:paraId="01CD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vAlign w:val="center"/>
          </w:tcPr>
          <w:p w14:paraId="47140B0C">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1</w:t>
            </w:r>
          </w:p>
        </w:tc>
        <w:tc>
          <w:tcPr>
            <w:tcW w:w="2215" w:type="dxa"/>
            <w:vAlign w:val="center"/>
          </w:tcPr>
          <w:p w14:paraId="01704C85">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中国建设银行贺州平桂支行</w:t>
            </w:r>
          </w:p>
        </w:tc>
        <w:tc>
          <w:tcPr>
            <w:tcW w:w="1082" w:type="dxa"/>
            <w:vAlign w:val="center"/>
          </w:tcPr>
          <w:p w14:paraId="04506781">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邱  伟</w:t>
            </w:r>
          </w:p>
        </w:tc>
        <w:tc>
          <w:tcPr>
            <w:tcW w:w="1650" w:type="dxa"/>
            <w:vAlign w:val="center"/>
          </w:tcPr>
          <w:p w14:paraId="5D3830C4">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客户经理</w:t>
            </w:r>
          </w:p>
        </w:tc>
        <w:tc>
          <w:tcPr>
            <w:tcW w:w="1468" w:type="dxa"/>
            <w:vAlign w:val="center"/>
          </w:tcPr>
          <w:p w14:paraId="1265E1DA">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18007840720</w:t>
            </w:r>
          </w:p>
        </w:tc>
        <w:tc>
          <w:tcPr>
            <w:tcW w:w="2795" w:type="dxa"/>
            <w:vAlign w:val="center"/>
          </w:tcPr>
          <w:p w14:paraId="22B47763">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贺州市平桂区平桂大道15号富旺小区1号楼105号商铺</w:t>
            </w:r>
          </w:p>
        </w:tc>
      </w:tr>
    </w:tbl>
    <w:p w14:paraId="7D2B9BCE">
      <w:pPr>
        <w:widowControl/>
        <w:adjustRightInd w:val="0"/>
        <w:snapToGrid w:val="0"/>
        <w:spacing w:line="4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2.广西北部湾银行</w:t>
      </w:r>
    </w:p>
    <w:tbl>
      <w:tblPr>
        <w:tblStyle w:val="34"/>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711"/>
        <w:gridCol w:w="868"/>
        <w:gridCol w:w="1135"/>
        <w:gridCol w:w="1768"/>
        <w:gridCol w:w="2584"/>
      </w:tblGrid>
      <w:tr w14:paraId="046A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vAlign w:val="center"/>
          </w:tcPr>
          <w:p w14:paraId="76E151BB">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广西北部湾银行贺州分行 总协调人：杨政  职务：普惠金融部总经理  手机号码：18978413000</w:t>
            </w:r>
          </w:p>
        </w:tc>
      </w:tr>
      <w:tr w14:paraId="6F4A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Align w:val="center"/>
          </w:tcPr>
          <w:p w14:paraId="6281A67B">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序号</w:t>
            </w:r>
          </w:p>
        </w:tc>
        <w:tc>
          <w:tcPr>
            <w:tcW w:w="2711" w:type="dxa"/>
            <w:vAlign w:val="center"/>
          </w:tcPr>
          <w:p w14:paraId="30E52503">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金融机构</w:t>
            </w:r>
          </w:p>
        </w:tc>
        <w:tc>
          <w:tcPr>
            <w:tcW w:w="868" w:type="dxa"/>
            <w:vAlign w:val="center"/>
          </w:tcPr>
          <w:p w14:paraId="7F95CA71">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联系人</w:t>
            </w:r>
          </w:p>
        </w:tc>
        <w:tc>
          <w:tcPr>
            <w:tcW w:w="1135" w:type="dxa"/>
            <w:vAlign w:val="center"/>
          </w:tcPr>
          <w:p w14:paraId="4E9918A1">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职务</w:t>
            </w:r>
          </w:p>
        </w:tc>
        <w:tc>
          <w:tcPr>
            <w:tcW w:w="1768" w:type="dxa"/>
            <w:vAlign w:val="center"/>
          </w:tcPr>
          <w:p w14:paraId="5182571D">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手机号码</w:t>
            </w:r>
          </w:p>
        </w:tc>
        <w:tc>
          <w:tcPr>
            <w:tcW w:w="2584" w:type="dxa"/>
            <w:vAlign w:val="center"/>
          </w:tcPr>
          <w:p w14:paraId="73A3126D">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银行地址</w:t>
            </w:r>
          </w:p>
        </w:tc>
      </w:tr>
      <w:tr w14:paraId="7639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vAlign w:val="center"/>
          </w:tcPr>
          <w:p w14:paraId="3797A4B8">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2711" w:type="dxa"/>
            <w:vAlign w:val="center"/>
          </w:tcPr>
          <w:p w14:paraId="6979C203">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广西北部湾银行贺州市平桂支行</w:t>
            </w:r>
          </w:p>
        </w:tc>
        <w:tc>
          <w:tcPr>
            <w:tcW w:w="868" w:type="dxa"/>
            <w:vAlign w:val="center"/>
          </w:tcPr>
          <w:p w14:paraId="03ABBA1E">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刘  乐</w:t>
            </w:r>
          </w:p>
        </w:tc>
        <w:tc>
          <w:tcPr>
            <w:tcW w:w="1135" w:type="dxa"/>
            <w:vAlign w:val="center"/>
          </w:tcPr>
          <w:p w14:paraId="25F1E902">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公司客户经理</w:t>
            </w:r>
          </w:p>
        </w:tc>
        <w:tc>
          <w:tcPr>
            <w:tcW w:w="1768" w:type="dxa"/>
            <w:vAlign w:val="center"/>
          </w:tcPr>
          <w:p w14:paraId="16962916">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13036871008</w:t>
            </w:r>
          </w:p>
        </w:tc>
        <w:tc>
          <w:tcPr>
            <w:tcW w:w="2584" w:type="dxa"/>
            <w:vAlign w:val="center"/>
          </w:tcPr>
          <w:p w14:paraId="636C41D6">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贺州市平桂区平桂大道4号3号楼103号商铺</w:t>
            </w:r>
          </w:p>
        </w:tc>
      </w:tr>
    </w:tbl>
    <w:p w14:paraId="4ACE9057">
      <w:pPr>
        <w:widowControl/>
        <w:adjustRightInd w:val="0"/>
        <w:snapToGrid w:val="0"/>
        <w:spacing w:line="460" w:lineRule="exact"/>
        <w:ind w:firstLine="440" w:firstLineChars="200"/>
        <w:rPr>
          <w:rFonts w:hint="eastAsia" w:ascii="仿宋" w:hAnsi="仿宋" w:eastAsia="仿宋" w:cs="仿宋"/>
          <w:color w:val="auto"/>
          <w:sz w:val="18"/>
          <w:szCs w:val="18"/>
          <w:highlight w:val="none"/>
        </w:rPr>
      </w:pPr>
      <w:r>
        <w:rPr>
          <w:rFonts w:hint="eastAsia" w:ascii="仿宋" w:hAnsi="仿宋" w:eastAsia="仿宋" w:cs="仿宋"/>
          <w:color w:val="auto"/>
          <w:sz w:val="22"/>
          <w:szCs w:val="22"/>
          <w:highlight w:val="none"/>
        </w:rPr>
        <w:t>3.广西贺州桂东农村合作银行</w:t>
      </w:r>
    </w:p>
    <w:tbl>
      <w:tblPr>
        <w:tblStyle w:val="34"/>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982"/>
        <w:gridCol w:w="926"/>
        <w:gridCol w:w="1585"/>
        <w:gridCol w:w="1565"/>
        <w:gridCol w:w="2574"/>
      </w:tblGrid>
      <w:tr w14:paraId="5060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vAlign w:val="center"/>
          </w:tcPr>
          <w:p w14:paraId="7D93132D">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广西贺州桂东农村合作银行 总协调人：卢士强  职务：授信审批部总经理  手机号码：18077409115</w:t>
            </w:r>
          </w:p>
        </w:tc>
      </w:tr>
      <w:tr w14:paraId="1059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029094D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序号</w:t>
            </w:r>
          </w:p>
        </w:tc>
        <w:tc>
          <w:tcPr>
            <w:tcW w:w="1982" w:type="dxa"/>
            <w:vAlign w:val="center"/>
          </w:tcPr>
          <w:p w14:paraId="3725CA1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金融机构</w:t>
            </w:r>
          </w:p>
        </w:tc>
        <w:tc>
          <w:tcPr>
            <w:tcW w:w="926" w:type="dxa"/>
            <w:vAlign w:val="center"/>
          </w:tcPr>
          <w:p w14:paraId="6C041E1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联系人</w:t>
            </w:r>
          </w:p>
        </w:tc>
        <w:tc>
          <w:tcPr>
            <w:tcW w:w="1585" w:type="dxa"/>
            <w:vAlign w:val="center"/>
          </w:tcPr>
          <w:p w14:paraId="5BC5C47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职务</w:t>
            </w:r>
          </w:p>
        </w:tc>
        <w:tc>
          <w:tcPr>
            <w:tcW w:w="1565" w:type="dxa"/>
            <w:vAlign w:val="center"/>
          </w:tcPr>
          <w:p w14:paraId="79A21E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手机号码</w:t>
            </w:r>
          </w:p>
        </w:tc>
        <w:tc>
          <w:tcPr>
            <w:tcW w:w="2574" w:type="dxa"/>
            <w:vAlign w:val="center"/>
          </w:tcPr>
          <w:p w14:paraId="4D64EB7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银行地址</w:t>
            </w:r>
          </w:p>
        </w:tc>
      </w:tr>
      <w:tr w14:paraId="2C83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89" w:type="dxa"/>
            <w:vAlign w:val="center"/>
          </w:tcPr>
          <w:p w14:paraId="038EDF6C">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1982" w:type="dxa"/>
            <w:vAlign w:val="center"/>
          </w:tcPr>
          <w:p w14:paraId="15163CFF">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广西贺州桂东农村合作银行平桂支行</w:t>
            </w:r>
          </w:p>
        </w:tc>
        <w:tc>
          <w:tcPr>
            <w:tcW w:w="926" w:type="dxa"/>
            <w:vAlign w:val="center"/>
          </w:tcPr>
          <w:p w14:paraId="4E8AB578">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古  睿</w:t>
            </w:r>
          </w:p>
        </w:tc>
        <w:tc>
          <w:tcPr>
            <w:tcW w:w="1585" w:type="dxa"/>
            <w:vAlign w:val="center"/>
          </w:tcPr>
          <w:p w14:paraId="73EB97EA">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信贷副行长</w:t>
            </w:r>
          </w:p>
        </w:tc>
        <w:tc>
          <w:tcPr>
            <w:tcW w:w="1565" w:type="dxa"/>
            <w:vAlign w:val="center"/>
          </w:tcPr>
          <w:p w14:paraId="3A34B55D">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18007840375</w:t>
            </w:r>
          </w:p>
        </w:tc>
        <w:tc>
          <w:tcPr>
            <w:tcW w:w="2574" w:type="dxa"/>
            <w:vAlign w:val="center"/>
          </w:tcPr>
          <w:p w14:paraId="42F31564">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贺州市平桂区平桂大道财政局一楼</w:t>
            </w:r>
          </w:p>
        </w:tc>
      </w:tr>
    </w:tbl>
    <w:p w14:paraId="4BA5968F">
      <w:pPr>
        <w:pStyle w:val="2"/>
        <w:jc w:val="center"/>
        <w:rPr>
          <w:rFonts w:hint="eastAsia" w:ascii="仿宋" w:hAnsi="仿宋" w:eastAsia="仿宋" w:cs="仿宋"/>
          <w:color w:val="auto"/>
          <w:highlight w:val="none"/>
        </w:rPr>
      </w:pPr>
      <w:r>
        <w:rPr>
          <w:rFonts w:hint="eastAsia" w:ascii="仿宋" w:hAnsi="仿宋" w:eastAsia="仿宋" w:cs="仿宋"/>
          <w:color w:val="auto"/>
          <w:highlight w:val="none"/>
        </w:rPr>
        <w:t>第三章  采购需求</w:t>
      </w:r>
      <w:bookmarkEnd w:id="62"/>
    </w:p>
    <w:p w14:paraId="5EC02DBA">
      <w:pPr>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采购项目技术规格、参数及要求</w:t>
      </w:r>
    </w:p>
    <w:p w14:paraId="7E85099F">
      <w:pPr>
        <w:spacing w:line="40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说明：</w:t>
      </w:r>
    </w:p>
    <w:p w14:paraId="0801233B">
      <w:pPr>
        <w:spacing w:line="400" w:lineRule="exact"/>
        <w:ind w:firstLine="437"/>
        <w:rPr>
          <w:rFonts w:hint="eastAsia" w:ascii="仿宋" w:hAnsi="仿宋" w:eastAsia="仿宋" w:cs="仿宋"/>
          <w:b/>
          <w:color w:val="auto"/>
          <w:szCs w:val="21"/>
          <w:highlight w:val="none"/>
        </w:rPr>
      </w:pPr>
      <w:r>
        <w:rPr>
          <w:rFonts w:hint="eastAsia" w:ascii="仿宋" w:hAnsi="仿宋" w:eastAsia="仿宋" w:cs="仿宋"/>
          <w:b/>
          <w:bCs/>
          <w:color w:val="auto"/>
          <w:szCs w:val="21"/>
          <w:highlight w:val="none"/>
        </w:rPr>
        <w:t>一、本需求表</w:t>
      </w:r>
      <w:r>
        <w:rPr>
          <w:rFonts w:hint="eastAsia" w:ascii="仿宋" w:hAnsi="仿宋" w:eastAsia="仿宋" w:cs="仿宋"/>
          <w:b/>
          <w:color w:val="auto"/>
          <w:szCs w:val="21"/>
          <w:highlight w:val="none"/>
        </w:rPr>
        <w:t>中标注“▲”的条款均为实质性要求或条件，供应商必须作出满足或者优于该要求和条件的承诺（另有要求的除外），否则响应无效。</w:t>
      </w:r>
    </w:p>
    <w:p w14:paraId="4D272272">
      <w:pPr>
        <w:spacing w:line="400" w:lineRule="exact"/>
        <w:ind w:firstLine="437"/>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rPr>
        <w:t>二、供应商所投标货物或服务如国家有强制性要求的按国家规定执行，若执行标准有修改或更新按最新版本执行。</w:t>
      </w:r>
    </w:p>
    <w:p w14:paraId="0D62B840">
      <w:pPr>
        <w:spacing w:line="400" w:lineRule="exact"/>
        <w:ind w:firstLine="437"/>
        <w:rPr>
          <w:rFonts w:hint="eastAsia" w:ascii="仿宋" w:hAnsi="仿宋" w:eastAsia="仿宋" w:cs="仿宋"/>
          <w:b/>
          <w:color w:val="auto"/>
          <w:highlight w:val="none"/>
        </w:rPr>
      </w:pPr>
      <w:r>
        <w:rPr>
          <w:rFonts w:hint="eastAsia" w:ascii="仿宋" w:hAnsi="仿宋" w:eastAsia="仿宋" w:cs="仿宋"/>
          <w:b/>
          <w:bCs/>
          <w:color w:val="auto"/>
          <w:szCs w:val="21"/>
          <w:highlight w:val="none"/>
        </w:rPr>
        <w:t>三、</w:t>
      </w:r>
      <w:r>
        <w:rPr>
          <w:rFonts w:hint="eastAsia" w:ascii="仿宋" w:hAnsi="仿宋" w:eastAsia="仿宋" w:cs="仿宋"/>
          <w:b/>
          <w:color w:val="auto"/>
          <w:szCs w:val="21"/>
          <w:highlight w:val="none"/>
        </w:rPr>
        <w:t>采购标的对应的中小企业划分标准所属行业：根据《关于印发中小企业划型标准规定的通知》（工信部联企业〔2011〕300号），本次采购标的属于</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租赁和商务服务业</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w:t>
      </w:r>
    </w:p>
    <w:p w14:paraId="749D4BA8">
      <w:pPr>
        <w:spacing w:line="360" w:lineRule="exact"/>
        <w:jc w:val="left"/>
        <w:rPr>
          <w:rFonts w:hint="eastAsia" w:ascii="仿宋" w:hAnsi="仿宋" w:eastAsia="仿宋" w:cs="仿宋"/>
          <w:color w:val="auto"/>
          <w:highlight w:val="none"/>
        </w:rPr>
      </w:pPr>
    </w:p>
    <w:p w14:paraId="1D690530">
      <w:pPr>
        <w:spacing w:line="36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分标1：</w:t>
      </w:r>
      <w:r>
        <w:rPr>
          <w:rFonts w:hint="eastAsia" w:ascii="仿宋" w:hAnsi="仿宋" w:eastAsia="仿宋" w:cs="仿宋"/>
          <w:b/>
          <w:bCs/>
          <w:color w:val="auto"/>
          <w:szCs w:val="21"/>
          <w:highlight w:val="none"/>
          <w:lang w:eastAsia="zh-CN"/>
        </w:rPr>
        <w:t>贺州市公安局应急联动指挥中心及人民警察训练学校项目结算评审服务</w:t>
      </w:r>
      <w:r>
        <w:rPr>
          <w:rFonts w:hint="eastAsia" w:ascii="仿宋" w:hAnsi="仿宋" w:eastAsia="仿宋" w:cs="仿宋"/>
          <w:b/>
          <w:bCs/>
          <w:color w:val="auto"/>
          <w:highlight w:val="none"/>
        </w:rPr>
        <w:t>；预算金额：92.58万元；最高限价</w:t>
      </w:r>
      <w:r>
        <w:rPr>
          <w:rFonts w:hint="eastAsia" w:ascii="仿宋" w:hAnsi="仿宋" w:eastAsia="仿宋" w:cs="仿宋"/>
          <w:b/>
          <w:bCs/>
          <w:color w:val="auto"/>
          <w:highlight w:val="none"/>
          <w:lang w:val="en-US" w:eastAsia="zh-CN"/>
        </w:rPr>
        <w:t>：92.58万</w:t>
      </w:r>
      <w:r>
        <w:rPr>
          <w:rFonts w:hint="eastAsia" w:ascii="仿宋" w:hAnsi="仿宋" w:eastAsia="仿宋" w:cs="仿宋"/>
          <w:b/>
          <w:bCs/>
          <w:color w:val="auto"/>
          <w:highlight w:val="none"/>
        </w:rPr>
        <w:t>元</w:t>
      </w:r>
    </w:p>
    <w:tbl>
      <w:tblPr>
        <w:tblStyle w:val="34"/>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1"/>
        <w:gridCol w:w="904"/>
        <w:gridCol w:w="7509"/>
      </w:tblGrid>
      <w:tr w14:paraId="780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06E6F7D2">
            <w:pPr>
              <w:jc w:val="center"/>
              <w:rPr>
                <w:rFonts w:hint="eastAsia" w:ascii="仿宋" w:hAnsi="仿宋" w:eastAsia="仿宋" w:cs="仿宋"/>
                <w:b/>
                <w:color w:val="auto"/>
                <w:highlight w:val="none"/>
              </w:rPr>
            </w:pPr>
            <w:r>
              <w:rPr>
                <w:rFonts w:hint="eastAsia" w:ascii="仿宋" w:hAnsi="仿宋" w:eastAsia="仿宋" w:cs="仿宋"/>
                <w:b/>
                <w:color w:val="auto"/>
                <w:szCs w:val="21"/>
                <w:highlight w:val="none"/>
              </w:rPr>
              <w:t>项号</w:t>
            </w:r>
          </w:p>
        </w:tc>
        <w:tc>
          <w:tcPr>
            <w:tcW w:w="851" w:type="dxa"/>
            <w:tcBorders>
              <w:top w:val="single" w:color="auto" w:sz="4" w:space="0"/>
              <w:left w:val="single" w:color="auto" w:sz="4" w:space="0"/>
              <w:bottom w:val="single" w:color="auto" w:sz="4" w:space="0"/>
              <w:right w:val="single" w:color="auto" w:sz="4" w:space="0"/>
            </w:tcBorders>
            <w:vAlign w:val="center"/>
          </w:tcPr>
          <w:p w14:paraId="4F205C4B">
            <w:pPr>
              <w:jc w:val="center"/>
              <w:rPr>
                <w:rFonts w:hint="eastAsia" w:ascii="仿宋" w:hAnsi="仿宋" w:eastAsia="仿宋" w:cs="仿宋"/>
                <w:b/>
                <w:color w:val="auto"/>
                <w:highlight w:val="none"/>
              </w:rPr>
            </w:pPr>
            <w:r>
              <w:rPr>
                <w:rFonts w:hint="eastAsia" w:ascii="仿宋" w:hAnsi="仿宋" w:eastAsia="仿宋" w:cs="仿宋"/>
                <w:b/>
                <w:color w:val="auto"/>
                <w:szCs w:val="21"/>
                <w:highlight w:val="none"/>
              </w:rPr>
              <w:t>标的的名称</w:t>
            </w:r>
          </w:p>
        </w:tc>
        <w:tc>
          <w:tcPr>
            <w:tcW w:w="904" w:type="dxa"/>
            <w:tcBorders>
              <w:top w:val="single" w:color="auto" w:sz="4" w:space="0"/>
              <w:left w:val="single" w:color="auto" w:sz="4" w:space="0"/>
              <w:bottom w:val="single" w:color="auto" w:sz="4" w:space="0"/>
              <w:right w:val="single" w:color="auto" w:sz="4" w:space="0"/>
            </w:tcBorders>
            <w:vAlign w:val="center"/>
          </w:tcPr>
          <w:p w14:paraId="7D9AD09B">
            <w:pPr>
              <w:jc w:val="center"/>
              <w:rPr>
                <w:rFonts w:hint="eastAsia" w:ascii="仿宋" w:hAnsi="仿宋" w:eastAsia="仿宋" w:cs="仿宋"/>
                <w:b/>
                <w:color w:val="auto"/>
                <w:highlight w:val="none"/>
              </w:rPr>
            </w:pPr>
            <w:r>
              <w:rPr>
                <w:rFonts w:hint="eastAsia" w:ascii="仿宋" w:hAnsi="仿宋" w:eastAsia="仿宋" w:cs="仿宋"/>
                <w:b/>
                <w:color w:val="auto"/>
                <w:szCs w:val="21"/>
                <w:highlight w:val="none"/>
              </w:rPr>
              <w:t>数量及单位</w:t>
            </w:r>
          </w:p>
        </w:tc>
        <w:tc>
          <w:tcPr>
            <w:tcW w:w="7509" w:type="dxa"/>
            <w:tcBorders>
              <w:top w:val="single" w:color="auto" w:sz="4" w:space="0"/>
              <w:left w:val="single" w:color="auto" w:sz="4" w:space="0"/>
              <w:bottom w:val="single" w:color="auto" w:sz="4" w:space="0"/>
              <w:right w:val="single" w:color="auto" w:sz="4" w:space="0"/>
            </w:tcBorders>
            <w:vAlign w:val="center"/>
          </w:tcPr>
          <w:p w14:paraId="121BF022">
            <w:pPr>
              <w:jc w:val="center"/>
              <w:rPr>
                <w:rFonts w:hint="eastAsia" w:ascii="仿宋" w:hAnsi="仿宋" w:eastAsia="仿宋" w:cs="仿宋"/>
                <w:b/>
                <w:color w:val="auto"/>
                <w:highlight w:val="none"/>
              </w:rPr>
            </w:pPr>
            <w:r>
              <w:rPr>
                <w:rFonts w:hint="eastAsia" w:ascii="仿宋" w:hAnsi="仿宋" w:eastAsia="仿宋" w:cs="仿宋"/>
                <w:b/>
                <w:color w:val="auto"/>
                <w:szCs w:val="21"/>
                <w:highlight w:val="none"/>
              </w:rPr>
              <w:t>内容和要求</w:t>
            </w:r>
          </w:p>
        </w:tc>
      </w:tr>
      <w:tr w14:paraId="24DE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71642396">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1F35A91D">
            <w:pPr>
              <w:spacing w:line="38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lang w:eastAsia="zh-CN"/>
              </w:rPr>
              <w:t>贺州市公安局应急联动指挥中心及人民警察训练学校项目结算和财务决算评审服务（重）</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分标</w:t>
            </w:r>
          </w:p>
        </w:tc>
        <w:tc>
          <w:tcPr>
            <w:tcW w:w="904" w:type="dxa"/>
            <w:tcBorders>
              <w:top w:val="single" w:color="auto" w:sz="4" w:space="0"/>
              <w:left w:val="single" w:color="auto" w:sz="4" w:space="0"/>
              <w:bottom w:val="single" w:color="auto" w:sz="4" w:space="0"/>
              <w:right w:val="single" w:color="auto" w:sz="4" w:space="0"/>
            </w:tcBorders>
            <w:vAlign w:val="center"/>
          </w:tcPr>
          <w:p w14:paraId="52EBEEC7">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1项</w:t>
            </w:r>
          </w:p>
        </w:tc>
        <w:tc>
          <w:tcPr>
            <w:tcW w:w="7509" w:type="dxa"/>
            <w:tcBorders>
              <w:top w:val="single" w:color="auto" w:sz="4" w:space="0"/>
              <w:left w:val="single" w:color="auto" w:sz="4" w:space="0"/>
              <w:bottom w:val="single" w:color="auto" w:sz="4" w:space="0"/>
              <w:right w:val="single" w:color="auto" w:sz="4" w:space="0"/>
            </w:tcBorders>
            <w:vAlign w:val="center"/>
          </w:tcPr>
          <w:p w14:paraId="3B1EB987">
            <w:pPr>
              <w:numPr>
                <w:ilvl w:val="0"/>
                <w:numId w:val="0"/>
              </w:numPr>
              <w:spacing w:line="380" w:lineRule="exact"/>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（一）项目概况</w:t>
            </w:r>
          </w:p>
          <w:p w14:paraId="02F7C442">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项目建设规模：建设规模：对1#综合业务技术楼（建筑面积13270.67㎡，建筑高度约39.65m，地上10层地下1层，框架结构）、2#多功能教学楼（建筑面积2674.40㎡，建筑高度约11.32m，地上2层地下0层，框架结构）、4#备勤综合楼（建筑面积9507.68㎡，建筑高度约15.55m，地上4层地下1层，框架结构）、5#警体楼（建筑面积4361.86㎡，建筑高度约10.30m，地上2层地下0层，框架结构）、6#教学综合楼（建筑面积2674.40㎡，建筑高度约20.05m，地上5层地下1层，框架结构）、7#后勤综合楼-街道模拟街区（建筑面积5943.72㎡，建筑高度约15.80m，地上4层地下1层，框架结构）、7#后勤综合楼-食堂（建筑面积3551.43㎡，建筑高度约13.75m，地上3层地下0层，框架结构）、8#宿舍楼（建筑面积6089.09㎡，建筑高度约18.30m，地上5层地下0层，框架结构）、9#综合训练馆（建筑面积13919.27㎡，建筑高度约18.45m，地上4层地下0层，框架结构）、10#泅渡馆（建筑面积3448.36㎡，建筑高度约8.45m，地上1层地下0层，框架结构）进行建筑室内装饰装修并配套信息智能化系统，配套信息智能化系统可预见内容至少包含但不限于综合布线、数据通信机房（UPS配电、精密空调、动环系统、运维系统、新风系统、接地防雷、气体消防等机房配套系统）、计算机网络、无线网络系统、门禁系统、监控系统、视频会议系统、LED大屏、无线WiFi、微模块通道、UPS配电、精密空调、动环系统、运维系统、新风系统、接地防雷、气体消防及相关配套附属设施设备购置。</w:t>
            </w:r>
          </w:p>
          <w:p w14:paraId="5D6324D2">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二</w:t>
            </w:r>
            <w:r>
              <w:rPr>
                <w:rFonts w:hint="eastAsia" w:ascii="仿宋" w:hAnsi="仿宋" w:eastAsia="仿宋" w:cs="仿宋"/>
                <w:color w:val="auto"/>
                <w:kern w:val="0"/>
                <w:szCs w:val="21"/>
                <w:highlight w:val="none"/>
              </w:rPr>
              <w:t>)工作内容</w:t>
            </w:r>
          </w:p>
          <w:p w14:paraId="35C93D79">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1.对采购人提供的相关审核材料(工程竣工报告</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竣工图及竣工验收单、工程施工合同或施工协议书、施工图预算或招标投标工程的合同标价、设计交底及图纸会审记录资料、设计变更通知单及现场施工变更记录经建单位签证认可的施工技术措施、技术核定单、预算外各种施工签证或施工记录、合同中规定的定额、材料预算价格、构件、成品价格等)进行审核</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2.初步审核完成后，应根据竣工图纸、建设单位提交的合同、施工单位编制的结算书等其他相关资料据实进行结算审核并出具报告，同时提供工程造价审核电子版及计算式和工程造价审核工作底稿。</w:t>
            </w:r>
          </w:p>
          <w:p w14:paraId="39F2970C">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三</w:t>
            </w:r>
            <w:r>
              <w:rPr>
                <w:rFonts w:hint="eastAsia" w:ascii="仿宋" w:hAnsi="仿宋" w:eastAsia="仿宋" w:cs="仿宋"/>
                <w:color w:val="auto"/>
                <w:kern w:val="0"/>
                <w:szCs w:val="21"/>
                <w:highlight w:val="none"/>
              </w:rPr>
              <w:t>)工作要求</w:t>
            </w:r>
          </w:p>
          <w:p w14:paraId="2DA11336">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1.严格遵守职业道德，不徇私舞弊，不接受贿赂,不接受吃请，积极维护委托方权益，优质完成委托方所委托的结算审核业务，严格按</w:t>
            </w:r>
            <w:r>
              <w:rPr>
                <w:rFonts w:hint="eastAsia" w:ascii="仿宋" w:hAnsi="仿宋" w:eastAsia="仿宋" w:cs="仿宋"/>
                <w:color w:val="auto"/>
                <w:kern w:val="0"/>
                <w:szCs w:val="21"/>
                <w:highlight w:val="none"/>
                <w:lang w:val="en-US" w:eastAsia="zh-CN"/>
              </w:rPr>
              <w:t>法律法规</w:t>
            </w:r>
            <w:r>
              <w:rPr>
                <w:rFonts w:hint="eastAsia" w:ascii="仿宋" w:hAnsi="仿宋" w:eastAsia="仿宋" w:cs="仿宋"/>
                <w:color w:val="auto"/>
                <w:kern w:val="0"/>
                <w:szCs w:val="21"/>
                <w:highlight w:val="none"/>
              </w:rPr>
              <w:t>对进行造价咨询服务</w:t>
            </w:r>
            <w:r>
              <w:rPr>
                <w:rFonts w:hint="eastAsia" w:ascii="仿宋" w:hAnsi="仿宋" w:eastAsia="仿宋" w:cs="仿宋"/>
                <w:color w:val="auto"/>
                <w:kern w:val="0"/>
                <w:szCs w:val="21"/>
                <w:highlight w:val="none"/>
                <w:lang w:eastAsia="zh-CN"/>
              </w:rPr>
              <w:t>。</w:t>
            </w:r>
          </w:p>
          <w:p w14:paraId="12DD0E69">
            <w:pPr>
              <w:spacing w:line="380" w:lineRule="exact"/>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2.在审计过程中，成交供应商不得与施工、设计等单位进行任何私下接触，需要项目有关参建单位增补资料的，成交供应商及其审计人员应当及时向采购人反馈由采购人与有关单位联系协调</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项目审计过程中对工程进行现场勘察、对初审结果进行对数的，均由采购人与有关单位联系协调后统一安排进行</w:t>
            </w:r>
            <w:r>
              <w:rPr>
                <w:rFonts w:hint="eastAsia" w:ascii="仿宋" w:hAnsi="仿宋" w:eastAsia="仿宋" w:cs="仿宋"/>
                <w:color w:val="auto"/>
                <w:kern w:val="0"/>
                <w:szCs w:val="21"/>
                <w:highlight w:val="none"/>
                <w:lang w:val="en-US" w:eastAsia="zh-CN"/>
              </w:rPr>
              <w:t>；</w:t>
            </w:r>
          </w:p>
          <w:p w14:paraId="2F2EAE9C">
            <w:pPr>
              <w:spacing w:line="380" w:lineRule="exact"/>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3.积极配合项目主管部门做好与有关部门及建设单位、施工单位间的信息交流和沟通协调</w:t>
            </w:r>
            <w:r>
              <w:rPr>
                <w:rFonts w:hint="eastAsia" w:ascii="仿宋" w:hAnsi="仿宋" w:eastAsia="仿宋" w:cs="仿宋"/>
                <w:color w:val="auto"/>
                <w:kern w:val="0"/>
                <w:szCs w:val="21"/>
                <w:highlight w:val="none"/>
                <w:lang w:val="en-US" w:eastAsia="zh-CN"/>
              </w:rPr>
              <w:t>；</w:t>
            </w:r>
          </w:p>
          <w:p w14:paraId="56905EEF">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成交供应商必须独立完成采购人委托的审核任务，不得将业务转让给第三方实施。采购人若发现成交供应商将项目单位委托的业务转让给第三方实施的，经证实，采购人有权对成交供应商进行扣减服务费、解除合同，并对其造成的经济损失和法律纠纷依法追究经济和和法律责任。</w:t>
            </w:r>
          </w:p>
          <w:p w14:paraId="2065EF37">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(三)质量要求</w:t>
            </w:r>
          </w:p>
          <w:p w14:paraId="3A23F393">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符合国家有关工程造价质量标准、技术规范及规程要求</w:t>
            </w:r>
          </w:p>
          <w:p w14:paraId="2412936C">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(四)验收标准</w:t>
            </w:r>
          </w:p>
          <w:p w14:paraId="690C75BF">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符合现行国家相关标准、行业标准、地方标准或者其他标准、规范。</w:t>
            </w:r>
          </w:p>
          <w:p w14:paraId="7F37A1C1">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(五)人员要求</w:t>
            </w:r>
          </w:p>
          <w:p w14:paraId="16127CF7">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1.成立跟踪审计服务小组</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(响应文件中必须提供拟投入人员的证书或相关材料，否则竞标无效。)</w:t>
            </w:r>
          </w:p>
        </w:tc>
      </w:tr>
      <w:tr w14:paraId="4F11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58" w:type="dxa"/>
            <w:gridSpan w:val="4"/>
            <w:tcBorders>
              <w:top w:val="single" w:color="auto" w:sz="4" w:space="0"/>
              <w:left w:val="single" w:color="auto" w:sz="4" w:space="0"/>
              <w:bottom w:val="single" w:color="auto" w:sz="4" w:space="0"/>
              <w:right w:val="single" w:color="auto" w:sz="4" w:space="0"/>
            </w:tcBorders>
            <w:vAlign w:val="center"/>
          </w:tcPr>
          <w:p w14:paraId="38A333B2">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商务条款</w:t>
            </w:r>
          </w:p>
        </w:tc>
      </w:tr>
      <w:tr w14:paraId="1CD26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14:paraId="390DE51B">
            <w:pPr>
              <w:jc w:val="center"/>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（一）合同签订时间</w:t>
            </w:r>
          </w:p>
        </w:tc>
        <w:tc>
          <w:tcPr>
            <w:tcW w:w="7509" w:type="dxa"/>
            <w:tcBorders>
              <w:top w:val="single" w:color="auto" w:sz="4" w:space="0"/>
              <w:left w:val="single" w:color="auto" w:sz="4" w:space="0"/>
              <w:bottom w:val="single" w:color="auto" w:sz="4" w:space="0"/>
              <w:right w:val="single" w:color="auto" w:sz="4" w:space="0"/>
            </w:tcBorders>
            <w:vAlign w:val="center"/>
          </w:tcPr>
          <w:p w14:paraId="05110DA5">
            <w:pPr>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自</w:t>
            </w:r>
            <w:r>
              <w:rPr>
                <w:rFonts w:hint="eastAsia" w:ascii="仿宋" w:hAnsi="仿宋" w:eastAsia="仿宋" w:cs="仿宋"/>
                <w:color w:val="auto"/>
                <w:szCs w:val="21"/>
                <w:highlight w:val="none"/>
                <w:lang w:val="en-US" w:eastAsia="zh-CN"/>
              </w:rPr>
              <w:t>成交</w:t>
            </w:r>
            <w:r>
              <w:rPr>
                <w:rFonts w:hint="eastAsia" w:ascii="仿宋" w:hAnsi="仿宋" w:eastAsia="仿宋" w:cs="仿宋"/>
                <w:color w:val="auto"/>
                <w:szCs w:val="21"/>
                <w:highlight w:val="none"/>
              </w:rPr>
              <w:t>通知书发出之日起</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个日历日内。</w:t>
            </w:r>
          </w:p>
        </w:tc>
      </w:tr>
      <w:tr w14:paraId="7A7D4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14:paraId="710F1124">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▲（二）报价要求</w:t>
            </w:r>
          </w:p>
        </w:tc>
        <w:tc>
          <w:tcPr>
            <w:tcW w:w="7509" w:type="dxa"/>
            <w:tcBorders>
              <w:top w:val="single" w:color="auto" w:sz="4" w:space="0"/>
              <w:left w:val="single" w:color="auto" w:sz="4" w:space="0"/>
              <w:bottom w:val="single" w:color="auto" w:sz="4" w:space="0"/>
              <w:right w:val="single" w:color="auto" w:sz="4" w:space="0"/>
            </w:tcBorders>
            <w:vAlign w:val="center"/>
          </w:tcPr>
          <w:p w14:paraId="3B45CF85">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本项目按折扣率报价，折扣率上限≦100%。</w:t>
            </w:r>
          </w:p>
          <w:p w14:paraId="4A55449A">
            <w:pPr>
              <w:rPr>
                <w:rFonts w:hint="default" w:eastAsia="仿宋"/>
                <w:color w:val="auto"/>
                <w:highlight w:val="none"/>
                <w:lang w:val="en-US" w:eastAsia="zh-CN"/>
              </w:rPr>
            </w:pPr>
            <w:r>
              <w:rPr>
                <w:rFonts w:hint="eastAsia" w:ascii="仿宋" w:hAnsi="仿宋" w:eastAsia="仿宋" w:cs="仿宋"/>
                <w:color w:val="auto"/>
                <w:kern w:val="0"/>
                <w:szCs w:val="21"/>
                <w:highlight w:val="none"/>
                <w:lang w:val="en-US" w:eastAsia="zh-CN"/>
              </w:rPr>
              <w:t>评审服务费=[送审价*1‰+核减（增）*3.5%]*0.75*折扣率，评审服务费不得超出预算控制价（92.58万元）上限。</w:t>
            </w:r>
          </w:p>
        </w:tc>
      </w:tr>
      <w:tr w14:paraId="20B42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14:paraId="6241968F">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▲（三）合同履约期限和地点</w:t>
            </w:r>
          </w:p>
        </w:tc>
        <w:tc>
          <w:tcPr>
            <w:tcW w:w="7509" w:type="dxa"/>
            <w:tcBorders>
              <w:top w:val="single" w:color="auto" w:sz="4" w:space="0"/>
              <w:left w:val="single" w:color="auto" w:sz="4" w:space="0"/>
              <w:bottom w:val="single" w:color="auto" w:sz="4" w:space="0"/>
              <w:right w:val="single" w:color="auto" w:sz="4" w:space="0"/>
            </w:tcBorders>
            <w:vAlign w:val="center"/>
          </w:tcPr>
          <w:p w14:paraId="7B93EF26">
            <w:pPr>
              <w:rPr>
                <w:rFonts w:hint="eastAsia" w:ascii="仿宋" w:hAnsi="仿宋" w:eastAsia="仿宋" w:cs="仿宋"/>
                <w:bCs/>
                <w:color w:val="auto"/>
                <w:kern w:val="0"/>
                <w:szCs w:val="21"/>
                <w:highlight w:val="none"/>
                <w:lang w:eastAsia="zh-CN"/>
              </w:rPr>
            </w:pPr>
            <w:r>
              <w:rPr>
                <w:rFonts w:hint="eastAsia" w:ascii="仿宋" w:hAnsi="仿宋" w:eastAsia="仿宋" w:cs="仿宋"/>
                <w:color w:val="auto"/>
                <w:szCs w:val="21"/>
                <w:highlight w:val="none"/>
              </w:rPr>
              <w:t>合同履约期限：</w:t>
            </w:r>
            <w:r>
              <w:rPr>
                <w:rFonts w:hint="eastAsia" w:ascii="仿宋" w:hAnsi="仿宋" w:eastAsia="仿宋" w:cs="仿宋"/>
                <w:color w:val="auto"/>
                <w:szCs w:val="21"/>
                <w:highlight w:val="none"/>
                <w:lang w:eastAsia="zh-CN"/>
              </w:rPr>
              <w:t>项目材料齐全后1个月内完成。</w:t>
            </w:r>
          </w:p>
          <w:p w14:paraId="0D1E2A0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地点：采购人指定地点。</w:t>
            </w:r>
          </w:p>
        </w:tc>
      </w:tr>
      <w:tr w14:paraId="32728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14:paraId="59874847">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（四）质量要求</w:t>
            </w:r>
          </w:p>
        </w:tc>
        <w:tc>
          <w:tcPr>
            <w:tcW w:w="7509" w:type="dxa"/>
            <w:tcBorders>
              <w:top w:val="single" w:color="auto" w:sz="4" w:space="0"/>
              <w:left w:val="single" w:color="auto" w:sz="4" w:space="0"/>
              <w:bottom w:val="single" w:color="auto" w:sz="4" w:space="0"/>
              <w:right w:val="single" w:color="auto" w:sz="4" w:space="0"/>
            </w:tcBorders>
            <w:vAlign w:val="center"/>
          </w:tcPr>
          <w:p w14:paraId="106F5E9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供应商应建立完善的质量管理体系，对项目实行全过程质量监控，能保证工作中各技术环节和技术指标严格按国家或行业规范要求执行，确保每一个技术环节合理、规范。</w:t>
            </w:r>
          </w:p>
        </w:tc>
      </w:tr>
      <w:tr w14:paraId="259FB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14:paraId="2C5F6AC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▲（五）付款条件</w:t>
            </w:r>
          </w:p>
        </w:tc>
        <w:tc>
          <w:tcPr>
            <w:tcW w:w="7509" w:type="dxa"/>
            <w:tcBorders>
              <w:top w:val="single" w:color="auto" w:sz="4" w:space="0"/>
              <w:left w:val="single" w:color="auto" w:sz="4" w:space="0"/>
              <w:bottom w:val="single" w:color="auto" w:sz="4" w:space="0"/>
              <w:right w:val="single" w:color="auto" w:sz="4" w:space="0"/>
            </w:tcBorders>
            <w:vAlign w:val="center"/>
          </w:tcPr>
          <w:p w14:paraId="4CE497BB">
            <w:pPr>
              <w:snapToGrid w:val="0"/>
              <w:rPr>
                <w:rFonts w:hint="eastAsia" w:ascii="仿宋" w:hAnsi="仿宋" w:eastAsia="仿宋" w:cs="仿宋"/>
                <w:color w:val="auto"/>
                <w:highlight w:val="none"/>
              </w:rPr>
            </w:pPr>
            <w:r>
              <w:rPr>
                <w:rFonts w:hint="eastAsia" w:ascii="仿宋" w:hAnsi="仿宋" w:eastAsia="仿宋" w:cs="仿宋"/>
                <w:color w:val="auto"/>
                <w:highlight w:val="none"/>
              </w:rPr>
              <w:t>1、合同签订后10 个工作日内采购人向成交供应商支付</w:t>
            </w:r>
            <w:r>
              <w:rPr>
                <w:rFonts w:hint="eastAsia" w:ascii="仿宋" w:hAnsi="仿宋" w:eastAsia="仿宋" w:cs="仿宋"/>
                <w:color w:val="auto"/>
                <w:highlight w:val="none"/>
                <w:lang w:val="en-US" w:eastAsia="zh-CN"/>
              </w:rPr>
              <w:t>预算金额</w:t>
            </w:r>
            <w:r>
              <w:rPr>
                <w:rFonts w:hint="eastAsia" w:ascii="仿宋" w:hAnsi="仿宋" w:eastAsia="仿宋" w:cs="仿宋"/>
                <w:color w:val="auto"/>
                <w:highlight w:val="none"/>
              </w:rPr>
              <w:t>的</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0%预付款；</w:t>
            </w:r>
          </w:p>
          <w:p w14:paraId="6BE4B9E4">
            <w:pPr>
              <w:snapToGrid w:val="0"/>
              <w:rPr>
                <w:rFonts w:hint="eastAsia" w:ascii="仿宋" w:hAnsi="仿宋" w:eastAsia="仿宋" w:cs="仿宋"/>
                <w:color w:val="auto"/>
                <w:highlight w:val="none"/>
              </w:rPr>
            </w:pPr>
            <w:r>
              <w:rPr>
                <w:rFonts w:hint="eastAsia" w:ascii="仿宋" w:hAnsi="仿宋" w:eastAsia="仿宋" w:cs="仿宋"/>
                <w:color w:val="auto"/>
                <w:highlight w:val="none"/>
              </w:rPr>
              <w:t>2、项目成果交付且验收合格后10工作日内，采购人向成交供应商支付</w:t>
            </w:r>
            <w:r>
              <w:rPr>
                <w:rFonts w:hint="eastAsia" w:ascii="仿宋" w:hAnsi="仿宋" w:eastAsia="仿宋" w:cs="仿宋"/>
                <w:color w:val="auto"/>
                <w:highlight w:val="none"/>
                <w:lang w:val="en-US" w:eastAsia="zh-CN"/>
              </w:rPr>
              <w:t>剩余评审服务费</w:t>
            </w:r>
            <w:r>
              <w:rPr>
                <w:rFonts w:hint="eastAsia" w:ascii="仿宋" w:hAnsi="仿宋" w:eastAsia="仿宋" w:cs="仿宋"/>
                <w:color w:val="auto"/>
                <w:highlight w:val="none"/>
              </w:rPr>
              <w:t>。</w:t>
            </w:r>
          </w:p>
          <w:p w14:paraId="5233DAF0">
            <w:pPr>
              <w:snapToGrid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kern w:val="0"/>
                <w:szCs w:val="21"/>
                <w:highlight w:val="none"/>
                <w:lang w:val="en-US" w:eastAsia="zh-CN"/>
              </w:rPr>
              <w:t>评审服务费=[送审价*1‰+核减（增）*3.5%]*0.75*折扣率，评审服务费不得超出预算控制价（92.58万元）上限。</w:t>
            </w:r>
          </w:p>
          <w:p w14:paraId="1D522B8D">
            <w:pPr>
              <w:snapToGrid w:val="0"/>
              <w:rPr>
                <w:rFonts w:hint="eastAsia" w:ascii="仿宋" w:hAnsi="仿宋" w:eastAsia="仿宋" w:cs="仿宋"/>
                <w:color w:val="auto"/>
                <w:szCs w:val="21"/>
                <w:highlight w:val="none"/>
              </w:rPr>
            </w:pPr>
            <w:r>
              <w:rPr>
                <w:rFonts w:hint="eastAsia" w:ascii="仿宋" w:hAnsi="仿宋" w:eastAsia="仿宋" w:cs="仿宋"/>
                <w:color w:val="auto"/>
                <w:highlight w:val="none"/>
              </w:rPr>
              <w:t>注：成交供应商在申请款项的同时提供正式、合法的发票</w:t>
            </w:r>
            <w:r>
              <w:rPr>
                <w:rFonts w:hint="eastAsia" w:ascii="仿宋" w:hAnsi="仿宋" w:eastAsia="仿宋" w:cs="仿宋"/>
                <w:color w:val="auto"/>
                <w:highlight w:val="none"/>
                <w:lang w:eastAsia="zh-CN"/>
              </w:rPr>
              <w:t>，采购人在收到发票后10个工作日内将资金支付到合同约定的供应商账户。</w:t>
            </w:r>
          </w:p>
        </w:tc>
      </w:tr>
      <w:tr w14:paraId="2AC72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14:paraId="029F5612">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▲（六）售后服务</w:t>
            </w:r>
          </w:p>
        </w:tc>
        <w:tc>
          <w:tcPr>
            <w:tcW w:w="7509" w:type="dxa"/>
            <w:tcBorders>
              <w:top w:val="single" w:color="auto" w:sz="4" w:space="0"/>
              <w:left w:val="single" w:color="auto" w:sz="4" w:space="0"/>
              <w:bottom w:val="single" w:color="auto" w:sz="4" w:space="0"/>
              <w:right w:val="single" w:color="auto" w:sz="4" w:space="0"/>
            </w:tcBorders>
            <w:vAlign w:val="center"/>
          </w:tcPr>
          <w:p w14:paraId="49A0A2A6">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1、响应时间：接到采购人通知后30分钟内响应，2小时内派技术人员到达现场处理，承诺成交后在贺州市内设立办事处</w:t>
            </w:r>
            <w:r>
              <w:rPr>
                <w:rFonts w:hint="eastAsia" w:ascii="仿宋" w:hAnsi="仿宋" w:eastAsia="仿宋" w:cs="仿宋"/>
                <w:b/>
                <w:bCs/>
                <w:color w:val="auto"/>
                <w:szCs w:val="21"/>
                <w:highlight w:val="none"/>
              </w:rPr>
              <w:t>（在响应文件中出具承诺函）</w:t>
            </w:r>
            <w:r>
              <w:rPr>
                <w:rFonts w:hint="eastAsia" w:ascii="仿宋" w:hAnsi="仿宋" w:eastAsia="仿宋" w:cs="仿宋"/>
                <w:color w:val="auto"/>
                <w:szCs w:val="21"/>
                <w:highlight w:val="none"/>
              </w:rPr>
              <w:t xml:space="preserve">。 </w:t>
            </w:r>
          </w:p>
          <w:p w14:paraId="412B25AF">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2、售后服务技术人员要求：有专职人员负责售后服务，服务积极热情，能妥善处理各种售后问题。 </w:t>
            </w:r>
          </w:p>
          <w:p w14:paraId="57AA9CCC">
            <w:pPr>
              <w:snapToGrid w:val="0"/>
              <w:rPr>
                <w:rFonts w:hint="default" w:eastAsia="仿宋"/>
                <w:color w:val="auto"/>
                <w:highlight w:val="none"/>
                <w:lang w:val="en-US" w:eastAsia="zh-CN"/>
              </w:rPr>
            </w:pPr>
            <w:r>
              <w:rPr>
                <w:rFonts w:hint="eastAsia" w:ascii="仿宋" w:hAnsi="仿宋" w:eastAsia="仿宋" w:cs="仿宋"/>
                <w:color w:val="auto"/>
                <w:szCs w:val="21"/>
                <w:highlight w:val="none"/>
              </w:rPr>
              <w:t>3、电话客服提供 7*24 小时技术问题咨询热线。</w:t>
            </w:r>
          </w:p>
        </w:tc>
      </w:tr>
      <w:tr w14:paraId="19133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9" w:type="dxa"/>
            <w:gridSpan w:val="3"/>
            <w:tcBorders>
              <w:top w:val="single" w:color="auto" w:sz="4" w:space="0"/>
              <w:left w:val="single" w:color="auto" w:sz="4" w:space="0"/>
              <w:bottom w:val="single" w:color="auto" w:sz="4" w:space="0"/>
              <w:right w:val="single" w:color="auto" w:sz="4" w:space="0"/>
            </w:tcBorders>
            <w:vAlign w:val="center"/>
          </w:tcPr>
          <w:p w14:paraId="5BFD4F20">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（七）其他</w:t>
            </w:r>
          </w:p>
        </w:tc>
        <w:tc>
          <w:tcPr>
            <w:tcW w:w="7509" w:type="dxa"/>
            <w:tcBorders>
              <w:top w:val="single" w:color="auto" w:sz="4" w:space="0"/>
              <w:left w:val="single" w:color="auto" w:sz="4" w:space="0"/>
              <w:right w:val="single" w:color="auto" w:sz="4" w:space="0"/>
            </w:tcBorders>
            <w:vAlign w:val="center"/>
          </w:tcPr>
          <w:p w14:paraId="44F037D7">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1、验收要求</w:t>
            </w:r>
          </w:p>
          <w:p w14:paraId="2571957D">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（1）严格按照《关于印发广西壮族自治区政府采购项目履约验收管理办法的通知》[桂财采〔2015〕22号]以及《财政部关于进一步加强政府采购需求和履约验收管理的指导意见》[财库〔2016〕205号]规定执行。</w:t>
            </w:r>
          </w:p>
          <w:p w14:paraId="07001A14">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（2）其它按合同条款的约定。</w:t>
            </w:r>
          </w:p>
          <w:p w14:paraId="0E6A5E26">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合同履行过程中，采购人根据成交供应商所提供的技术服务，对照采购文件要求及成交供应商响应文件承诺进行检验并记录，发现成交供应商在响应文件中有弄虚作假的行为，或在响应文件中针对技术、商务条款有虚假响应情况的，采购人将终止合同或不予验收，并追究成交供应商的责任，由此带来的一切损失由成交供应商自行承担。</w:t>
            </w:r>
          </w:p>
          <w:p w14:paraId="751F769D">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2、知识产权</w:t>
            </w:r>
          </w:p>
          <w:p w14:paraId="2F3B0393">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（1）采购人在中华人民共和国境内使用供应商提供的服务时免受第三方提出的侵犯其专利权或其它知识产权的起诉。如果第三方提出侵权指控，成交供应商应承担由此而引起的一切法律责任和费用。</w:t>
            </w:r>
          </w:p>
          <w:p w14:paraId="41F583F6">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（2）保密要求：成交供应商在项目实施过程中，必须对本项目所有项目信息以及接触到的材料予以保密，未经采购人书面许可，成交供应商不得以任何形式向第三方透露本项目的任何内容。</w:t>
            </w:r>
          </w:p>
          <w:p w14:paraId="566DC189">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（3）供应商必须自行实施、维护本项目，不得转让或转包。</w:t>
            </w:r>
          </w:p>
        </w:tc>
      </w:tr>
    </w:tbl>
    <w:p w14:paraId="33BC1374">
      <w:pPr>
        <w:spacing w:line="360" w:lineRule="exact"/>
        <w:jc w:val="left"/>
        <w:rPr>
          <w:rFonts w:hint="eastAsia" w:ascii="仿宋" w:hAnsi="仿宋" w:eastAsia="仿宋" w:cs="仿宋"/>
          <w:color w:val="auto"/>
          <w:highlight w:val="none"/>
        </w:rPr>
      </w:pPr>
    </w:p>
    <w:p w14:paraId="6C5D60E4">
      <w:pPr>
        <w:spacing w:line="360" w:lineRule="exact"/>
        <w:jc w:val="left"/>
        <w:rPr>
          <w:rFonts w:hint="eastAsia" w:ascii="仿宋" w:hAnsi="仿宋" w:eastAsia="仿宋" w:cs="仿宋"/>
          <w:color w:val="auto"/>
          <w:sz w:val="28"/>
          <w:szCs w:val="36"/>
          <w:highlight w:val="none"/>
        </w:rPr>
      </w:pPr>
    </w:p>
    <w:p w14:paraId="2E715A6E">
      <w:pPr>
        <w:pStyle w:val="44"/>
        <w:rPr>
          <w:rFonts w:hint="eastAsia" w:ascii="仿宋" w:hAnsi="仿宋" w:eastAsia="仿宋" w:cs="仿宋"/>
          <w:color w:val="auto"/>
          <w:sz w:val="28"/>
          <w:szCs w:val="36"/>
          <w:highlight w:val="none"/>
        </w:rPr>
      </w:pPr>
    </w:p>
    <w:p w14:paraId="63B5D3CF">
      <w:pPr>
        <w:rPr>
          <w:rFonts w:hint="eastAsia" w:ascii="仿宋" w:hAnsi="仿宋" w:eastAsia="仿宋" w:cs="仿宋"/>
          <w:color w:val="auto"/>
          <w:sz w:val="28"/>
          <w:szCs w:val="36"/>
          <w:highlight w:val="none"/>
        </w:rPr>
      </w:pPr>
    </w:p>
    <w:p w14:paraId="4C116008">
      <w:pPr>
        <w:pStyle w:val="44"/>
        <w:rPr>
          <w:rFonts w:hint="eastAsia" w:ascii="仿宋" w:hAnsi="仿宋" w:eastAsia="仿宋" w:cs="仿宋"/>
          <w:color w:val="auto"/>
          <w:sz w:val="28"/>
          <w:szCs w:val="36"/>
          <w:highlight w:val="none"/>
        </w:rPr>
      </w:pPr>
    </w:p>
    <w:p w14:paraId="40538F6D">
      <w:pPr>
        <w:rPr>
          <w:rFonts w:hint="eastAsia" w:ascii="仿宋" w:hAnsi="仿宋" w:eastAsia="仿宋" w:cs="仿宋"/>
          <w:color w:val="auto"/>
          <w:sz w:val="28"/>
          <w:szCs w:val="36"/>
          <w:highlight w:val="none"/>
        </w:rPr>
      </w:pPr>
    </w:p>
    <w:p w14:paraId="104F5E83">
      <w:pPr>
        <w:pStyle w:val="44"/>
        <w:rPr>
          <w:rFonts w:hint="eastAsia" w:ascii="仿宋" w:hAnsi="仿宋" w:eastAsia="仿宋" w:cs="仿宋"/>
          <w:color w:val="auto"/>
          <w:sz w:val="28"/>
          <w:szCs w:val="36"/>
          <w:highlight w:val="none"/>
        </w:rPr>
      </w:pPr>
    </w:p>
    <w:p w14:paraId="4A5770BE">
      <w:pPr>
        <w:rPr>
          <w:rFonts w:hint="eastAsia" w:ascii="仿宋" w:hAnsi="仿宋" w:eastAsia="仿宋" w:cs="仿宋"/>
          <w:color w:val="auto"/>
          <w:sz w:val="28"/>
          <w:szCs w:val="36"/>
          <w:highlight w:val="none"/>
        </w:rPr>
      </w:pPr>
    </w:p>
    <w:p w14:paraId="7AB317FF">
      <w:pPr>
        <w:pStyle w:val="44"/>
        <w:rPr>
          <w:rFonts w:hint="eastAsia"/>
          <w:color w:val="auto"/>
          <w:highlight w:val="none"/>
        </w:rPr>
      </w:pPr>
    </w:p>
    <w:p w14:paraId="5B425251">
      <w:pPr>
        <w:spacing w:line="360" w:lineRule="exact"/>
        <w:jc w:val="left"/>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分标</w:t>
      </w:r>
      <w:r>
        <w:rPr>
          <w:rFonts w:hint="eastAsia" w:ascii="仿宋" w:hAnsi="仿宋" w:eastAsia="仿宋" w:cs="仿宋"/>
          <w:b/>
          <w:bCs/>
          <w:color w:val="auto"/>
          <w:sz w:val="28"/>
          <w:szCs w:val="36"/>
          <w:highlight w:val="none"/>
          <w:lang w:val="en-US" w:eastAsia="zh-CN"/>
        </w:rPr>
        <w:t>2</w:t>
      </w:r>
      <w:r>
        <w:rPr>
          <w:rFonts w:hint="eastAsia" w:ascii="仿宋" w:hAnsi="仿宋" w:eastAsia="仿宋" w:cs="仿宋"/>
          <w:b/>
          <w:bCs/>
          <w:color w:val="auto"/>
          <w:sz w:val="28"/>
          <w:szCs w:val="36"/>
          <w:highlight w:val="none"/>
        </w:rPr>
        <w:t>：贺州市公安局应急联动指挥中心及人民警察训练学校项目财务决算</w:t>
      </w:r>
      <w:r>
        <w:rPr>
          <w:rFonts w:hint="eastAsia" w:ascii="仿宋" w:hAnsi="仿宋" w:eastAsia="仿宋" w:cs="仿宋"/>
          <w:b/>
          <w:bCs/>
          <w:color w:val="auto"/>
          <w:sz w:val="28"/>
          <w:szCs w:val="36"/>
          <w:highlight w:val="none"/>
          <w:lang w:val="en-US" w:eastAsia="zh-CN"/>
        </w:rPr>
        <w:t>报告编制服务</w:t>
      </w:r>
      <w:r>
        <w:rPr>
          <w:rFonts w:hint="eastAsia" w:ascii="仿宋" w:hAnsi="仿宋" w:eastAsia="仿宋" w:cs="仿宋"/>
          <w:b/>
          <w:bCs/>
          <w:color w:val="auto"/>
          <w:sz w:val="28"/>
          <w:szCs w:val="36"/>
          <w:highlight w:val="none"/>
        </w:rPr>
        <w:t>；预算金额：8.05万元；最高限价</w:t>
      </w:r>
      <w:r>
        <w:rPr>
          <w:rFonts w:hint="eastAsia" w:ascii="仿宋" w:hAnsi="仿宋" w:eastAsia="仿宋" w:cs="仿宋"/>
          <w:b/>
          <w:bCs/>
          <w:color w:val="auto"/>
          <w:sz w:val="28"/>
          <w:szCs w:val="36"/>
          <w:highlight w:val="none"/>
          <w:lang w:val="en-US" w:eastAsia="zh-CN"/>
        </w:rPr>
        <w:t>：8.05万</w:t>
      </w:r>
      <w:r>
        <w:rPr>
          <w:rFonts w:hint="eastAsia" w:ascii="仿宋" w:hAnsi="仿宋" w:eastAsia="仿宋" w:cs="仿宋"/>
          <w:b/>
          <w:bCs/>
          <w:color w:val="auto"/>
          <w:sz w:val="28"/>
          <w:szCs w:val="36"/>
          <w:highlight w:val="none"/>
        </w:rPr>
        <w:t>元</w:t>
      </w:r>
    </w:p>
    <w:tbl>
      <w:tblPr>
        <w:tblStyle w:val="34"/>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1"/>
        <w:gridCol w:w="904"/>
        <w:gridCol w:w="7509"/>
      </w:tblGrid>
      <w:tr w14:paraId="7B5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6BC3096D">
            <w:pPr>
              <w:jc w:val="center"/>
              <w:rPr>
                <w:rFonts w:hint="eastAsia" w:ascii="仿宋" w:hAnsi="仿宋" w:eastAsia="仿宋" w:cs="仿宋"/>
                <w:b/>
                <w:color w:val="auto"/>
                <w:highlight w:val="none"/>
              </w:rPr>
            </w:pPr>
            <w:r>
              <w:rPr>
                <w:rFonts w:hint="eastAsia" w:ascii="仿宋" w:hAnsi="仿宋" w:eastAsia="仿宋" w:cs="仿宋"/>
                <w:b/>
                <w:color w:val="auto"/>
                <w:szCs w:val="21"/>
                <w:highlight w:val="none"/>
              </w:rPr>
              <w:t>项号</w:t>
            </w:r>
          </w:p>
        </w:tc>
        <w:tc>
          <w:tcPr>
            <w:tcW w:w="851" w:type="dxa"/>
            <w:tcBorders>
              <w:top w:val="single" w:color="auto" w:sz="4" w:space="0"/>
              <w:left w:val="single" w:color="auto" w:sz="4" w:space="0"/>
              <w:bottom w:val="single" w:color="auto" w:sz="4" w:space="0"/>
              <w:right w:val="single" w:color="auto" w:sz="4" w:space="0"/>
            </w:tcBorders>
            <w:vAlign w:val="center"/>
          </w:tcPr>
          <w:p w14:paraId="5B9A82B8">
            <w:pPr>
              <w:jc w:val="center"/>
              <w:rPr>
                <w:rFonts w:hint="eastAsia" w:ascii="仿宋" w:hAnsi="仿宋" w:eastAsia="仿宋" w:cs="仿宋"/>
                <w:b/>
                <w:color w:val="auto"/>
                <w:highlight w:val="none"/>
              </w:rPr>
            </w:pPr>
            <w:r>
              <w:rPr>
                <w:rFonts w:hint="eastAsia" w:ascii="仿宋" w:hAnsi="仿宋" w:eastAsia="仿宋" w:cs="仿宋"/>
                <w:b/>
                <w:color w:val="auto"/>
                <w:szCs w:val="21"/>
                <w:highlight w:val="none"/>
              </w:rPr>
              <w:t>标的的名称</w:t>
            </w:r>
          </w:p>
        </w:tc>
        <w:tc>
          <w:tcPr>
            <w:tcW w:w="904" w:type="dxa"/>
            <w:tcBorders>
              <w:top w:val="single" w:color="auto" w:sz="4" w:space="0"/>
              <w:left w:val="single" w:color="auto" w:sz="4" w:space="0"/>
              <w:bottom w:val="single" w:color="auto" w:sz="4" w:space="0"/>
              <w:right w:val="single" w:color="auto" w:sz="4" w:space="0"/>
            </w:tcBorders>
            <w:vAlign w:val="center"/>
          </w:tcPr>
          <w:p w14:paraId="536D2550">
            <w:pPr>
              <w:jc w:val="center"/>
              <w:rPr>
                <w:rFonts w:hint="eastAsia" w:ascii="仿宋" w:hAnsi="仿宋" w:eastAsia="仿宋" w:cs="仿宋"/>
                <w:b/>
                <w:color w:val="auto"/>
                <w:highlight w:val="none"/>
              </w:rPr>
            </w:pPr>
            <w:r>
              <w:rPr>
                <w:rFonts w:hint="eastAsia" w:ascii="仿宋" w:hAnsi="仿宋" w:eastAsia="仿宋" w:cs="仿宋"/>
                <w:b/>
                <w:color w:val="auto"/>
                <w:szCs w:val="21"/>
                <w:highlight w:val="none"/>
              </w:rPr>
              <w:t>数量及单位</w:t>
            </w:r>
          </w:p>
        </w:tc>
        <w:tc>
          <w:tcPr>
            <w:tcW w:w="7509" w:type="dxa"/>
            <w:tcBorders>
              <w:top w:val="single" w:color="auto" w:sz="4" w:space="0"/>
              <w:left w:val="single" w:color="auto" w:sz="4" w:space="0"/>
              <w:bottom w:val="single" w:color="auto" w:sz="4" w:space="0"/>
              <w:right w:val="single" w:color="auto" w:sz="4" w:space="0"/>
            </w:tcBorders>
            <w:vAlign w:val="center"/>
          </w:tcPr>
          <w:p w14:paraId="69066305">
            <w:pPr>
              <w:jc w:val="center"/>
              <w:rPr>
                <w:rFonts w:hint="eastAsia" w:ascii="仿宋" w:hAnsi="仿宋" w:eastAsia="仿宋" w:cs="仿宋"/>
                <w:b/>
                <w:color w:val="auto"/>
                <w:highlight w:val="none"/>
              </w:rPr>
            </w:pPr>
            <w:r>
              <w:rPr>
                <w:rFonts w:hint="eastAsia" w:ascii="仿宋" w:hAnsi="仿宋" w:eastAsia="仿宋" w:cs="仿宋"/>
                <w:b/>
                <w:color w:val="auto"/>
                <w:szCs w:val="21"/>
                <w:highlight w:val="none"/>
              </w:rPr>
              <w:t>内容和要求</w:t>
            </w:r>
          </w:p>
        </w:tc>
      </w:tr>
      <w:tr w14:paraId="2269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tcBorders>
              <w:top w:val="single" w:color="auto" w:sz="4" w:space="0"/>
              <w:left w:val="single" w:color="auto" w:sz="4" w:space="0"/>
              <w:bottom w:val="single" w:color="auto" w:sz="4" w:space="0"/>
              <w:right w:val="single" w:color="auto" w:sz="4" w:space="0"/>
            </w:tcBorders>
            <w:vAlign w:val="center"/>
          </w:tcPr>
          <w:p w14:paraId="5011481A">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14:paraId="2DE4F1D3">
            <w:pPr>
              <w:spacing w:line="380" w:lineRule="exact"/>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贺州市公安局应急联动指挥中心及人民警察训练学校项目结算和财务决算评审服务（重）</w:t>
            </w:r>
            <w:r>
              <w:rPr>
                <w:rFonts w:hint="eastAsia" w:ascii="仿宋" w:hAnsi="仿宋" w:eastAsia="仿宋" w:cs="仿宋"/>
                <w:color w:val="auto"/>
                <w:highlight w:val="none"/>
              </w:rPr>
              <w:t>-2分标</w:t>
            </w:r>
          </w:p>
        </w:tc>
        <w:tc>
          <w:tcPr>
            <w:tcW w:w="904" w:type="dxa"/>
            <w:tcBorders>
              <w:top w:val="single" w:color="auto" w:sz="4" w:space="0"/>
              <w:left w:val="single" w:color="auto" w:sz="4" w:space="0"/>
              <w:bottom w:val="single" w:color="auto" w:sz="4" w:space="0"/>
              <w:right w:val="single" w:color="auto" w:sz="4" w:space="0"/>
            </w:tcBorders>
            <w:vAlign w:val="center"/>
          </w:tcPr>
          <w:p w14:paraId="63F15136">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1项</w:t>
            </w:r>
          </w:p>
        </w:tc>
        <w:tc>
          <w:tcPr>
            <w:tcW w:w="7509" w:type="dxa"/>
            <w:tcBorders>
              <w:top w:val="single" w:color="auto" w:sz="4" w:space="0"/>
              <w:left w:val="single" w:color="auto" w:sz="4" w:space="0"/>
              <w:bottom w:val="single" w:color="auto" w:sz="4" w:space="0"/>
              <w:right w:val="single" w:color="auto" w:sz="4" w:space="0"/>
            </w:tcBorders>
            <w:vAlign w:val="center"/>
          </w:tcPr>
          <w:p w14:paraId="69F7868A">
            <w:pPr>
              <w:numPr>
                <w:ilvl w:val="0"/>
                <w:numId w:val="0"/>
              </w:numPr>
              <w:spacing w:line="380" w:lineRule="exact"/>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（一）项目概况</w:t>
            </w:r>
          </w:p>
          <w:p w14:paraId="49399D94">
            <w:pPr>
              <w:spacing w:line="380" w:lineRule="exact"/>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目建设规模：建设规模：对1#综合业务技术楼（建筑面积13270.67㎡，建筑高度约39.65m，地上10层地下1层，框架结构）、2#多功能教学楼（建筑面积2674.40㎡，建筑高度约11.32m，地上2层地下0层，框架结构）、4#备勤综合楼（建筑面积9507.68㎡，建筑高度约15.55m，地上4层地下1层，框架结构）、5#警体楼（建筑面积4361.86㎡，建筑高度约10.30m，地上2层地下0层，框架结构）、6#教学综合楼（建筑面积2674.40㎡，建筑高度约20.05m，地上5层地下1层，框架结构）、7#后勤综合楼-街道模拟街区（建筑面积5943.72㎡，建筑高度约15.80m，地上4层地下1层，框架结构）、7#后勤综合楼-食堂（建筑面积3551.43㎡，建筑高度约13.75m，地上3层地下0层，框架结构）、8#宿舍楼（建筑面积6089.09㎡，建筑高度约18.30m，地上5层地下0层，框架结构）、9#综合训练馆（建筑面积13919.27㎡，建筑高度约18.45m，地上4层地下0层，框架结构）、10#泅渡馆（建筑面积3448.36㎡，建筑高度约8.45m，地上1层地下0层，框架结构）进行建筑室内装饰装修并配套信息智能化系统，配套信息智能化系统可预见内容至少包含但不限于综合布线、数据通信机房（UPS配电、精密空调、动环系统、运维系统、新风系统、接地防雷、气体消防等机房配套系统）、计算机网络、无线网络系统、门禁系统、监控系统、视频会议系统、LED大屏、无线WiFi、微模块通道、UPS配电、精密空调、动环系统、运维系统、新风系统、接地防雷、气体消防及相关配套附属设施设备购置。</w:t>
            </w:r>
          </w:p>
          <w:p w14:paraId="021609DB">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二</w:t>
            </w:r>
            <w:r>
              <w:rPr>
                <w:rFonts w:hint="eastAsia" w:ascii="仿宋" w:hAnsi="仿宋" w:eastAsia="仿宋" w:cs="仿宋"/>
                <w:color w:val="auto"/>
                <w:kern w:val="0"/>
                <w:szCs w:val="21"/>
                <w:highlight w:val="none"/>
              </w:rPr>
              <w:t>)工作内容</w:t>
            </w:r>
          </w:p>
          <w:p w14:paraId="1759A21A">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1.1.对本项目进行验资、年度报表审计与财务收支审计、中期报表审计与财务收支审计、竣工财务决算审计、财务报表审阅</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包含对工程项目建设及概算执行情况、工程项目资金来源、到位及管理使用情况、工程项目建设成本、前期费用、质保金、工程项目内部控制情况、项目各类合同签订及执行情况、项目相关账务处理情况、债权债务清理情况、交付使用资产价值确认等进行全过程跟踪审计。</w:t>
            </w:r>
          </w:p>
          <w:p w14:paraId="1302CA14">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2.符合国家及行业现行相关标准和规范，确保成果资料完整、真实准确、清晰有据，并须通过相关主管部门备案</w:t>
            </w:r>
            <w:r>
              <w:rPr>
                <w:rFonts w:hint="eastAsia" w:ascii="仿宋" w:hAnsi="仿宋" w:eastAsia="仿宋" w:cs="仿宋"/>
                <w:color w:val="auto"/>
                <w:kern w:val="0"/>
                <w:szCs w:val="21"/>
                <w:highlight w:val="none"/>
                <w:lang w:eastAsia="zh-CN"/>
              </w:rPr>
              <w:t>；</w:t>
            </w:r>
          </w:p>
          <w:p w14:paraId="5CDC0567">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3.重点审查内容</w:t>
            </w:r>
            <w:r>
              <w:rPr>
                <w:rFonts w:hint="eastAsia" w:ascii="仿宋" w:hAnsi="仿宋" w:eastAsia="仿宋" w:cs="仿宋"/>
                <w:color w:val="auto"/>
                <w:kern w:val="0"/>
                <w:szCs w:val="21"/>
                <w:highlight w:val="none"/>
                <w:lang w:eastAsia="zh-CN"/>
              </w:rPr>
              <w:t>：</w:t>
            </w:r>
          </w:p>
          <w:p w14:paraId="4E36E7E9">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(1)会计处理原则、科目设置、基建工程资金核算、基本建设 工程核算是否符合相关规定</w:t>
            </w:r>
            <w:r>
              <w:rPr>
                <w:rFonts w:hint="eastAsia" w:ascii="仿宋" w:hAnsi="仿宋" w:eastAsia="仿宋" w:cs="仿宋"/>
                <w:color w:val="auto"/>
                <w:kern w:val="0"/>
                <w:szCs w:val="21"/>
                <w:highlight w:val="none"/>
                <w:lang w:eastAsia="zh-CN"/>
              </w:rPr>
              <w:t>；</w:t>
            </w:r>
          </w:p>
          <w:p w14:paraId="0AA35E21">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(2)基建工程成本管理是否以概算项目所列单项工程或单位工 程为对象，兼顾编制竣工决算和固定资产目录的需要，正确归集成 本支出</w:t>
            </w:r>
            <w:r>
              <w:rPr>
                <w:rFonts w:hint="eastAsia" w:ascii="仿宋" w:hAnsi="仿宋" w:eastAsia="仿宋" w:cs="仿宋"/>
                <w:color w:val="auto"/>
                <w:kern w:val="0"/>
                <w:szCs w:val="21"/>
                <w:highlight w:val="none"/>
                <w:lang w:eastAsia="zh-CN"/>
              </w:rPr>
              <w:t>；</w:t>
            </w:r>
          </w:p>
          <w:p w14:paraId="1FA8002F">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(3)项目资金是否按时全部到位，核算是否规范，资金管理使 用是否合理，有无挤占、挪用现象</w:t>
            </w:r>
            <w:r>
              <w:rPr>
                <w:rFonts w:hint="eastAsia" w:ascii="仿宋" w:hAnsi="仿宋" w:eastAsia="仿宋" w:cs="仿宋"/>
                <w:color w:val="auto"/>
                <w:kern w:val="0"/>
                <w:szCs w:val="21"/>
                <w:highlight w:val="none"/>
                <w:lang w:eastAsia="zh-CN"/>
              </w:rPr>
              <w:t>；</w:t>
            </w:r>
          </w:p>
          <w:p w14:paraId="757AA5D1">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(4)工程项目建设成本的归集是否完整、准确，有无超标准开 支管理费、混淆事业成本和建设成本的情况</w:t>
            </w:r>
            <w:r>
              <w:rPr>
                <w:rFonts w:hint="eastAsia" w:ascii="仿宋" w:hAnsi="仿宋" w:eastAsia="仿宋" w:cs="仿宋"/>
                <w:color w:val="auto"/>
                <w:kern w:val="0"/>
                <w:szCs w:val="21"/>
                <w:highlight w:val="none"/>
                <w:lang w:eastAsia="zh-CN"/>
              </w:rPr>
              <w:t>；</w:t>
            </w:r>
          </w:p>
          <w:p w14:paraId="6AD9CA80">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工程款的支付是否按合同约定的比例及进度进行付款，付款审批手续是否齐全，是否有监理单位的月报表等。</w:t>
            </w:r>
          </w:p>
          <w:p w14:paraId="7F120AEE">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(6)征地费用列支标准是否合规,对应发票是否齐全、合规。</w:t>
            </w:r>
          </w:p>
          <w:p w14:paraId="1CAD33A6">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(7)待摊费用支出及其分摊是否合理、正确</w:t>
            </w:r>
            <w:r>
              <w:rPr>
                <w:rFonts w:hint="eastAsia" w:ascii="仿宋" w:hAnsi="仿宋" w:eastAsia="仿宋" w:cs="仿宋"/>
                <w:color w:val="auto"/>
                <w:kern w:val="0"/>
                <w:szCs w:val="21"/>
                <w:highlight w:val="none"/>
                <w:lang w:eastAsia="zh-CN"/>
              </w:rPr>
              <w:t>；</w:t>
            </w:r>
          </w:p>
          <w:p w14:paraId="52E9C3D0">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(8)项目是否按照批准的概算(预)算内容实施，有无超标准、超规模、超概(预)算建设现象</w:t>
            </w:r>
            <w:r>
              <w:rPr>
                <w:rFonts w:hint="eastAsia" w:ascii="仿宋" w:hAnsi="仿宋" w:eastAsia="仿宋" w:cs="仿宋"/>
                <w:color w:val="auto"/>
                <w:kern w:val="0"/>
                <w:szCs w:val="21"/>
                <w:highlight w:val="none"/>
                <w:lang w:eastAsia="zh-CN"/>
              </w:rPr>
              <w:t>；</w:t>
            </w:r>
          </w:p>
          <w:p w14:paraId="463D331B">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(9)项目形成资产是否全面反映，计价是否准确，资产接受单位是否落实</w:t>
            </w:r>
            <w:r>
              <w:rPr>
                <w:rFonts w:hint="eastAsia" w:ascii="仿宋" w:hAnsi="仿宋" w:eastAsia="仿宋" w:cs="仿宋"/>
                <w:color w:val="auto"/>
                <w:kern w:val="0"/>
                <w:szCs w:val="21"/>
                <w:highlight w:val="none"/>
                <w:lang w:eastAsia="zh-CN"/>
              </w:rPr>
              <w:t>；</w:t>
            </w:r>
          </w:p>
          <w:p w14:paraId="356D66B1">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(10)项目在建设过程中历次检查和审计所提的重大问题是否已经整改落实</w:t>
            </w:r>
            <w:r>
              <w:rPr>
                <w:rFonts w:hint="eastAsia" w:ascii="仿宋" w:hAnsi="仿宋" w:eastAsia="仿宋" w:cs="仿宋"/>
                <w:color w:val="auto"/>
                <w:kern w:val="0"/>
                <w:szCs w:val="21"/>
                <w:highlight w:val="none"/>
                <w:lang w:eastAsia="zh-CN"/>
              </w:rPr>
              <w:t>；</w:t>
            </w:r>
          </w:p>
          <w:p w14:paraId="12D39F47">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(11)待核销基建支出和转出投资有无依据，是否合理</w:t>
            </w:r>
            <w:r>
              <w:rPr>
                <w:rFonts w:hint="eastAsia" w:ascii="仿宋" w:hAnsi="仿宋" w:eastAsia="仿宋" w:cs="仿宋"/>
                <w:color w:val="auto"/>
                <w:kern w:val="0"/>
                <w:szCs w:val="21"/>
                <w:highlight w:val="none"/>
                <w:lang w:eastAsia="zh-CN"/>
              </w:rPr>
              <w:t>；</w:t>
            </w:r>
          </w:p>
          <w:p w14:paraId="3FB072B1">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(12)竣工财务决算报表所填列的数据是否完整，表间勾稽关系是否清晰、正确</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决算的内容和格式是否符合国家有关规定</w:t>
            </w:r>
            <w:r>
              <w:rPr>
                <w:rFonts w:hint="eastAsia" w:ascii="仿宋" w:hAnsi="仿宋" w:eastAsia="仿宋" w:cs="仿宋"/>
                <w:color w:val="auto"/>
                <w:kern w:val="0"/>
                <w:szCs w:val="21"/>
                <w:highlight w:val="none"/>
                <w:lang w:val="en-US" w:eastAsia="zh-CN"/>
              </w:rPr>
              <w:t>；</w:t>
            </w:r>
          </w:p>
          <w:p w14:paraId="33D81E25">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(13)尾工工程及预留费用是否控制在概算确定的范围内预留的金额和比例是否合理</w:t>
            </w:r>
            <w:r>
              <w:rPr>
                <w:rFonts w:hint="eastAsia" w:ascii="仿宋" w:hAnsi="仿宋" w:eastAsia="仿宋" w:cs="仿宋"/>
                <w:color w:val="auto"/>
                <w:kern w:val="0"/>
                <w:szCs w:val="21"/>
                <w:highlight w:val="none"/>
                <w:lang w:eastAsia="zh-CN"/>
              </w:rPr>
              <w:t>；</w:t>
            </w:r>
          </w:p>
          <w:p w14:paraId="378FD083">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(14)项目建设是否履行基木建设程序，是否符合国家有关建 设管理制度要求等</w:t>
            </w:r>
            <w:r>
              <w:rPr>
                <w:rFonts w:hint="eastAsia" w:ascii="仿宋" w:hAnsi="仿宋" w:eastAsia="仿宋" w:cs="仿宋"/>
                <w:color w:val="auto"/>
                <w:kern w:val="0"/>
                <w:szCs w:val="21"/>
                <w:highlight w:val="none"/>
                <w:lang w:eastAsia="zh-CN"/>
              </w:rPr>
              <w:t>；</w:t>
            </w:r>
          </w:p>
          <w:p w14:paraId="5373A07B">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(15)相关主管部门或者第三方专业机构是否对造价结算出具审核意见</w:t>
            </w:r>
            <w:r>
              <w:rPr>
                <w:rFonts w:hint="eastAsia" w:ascii="仿宋" w:hAnsi="仿宋" w:eastAsia="仿宋" w:cs="仿宋"/>
                <w:color w:val="auto"/>
                <w:kern w:val="0"/>
                <w:szCs w:val="21"/>
                <w:highlight w:val="none"/>
                <w:lang w:eastAsia="zh-CN"/>
              </w:rPr>
              <w:t>；</w:t>
            </w:r>
          </w:p>
          <w:p w14:paraId="183D1954">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(16)项目竣工后应当及时办理资金清算和资产交付手续</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并依据项目竣工财务决算批复意见办理产权登记和有关资产入账或调账</w:t>
            </w:r>
            <w:r>
              <w:rPr>
                <w:rFonts w:hint="eastAsia" w:ascii="仿宋" w:hAnsi="仿宋" w:eastAsia="仿宋" w:cs="仿宋"/>
                <w:color w:val="auto"/>
                <w:kern w:val="0"/>
                <w:szCs w:val="21"/>
                <w:highlight w:val="none"/>
                <w:lang w:eastAsia="zh-CN"/>
              </w:rPr>
              <w:t>；</w:t>
            </w:r>
          </w:p>
          <w:p w14:paraId="1C55C6D5">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(17)项目建设单位经批准使用项目资金购买的车辆、办公设备等自用固定资产，项目完工时是否按下列情况进行财务处理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资产直接交付使用单位的，按设备投资支出转入交付使用。其中，计提折旧的自用固定资产，按固定资产购置成本扣除累计折旧后的金额转入交付使用，项目建设期间计提的折旧费用作为待摊投资支出分摊到相关资产价值</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不计提折旧的自用固定资产，按固定资产购置成本转入交付使用</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资产在交付使用单位前公开变价处置的，项目建设期间计提的折旧费用和固定资产清理净损益(即公开变价金额与扣除所提折旧后设备净值之间的差额)计入待摊投资，不计提自用固定资产折旧的项目</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按公开变价金额与购置成木之间的差额作为待摊投资支出分摊到相关资产价值。</w:t>
            </w:r>
          </w:p>
          <w:p w14:paraId="1A71A383">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4.其他写财务审计相关事宜</w:t>
            </w:r>
            <w:r>
              <w:rPr>
                <w:rFonts w:hint="eastAsia" w:ascii="仿宋" w:hAnsi="仿宋" w:eastAsia="仿宋" w:cs="仿宋"/>
                <w:color w:val="auto"/>
                <w:kern w:val="0"/>
                <w:szCs w:val="21"/>
                <w:highlight w:val="none"/>
                <w:lang w:eastAsia="zh-CN"/>
              </w:rPr>
              <w:t>：</w:t>
            </w:r>
          </w:p>
          <w:p w14:paraId="51A40C68">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(1)竣工财务决算编制依据。审查各项清理工作是否全面、彻底，编制依据是否符合国家有关规定，资料是否齐全，手续是否完备，对遗留问题处理是否合规。</w:t>
            </w:r>
          </w:p>
          <w:p w14:paraId="48EF8A17">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(2)工程项目建设及概算执行情况。审查项目建设各单位工程建设是否严格按批准的概算内容执行，有无概算外项目和提高建设标准、扩大建设规模的问题，有无重大质量事故和经济损失。</w:t>
            </w:r>
          </w:p>
          <w:p w14:paraId="53808447">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(3)对建设工程各类招标文件、经济合同等进行审计，主要包括对施工、勘察、设计、监理、检测等招标文件和合同及其执行情况进行审计。</w:t>
            </w:r>
          </w:p>
          <w:p w14:paraId="42F404CC">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(4)对施工合同内容、合同履行情况、项目日常管理，执行有关政策，项目建设程序执行情况，项目内部控制制度的设置和落实情况等进行审计</w:t>
            </w:r>
            <w:r>
              <w:rPr>
                <w:rFonts w:hint="eastAsia" w:ascii="仿宋" w:hAnsi="仿宋" w:eastAsia="仿宋" w:cs="仿宋"/>
                <w:color w:val="auto"/>
                <w:kern w:val="0"/>
                <w:szCs w:val="21"/>
                <w:highlight w:val="none"/>
                <w:lang w:eastAsia="zh-CN"/>
              </w:rPr>
              <w:t>；</w:t>
            </w:r>
          </w:p>
          <w:p w14:paraId="688DD1C9">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(5)工程项目的结余资金审计。审查库存物资实存量的真实性，有无积压、隐瞒、转移、挪用等问题</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各项债权债务的真实性，有无转移、挪用建设资金和债权债务清理不及时等问题(6)交付使用财产审计。审查交付使用财产是否真实、完整是否符合交付条件，移交手续是否齐全、合规</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成本核算是否正确，有无挤占成本，提高造价，转移投资的问题</w:t>
            </w:r>
            <w:r>
              <w:rPr>
                <w:rFonts w:hint="eastAsia" w:ascii="仿宋" w:hAnsi="仿宋" w:eastAsia="仿宋" w:cs="仿宋"/>
                <w:color w:val="auto"/>
                <w:kern w:val="0"/>
                <w:szCs w:val="21"/>
                <w:highlight w:val="none"/>
                <w:lang w:eastAsia="zh-CN"/>
              </w:rPr>
              <w:t>；</w:t>
            </w:r>
          </w:p>
          <w:p w14:paraId="014E818D">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(7)报废工程的报废原因及鉴定情况，扫尾工程的预留工程款及建设情况。核实扫尾工程的未完工程量，留足投资。防止将新增 项目列作尾工项目、增加新的工程内容</w:t>
            </w:r>
            <w:r>
              <w:rPr>
                <w:rFonts w:hint="eastAsia" w:ascii="仿宋" w:hAnsi="仿宋" w:eastAsia="仿宋" w:cs="仿宋"/>
                <w:color w:val="auto"/>
                <w:kern w:val="0"/>
                <w:szCs w:val="21"/>
                <w:highlight w:val="none"/>
                <w:lang w:eastAsia="zh-CN"/>
              </w:rPr>
              <w:t>；</w:t>
            </w:r>
          </w:p>
          <w:p w14:paraId="6C85B2D2">
            <w:pPr>
              <w:spacing w:line="380" w:lineRule="exact"/>
              <w:ind w:firstLine="420" w:firstLineChars="200"/>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(8)指导并协助采购单位编制财务决算报告</w:t>
            </w:r>
            <w:r>
              <w:rPr>
                <w:rFonts w:hint="eastAsia" w:ascii="仿宋" w:hAnsi="仿宋" w:eastAsia="仿宋" w:cs="仿宋"/>
                <w:color w:val="auto"/>
                <w:kern w:val="0"/>
                <w:szCs w:val="21"/>
                <w:highlight w:val="none"/>
                <w:lang w:eastAsia="zh-CN"/>
              </w:rPr>
              <w:t>；</w:t>
            </w:r>
          </w:p>
          <w:p w14:paraId="72C7CB94">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(9)其它有必要审查的事项。</w:t>
            </w:r>
          </w:p>
          <w:p w14:paraId="4ABEFEDB">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供应商配备有不少于</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人(含)的项目团队，其中至少</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人为注册会计师。</w:t>
            </w:r>
          </w:p>
          <w:p w14:paraId="4DDCF3F4">
            <w:pPr>
              <w:spacing w:line="38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成交供应商需安排专业的技术人员承担审计任务，项目负责人必须为注册会计师(注册证书必须为有效的)其余项目人员需具有与服务事项相适应的专业技能和资格。(响应文件中必须提供拟投入人员的证书或相关材料，否则竞标无效。)</w:t>
            </w:r>
          </w:p>
        </w:tc>
      </w:tr>
      <w:tr w14:paraId="7FFC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32D17385">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商务条款</w:t>
            </w:r>
          </w:p>
        </w:tc>
        <w:tc>
          <w:tcPr>
            <w:tcW w:w="8413" w:type="dxa"/>
            <w:gridSpan w:val="2"/>
            <w:tcBorders>
              <w:top w:val="single" w:color="auto" w:sz="4" w:space="0"/>
              <w:left w:val="single" w:color="auto" w:sz="4" w:space="0"/>
              <w:bottom w:val="single" w:color="auto" w:sz="4" w:space="0"/>
              <w:right w:val="single" w:color="auto" w:sz="4" w:space="0"/>
            </w:tcBorders>
            <w:vAlign w:val="center"/>
          </w:tcPr>
          <w:p w14:paraId="71CC916C">
            <w:pP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val="en-US" w:eastAsia="zh-CN"/>
              </w:rPr>
              <w:t>一、</w:t>
            </w:r>
            <w:r>
              <w:rPr>
                <w:rFonts w:hint="eastAsia" w:ascii="仿宋" w:hAnsi="仿宋" w:eastAsia="仿宋" w:cs="仿宋"/>
                <w:b w:val="0"/>
                <w:bCs/>
                <w:color w:val="auto"/>
                <w:szCs w:val="21"/>
                <w:highlight w:val="none"/>
              </w:rPr>
              <w:t>合同签订期：自成交通知书发出之日起10个日历日内。</w:t>
            </w:r>
          </w:p>
          <w:p w14:paraId="59982017">
            <w:pP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二、合同履约期限：从签订委托服务合同开始至竣工财务决算审计完成为止。</w:t>
            </w:r>
          </w:p>
          <w:p w14:paraId="78459340">
            <w:pP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三、提交服务成果地点：广西贺州市，采购人指定地点。</w:t>
            </w:r>
          </w:p>
          <w:p w14:paraId="2AF1D806">
            <w:pP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四、售后服务要求：</w:t>
            </w:r>
          </w:p>
          <w:p w14:paraId="0EDD94AA">
            <w:pP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 xml:space="preserve">1、响应时间：接到采购人通知后30分钟内响应，2小时内派技术人员到达现场处理，承诺成交后在贺州市内设立办事处（在响应文件中出具承诺函）。 </w:t>
            </w:r>
          </w:p>
          <w:p w14:paraId="74BC7A46">
            <w:pP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2、成交供应商需要根据项目建设内容和进度需要。期间应采购人要求，就本项目所涉的其它商务、财务、相关法律法规问题提供专业咨询意见与建议。</w:t>
            </w:r>
          </w:p>
          <w:p w14:paraId="7916A37B">
            <w:pP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五、报价要求：响应报价包括但不限于完成本次采购范围内服务所产生的一切费用，包括人工费、服务费、交通运输费、售后服务费、税费及其他一切费用的总和。</w:t>
            </w:r>
          </w:p>
          <w:p w14:paraId="32197FA5">
            <w:pP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六、付款方式：</w:t>
            </w:r>
          </w:p>
          <w:p w14:paraId="3E126879">
            <w:pP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1、合同签订后，成交供应商开具发票 10 个工作日内采购人向成交供应商支付合同价款的 30%预付款：</w:t>
            </w:r>
          </w:p>
          <w:p w14:paraId="07DA8D1B">
            <w:pP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2、项目成果交付且验收合格后10工作日内，采购人向成交供应商支付合同总金额70%的项目尾款。</w:t>
            </w:r>
          </w:p>
          <w:p w14:paraId="3A9CC100">
            <w:pP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注：成交供应商应在采购人每一期付款前开具当期全额发票，采购人在收到发票后10个工作日内将资金支付到合同约定的供应商账户。</w:t>
            </w:r>
          </w:p>
          <w:p w14:paraId="1DC31D96">
            <w:pP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七、验收标准及要求：</w:t>
            </w:r>
          </w:p>
          <w:p w14:paraId="583616C3">
            <w:pPr>
              <w:rPr>
                <w:rFonts w:hint="eastAsia" w:ascii="仿宋" w:hAnsi="仿宋" w:eastAsia="仿宋" w:cs="仿宋"/>
                <w:b/>
                <w:color w:val="auto"/>
                <w:szCs w:val="21"/>
                <w:highlight w:val="none"/>
                <w:lang w:eastAsia="zh-CN"/>
              </w:rPr>
            </w:pPr>
            <w:r>
              <w:rPr>
                <w:rFonts w:hint="eastAsia" w:ascii="仿宋" w:hAnsi="仿宋" w:eastAsia="仿宋" w:cs="仿宋"/>
                <w:b w:val="0"/>
                <w:bCs/>
                <w:color w:val="auto"/>
                <w:szCs w:val="21"/>
                <w:highlight w:val="none"/>
              </w:rPr>
              <w:t>1、成交供应商需向采购人提供完整的成果资料，包括但不限于项目竣工财务决算审计报告6份；</w:t>
            </w:r>
          </w:p>
        </w:tc>
      </w:tr>
    </w:tbl>
    <w:p w14:paraId="350C6D40">
      <w:pPr>
        <w:rPr>
          <w:rFonts w:hint="eastAsia" w:ascii="仿宋" w:hAnsi="仿宋" w:eastAsia="仿宋" w:cs="仿宋"/>
          <w:color w:val="auto"/>
          <w:highlight w:val="none"/>
        </w:rPr>
      </w:pPr>
    </w:p>
    <w:p w14:paraId="2F44AFBC">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3ED47DAC">
      <w:pPr>
        <w:spacing w:line="428" w:lineRule="exact"/>
        <w:ind w:left="11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6E3320D7">
      <w:pPr>
        <w:spacing w:line="528"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中小微企业划型标准</w:t>
      </w:r>
    </w:p>
    <w:tbl>
      <w:tblPr>
        <w:tblStyle w:val="34"/>
        <w:tblW w:w="9962" w:type="dxa"/>
        <w:tblInd w:w="0" w:type="dxa"/>
        <w:tblLayout w:type="fixed"/>
        <w:tblCellMar>
          <w:top w:w="0" w:type="dxa"/>
          <w:left w:w="108" w:type="dxa"/>
          <w:bottom w:w="0" w:type="dxa"/>
          <w:right w:w="108" w:type="dxa"/>
        </w:tblCellMar>
      </w:tblPr>
      <w:tblGrid>
        <w:gridCol w:w="1948"/>
        <w:gridCol w:w="1656"/>
        <w:gridCol w:w="1490"/>
        <w:gridCol w:w="1917"/>
        <w:gridCol w:w="1797"/>
        <w:gridCol w:w="1154"/>
      </w:tblGrid>
      <w:tr w14:paraId="17DF909A">
        <w:tblPrEx>
          <w:tblCellMar>
            <w:top w:w="0" w:type="dxa"/>
            <w:left w:w="108" w:type="dxa"/>
            <w:bottom w:w="0" w:type="dxa"/>
            <w:right w:w="108" w:type="dxa"/>
          </w:tblCellMar>
        </w:tblPrEx>
        <w:trPr>
          <w:trHeight w:val="285" w:hRule="atLeast"/>
        </w:trPr>
        <w:tc>
          <w:tcPr>
            <w:tcW w:w="1948" w:type="dxa"/>
            <w:tcBorders>
              <w:top w:val="single" w:color="auto" w:sz="4" w:space="0"/>
              <w:left w:val="single" w:color="auto" w:sz="4" w:space="0"/>
              <w:bottom w:val="single" w:color="auto" w:sz="4" w:space="0"/>
              <w:right w:val="single" w:color="auto" w:sz="4" w:space="0"/>
            </w:tcBorders>
            <w:vAlign w:val="center"/>
          </w:tcPr>
          <w:p w14:paraId="67418426">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656" w:type="dxa"/>
            <w:tcBorders>
              <w:top w:val="single" w:color="auto" w:sz="4" w:space="0"/>
              <w:left w:val="nil"/>
              <w:bottom w:val="single" w:color="auto" w:sz="4" w:space="0"/>
              <w:right w:val="single" w:color="auto" w:sz="4" w:space="0"/>
            </w:tcBorders>
            <w:vAlign w:val="center"/>
          </w:tcPr>
          <w:p w14:paraId="0AAFB452">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1490" w:type="dxa"/>
            <w:tcBorders>
              <w:top w:val="single" w:color="auto" w:sz="4" w:space="0"/>
              <w:left w:val="nil"/>
              <w:bottom w:val="single" w:color="auto" w:sz="4" w:space="0"/>
              <w:right w:val="single" w:color="auto" w:sz="4" w:space="0"/>
            </w:tcBorders>
            <w:vAlign w:val="center"/>
          </w:tcPr>
          <w:p w14:paraId="61BC689B">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917" w:type="dxa"/>
            <w:tcBorders>
              <w:top w:val="single" w:color="auto" w:sz="4" w:space="0"/>
              <w:left w:val="nil"/>
              <w:bottom w:val="single" w:color="auto" w:sz="4" w:space="0"/>
              <w:right w:val="single" w:color="auto" w:sz="4" w:space="0"/>
            </w:tcBorders>
            <w:vAlign w:val="center"/>
          </w:tcPr>
          <w:p w14:paraId="1AAB41B5">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97" w:type="dxa"/>
            <w:tcBorders>
              <w:top w:val="single" w:color="auto" w:sz="4" w:space="0"/>
              <w:left w:val="nil"/>
              <w:bottom w:val="single" w:color="auto" w:sz="4" w:space="0"/>
              <w:right w:val="single" w:color="auto" w:sz="4" w:space="0"/>
            </w:tcBorders>
            <w:vAlign w:val="center"/>
          </w:tcPr>
          <w:p w14:paraId="0D3A46C9">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54" w:type="dxa"/>
            <w:tcBorders>
              <w:top w:val="single" w:color="auto" w:sz="4" w:space="0"/>
              <w:left w:val="nil"/>
              <w:bottom w:val="single" w:color="auto" w:sz="4" w:space="0"/>
              <w:right w:val="single" w:color="auto" w:sz="4" w:space="0"/>
            </w:tcBorders>
            <w:vAlign w:val="center"/>
          </w:tcPr>
          <w:p w14:paraId="54B3703A">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5737F36F">
        <w:tblPrEx>
          <w:tblCellMar>
            <w:top w:w="0" w:type="dxa"/>
            <w:left w:w="108" w:type="dxa"/>
            <w:bottom w:w="0" w:type="dxa"/>
            <w:right w:w="108" w:type="dxa"/>
          </w:tblCellMar>
        </w:tblPrEx>
        <w:trPr>
          <w:trHeight w:val="225" w:hRule="atLeast"/>
        </w:trPr>
        <w:tc>
          <w:tcPr>
            <w:tcW w:w="1948" w:type="dxa"/>
            <w:tcBorders>
              <w:top w:val="nil"/>
              <w:left w:val="single" w:color="auto" w:sz="4" w:space="0"/>
              <w:bottom w:val="single" w:color="auto" w:sz="4" w:space="0"/>
              <w:right w:val="single" w:color="auto" w:sz="4" w:space="0"/>
            </w:tcBorders>
            <w:vAlign w:val="bottom"/>
          </w:tcPr>
          <w:p w14:paraId="6173791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656" w:type="dxa"/>
            <w:tcBorders>
              <w:top w:val="nil"/>
              <w:left w:val="nil"/>
              <w:bottom w:val="single" w:color="auto" w:sz="4" w:space="0"/>
              <w:right w:val="single" w:color="auto" w:sz="4" w:space="0"/>
            </w:tcBorders>
            <w:vAlign w:val="center"/>
          </w:tcPr>
          <w:p w14:paraId="1866F0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3C3012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68E9537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97" w:type="dxa"/>
            <w:tcBorders>
              <w:top w:val="nil"/>
              <w:left w:val="nil"/>
              <w:bottom w:val="single" w:color="auto" w:sz="4" w:space="0"/>
              <w:right w:val="single" w:color="auto" w:sz="4" w:space="0"/>
            </w:tcBorders>
            <w:vAlign w:val="center"/>
          </w:tcPr>
          <w:p w14:paraId="5AF7AE7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54" w:type="dxa"/>
            <w:tcBorders>
              <w:top w:val="nil"/>
              <w:left w:val="nil"/>
              <w:bottom w:val="single" w:color="auto" w:sz="4" w:space="0"/>
              <w:right w:val="single" w:color="auto" w:sz="4" w:space="0"/>
            </w:tcBorders>
            <w:vAlign w:val="center"/>
          </w:tcPr>
          <w:p w14:paraId="780A106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5519606C">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534FB91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656" w:type="dxa"/>
            <w:tcBorders>
              <w:top w:val="nil"/>
              <w:left w:val="nil"/>
              <w:bottom w:val="single" w:color="auto" w:sz="4" w:space="0"/>
              <w:right w:val="single" w:color="auto" w:sz="4" w:space="0"/>
            </w:tcBorders>
            <w:vAlign w:val="center"/>
          </w:tcPr>
          <w:p w14:paraId="181B798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1490" w:type="dxa"/>
            <w:tcBorders>
              <w:top w:val="nil"/>
              <w:left w:val="nil"/>
              <w:bottom w:val="single" w:color="auto" w:sz="4" w:space="0"/>
              <w:right w:val="single" w:color="auto" w:sz="4" w:space="0"/>
            </w:tcBorders>
            <w:vAlign w:val="center"/>
          </w:tcPr>
          <w:p w14:paraId="36380F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917" w:type="dxa"/>
            <w:tcBorders>
              <w:top w:val="nil"/>
              <w:left w:val="nil"/>
              <w:bottom w:val="single" w:color="auto" w:sz="4" w:space="0"/>
              <w:right w:val="single" w:color="auto" w:sz="4" w:space="0"/>
            </w:tcBorders>
            <w:vAlign w:val="center"/>
          </w:tcPr>
          <w:p w14:paraId="7F5106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97" w:type="dxa"/>
            <w:tcBorders>
              <w:top w:val="nil"/>
              <w:left w:val="nil"/>
              <w:bottom w:val="single" w:color="auto" w:sz="4" w:space="0"/>
              <w:right w:val="single" w:color="auto" w:sz="4" w:space="0"/>
            </w:tcBorders>
            <w:vAlign w:val="center"/>
          </w:tcPr>
          <w:p w14:paraId="657EFA6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54" w:type="dxa"/>
            <w:tcBorders>
              <w:top w:val="nil"/>
              <w:left w:val="nil"/>
              <w:bottom w:val="single" w:color="auto" w:sz="4" w:space="0"/>
              <w:right w:val="single" w:color="auto" w:sz="4" w:space="0"/>
            </w:tcBorders>
            <w:vAlign w:val="center"/>
          </w:tcPr>
          <w:p w14:paraId="510AAF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62BEF85">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2B54B0C4">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1C2459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4179238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6258EDA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97" w:type="dxa"/>
            <w:tcBorders>
              <w:top w:val="nil"/>
              <w:left w:val="nil"/>
              <w:bottom w:val="single" w:color="auto" w:sz="4" w:space="0"/>
              <w:right w:val="single" w:color="auto" w:sz="4" w:space="0"/>
            </w:tcBorders>
            <w:vAlign w:val="center"/>
          </w:tcPr>
          <w:p w14:paraId="75F4C72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54" w:type="dxa"/>
            <w:tcBorders>
              <w:top w:val="nil"/>
              <w:left w:val="nil"/>
              <w:bottom w:val="single" w:color="auto" w:sz="4" w:space="0"/>
              <w:right w:val="single" w:color="auto" w:sz="4" w:space="0"/>
            </w:tcBorders>
            <w:vAlign w:val="center"/>
          </w:tcPr>
          <w:p w14:paraId="5B7466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728CDABC">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6C6DE5E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656" w:type="dxa"/>
            <w:tcBorders>
              <w:top w:val="nil"/>
              <w:left w:val="nil"/>
              <w:bottom w:val="single" w:color="auto" w:sz="4" w:space="0"/>
              <w:right w:val="single" w:color="auto" w:sz="4" w:space="0"/>
            </w:tcBorders>
            <w:vAlign w:val="center"/>
          </w:tcPr>
          <w:p w14:paraId="569D17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056AB1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2860A0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97" w:type="dxa"/>
            <w:tcBorders>
              <w:top w:val="nil"/>
              <w:left w:val="nil"/>
              <w:bottom w:val="single" w:color="auto" w:sz="4" w:space="0"/>
              <w:right w:val="single" w:color="auto" w:sz="4" w:space="0"/>
            </w:tcBorders>
            <w:vAlign w:val="center"/>
          </w:tcPr>
          <w:p w14:paraId="4FDB239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54" w:type="dxa"/>
            <w:tcBorders>
              <w:top w:val="nil"/>
              <w:left w:val="nil"/>
              <w:bottom w:val="single" w:color="auto" w:sz="4" w:space="0"/>
              <w:right w:val="single" w:color="auto" w:sz="4" w:space="0"/>
            </w:tcBorders>
            <w:vAlign w:val="center"/>
          </w:tcPr>
          <w:p w14:paraId="1F8CDFE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C783F44">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5B5E07A5">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254AA8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1490" w:type="dxa"/>
            <w:tcBorders>
              <w:top w:val="nil"/>
              <w:left w:val="nil"/>
              <w:bottom w:val="single" w:color="auto" w:sz="4" w:space="0"/>
              <w:right w:val="single" w:color="auto" w:sz="4" w:space="0"/>
            </w:tcBorders>
            <w:vAlign w:val="center"/>
          </w:tcPr>
          <w:p w14:paraId="1A32BF4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40F0369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97" w:type="dxa"/>
            <w:tcBorders>
              <w:top w:val="nil"/>
              <w:left w:val="nil"/>
              <w:bottom w:val="single" w:color="auto" w:sz="4" w:space="0"/>
              <w:right w:val="single" w:color="auto" w:sz="4" w:space="0"/>
            </w:tcBorders>
            <w:vAlign w:val="center"/>
          </w:tcPr>
          <w:p w14:paraId="6A904E9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54" w:type="dxa"/>
            <w:tcBorders>
              <w:top w:val="nil"/>
              <w:left w:val="nil"/>
              <w:bottom w:val="single" w:color="auto" w:sz="4" w:space="0"/>
              <w:right w:val="single" w:color="auto" w:sz="4" w:space="0"/>
            </w:tcBorders>
            <w:vAlign w:val="center"/>
          </w:tcPr>
          <w:p w14:paraId="388DB5E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472A21B9">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68C1696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656" w:type="dxa"/>
            <w:tcBorders>
              <w:top w:val="nil"/>
              <w:left w:val="nil"/>
              <w:bottom w:val="single" w:color="auto" w:sz="4" w:space="0"/>
              <w:right w:val="single" w:color="auto" w:sz="4" w:space="0"/>
            </w:tcBorders>
            <w:vAlign w:val="center"/>
          </w:tcPr>
          <w:p w14:paraId="413710E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1490" w:type="dxa"/>
            <w:tcBorders>
              <w:top w:val="nil"/>
              <w:left w:val="nil"/>
              <w:bottom w:val="single" w:color="auto" w:sz="4" w:space="0"/>
              <w:right w:val="single" w:color="auto" w:sz="4" w:space="0"/>
            </w:tcBorders>
            <w:vAlign w:val="center"/>
          </w:tcPr>
          <w:p w14:paraId="2F52AC6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917" w:type="dxa"/>
            <w:tcBorders>
              <w:top w:val="nil"/>
              <w:left w:val="nil"/>
              <w:bottom w:val="single" w:color="auto" w:sz="4" w:space="0"/>
              <w:right w:val="single" w:color="auto" w:sz="4" w:space="0"/>
            </w:tcBorders>
            <w:vAlign w:val="center"/>
          </w:tcPr>
          <w:p w14:paraId="64D6DF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97" w:type="dxa"/>
            <w:tcBorders>
              <w:top w:val="nil"/>
              <w:left w:val="nil"/>
              <w:bottom w:val="single" w:color="auto" w:sz="4" w:space="0"/>
              <w:right w:val="single" w:color="auto" w:sz="4" w:space="0"/>
            </w:tcBorders>
            <w:vAlign w:val="center"/>
          </w:tcPr>
          <w:p w14:paraId="713D81A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54" w:type="dxa"/>
            <w:tcBorders>
              <w:top w:val="nil"/>
              <w:left w:val="nil"/>
              <w:bottom w:val="single" w:color="auto" w:sz="4" w:space="0"/>
              <w:right w:val="single" w:color="auto" w:sz="4" w:space="0"/>
            </w:tcBorders>
            <w:vAlign w:val="center"/>
          </w:tcPr>
          <w:p w14:paraId="00A070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01FC1834">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65D17F5A">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46D558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35F6727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598A3D8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97" w:type="dxa"/>
            <w:tcBorders>
              <w:top w:val="nil"/>
              <w:left w:val="nil"/>
              <w:bottom w:val="single" w:color="auto" w:sz="4" w:space="0"/>
              <w:right w:val="single" w:color="auto" w:sz="4" w:space="0"/>
            </w:tcBorders>
            <w:vAlign w:val="center"/>
          </w:tcPr>
          <w:p w14:paraId="52DD214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54" w:type="dxa"/>
            <w:tcBorders>
              <w:top w:val="nil"/>
              <w:left w:val="nil"/>
              <w:bottom w:val="single" w:color="auto" w:sz="4" w:space="0"/>
              <w:right w:val="single" w:color="auto" w:sz="4" w:space="0"/>
            </w:tcBorders>
            <w:vAlign w:val="center"/>
          </w:tcPr>
          <w:p w14:paraId="176C2A7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098AC76D">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3860707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656" w:type="dxa"/>
            <w:tcBorders>
              <w:top w:val="nil"/>
              <w:left w:val="nil"/>
              <w:bottom w:val="single" w:color="auto" w:sz="4" w:space="0"/>
              <w:right w:val="single" w:color="auto" w:sz="4" w:space="0"/>
            </w:tcBorders>
            <w:vAlign w:val="center"/>
          </w:tcPr>
          <w:p w14:paraId="1E9813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1490" w:type="dxa"/>
            <w:tcBorders>
              <w:top w:val="nil"/>
              <w:left w:val="nil"/>
              <w:bottom w:val="single" w:color="auto" w:sz="4" w:space="0"/>
              <w:right w:val="single" w:color="auto" w:sz="4" w:space="0"/>
            </w:tcBorders>
            <w:vAlign w:val="center"/>
          </w:tcPr>
          <w:p w14:paraId="7A134DF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917" w:type="dxa"/>
            <w:tcBorders>
              <w:top w:val="nil"/>
              <w:left w:val="nil"/>
              <w:bottom w:val="single" w:color="auto" w:sz="4" w:space="0"/>
              <w:right w:val="single" w:color="auto" w:sz="4" w:space="0"/>
            </w:tcBorders>
            <w:vAlign w:val="center"/>
          </w:tcPr>
          <w:p w14:paraId="0471FAB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97" w:type="dxa"/>
            <w:tcBorders>
              <w:top w:val="nil"/>
              <w:left w:val="nil"/>
              <w:bottom w:val="single" w:color="auto" w:sz="4" w:space="0"/>
              <w:right w:val="single" w:color="auto" w:sz="4" w:space="0"/>
            </w:tcBorders>
            <w:vAlign w:val="center"/>
          </w:tcPr>
          <w:p w14:paraId="5C2AD1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54" w:type="dxa"/>
            <w:tcBorders>
              <w:top w:val="nil"/>
              <w:left w:val="nil"/>
              <w:bottom w:val="single" w:color="auto" w:sz="4" w:space="0"/>
              <w:right w:val="single" w:color="auto" w:sz="4" w:space="0"/>
            </w:tcBorders>
            <w:vAlign w:val="center"/>
          </w:tcPr>
          <w:p w14:paraId="768EA98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BA15C08">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136F8A09">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4F64BB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668C9C1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24A9A09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97" w:type="dxa"/>
            <w:tcBorders>
              <w:top w:val="nil"/>
              <w:left w:val="nil"/>
              <w:bottom w:val="single" w:color="auto" w:sz="4" w:space="0"/>
              <w:right w:val="single" w:color="auto" w:sz="4" w:space="0"/>
            </w:tcBorders>
            <w:vAlign w:val="center"/>
          </w:tcPr>
          <w:p w14:paraId="5FF2E28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54" w:type="dxa"/>
            <w:tcBorders>
              <w:top w:val="nil"/>
              <w:left w:val="nil"/>
              <w:bottom w:val="single" w:color="auto" w:sz="4" w:space="0"/>
              <w:right w:val="single" w:color="auto" w:sz="4" w:space="0"/>
            </w:tcBorders>
            <w:vAlign w:val="center"/>
          </w:tcPr>
          <w:p w14:paraId="05FDE3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22E7BD5">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06C9277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656" w:type="dxa"/>
            <w:tcBorders>
              <w:top w:val="nil"/>
              <w:left w:val="nil"/>
              <w:bottom w:val="single" w:color="auto" w:sz="4" w:space="0"/>
              <w:right w:val="single" w:color="auto" w:sz="4" w:space="0"/>
            </w:tcBorders>
            <w:vAlign w:val="center"/>
          </w:tcPr>
          <w:p w14:paraId="7BDFE0E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1490" w:type="dxa"/>
            <w:tcBorders>
              <w:top w:val="nil"/>
              <w:left w:val="nil"/>
              <w:bottom w:val="single" w:color="auto" w:sz="4" w:space="0"/>
              <w:right w:val="single" w:color="auto" w:sz="4" w:space="0"/>
            </w:tcBorders>
            <w:vAlign w:val="center"/>
          </w:tcPr>
          <w:p w14:paraId="1D06287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917" w:type="dxa"/>
            <w:tcBorders>
              <w:top w:val="nil"/>
              <w:left w:val="nil"/>
              <w:bottom w:val="single" w:color="auto" w:sz="4" w:space="0"/>
              <w:right w:val="single" w:color="auto" w:sz="4" w:space="0"/>
            </w:tcBorders>
            <w:vAlign w:val="center"/>
          </w:tcPr>
          <w:p w14:paraId="25516E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97" w:type="dxa"/>
            <w:tcBorders>
              <w:top w:val="nil"/>
              <w:left w:val="nil"/>
              <w:bottom w:val="single" w:color="auto" w:sz="4" w:space="0"/>
              <w:right w:val="single" w:color="auto" w:sz="4" w:space="0"/>
            </w:tcBorders>
            <w:vAlign w:val="center"/>
          </w:tcPr>
          <w:p w14:paraId="62BDD96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54" w:type="dxa"/>
            <w:tcBorders>
              <w:top w:val="nil"/>
              <w:left w:val="nil"/>
              <w:bottom w:val="single" w:color="auto" w:sz="4" w:space="0"/>
              <w:right w:val="single" w:color="auto" w:sz="4" w:space="0"/>
            </w:tcBorders>
            <w:vAlign w:val="center"/>
          </w:tcPr>
          <w:p w14:paraId="60FB77F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3E9D0EC5">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1DE023C2">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18CB2A8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749CF5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50EFA02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97" w:type="dxa"/>
            <w:tcBorders>
              <w:top w:val="nil"/>
              <w:left w:val="nil"/>
              <w:bottom w:val="single" w:color="auto" w:sz="4" w:space="0"/>
              <w:right w:val="single" w:color="auto" w:sz="4" w:space="0"/>
            </w:tcBorders>
            <w:vAlign w:val="center"/>
          </w:tcPr>
          <w:p w14:paraId="28D7704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54" w:type="dxa"/>
            <w:tcBorders>
              <w:top w:val="nil"/>
              <w:left w:val="nil"/>
              <w:bottom w:val="single" w:color="auto" w:sz="4" w:space="0"/>
              <w:right w:val="single" w:color="auto" w:sz="4" w:space="0"/>
            </w:tcBorders>
            <w:vAlign w:val="center"/>
          </w:tcPr>
          <w:p w14:paraId="41E4368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38AE0EA9">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7B3998B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656" w:type="dxa"/>
            <w:tcBorders>
              <w:top w:val="nil"/>
              <w:left w:val="nil"/>
              <w:bottom w:val="single" w:color="auto" w:sz="4" w:space="0"/>
              <w:right w:val="single" w:color="auto" w:sz="4" w:space="0"/>
            </w:tcBorders>
            <w:vAlign w:val="center"/>
          </w:tcPr>
          <w:p w14:paraId="24AD5EC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1490" w:type="dxa"/>
            <w:tcBorders>
              <w:top w:val="nil"/>
              <w:left w:val="nil"/>
              <w:bottom w:val="single" w:color="auto" w:sz="4" w:space="0"/>
              <w:right w:val="single" w:color="auto" w:sz="4" w:space="0"/>
            </w:tcBorders>
            <w:vAlign w:val="center"/>
          </w:tcPr>
          <w:p w14:paraId="5896C9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917" w:type="dxa"/>
            <w:tcBorders>
              <w:top w:val="nil"/>
              <w:left w:val="nil"/>
              <w:bottom w:val="single" w:color="auto" w:sz="4" w:space="0"/>
              <w:right w:val="single" w:color="auto" w:sz="4" w:space="0"/>
            </w:tcBorders>
            <w:vAlign w:val="center"/>
          </w:tcPr>
          <w:p w14:paraId="3213BDF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97" w:type="dxa"/>
            <w:tcBorders>
              <w:top w:val="nil"/>
              <w:left w:val="nil"/>
              <w:bottom w:val="single" w:color="auto" w:sz="4" w:space="0"/>
              <w:right w:val="single" w:color="auto" w:sz="4" w:space="0"/>
            </w:tcBorders>
            <w:vAlign w:val="center"/>
          </w:tcPr>
          <w:p w14:paraId="77D9D0D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54" w:type="dxa"/>
            <w:tcBorders>
              <w:top w:val="nil"/>
              <w:left w:val="nil"/>
              <w:bottom w:val="single" w:color="auto" w:sz="4" w:space="0"/>
              <w:right w:val="single" w:color="auto" w:sz="4" w:space="0"/>
            </w:tcBorders>
            <w:vAlign w:val="center"/>
          </w:tcPr>
          <w:p w14:paraId="1B792F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3361D26C">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47F2A85A">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6990D2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4B0249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1C7977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97" w:type="dxa"/>
            <w:tcBorders>
              <w:top w:val="nil"/>
              <w:left w:val="nil"/>
              <w:bottom w:val="single" w:color="auto" w:sz="4" w:space="0"/>
              <w:right w:val="single" w:color="auto" w:sz="4" w:space="0"/>
            </w:tcBorders>
            <w:vAlign w:val="center"/>
          </w:tcPr>
          <w:p w14:paraId="036174A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54" w:type="dxa"/>
            <w:tcBorders>
              <w:top w:val="nil"/>
              <w:left w:val="nil"/>
              <w:bottom w:val="single" w:color="auto" w:sz="4" w:space="0"/>
              <w:right w:val="single" w:color="auto" w:sz="4" w:space="0"/>
            </w:tcBorders>
            <w:vAlign w:val="center"/>
          </w:tcPr>
          <w:p w14:paraId="3B1148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865C05E">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1DA8034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656" w:type="dxa"/>
            <w:tcBorders>
              <w:top w:val="nil"/>
              <w:left w:val="nil"/>
              <w:bottom w:val="single" w:color="auto" w:sz="4" w:space="0"/>
              <w:right w:val="single" w:color="auto" w:sz="4" w:space="0"/>
            </w:tcBorders>
            <w:vAlign w:val="center"/>
          </w:tcPr>
          <w:p w14:paraId="190C25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1490" w:type="dxa"/>
            <w:tcBorders>
              <w:top w:val="nil"/>
              <w:left w:val="nil"/>
              <w:bottom w:val="single" w:color="auto" w:sz="4" w:space="0"/>
              <w:right w:val="single" w:color="auto" w:sz="4" w:space="0"/>
            </w:tcBorders>
            <w:vAlign w:val="center"/>
          </w:tcPr>
          <w:p w14:paraId="4584AB5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917" w:type="dxa"/>
            <w:tcBorders>
              <w:top w:val="nil"/>
              <w:left w:val="nil"/>
              <w:bottom w:val="single" w:color="auto" w:sz="4" w:space="0"/>
              <w:right w:val="single" w:color="auto" w:sz="4" w:space="0"/>
            </w:tcBorders>
            <w:vAlign w:val="center"/>
          </w:tcPr>
          <w:p w14:paraId="2BA5B88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97" w:type="dxa"/>
            <w:tcBorders>
              <w:top w:val="nil"/>
              <w:left w:val="nil"/>
              <w:bottom w:val="single" w:color="auto" w:sz="4" w:space="0"/>
              <w:right w:val="single" w:color="auto" w:sz="4" w:space="0"/>
            </w:tcBorders>
            <w:vAlign w:val="center"/>
          </w:tcPr>
          <w:p w14:paraId="3DE230D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54" w:type="dxa"/>
            <w:tcBorders>
              <w:top w:val="nil"/>
              <w:left w:val="nil"/>
              <w:bottom w:val="single" w:color="auto" w:sz="4" w:space="0"/>
              <w:right w:val="single" w:color="auto" w:sz="4" w:space="0"/>
            </w:tcBorders>
            <w:vAlign w:val="center"/>
          </w:tcPr>
          <w:p w14:paraId="0587481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77061298">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436F8B03">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34E3612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78BF9E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6258169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97" w:type="dxa"/>
            <w:tcBorders>
              <w:top w:val="nil"/>
              <w:left w:val="nil"/>
              <w:bottom w:val="single" w:color="auto" w:sz="4" w:space="0"/>
              <w:right w:val="single" w:color="auto" w:sz="4" w:space="0"/>
            </w:tcBorders>
            <w:vAlign w:val="center"/>
          </w:tcPr>
          <w:p w14:paraId="63838B8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54" w:type="dxa"/>
            <w:tcBorders>
              <w:top w:val="nil"/>
              <w:left w:val="nil"/>
              <w:bottom w:val="single" w:color="auto" w:sz="4" w:space="0"/>
              <w:right w:val="single" w:color="auto" w:sz="4" w:space="0"/>
            </w:tcBorders>
            <w:vAlign w:val="center"/>
          </w:tcPr>
          <w:p w14:paraId="64F04A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57298E76">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20FBEA8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656" w:type="dxa"/>
            <w:tcBorders>
              <w:top w:val="nil"/>
              <w:left w:val="nil"/>
              <w:bottom w:val="single" w:color="auto" w:sz="4" w:space="0"/>
              <w:right w:val="single" w:color="auto" w:sz="4" w:space="0"/>
            </w:tcBorders>
            <w:vAlign w:val="center"/>
          </w:tcPr>
          <w:p w14:paraId="3229CDB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1490" w:type="dxa"/>
            <w:tcBorders>
              <w:top w:val="nil"/>
              <w:left w:val="nil"/>
              <w:bottom w:val="single" w:color="auto" w:sz="4" w:space="0"/>
              <w:right w:val="single" w:color="auto" w:sz="4" w:space="0"/>
            </w:tcBorders>
            <w:vAlign w:val="center"/>
          </w:tcPr>
          <w:p w14:paraId="795BB9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917" w:type="dxa"/>
            <w:tcBorders>
              <w:top w:val="nil"/>
              <w:left w:val="nil"/>
              <w:bottom w:val="single" w:color="auto" w:sz="4" w:space="0"/>
              <w:right w:val="single" w:color="auto" w:sz="4" w:space="0"/>
            </w:tcBorders>
            <w:vAlign w:val="center"/>
          </w:tcPr>
          <w:p w14:paraId="47DF251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97" w:type="dxa"/>
            <w:tcBorders>
              <w:top w:val="nil"/>
              <w:left w:val="nil"/>
              <w:bottom w:val="single" w:color="auto" w:sz="4" w:space="0"/>
              <w:right w:val="single" w:color="auto" w:sz="4" w:space="0"/>
            </w:tcBorders>
            <w:vAlign w:val="center"/>
          </w:tcPr>
          <w:p w14:paraId="2976DE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54" w:type="dxa"/>
            <w:tcBorders>
              <w:top w:val="nil"/>
              <w:left w:val="nil"/>
              <w:bottom w:val="single" w:color="auto" w:sz="4" w:space="0"/>
              <w:right w:val="single" w:color="auto" w:sz="4" w:space="0"/>
            </w:tcBorders>
            <w:vAlign w:val="center"/>
          </w:tcPr>
          <w:p w14:paraId="7023A5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88608B1">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18DFB8D8">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20502B3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29CDBC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7527A56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97" w:type="dxa"/>
            <w:tcBorders>
              <w:top w:val="nil"/>
              <w:left w:val="nil"/>
              <w:bottom w:val="single" w:color="auto" w:sz="4" w:space="0"/>
              <w:right w:val="single" w:color="auto" w:sz="4" w:space="0"/>
            </w:tcBorders>
            <w:vAlign w:val="center"/>
          </w:tcPr>
          <w:p w14:paraId="12CEBDE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54" w:type="dxa"/>
            <w:tcBorders>
              <w:top w:val="nil"/>
              <w:left w:val="nil"/>
              <w:bottom w:val="single" w:color="auto" w:sz="4" w:space="0"/>
              <w:right w:val="single" w:color="auto" w:sz="4" w:space="0"/>
            </w:tcBorders>
            <w:vAlign w:val="center"/>
          </w:tcPr>
          <w:p w14:paraId="5BFAADA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D473625">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6C61BA6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656" w:type="dxa"/>
            <w:tcBorders>
              <w:top w:val="nil"/>
              <w:left w:val="nil"/>
              <w:bottom w:val="single" w:color="auto" w:sz="4" w:space="0"/>
              <w:right w:val="single" w:color="auto" w:sz="4" w:space="0"/>
            </w:tcBorders>
            <w:vAlign w:val="center"/>
          </w:tcPr>
          <w:p w14:paraId="5E0AAC1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1490" w:type="dxa"/>
            <w:tcBorders>
              <w:top w:val="nil"/>
              <w:left w:val="nil"/>
              <w:bottom w:val="single" w:color="auto" w:sz="4" w:space="0"/>
              <w:right w:val="single" w:color="auto" w:sz="4" w:space="0"/>
            </w:tcBorders>
            <w:vAlign w:val="center"/>
          </w:tcPr>
          <w:p w14:paraId="287C93A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917" w:type="dxa"/>
            <w:tcBorders>
              <w:top w:val="nil"/>
              <w:left w:val="nil"/>
              <w:bottom w:val="single" w:color="auto" w:sz="4" w:space="0"/>
              <w:right w:val="single" w:color="auto" w:sz="4" w:space="0"/>
            </w:tcBorders>
            <w:vAlign w:val="center"/>
          </w:tcPr>
          <w:p w14:paraId="6C48116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97" w:type="dxa"/>
            <w:tcBorders>
              <w:top w:val="nil"/>
              <w:left w:val="nil"/>
              <w:bottom w:val="single" w:color="auto" w:sz="4" w:space="0"/>
              <w:right w:val="single" w:color="auto" w:sz="4" w:space="0"/>
            </w:tcBorders>
            <w:vAlign w:val="center"/>
          </w:tcPr>
          <w:p w14:paraId="7B2DB5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54" w:type="dxa"/>
            <w:tcBorders>
              <w:top w:val="nil"/>
              <w:left w:val="nil"/>
              <w:bottom w:val="single" w:color="auto" w:sz="4" w:space="0"/>
              <w:right w:val="single" w:color="auto" w:sz="4" w:space="0"/>
            </w:tcBorders>
            <w:vAlign w:val="center"/>
          </w:tcPr>
          <w:p w14:paraId="09DDD93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29E938E">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189CCC66">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7C1CD03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14218A8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379DF12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97" w:type="dxa"/>
            <w:tcBorders>
              <w:top w:val="nil"/>
              <w:left w:val="nil"/>
              <w:bottom w:val="single" w:color="auto" w:sz="4" w:space="0"/>
              <w:right w:val="single" w:color="auto" w:sz="4" w:space="0"/>
            </w:tcBorders>
            <w:vAlign w:val="center"/>
          </w:tcPr>
          <w:p w14:paraId="17CDE21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54" w:type="dxa"/>
            <w:tcBorders>
              <w:top w:val="nil"/>
              <w:left w:val="nil"/>
              <w:bottom w:val="single" w:color="auto" w:sz="4" w:space="0"/>
              <w:right w:val="single" w:color="auto" w:sz="4" w:space="0"/>
            </w:tcBorders>
            <w:vAlign w:val="center"/>
          </w:tcPr>
          <w:p w14:paraId="25D991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E07336E">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59B11BD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656" w:type="dxa"/>
            <w:tcBorders>
              <w:top w:val="nil"/>
              <w:left w:val="nil"/>
              <w:bottom w:val="single" w:color="auto" w:sz="4" w:space="0"/>
              <w:right w:val="single" w:color="auto" w:sz="4" w:space="0"/>
            </w:tcBorders>
            <w:vAlign w:val="center"/>
          </w:tcPr>
          <w:p w14:paraId="436B15B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1490" w:type="dxa"/>
            <w:tcBorders>
              <w:top w:val="nil"/>
              <w:left w:val="nil"/>
              <w:bottom w:val="single" w:color="auto" w:sz="4" w:space="0"/>
              <w:right w:val="single" w:color="auto" w:sz="4" w:space="0"/>
            </w:tcBorders>
            <w:vAlign w:val="center"/>
          </w:tcPr>
          <w:p w14:paraId="6C63961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917" w:type="dxa"/>
            <w:tcBorders>
              <w:top w:val="nil"/>
              <w:left w:val="nil"/>
              <w:bottom w:val="single" w:color="auto" w:sz="4" w:space="0"/>
              <w:right w:val="single" w:color="auto" w:sz="4" w:space="0"/>
            </w:tcBorders>
            <w:vAlign w:val="center"/>
          </w:tcPr>
          <w:p w14:paraId="00965D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97" w:type="dxa"/>
            <w:tcBorders>
              <w:top w:val="nil"/>
              <w:left w:val="nil"/>
              <w:bottom w:val="single" w:color="auto" w:sz="4" w:space="0"/>
              <w:right w:val="single" w:color="auto" w:sz="4" w:space="0"/>
            </w:tcBorders>
            <w:vAlign w:val="center"/>
          </w:tcPr>
          <w:p w14:paraId="0564C60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54" w:type="dxa"/>
            <w:tcBorders>
              <w:top w:val="nil"/>
              <w:left w:val="nil"/>
              <w:bottom w:val="single" w:color="auto" w:sz="4" w:space="0"/>
              <w:right w:val="single" w:color="auto" w:sz="4" w:space="0"/>
            </w:tcBorders>
            <w:vAlign w:val="center"/>
          </w:tcPr>
          <w:p w14:paraId="3DFB7A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C837800">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19B6107A">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4155753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67AE47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79F4A71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97" w:type="dxa"/>
            <w:tcBorders>
              <w:top w:val="nil"/>
              <w:left w:val="nil"/>
              <w:bottom w:val="single" w:color="auto" w:sz="4" w:space="0"/>
              <w:right w:val="single" w:color="auto" w:sz="4" w:space="0"/>
            </w:tcBorders>
            <w:vAlign w:val="center"/>
          </w:tcPr>
          <w:p w14:paraId="58A4025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54" w:type="dxa"/>
            <w:tcBorders>
              <w:top w:val="nil"/>
              <w:left w:val="nil"/>
              <w:bottom w:val="single" w:color="auto" w:sz="4" w:space="0"/>
              <w:right w:val="single" w:color="auto" w:sz="4" w:space="0"/>
            </w:tcBorders>
            <w:vAlign w:val="center"/>
          </w:tcPr>
          <w:p w14:paraId="0E26361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82903A3">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10FA45A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656" w:type="dxa"/>
            <w:tcBorders>
              <w:top w:val="nil"/>
              <w:left w:val="nil"/>
              <w:bottom w:val="single" w:color="auto" w:sz="4" w:space="0"/>
              <w:right w:val="single" w:color="auto" w:sz="4" w:space="0"/>
            </w:tcBorders>
            <w:vAlign w:val="center"/>
          </w:tcPr>
          <w:p w14:paraId="2671D0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1490" w:type="dxa"/>
            <w:tcBorders>
              <w:top w:val="nil"/>
              <w:left w:val="nil"/>
              <w:bottom w:val="single" w:color="auto" w:sz="4" w:space="0"/>
              <w:right w:val="single" w:color="auto" w:sz="4" w:space="0"/>
            </w:tcBorders>
            <w:vAlign w:val="center"/>
          </w:tcPr>
          <w:p w14:paraId="2849551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917" w:type="dxa"/>
            <w:tcBorders>
              <w:top w:val="nil"/>
              <w:left w:val="nil"/>
              <w:bottom w:val="single" w:color="auto" w:sz="4" w:space="0"/>
              <w:right w:val="single" w:color="auto" w:sz="4" w:space="0"/>
            </w:tcBorders>
            <w:vAlign w:val="center"/>
          </w:tcPr>
          <w:p w14:paraId="3BB6EA4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97" w:type="dxa"/>
            <w:tcBorders>
              <w:top w:val="nil"/>
              <w:left w:val="nil"/>
              <w:bottom w:val="single" w:color="auto" w:sz="4" w:space="0"/>
              <w:right w:val="single" w:color="auto" w:sz="4" w:space="0"/>
            </w:tcBorders>
            <w:vAlign w:val="center"/>
          </w:tcPr>
          <w:p w14:paraId="0308BB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54" w:type="dxa"/>
            <w:tcBorders>
              <w:top w:val="nil"/>
              <w:left w:val="nil"/>
              <w:bottom w:val="single" w:color="auto" w:sz="4" w:space="0"/>
              <w:right w:val="single" w:color="auto" w:sz="4" w:space="0"/>
            </w:tcBorders>
            <w:vAlign w:val="center"/>
          </w:tcPr>
          <w:p w14:paraId="161CA0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4825512F">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08239E2D">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389A07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2074715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6274212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97" w:type="dxa"/>
            <w:tcBorders>
              <w:top w:val="nil"/>
              <w:left w:val="nil"/>
              <w:bottom w:val="single" w:color="auto" w:sz="4" w:space="0"/>
              <w:right w:val="single" w:color="auto" w:sz="4" w:space="0"/>
            </w:tcBorders>
            <w:vAlign w:val="center"/>
          </w:tcPr>
          <w:p w14:paraId="4AF144D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54" w:type="dxa"/>
            <w:tcBorders>
              <w:top w:val="nil"/>
              <w:left w:val="nil"/>
              <w:bottom w:val="single" w:color="auto" w:sz="4" w:space="0"/>
              <w:right w:val="single" w:color="auto" w:sz="4" w:space="0"/>
            </w:tcBorders>
            <w:vAlign w:val="center"/>
          </w:tcPr>
          <w:p w14:paraId="7989D15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4570C545">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3CA0524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656" w:type="dxa"/>
            <w:tcBorders>
              <w:top w:val="nil"/>
              <w:left w:val="nil"/>
              <w:bottom w:val="single" w:color="auto" w:sz="4" w:space="0"/>
              <w:right w:val="single" w:color="auto" w:sz="4" w:space="0"/>
            </w:tcBorders>
            <w:vAlign w:val="center"/>
          </w:tcPr>
          <w:p w14:paraId="369D242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399C8E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537137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97" w:type="dxa"/>
            <w:tcBorders>
              <w:top w:val="nil"/>
              <w:left w:val="nil"/>
              <w:bottom w:val="single" w:color="auto" w:sz="4" w:space="0"/>
              <w:right w:val="single" w:color="auto" w:sz="4" w:space="0"/>
            </w:tcBorders>
            <w:vAlign w:val="center"/>
          </w:tcPr>
          <w:p w14:paraId="096DA8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54" w:type="dxa"/>
            <w:tcBorders>
              <w:top w:val="nil"/>
              <w:left w:val="nil"/>
              <w:bottom w:val="single" w:color="auto" w:sz="4" w:space="0"/>
              <w:right w:val="single" w:color="auto" w:sz="4" w:space="0"/>
            </w:tcBorders>
            <w:vAlign w:val="center"/>
          </w:tcPr>
          <w:p w14:paraId="3E701B1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74E06BDF">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00E1CB17">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7C3F2EA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1490" w:type="dxa"/>
            <w:tcBorders>
              <w:top w:val="nil"/>
              <w:left w:val="nil"/>
              <w:bottom w:val="single" w:color="auto" w:sz="4" w:space="0"/>
              <w:right w:val="single" w:color="auto" w:sz="4" w:space="0"/>
            </w:tcBorders>
            <w:vAlign w:val="center"/>
          </w:tcPr>
          <w:p w14:paraId="331D68C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13DCCD4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97" w:type="dxa"/>
            <w:tcBorders>
              <w:top w:val="nil"/>
              <w:left w:val="nil"/>
              <w:bottom w:val="single" w:color="auto" w:sz="4" w:space="0"/>
              <w:right w:val="single" w:color="auto" w:sz="4" w:space="0"/>
            </w:tcBorders>
            <w:vAlign w:val="center"/>
          </w:tcPr>
          <w:p w14:paraId="03130F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54" w:type="dxa"/>
            <w:tcBorders>
              <w:top w:val="nil"/>
              <w:left w:val="nil"/>
              <w:bottom w:val="single" w:color="auto" w:sz="4" w:space="0"/>
              <w:right w:val="single" w:color="auto" w:sz="4" w:space="0"/>
            </w:tcBorders>
            <w:vAlign w:val="center"/>
          </w:tcPr>
          <w:p w14:paraId="73AF12F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716D04C8">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0DA6FA8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656" w:type="dxa"/>
            <w:tcBorders>
              <w:top w:val="nil"/>
              <w:left w:val="nil"/>
              <w:bottom w:val="single" w:color="auto" w:sz="4" w:space="0"/>
              <w:right w:val="single" w:color="auto" w:sz="4" w:space="0"/>
            </w:tcBorders>
            <w:vAlign w:val="center"/>
          </w:tcPr>
          <w:p w14:paraId="3246B95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1490" w:type="dxa"/>
            <w:tcBorders>
              <w:top w:val="nil"/>
              <w:left w:val="nil"/>
              <w:bottom w:val="single" w:color="auto" w:sz="4" w:space="0"/>
              <w:right w:val="single" w:color="auto" w:sz="4" w:space="0"/>
            </w:tcBorders>
            <w:vAlign w:val="center"/>
          </w:tcPr>
          <w:p w14:paraId="24B814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917" w:type="dxa"/>
            <w:tcBorders>
              <w:top w:val="nil"/>
              <w:left w:val="nil"/>
              <w:bottom w:val="single" w:color="auto" w:sz="4" w:space="0"/>
              <w:right w:val="single" w:color="auto" w:sz="4" w:space="0"/>
            </w:tcBorders>
            <w:vAlign w:val="center"/>
          </w:tcPr>
          <w:p w14:paraId="74D0E77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97" w:type="dxa"/>
            <w:tcBorders>
              <w:top w:val="nil"/>
              <w:left w:val="nil"/>
              <w:bottom w:val="single" w:color="auto" w:sz="4" w:space="0"/>
              <w:right w:val="single" w:color="auto" w:sz="4" w:space="0"/>
            </w:tcBorders>
            <w:vAlign w:val="center"/>
          </w:tcPr>
          <w:p w14:paraId="541C5CB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54" w:type="dxa"/>
            <w:tcBorders>
              <w:top w:val="nil"/>
              <w:left w:val="nil"/>
              <w:bottom w:val="single" w:color="auto" w:sz="4" w:space="0"/>
              <w:right w:val="single" w:color="auto" w:sz="4" w:space="0"/>
            </w:tcBorders>
            <w:vAlign w:val="center"/>
          </w:tcPr>
          <w:p w14:paraId="3A7EC8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7701F782">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0F5A954B">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255027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1490" w:type="dxa"/>
            <w:tcBorders>
              <w:top w:val="nil"/>
              <w:left w:val="nil"/>
              <w:bottom w:val="single" w:color="auto" w:sz="4" w:space="0"/>
              <w:right w:val="single" w:color="auto" w:sz="4" w:space="0"/>
            </w:tcBorders>
            <w:vAlign w:val="center"/>
          </w:tcPr>
          <w:p w14:paraId="7E980C0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58BDB2F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97" w:type="dxa"/>
            <w:tcBorders>
              <w:top w:val="nil"/>
              <w:left w:val="nil"/>
              <w:bottom w:val="single" w:color="auto" w:sz="4" w:space="0"/>
              <w:right w:val="single" w:color="auto" w:sz="4" w:space="0"/>
            </w:tcBorders>
            <w:vAlign w:val="center"/>
          </w:tcPr>
          <w:p w14:paraId="7FA60F8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54" w:type="dxa"/>
            <w:tcBorders>
              <w:top w:val="nil"/>
              <w:left w:val="nil"/>
              <w:bottom w:val="single" w:color="auto" w:sz="4" w:space="0"/>
              <w:right w:val="single" w:color="auto" w:sz="4" w:space="0"/>
            </w:tcBorders>
            <w:vAlign w:val="center"/>
          </w:tcPr>
          <w:p w14:paraId="425EA0C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56B07FC6">
        <w:tblPrEx>
          <w:tblCellMar>
            <w:top w:w="0" w:type="dxa"/>
            <w:left w:w="108" w:type="dxa"/>
            <w:bottom w:w="0" w:type="dxa"/>
            <w:right w:w="108" w:type="dxa"/>
          </w:tblCellMar>
        </w:tblPrEx>
        <w:trPr>
          <w:trHeight w:val="225" w:hRule="atLeast"/>
        </w:trPr>
        <w:tc>
          <w:tcPr>
            <w:tcW w:w="1948" w:type="dxa"/>
            <w:vMerge w:val="restart"/>
            <w:tcBorders>
              <w:top w:val="nil"/>
              <w:left w:val="single" w:color="auto" w:sz="4" w:space="0"/>
              <w:bottom w:val="single" w:color="auto" w:sz="4" w:space="0"/>
              <w:right w:val="single" w:color="auto" w:sz="4" w:space="0"/>
            </w:tcBorders>
            <w:vAlign w:val="bottom"/>
          </w:tcPr>
          <w:p w14:paraId="309BA37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656" w:type="dxa"/>
            <w:tcBorders>
              <w:top w:val="nil"/>
              <w:left w:val="nil"/>
              <w:bottom w:val="single" w:color="auto" w:sz="4" w:space="0"/>
              <w:right w:val="single" w:color="auto" w:sz="4" w:space="0"/>
            </w:tcBorders>
            <w:vAlign w:val="center"/>
          </w:tcPr>
          <w:p w14:paraId="5DE569D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1490" w:type="dxa"/>
            <w:tcBorders>
              <w:top w:val="nil"/>
              <w:left w:val="nil"/>
              <w:bottom w:val="single" w:color="auto" w:sz="4" w:space="0"/>
              <w:right w:val="single" w:color="auto" w:sz="4" w:space="0"/>
            </w:tcBorders>
            <w:vAlign w:val="center"/>
          </w:tcPr>
          <w:p w14:paraId="54842ED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917" w:type="dxa"/>
            <w:tcBorders>
              <w:top w:val="nil"/>
              <w:left w:val="nil"/>
              <w:bottom w:val="single" w:color="auto" w:sz="4" w:space="0"/>
              <w:right w:val="single" w:color="auto" w:sz="4" w:space="0"/>
            </w:tcBorders>
            <w:vAlign w:val="center"/>
          </w:tcPr>
          <w:p w14:paraId="3D2965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97" w:type="dxa"/>
            <w:tcBorders>
              <w:top w:val="nil"/>
              <w:left w:val="nil"/>
              <w:bottom w:val="single" w:color="auto" w:sz="4" w:space="0"/>
              <w:right w:val="single" w:color="auto" w:sz="4" w:space="0"/>
            </w:tcBorders>
            <w:vAlign w:val="center"/>
          </w:tcPr>
          <w:p w14:paraId="6F33E66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54" w:type="dxa"/>
            <w:tcBorders>
              <w:top w:val="nil"/>
              <w:left w:val="nil"/>
              <w:bottom w:val="single" w:color="auto" w:sz="4" w:space="0"/>
              <w:right w:val="single" w:color="auto" w:sz="4" w:space="0"/>
            </w:tcBorders>
            <w:vAlign w:val="center"/>
          </w:tcPr>
          <w:p w14:paraId="788778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2A24B05">
        <w:tblPrEx>
          <w:tblCellMar>
            <w:top w:w="0" w:type="dxa"/>
            <w:left w:w="108" w:type="dxa"/>
            <w:bottom w:w="0" w:type="dxa"/>
            <w:right w:w="108" w:type="dxa"/>
          </w:tblCellMar>
        </w:tblPrEx>
        <w:trPr>
          <w:trHeight w:val="225" w:hRule="atLeast"/>
        </w:trPr>
        <w:tc>
          <w:tcPr>
            <w:tcW w:w="1948" w:type="dxa"/>
            <w:vMerge w:val="continue"/>
            <w:tcBorders>
              <w:top w:val="nil"/>
              <w:left w:val="single" w:color="auto" w:sz="4" w:space="0"/>
              <w:bottom w:val="single" w:color="auto" w:sz="4" w:space="0"/>
              <w:right w:val="single" w:color="auto" w:sz="4" w:space="0"/>
            </w:tcBorders>
            <w:vAlign w:val="center"/>
          </w:tcPr>
          <w:p w14:paraId="6EAD8E2B">
            <w:pPr>
              <w:widowControl/>
              <w:jc w:val="left"/>
              <w:rPr>
                <w:rFonts w:hint="eastAsia" w:ascii="仿宋" w:hAnsi="仿宋" w:eastAsia="仿宋" w:cs="仿宋"/>
                <w:b/>
                <w:bCs/>
                <w:color w:val="auto"/>
                <w:kern w:val="0"/>
                <w:sz w:val="18"/>
                <w:szCs w:val="18"/>
                <w:highlight w:val="none"/>
              </w:rPr>
            </w:pPr>
          </w:p>
        </w:tc>
        <w:tc>
          <w:tcPr>
            <w:tcW w:w="1656" w:type="dxa"/>
            <w:tcBorders>
              <w:top w:val="nil"/>
              <w:left w:val="nil"/>
              <w:bottom w:val="single" w:color="auto" w:sz="4" w:space="0"/>
              <w:right w:val="single" w:color="auto" w:sz="4" w:space="0"/>
            </w:tcBorders>
            <w:vAlign w:val="center"/>
          </w:tcPr>
          <w:p w14:paraId="2068CF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1490" w:type="dxa"/>
            <w:tcBorders>
              <w:top w:val="nil"/>
              <w:left w:val="nil"/>
              <w:bottom w:val="single" w:color="auto" w:sz="4" w:space="0"/>
              <w:right w:val="single" w:color="auto" w:sz="4" w:space="0"/>
            </w:tcBorders>
            <w:vAlign w:val="center"/>
          </w:tcPr>
          <w:p w14:paraId="1E2C58D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917" w:type="dxa"/>
            <w:tcBorders>
              <w:top w:val="nil"/>
              <w:left w:val="nil"/>
              <w:bottom w:val="single" w:color="auto" w:sz="4" w:space="0"/>
              <w:right w:val="single" w:color="auto" w:sz="4" w:space="0"/>
            </w:tcBorders>
            <w:vAlign w:val="center"/>
          </w:tcPr>
          <w:p w14:paraId="6FEFA19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97" w:type="dxa"/>
            <w:tcBorders>
              <w:top w:val="nil"/>
              <w:left w:val="nil"/>
              <w:bottom w:val="single" w:color="auto" w:sz="4" w:space="0"/>
              <w:right w:val="single" w:color="auto" w:sz="4" w:space="0"/>
            </w:tcBorders>
            <w:vAlign w:val="center"/>
          </w:tcPr>
          <w:p w14:paraId="1D02E8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54" w:type="dxa"/>
            <w:tcBorders>
              <w:top w:val="nil"/>
              <w:left w:val="nil"/>
              <w:bottom w:val="single" w:color="auto" w:sz="4" w:space="0"/>
              <w:right w:val="single" w:color="auto" w:sz="4" w:space="0"/>
            </w:tcBorders>
            <w:vAlign w:val="center"/>
          </w:tcPr>
          <w:p w14:paraId="2E3180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C7430A2">
        <w:tblPrEx>
          <w:tblCellMar>
            <w:top w:w="0" w:type="dxa"/>
            <w:left w:w="108" w:type="dxa"/>
            <w:bottom w:w="0" w:type="dxa"/>
            <w:right w:w="108" w:type="dxa"/>
          </w:tblCellMar>
        </w:tblPrEx>
        <w:trPr>
          <w:trHeight w:val="225" w:hRule="atLeast"/>
        </w:trPr>
        <w:tc>
          <w:tcPr>
            <w:tcW w:w="1948" w:type="dxa"/>
            <w:tcBorders>
              <w:top w:val="nil"/>
              <w:left w:val="single" w:color="auto" w:sz="4" w:space="0"/>
              <w:bottom w:val="single" w:color="auto" w:sz="4" w:space="0"/>
              <w:right w:val="single" w:color="auto" w:sz="4" w:space="0"/>
            </w:tcBorders>
            <w:vAlign w:val="bottom"/>
          </w:tcPr>
          <w:p w14:paraId="4C97814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656" w:type="dxa"/>
            <w:tcBorders>
              <w:top w:val="nil"/>
              <w:left w:val="nil"/>
              <w:bottom w:val="single" w:color="auto" w:sz="4" w:space="0"/>
              <w:right w:val="single" w:color="auto" w:sz="4" w:space="0"/>
            </w:tcBorders>
            <w:vAlign w:val="center"/>
          </w:tcPr>
          <w:p w14:paraId="41FECB5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1490" w:type="dxa"/>
            <w:tcBorders>
              <w:top w:val="nil"/>
              <w:left w:val="nil"/>
              <w:bottom w:val="single" w:color="auto" w:sz="4" w:space="0"/>
              <w:right w:val="single" w:color="auto" w:sz="4" w:space="0"/>
            </w:tcBorders>
            <w:vAlign w:val="center"/>
          </w:tcPr>
          <w:p w14:paraId="108643D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917" w:type="dxa"/>
            <w:tcBorders>
              <w:top w:val="nil"/>
              <w:left w:val="nil"/>
              <w:bottom w:val="single" w:color="auto" w:sz="4" w:space="0"/>
              <w:right w:val="single" w:color="auto" w:sz="4" w:space="0"/>
            </w:tcBorders>
            <w:vAlign w:val="center"/>
          </w:tcPr>
          <w:p w14:paraId="3934DC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97" w:type="dxa"/>
            <w:tcBorders>
              <w:top w:val="nil"/>
              <w:left w:val="nil"/>
              <w:bottom w:val="single" w:color="auto" w:sz="4" w:space="0"/>
              <w:right w:val="single" w:color="auto" w:sz="4" w:space="0"/>
            </w:tcBorders>
            <w:vAlign w:val="center"/>
          </w:tcPr>
          <w:p w14:paraId="22324A6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54" w:type="dxa"/>
            <w:tcBorders>
              <w:top w:val="nil"/>
              <w:left w:val="nil"/>
              <w:bottom w:val="single" w:color="auto" w:sz="4" w:space="0"/>
              <w:right w:val="single" w:color="auto" w:sz="4" w:space="0"/>
            </w:tcBorders>
            <w:vAlign w:val="center"/>
          </w:tcPr>
          <w:p w14:paraId="7FCFB5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3373B577">
      <w:pPr>
        <w:spacing w:line="528"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6AA4D68">
      <w:pPr>
        <w:widowControl/>
        <w:jc w:val="left"/>
        <w:rPr>
          <w:rFonts w:hint="eastAsia" w:ascii="仿宋" w:hAnsi="仿宋" w:eastAsia="仿宋" w:cs="仿宋"/>
          <w:b/>
          <w:bCs/>
          <w:color w:val="auto"/>
          <w:kern w:val="44"/>
          <w:sz w:val="44"/>
          <w:szCs w:val="44"/>
          <w:highlight w:val="none"/>
        </w:rPr>
      </w:pPr>
      <w:r>
        <w:rPr>
          <w:rFonts w:hint="eastAsia" w:ascii="仿宋" w:hAnsi="仿宋" w:eastAsia="仿宋" w:cs="仿宋"/>
          <w:color w:val="auto"/>
          <w:highlight w:val="none"/>
        </w:rPr>
        <w:br w:type="page"/>
      </w:r>
    </w:p>
    <w:p w14:paraId="5D47FE0D">
      <w:pPr>
        <w:pStyle w:val="2"/>
        <w:jc w:val="center"/>
        <w:rPr>
          <w:rFonts w:hint="eastAsia" w:ascii="仿宋" w:hAnsi="仿宋" w:eastAsia="仿宋" w:cs="仿宋"/>
          <w:color w:val="auto"/>
          <w:highlight w:val="none"/>
        </w:rPr>
      </w:pPr>
      <w:bookmarkStart w:id="63" w:name="_Toc151675539"/>
      <w:r>
        <w:rPr>
          <w:rFonts w:hint="eastAsia" w:ascii="仿宋" w:hAnsi="仿宋" w:eastAsia="仿宋" w:cs="仿宋"/>
          <w:color w:val="auto"/>
          <w:highlight w:val="none"/>
        </w:rPr>
        <w:t>第四章  评审程序、评审方法和评审标准</w:t>
      </w:r>
      <w:bookmarkEnd w:id="63"/>
    </w:p>
    <w:p w14:paraId="6653155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一、评审程序和评审方法</w:t>
      </w:r>
    </w:p>
    <w:p w14:paraId="1AB9214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1.资格审查</w:t>
      </w:r>
    </w:p>
    <w:p w14:paraId="4E974ECB">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1.1响应文件开启后，磋商小组依法对供应商的资格证明文件进行审查。</w:t>
      </w:r>
    </w:p>
    <w:p w14:paraId="10F3322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r>
        <w:rPr>
          <w:rFonts w:hint="eastAsia" w:ascii="仿宋" w:hAnsi="仿宋" w:eastAsia="仿宋" w:cs="仿宋"/>
          <w:color w:val="auto"/>
          <w:highlight w:val="none"/>
        </w:rPr>
        <w:t>磋商小组</w:t>
      </w:r>
      <w:r>
        <w:rPr>
          <w:rFonts w:hint="eastAsia" w:ascii="仿宋" w:hAnsi="仿宋" w:eastAsia="仿宋" w:cs="仿宋"/>
          <w:color w:val="auto"/>
          <w:szCs w:val="21"/>
          <w:highlight w:val="none"/>
        </w:rPr>
        <w:t>在资格审查结束前，对供应商进行信用查询。</w:t>
      </w:r>
    </w:p>
    <w:p w14:paraId="635101B1">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（1）查询渠道：广西政府采购云平台“信用中国”网站(www.creditchina.gov.cn)、中国政府采购网(www.ccgp.gov.cn)链接入口。</w:t>
      </w:r>
    </w:p>
    <w:p w14:paraId="07B3E4AB">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（2）信用查询截止时点：资格审查结束前。</w:t>
      </w:r>
    </w:p>
    <w:p w14:paraId="41F6A3F1">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（3）查询记录和证据留存方式：在查询网站中直接查询，截图另存为电子文档作为评审资料保存。</w:t>
      </w:r>
    </w:p>
    <w:p w14:paraId="132DD6B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277DCD4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1.2资格审查标准为本磋商文件中载明对供应商资格要求的条件。资格审查采用合格制，凡符合磋商文件规定的供应商资格要求的响应文件均通过资格审查。</w:t>
      </w:r>
    </w:p>
    <w:p w14:paraId="420FBF7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1.3供应商有下列情形之一的，资格审查不通过，其响应文件按无效响应处理：</w:t>
      </w:r>
    </w:p>
    <w:p w14:paraId="723AD9D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（1）不具备磋商文件中规定的资格要求的；</w:t>
      </w:r>
    </w:p>
    <w:p w14:paraId="5522499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（2）未按磋商文件规定的方式获取本磋商文件的供应商；</w:t>
      </w:r>
    </w:p>
    <w:p w14:paraId="7931B39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（3）响应文件的资格证明文件缺少任一项“供应商须知前附表”资格证明文件规定的“必须提供”的文件资料的；</w:t>
      </w:r>
    </w:p>
    <w:p w14:paraId="56E3687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（4）响应文件中的资格证明文件出现任一项不符合“供应商须知前附表”资格证明文件规定的“必须提供”的文件资料要求或者无效的；</w:t>
      </w:r>
    </w:p>
    <w:p w14:paraId="522F948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1AA72AA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1.4通过资格审查的合格供应商不足3家的，不得进入符合性审查环节，采购人或者采购代理机构应当重新开展采购活动。</w:t>
      </w:r>
    </w:p>
    <w:p w14:paraId="2AC7C0D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2.符合性审查</w:t>
      </w:r>
    </w:p>
    <w:p w14:paraId="5D6FE3E8">
      <w:pPr>
        <w:spacing w:line="360" w:lineRule="auto"/>
        <w:ind w:firstLine="420" w:firstLineChars="200"/>
        <w:rPr>
          <w:rFonts w:hint="eastAsia" w:ascii="仿宋" w:hAnsi="仿宋" w:eastAsia="仿宋" w:cs="仿宋"/>
          <w:color w:val="auto"/>
          <w:szCs w:val="21"/>
          <w:highlight w:val="none"/>
        </w:rPr>
      </w:pPr>
      <w:bookmarkStart w:id="64" w:name="_Hlk42528882"/>
      <w:r>
        <w:rPr>
          <w:rFonts w:hint="eastAsia" w:ascii="仿宋" w:hAnsi="仿宋" w:eastAsia="仿宋" w:cs="仿宋"/>
          <w:color w:val="auto"/>
          <w:szCs w:val="21"/>
          <w:highlight w:val="none"/>
        </w:rPr>
        <w:t>2.1由磋商小组对通过资格审查的合格供应商的响应文件的竞标报价、商务、技术等实质性要求进行符合性审查，以确定其是否满足磋商文件的实质性要求。</w:t>
      </w:r>
    </w:p>
    <w:bookmarkEnd w:id="64"/>
    <w:p w14:paraId="123EBCE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CF77A1">
      <w:pPr>
        <w:spacing w:line="360" w:lineRule="auto"/>
        <w:ind w:firstLine="420" w:firstLineChars="200"/>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仿宋" w:hAnsi="仿宋" w:eastAsia="仿宋" w:cs="仿宋"/>
          <w:color w:val="auto"/>
          <w:highlight w:val="none"/>
        </w:rPr>
        <w:t>签章</w:t>
      </w:r>
      <w:r>
        <w:rPr>
          <w:rFonts w:hint="eastAsia" w:ascii="仿宋" w:hAnsi="仿宋" w:eastAsia="仿宋" w:cs="仿宋"/>
          <w:color w:val="auto"/>
          <w:spacing w:val="-6"/>
          <w:szCs w:val="21"/>
          <w:highlight w:val="none"/>
        </w:rPr>
        <w:t>。</w:t>
      </w:r>
    </w:p>
    <w:p w14:paraId="1933C5EF">
      <w:pPr>
        <w:spacing w:line="360" w:lineRule="auto"/>
        <w:ind w:firstLine="420" w:firstLineChars="200"/>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0808B09B">
      <w:pPr>
        <w:spacing w:line="360" w:lineRule="auto"/>
        <w:ind w:firstLine="396" w:firstLineChars="200"/>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2.4</w:t>
      </w:r>
      <w:r>
        <w:rPr>
          <w:rFonts w:hint="eastAsia" w:ascii="仿宋" w:hAnsi="仿宋" w:eastAsia="仿宋" w:cs="仿宋"/>
          <w:color w:val="auto"/>
          <w:szCs w:val="21"/>
          <w:highlight w:val="none"/>
        </w:rPr>
        <w:t>首次响应文件报价出现前后不一致的，按照下列规定修正：</w:t>
      </w:r>
    </w:p>
    <w:p w14:paraId="39FB7F5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（1）响应文件中报价表内容与响应文件中相应内容不一致的，以报价表为准；</w:t>
      </w:r>
    </w:p>
    <w:p w14:paraId="1E322F9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（2）大写金额和小写金额不一致的，以大写金额为准；</w:t>
      </w:r>
    </w:p>
    <w:p w14:paraId="7F10EDD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（3）单价金额小数点或者百分比有明显错位的，以报价表的总价为准，并修改单价；</w:t>
      </w:r>
    </w:p>
    <w:p w14:paraId="013F34B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（4）总价金额与按单价汇总金额不一致的，以单价金额计算结果为准。</w:t>
      </w:r>
    </w:p>
    <w:p w14:paraId="595FB8D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同时出现两种以上不一致的，按照以上（1）-（4）规定的顺序逐条进行修正。修正后的报价经供应商确认后产生约束力，供应商不确认的，其响应文件按无效响应处理。</w:t>
      </w:r>
    </w:p>
    <w:p w14:paraId="6B29499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2.5商务技术报价评审</w:t>
      </w:r>
    </w:p>
    <w:p w14:paraId="4DF3294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在评审时，如发现下列情形之一的，将被视为响应文件无效处理：</w:t>
      </w:r>
    </w:p>
    <w:p w14:paraId="4FA043D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（1）商务技术评审</w:t>
      </w:r>
    </w:p>
    <w:p w14:paraId="3ED1884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1）提供响应文件正、副本数量不足；</w:t>
      </w:r>
    </w:p>
    <w:p w14:paraId="63D4F3F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2）响应文件未按磋商文件要求签署、盖章；</w:t>
      </w:r>
    </w:p>
    <w:p w14:paraId="20614DB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3）委托代理人未能出具有效身份证或者出具的身份证与授权委托书中的信息不符的；</w:t>
      </w:r>
    </w:p>
    <w:p w14:paraId="7751F4A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4）提交的磋商保证金无效的或者未按照磋商文件的规定提交磋商保证金；</w:t>
      </w:r>
    </w:p>
    <w:p w14:paraId="66A2CE1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70313D4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6）未对竞标有效期作出响应或者响应文件承诺的竞标有效期不满足磋商文件要求；</w:t>
      </w:r>
    </w:p>
    <w:p w14:paraId="77E573C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7）响应文件的实质性内容未使用中文表述、使用计量单位不符合磋商文件要求；</w:t>
      </w:r>
    </w:p>
    <w:p w14:paraId="252D07D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8）响应文件中的文件资料因填写不齐全或者内容虚假或者出现其他情形而导致被磋商小组认定无效；</w:t>
      </w:r>
    </w:p>
    <w:p w14:paraId="2C5044B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9）响应文件含有采购人不能接受的附加条件；</w:t>
      </w:r>
    </w:p>
    <w:p w14:paraId="2CBFD0C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10）属于“供应商须知正文”第7.5条情形；</w:t>
      </w:r>
    </w:p>
    <w:p w14:paraId="49765BD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11）虚假竞标，或者出现其他情形而导致被磋商小组认定无效；</w:t>
      </w:r>
    </w:p>
    <w:p w14:paraId="223EEA3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bookmarkStart w:id="65" w:name="_Hlk71704147"/>
      <w:r>
        <w:rPr>
          <w:rFonts w:hint="eastAsia" w:ascii="仿宋" w:hAnsi="仿宋" w:eastAsia="仿宋" w:cs="仿宋"/>
          <w:color w:val="auto"/>
          <w:szCs w:val="21"/>
          <w:highlight w:val="none"/>
        </w:rPr>
        <w:t>磋商文件未载明允许提供备选（替代）竞标方案或明确不允许提供备选（替代）竞标方案时，供应商提供了备选（替代）竞标方案的；</w:t>
      </w:r>
      <w:bookmarkEnd w:id="65"/>
    </w:p>
    <w:p w14:paraId="72A7BA7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13）响应文件标注的项目名称或者项目编号与磋商文件标注的项目名称或者项目编号不一致的；</w:t>
      </w:r>
    </w:p>
    <w:p w14:paraId="16CA6BD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r>
        <w:rPr>
          <w:rFonts w:hint="eastAsia" w:ascii="仿宋" w:hAnsi="仿宋" w:eastAsia="仿宋" w:cs="仿宋"/>
          <w:b/>
          <w:color w:val="auto"/>
          <w:szCs w:val="21"/>
          <w:highlight w:val="none"/>
        </w:rPr>
        <w:t>竞争性磋商文件明确不允许分包，响应文件拟分包的；</w:t>
      </w:r>
    </w:p>
    <w:p w14:paraId="0553D44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15）未响应磋商文件实质性要求；</w:t>
      </w:r>
    </w:p>
    <w:p w14:paraId="32ECA9F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16）法律、法规和磋商文件规定的其他无效情形。</w:t>
      </w:r>
    </w:p>
    <w:p w14:paraId="6835629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（2）报价评审</w:t>
      </w:r>
    </w:p>
    <w:p w14:paraId="5792DB0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1）响应文件未提供“供应商须知前附表”报价文件中规定的“竞标报价表”；</w:t>
      </w:r>
    </w:p>
    <w:p w14:paraId="52C1CB7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2）未采用人民币报价或者未按照磋商文件标明的币种报价；</w:t>
      </w:r>
    </w:p>
    <w:p w14:paraId="1D73450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DF7A9D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4）竞标报价（包含首次报价、最后报价）超过所竞标分标规定的采购预算金额或者最高限价的（如本项目公布了最高限价）；</w:t>
      </w:r>
      <w:bookmarkStart w:id="66" w:name="_Hlk42596405"/>
      <w:r>
        <w:rPr>
          <w:rFonts w:hint="eastAsia" w:ascii="仿宋" w:hAnsi="仿宋" w:eastAsia="仿宋" w:cs="仿宋"/>
          <w:color w:val="auto"/>
          <w:szCs w:val="21"/>
          <w:highlight w:val="none"/>
        </w:rPr>
        <w:t>竞标报价（包含首次报价、最后报价）</w:t>
      </w:r>
      <w:bookmarkEnd w:id="66"/>
      <w:bookmarkStart w:id="67" w:name="_Hlk42596276"/>
      <w:r>
        <w:rPr>
          <w:rFonts w:hint="eastAsia" w:ascii="仿宋" w:hAnsi="仿宋" w:eastAsia="仿宋" w:cs="仿宋"/>
          <w:color w:val="auto"/>
          <w:szCs w:val="21"/>
          <w:highlight w:val="none"/>
        </w:rPr>
        <w:t>超过磋商文件分项采购预算金额或者最高限价的</w:t>
      </w:r>
      <w:bookmarkEnd w:id="67"/>
      <w:r>
        <w:rPr>
          <w:rFonts w:hint="eastAsia" w:ascii="仿宋" w:hAnsi="仿宋" w:eastAsia="仿宋" w:cs="仿宋"/>
          <w:color w:val="auto"/>
          <w:szCs w:val="21"/>
          <w:highlight w:val="none"/>
        </w:rPr>
        <w:t>（如本项目公布了最高限价）；</w:t>
      </w:r>
    </w:p>
    <w:p w14:paraId="731E2C8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0597249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6）响应文件响应的标的数量及单位与竞争性磋商采购文件要求实质性不一致的。</w:t>
      </w:r>
    </w:p>
    <w:p w14:paraId="4CA01EC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7591DD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2.7通过符合性审查的合格供应商不足3家的，不得进入磋商环节，采购人或者采购代理机构应当重新开展采购活动。</w:t>
      </w:r>
    </w:p>
    <w:p w14:paraId="4FA6F39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3.磋商程序</w:t>
      </w:r>
    </w:p>
    <w:p w14:paraId="6E8F7AD9">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3.1磋商小组</w:t>
      </w:r>
      <w:r>
        <w:rPr>
          <w:rFonts w:hint="eastAsia" w:ascii="仿宋" w:hAnsi="仿宋" w:eastAsia="仿宋" w:cs="仿宋"/>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40DB57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35729A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3.3对磋商文件作出的实质性变动是磋商文件的有效组成部分，由磋商小组及时以电子澄清函形式同时通知所有参加磋商的供应商。</w:t>
      </w:r>
    </w:p>
    <w:p w14:paraId="70E1383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28668E0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3.5磋商中，</w:t>
      </w:r>
      <w:r>
        <w:rPr>
          <w:rFonts w:hint="eastAsia" w:ascii="仿宋" w:hAnsi="仿宋" w:eastAsia="仿宋" w:cs="仿宋"/>
          <w:color w:val="auto"/>
          <w:spacing w:val="-6"/>
          <w:szCs w:val="21"/>
          <w:highlight w:val="none"/>
        </w:rPr>
        <w:t>磋商的任何一方不得透露与磋商有关的其他供应商的技术资料、价格和其他信息。</w:t>
      </w:r>
    </w:p>
    <w:p w14:paraId="09948DE3">
      <w:pPr>
        <w:widowControl/>
        <w:tabs>
          <w:tab w:val="left" w:pos="540"/>
        </w:tabs>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3.6采购代理机构对磋商过程和重要磋商内容进行记录。</w:t>
      </w:r>
    </w:p>
    <w:p w14:paraId="4E9A1A15">
      <w:pPr>
        <w:widowControl/>
        <w:tabs>
          <w:tab w:val="left" w:pos="540"/>
        </w:tabs>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3.7</w:t>
      </w:r>
      <w:r>
        <w:rPr>
          <w:rFonts w:hint="eastAsia" w:ascii="仿宋" w:hAnsi="仿宋" w:eastAsia="仿宋" w:cs="仿宋"/>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781D08C">
      <w:pPr>
        <w:tabs>
          <w:tab w:val="left" w:pos="2835"/>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3.8除</w:t>
      </w:r>
      <w:r>
        <w:rPr>
          <w:rFonts w:hint="eastAsia" w:ascii="仿宋" w:hAnsi="仿宋" w:eastAsia="仿宋" w:cs="仿宋"/>
          <w:color w:val="auto"/>
          <w:highlight w:val="none"/>
        </w:rPr>
        <w:t>本章第3.7条情形外，</w:t>
      </w:r>
      <w:r>
        <w:rPr>
          <w:rFonts w:hint="eastAsia" w:ascii="仿宋" w:hAnsi="仿宋" w:eastAsia="仿宋" w:cs="仿宋"/>
          <w:color w:val="auto"/>
          <w:szCs w:val="21"/>
          <w:highlight w:val="none"/>
        </w:rPr>
        <w:t>对磋商过程提交的响应文件进行有效性、完整性和响应程度审查，通过审查的合格供应商不足3家的，采购人或者采购代理机构应当重新开展采购活动。</w:t>
      </w:r>
    </w:p>
    <w:p w14:paraId="1F83AA20">
      <w:pPr>
        <w:spacing w:line="360" w:lineRule="auto"/>
        <w:ind w:firstLine="482" w:firstLineChars="200"/>
        <w:rPr>
          <w:rFonts w:hint="eastAsia" w:ascii="仿宋" w:hAnsi="仿宋" w:eastAsia="仿宋" w:cs="仿宋"/>
          <w:color w:val="auto"/>
          <w:szCs w:val="21"/>
          <w:highlight w:val="none"/>
        </w:rPr>
      </w:pPr>
      <w:r>
        <w:rPr>
          <w:rFonts w:hint="eastAsia" w:ascii="仿宋" w:hAnsi="仿宋" w:eastAsia="仿宋" w:cs="仿宋"/>
          <w:b/>
          <w:bCs/>
          <w:color w:val="auto"/>
          <w:sz w:val="24"/>
          <w:highlight w:val="none"/>
        </w:rPr>
        <w:t>4.最后报价</w:t>
      </w:r>
    </w:p>
    <w:p w14:paraId="31910E9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14:paraId="2342B07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184C2E8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仿宋" w:hAnsi="仿宋" w:eastAsia="仿宋" w:cs="仿宋"/>
          <w:color w:val="auto"/>
          <w:highlight w:val="none"/>
        </w:rPr>
        <w:t>本章第3.7条情形的，</w:t>
      </w:r>
      <w:r>
        <w:rPr>
          <w:rFonts w:hint="eastAsia" w:ascii="仿宋" w:hAnsi="仿宋" w:eastAsia="仿宋" w:cs="仿宋"/>
          <w:color w:val="auto"/>
          <w:szCs w:val="21"/>
          <w:highlight w:val="none"/>
        </w:rPr>
        <w:t>提交最后报价的供应商可以为2家。</w:t>
      </w:r>
    </w:p>
    <w:p w14:paraId="1834C7E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3F1389D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4.5供应商未在规定时间内提交最后报价的，视同退出磋商，其响应文件按无效处理。</w:t>
      </w:r>
    </w:p>
    <w:p w14:paraId="30E7341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4.6最后报价统一开启后，磋商小组对最后报价进行有效性、完整性和响应程度的审查。</w:t>
      </w:r>
    </w:p>
    <w:p w14:paraId="0DB5A57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4.7最后报价出现前后不一致的，按照本章第2.4条的规定修正。</w:t>
      </w:r>
    </w:p>
    <w:p w14:paraId="414E0A4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4.8修正后的报价出现下列情形的，按无效响应处理：</w:t>
      </w:r>
    </w:p>
    <w:p w14:paraId="1BFEBCC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（1）供应商不确认的（全流程电子化评标采取在线确认）；</w:t>
      </w:r>
    </w:p>
    <w:p w14:paraId="4787469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（2）经供应商确认修正后的竞标报价（包含首次报价、最后报价）超过所竞标分标规定的采购预算金额或者最高限价的（如本项目公布了最高限价）；</w:t>
      </w:r>
    </w:p>
    <w:p w14:paraId="584D1D4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（3）经供应商确认修正后的竞标报价（包含首次报价、最后报价）超过分项采购预算金额或者最高限价的（如本项目公布了最高限价）。</w:t>
      </w:r>
    </w:p>
    <w:p w14:paraId="2F3C15D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4.9经供应商确认修正后的最后报价作为评审及签订合同的依据。</w:t>
      </w:r>
    </w:p>
    <w:p w14:paraId="09E15D2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4.10供应商出现最后报价按无效响应处理或者响应文件按无效处理时</w:t>
      </w:r>
      <w:r>
        <w:rPr>
          <w:rFonts w:hint="eastAsia" w:ascii="仿宋" w:hAnsi="仿宋" w:eastAsia="仿宋" w:cs="仿宋"/>
          <w:color w:val="auto"/>
          <w:sz w:val="22"/>
          <w:szCs w:val="22"/>
          <w:highlight w:val="none"/>
        </w:rPr>
        <w:t>，磋商小组应当告知有关供应商</w:t>
      </w:r>
      <w:r>
        <w:rPr>
          <w:rFonts w:hint="eastAsia" w:ascii="仿宋" w:hAnsi="仿宋" w:eastAsia="仿宋" w:cs="仿宋"/>
          <w:color w:val="auto"/>
          <w:szCs w:val="21"/>
          <w:highlight w:val="none"/>
        </w:rPr>
        <w:t>。</w:t>
      </w:r>
    </w:p>
    <w:p w14:paraId="61D9F34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4.11最后报价结束后，磋商小组不得再与供应商进行任何形式的商谈。</w:t>
      </w:r>
    </w:p>
    <w:p w14:paraId="7E60813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5.比较与评价</w:t>
      </w:r>
    </w:p>
    <w:p w14:paraId="59509B2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5.1评审方法：综合评分法。</w:t>
      </w:r>
    </w:p>
    <w:p w14:paraId="6B6F1D2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5.2经磋商确定最终采购需求和提交最后报价的供应商后，由磋商小组采用综合评分法对提交最后报价的供应商的响应文件和最后报价进行综合评分。</w:t>
      </w:r>
    </w:p>
    <w:p w14:paraId="639A78B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5.3评审时，磋商小组各成员应当独立对每个有效响应的文件进行评价、打分，然后汇总每个供应商每项评分因素的得分。</w:t>
      </w:r>
    </w:p>
    <w:p w14:paraId="639878B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（1）磋商小组按照磋商文件中规定的评审标准计算各供应商的报价得分。项目评审过程中，不得去掉最后报价中的最高报价和最低报价。</w:t>
      </w:r>
    </w:p>
    <w:p w14:paraId="3A6E562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（2）各供应商的得分为磋商小组所有成员的有效评分的算术平均数。</w:t>
      </w:r>
    </w:p>
    <w:p w14:paraId="046C17F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7661BB8C">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5.5由磋商小组根据综合评分情况，按照评审得分由高到低顺序推荐3名以上成交候选供应商，并编写评</w:t>
      </w:r>
      <w:r>
        <w:rPr>
          <w:rFonts w:hint="eastAsia" w:ascii="仿宋" w:hAnsi="仿宋" w:eastAsia="仿宋" w:cs="仿宋"/>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357CD7A2">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EC6EDD7">
      <w:pPr>
        <w:numPr>
          <w:ilvl w:val="0"/>
          <w:numId w:val="0"/>
        </w:numPr>
        <w:spacing w:line="360" w:lineRule="auto"/>
        <w:jc w:val="both"/>
        <w:rPr>
          <w:rFonts w:hint="eastAsia" w:ascii="仿宋" w:hAnsi="仿宋" w:eastAsia="仿宋" w:cs="仿宋"/>
          <w:b/>
          <w:color w:val="auto"/>
          <w:sz w:val="32"/>
          <w:szCs w:val="32"/>
          <w:highlight w:val="none"/>
        </w:rPr>
      </w:pPr>
    </w:p>
    <w:p w14:paraId="6F5DA12A">
      <w:pPr>
        <w:numPr>
          <w:ilvl w:val="0"/>
          <w:numId w:val="8"/>
        </w:num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评审标准</w:t>
      </w:r>
    </w:p>
    <w:p w14:paraId="3BEFCE5E">
      <w:pPr>
        <w:numPr>
          <w:ilvl w:val="0"/>
          <w:numId w:val="0"/>
        </w:numPr>
        <w:spacing w:line="360" w:lineRule="auto"/>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标项1：</w:t>
      </w:r>
    </w:p>
    <w:tbl>
      <w:tblPr>
        <w:tblStyle w:val="34"/>
        <w:tblW w:w="9910" w:type="dxa"/>
        <w:tblInd w:w="0" w:type="dxa"/>
        <w:tblLayout w:type="fixed"/>
        <w:tblCellMar>
          <w:top w:w="0" w:type="dxa"/>
          <w:left w:w="108" w:type="dxa"/>
          <w:bottom w:w="0" w:type="dxa"/>
          <w:right w:w="108" w:type="dxa"/>
        </w:tblCellMar>
      </w:tblPr>
      <w:tblGrid>
        <w:gridCol w:w="694"/>
        <w:gridCol w:w="1727"/>
        <w:gridCol w:w="6870"/>
        <w:gridCol w:w="619"/>
      </w:tblGrid>
      <w:tr w14:paraId="6084A518">
        <w:tblPrEx>
          <w:tblCellMar>
            <w:top w:w="0" w:type="dxa"/>
            <w:left w:w="108" w:type="dxa"/>
            <w:bottom w:w="0" w:type="dxa"/>
            <w:right w:w="108" w:type="dxa"/>
          </w:tblCellMar>
        </w:tblPrEx>
        <w:trPr>
          <w:trHeight w:val="276"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7D7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序号</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CA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评分类型</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D00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评分标准</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57BB">
            <w:pPr>
              <w:jc w:val="center"/>
              <w:rPr>
                <w:rFonts w:hint="eastAsia" w:ascii="仿宋" w:hAnsi="仿宋" w:eastAsia="仿宋" w:cs="仿宋"/>
                <w:color w:val="auto"/>
                <w:szCs w:val="21"/>
                <w:highlight w:val="none"/>
              </w:rPr>
            </w:pPr>
          </w:p>
        </w:tc>
      </w:tr>
      <w:tr w14:paraId="05033DDF">
        <w:tblPrEx>
          <w:tblCellMar>
            <w:top w:w="0" w:type="dxa"/>
            <w:left w:w="108" w:type="dxa"/>
            <w:bottom w:w="0" w:type="dxa"/>
            <w:right w:w="108" w:type="dxa"/>
          </w:tblCellMar>
        </w:tblPrEx>
        <w:trPr>
          <w:trHeight w:val="495" w:hRule="atLeast"/>
        </w:trPr>
        <w:tc>
          <w:tcPr>
            <w:tcW w:w="694"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2E1EA15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48DB4CD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折扣率</w:t>
            </w:r>
            <w:r>
              <w:rPr>
                <w:rFonts w:hint="eastAsia" w:ascii="仿宋" w:hAnsi="仿宋" w:eastAsia="仿宋" w:cs="仿宋"/>
                <w:color w:val="auto"/>
                <w:kern w:val="0"/>
                <w:szCs w:val="21"/>
                <w:highlight w:val="none"/>
                <w:lang w:bidi="ar"/>
              </w:rPr>
              <w:t>（满分</w:t>
            </w:r>
            <w:r>
              <w:rPr>
                <w:rFonts w:hint="eastAsia" w:ascii="仿宋" w:hAnsi="仿宋" w:eastAsia="仿宋" w:cs="仿宋"/>
                <w:color w:val="auto"/>
                <w:kern w:val="0"/>
                <w:szCs w:val="21"/>
                <w:highlight w:val="none"/>
                <w:lang w:val="en-US" w:eastAsia="zh-CN" w:bidi="ar"/>
              </w:rPr>
              <w:t>10</w:t>
            </w:r>
            <w:r>
              <w:rPr>
                <w:rFonts w:hint="eastAsia" w:ascii="仿宋" w:hAnsi="仿宋" w:eastAsia="仿宋" w:cs="仿宋"/>
                <w:color w:val="auto"/>
                <w:kern w:val="0"/>
                <w:szCs w:val="21"/>
                <w:highlight w:val="none"/>
                <w:lang w:bidi="ar"/>
              </w:rPr>
              <w:t>分）</w:t>
            </w:r>
          </w:p>
        </w:tc>
        <w:tc>
          <w:tcPr>
            <w:tcW w:w="6870"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E4CB631">
            <w:pPr>
              <w:jc w:val="center"/>
              <w:rPr>
                <w:rFonts w:hint="eastAsia" w:ascii="仿宋" w:hAnsi="仿宋" w:eastAsia="仿宋" w:cs="仿宋"/>
                <w:color w:val="auto"/>
                <w:szCs w:val="21"/>
                <w:highlight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4A017BDB">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10</w:t>
            </w:r>
          </w:p>
        </w:tc>
      </w:tr>
      <w:tr w14:paraId="504C170F">
        <w:tblPrEx>
          <w:tblCellMar>
            <w:top w:w="0" w:type="dxa"/>
            <w:left w:w="108" w:type="dxa"/>
            <w:bottom w:w="0" w:type="dxa"/>
            <w:right w:w="108" w:type="dxa"/>
          </w:tblCellMar>
        </w:tblPrEx>
        <w:trPr>
          <w:trHeight w:val="69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B850">
            <w:pPr>
              <w:jc w:val="center"/>
              <w:rPr>
                <w:rFonts w:hint="eastAsia" w:ascii="仿宋" w:hAnsi="仿宋" w:eastAsia="仿宋" w:cs="仿宋"/>
                <w:color w:val="auto"/>
                <w:szCs w:val="21"/>
                <w:highlight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AEB8">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val="en-US" w:eastAsia="zh-CN" w:bidi="ar"/>
              </w:rPr>
              <w:t>折扣率</w:t>
            </w:r>
            <w:r>
              <w:rPr>
                <w:rFonts w:hint="eastAsia" w:ascii="仿宋" w:hAnsi="仿宋" w:eastAsia="仿宋" w:cs="仿宋"/>
                <w:color w:val="auto"/>
                <w:kern w:val="0"/>
                <w:szCs w:val="21"/>
                <w:highlight w:val="none"/>
                <w:lang w:bidi="ar"/>
              </w:rPr>
              <w:t>（满分</w:t>
            </w:r>
            <w:r>
              <w:rPr>
                <w:rFonts w:hint="eastAsia" w:ascii="仿宋" w:hAnsi="仿宋" w:eastAsia="仿宋" w:cs="仿宋"/>
                <w:color w:val="auto"/>
                <w:kern w:val="0"/>
                <w:szCs w:val="21"/>
                <w:highlight w:val="none"/>
                <w:lang w:val="en-US" w:eastAsia="zh-CN" w:bidi="ar"/>
              </w:rPr>
              <w:t>10</w:t>
            </w:r>
            <w:r>
              <w:rPr>
                <w:rFonts w:hint="eastAsia" w:ascii="仿宋" w:hAnsi="仿宋" w:eastAsia="仿宋" w:cs="仿宋"/>
                <w:color w:val="auto"/>
                <w:kern w:val="0"/>
                <w:szCs w:val="21"/>
                <w:highlight w:val="none"/>
                <w:lang w:bidi="ar"/>
              </w:rPr>
              <w:t>分）</w:t>
            </w:r>
          </w:p>
        </w:tc>
        <w:tc>
          <w:tcPr>
            <w:tcW w:w="6870" w:type="dxa"/>
            <w:tcBorders>
              <w:top w:val="single" w:color="000000" w:sz="4" w:space="0"/>
              <w:left w:val="single" w:color="000000" w:sz="4" w:space="0"/>
              <w:right w:val="single" w:color="000000" w:sz="4" w:space="0"/>
            </w:tcBorders>
            <w:shd w:val="clear" w:color="auto" w:fill="auto"/>
            <w:vAlign w:val="center"/>
          </w:tcPr>
          <w:p w14:paraId="4EFF36C3">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
                <w:bCs/>
                <w:color w:val="auto"/>
                <w:szCs w:val="21"/>
                <w:highlight w:val="none"/>
              </w:rPr>
              <w:t>本项目为小</w:t>
            </w:r>
            <w:r>
              <w:rPr>
                <w:rFonts w:hint="eastAsia" w:ascii="仿宋" w:hAnsi="仿宋" w:eastAsia="仿宋" w:cs="仿宋"/>
                <w:b/>
                <w:bCs/>
                <w:color w:val="auto"/>
                <w:szCs w:val="21"/>
                <w:highlight w:val="none"/>
                <w:lang w:val="en-US" w:eastAsia="zh-CN"/>
              </w:rPr>
              <w:t>微</w:t>
            </w:r>
            <w:r>
              <w:rPr>
                <w:rFonts w:hint="eastAsia" w:ascii="仿宋" w:hAnsi="仿宋" w:eastAsia="仿宋" w:cs="仿宋"/>
                <w:b/>
                <w:bCs/>
                <w:color w:val="auto"/>
                <w:szCs w:val="21"/>
                <w:highlight w:val="none"/>
              </w:rPr>
              <w:t>企业预留项目，价格评审时，各供应商不重复享受政策</w:t>
            </w:r>
            <w:r>
              <w:rPr>
                <w:rFonts w:hint="eastAsia" w:ascii="仿宋" w:hAnsi="仿宋" w:eastAsia="仿宋" w:cs="仿宋"/>
                <w:color w:val="auto"/>
                <w:szCs w:val="21"/>
                <w:highlight w:val="none"/>
              </w:rPr>
              <w:t>，其评标报价=最后报价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折扣率）</w:t>
            </w:r>
            <w:r>
              <w:rPr>
                <w:rFonts w:hint="eastAsia" w:ascii="仿宋" w:hAnsi="仿宋" w:eastAsia="仿宋" w:cs="仿宋"/>
                <w:color w:val="auto"/>
                <w:szCs w:val="21"/>
                <w:highlight w:val="none"/>
              </w:rPr>
              <w:t>。</w:t>
            </w:r>
          </w:p>
          <w:p w14:paraId="38306998">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（2）满足采购文件要求且评标报价最低的评标报价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折扣率）</w:t>
            </w:r>
            <w:r>
              <w:rPr>
                <w:rFonts w:hint="eastAsia" w:ascii="仿宋" w:hAnsi="仿宋" w:eastAsia="仿宋" w:cs="仿宋"/>
                <w:color w:val="auto"/>
                <w:szCs w:val="21"/>
                <w:highlight w:val="none"/>
              </w:rPr>
              <w:t>为评标基准价，其价格分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折扣率）</w:t>
            </w:r>
            <w:r>
              <w:rPr>
                <w:rFonts w:hint="eastAsia" w:ascii="仿宋" w:hAnsi="仿宋" w:eastAsia="仿宋" w:cs="仿宋"/>
                <w:color w:val="auto"/>
                <w:szCs w:val="21"/>
                <w:highlight w:val="none"/>
              </w:rPr>
              <w:t>为满分。</w:t>
            </w:r>
          </w:p>
          <w:p w14:paraId="5A4853C0">
            <w:pPr>
              <w:pStyle w:val="20"/>
              <w:spacing w:line="360" w:lineRule="exact"/>
              <w:rPr>
                <w:rFonts w:hint="eastAsia" w:ascii="仿宋" w:hAnsi="仿宋" w:eastAsia="仿宋" w:cs="仿宋"/>
                <w:bCs/>
                <w:color w:val="auto"/>
                <w:kern w:val="2"/>
                <w:sz w:val="21"/>
                <w:highlight w:val="none"/>
              </w:rPr>
            </w:pPr>
            <w:r>
              <w:rPr>
                <w:rFonts w:hint="eastAsia" w:ascii="仿宋" w:hAnsi="仿宋" w:eastAsia="仿宋" w:cs="仿宋"/>
                <w:bCs/>
                <w:color w:val="auto"/>
                <w:kern w:val="2"/>
                <w:sz w:val="21"/>
                <w:highlight w:val="none"/>
              </w:rPr>
              <w:t>（3）某供应商价格分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折扣率）</w:t>
            </w:r>
            <w:r>
              <w:rPr>
                <w:rFonts w:hint="eastAsia" w:ascii="仿宋" w:hAnsi="仿宋" w:eastAsia="仿宋" w:cs="仿宋"/>
                <w:bCs/>
                <w:color w:val="auto"/>
                <w:kern w:val="2"/>
                <w:sz w:val="21"/>
                <w:highlight w:val="none"/>
              </w:rPr>
              <w:t>计算公式：</w:t>
            </w:r>
          </w:p>
          <w:p w14:paraId="6666B66F">
            <w:pPr>
              <w:widowControl/>
              <w:textAlignment w:val="center"/>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得分=（基准价/最后报价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折扣率）</w:t>
            </w: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rPr>
              <w:t>分</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315A">
            <w:pPr>
              <w:jc w:val="center"/>
              <w:rPr>
                <w:rFonts w:hint="eastAsia" w:ascii="仿宋" w:hAnsi="仿宋" w:eastAsia="仿宋" w:cs="仿宋"/>
                <w:color w:val="auto"/>
                <w:szCs w:val="21"/>
                <w:highlight w:val="none"/>
              </w:rPr>
            </w:pPr>
          </w:p>
        </w:tc>
      </w:tr>
      <w:tr w14:paraId="4461212F">
        <w:tblPrEx>
          <w:tblCellMar>
            <w:top w:w="0" w:type="dxa"/>
            <w:left w:w="108" w:type="dxa"/>
            <w:bottom w:w="0" w:type="dxa"/>
            <w:right w:w="108" w:type="dxa"/>
          </w:tblCellMar>
        </w:tblPrEx>
        <w:trPr>
          <w:trHeight w:val="495" w:hRule="atLeast"/>
        </w:trPr>
        <w:tc>
          <w:tcPr>
            <w:tcW w:w="694"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69AD9B1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B0C225B">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业绩分</w:t>
            </w:r>
          </w:p>
          <w:p w14:paraId="1A5C1B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（满分</w:t>
            </w:r>
            <w:r>
              <w:rPr>
                <w:rFonts w:hint="eastAsia" w:ascii="仿宋" w:hAnsi="仿宋" w:eastAsia="仿宋" w:cs="仿宋"/>
                <w:color w:val="auto"/>
                <w:kern w:val="0"/>
                <w:szCs w:val="21"/>
                <w:highlight w:val="none"/>
                <w:lang w:val="en-US" w:eastAsia="zh-CN" w:bidi="ar"/>
              </w:rPr>
              <w:t>15</w:t>
            </w:r>
            <w:r>
              <w:rPr>
                <w:rFonts w:hint="eastAsia" w:ascii="仿宋" w:hAnsi="仿宋" w:eastAsia="仿宋" w:cs="仿宋"/>
                <w:color w:val="auto"/>
                <w:kern w:val="0"/>
                <w:szCs w:val="21"/>
                <w:highlight w:val="none"/>
                <w:lang w:bidi="ar"/>
              </w:rPr>
              <w:t>分）</w:t>
            </w:r>
          </w:p>
        </w:tc>
        <w:tc>
          <w:tcPr>
            <w:tcW w:w="6870"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4174FAA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评审因素</w:t>
            </w:r>
          </w:p>
        </w:tc>
        <w:tc>
          <w:tcPr>
            <w:tcW w:w="619"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251881FC">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15</w:t>
            </w:r>
          </w:p>
        </w:tc>
      </w:tr>
      <w:tr w14:paraId="4DB6D8EF">
        <w:tblPrEx>
          <w:tblCellMar>
            <w:top w:w="0" w:type="dxa"/>
            <w:left w:w="108" w:type="dxa"/>
            <w:bottom w:w="0" w:type="dxa"/>
            <w:right w:w="108" w:type="dxa"/>
          </w:tblCellMar>
        </w:tblPrEx>
        <w:trPr>
          <w:trHeight w:val="1336"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D16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7883">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业绩</w:t>
            </w:r>
          </w:p>
          <w:p w14:paraId="00C3435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（满分</w:t>
            </w:r>
            <w:r>
              <w:rPr>
                <w:rFonts w:hint="eastAsia" w:ascii="仿宋" w:hAnsi="仿宋" w:eastAsia="仿宋" w:cs="仿宋"/>
                <w:color w:val="auto"/>
                <w:kern w:val="0"/>
                <w:szCs w:val="21"/>
                <w:highlight w:val="none"/>
                <w:lang w:val="en-US" w:eastAsia="zh-CN" w:bidi="ar"/>
              </w:rPr>
              <w:t>15</w:t>
            </w:r>
            <w:r>
              <w:rPr>
                <w:rFonts w:hint="eastAsia" w:ascii="仿宋" w:hAnsi="仿宋" w:eastAsia="仿宋" w:cs="仿宋"/>
                <w:color w:val="auto"/>
                <w:kern w:val="0"/>
                <w:szCs w:val="21"/>
                <w:highlight w:val="none"/>
                <w:lang w:bidi="ar"/>
              </w:rPr>
              <w:t>分）</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C75F">
            <w:pPr>
              <w:widowControl/>
              <w:textAlignment w:val="center"/>
              <w:rPr>
                <w:rFonts w:hint="eastAsia" w:ascii="仿宋" w:hAnsi="仿宋" w:eastAsia="仿宋" w:cs="仿宋"/>
                <w:color w:val="auto"/>
                <w:kern w:val="0"/>
                <w:szCs w:val="21"/>
                <w:highlight w:val="none"/>
                <w:lang w:bidi="ar"/>
              </w:rPr>
            </w:pPr>
            <w:bookmarkStart w:id="68" w:name="OLE_LINK1"/>
            <w:r>
              <w:rPr>
                <w:rFonts w:hint="eastAsia" w:ascii="仿宋" w:hAnsi="仿宋" w:eastAsia="仿宋" w:cs="仿宋"/>
                <w:color w:val="auto"/>
                <w:kern w:val="0"/>
                <w:szCs w:val="21"/>
                <w:highlight w:val="none"/>
                <w:lang w:bidi="ar"/>
              </w:rPr>
              <w:t>项目业绩分：202</w:t>
            </w:r>
            <w:r>
              <w:rPr>
                <w:rFonts w:hint="eastAsia" w:ascii="仿宋" w:hAnsi="仿宋" w:eastAsia="仿宋" w:cs="仿宋"/>
                <w:color w:val="auto"/>
                <w:kern w:val="0"/>
                <w:szCs w:val="21"/>
                <w:highlight w:val="none"/>
                <w:lang w:val="en-US" w:eastAsia="zh-CN" w:bidi="ar"/>
              </w:rPr>
              <w:t>2</w:t>
            </w:r>
            <w:r>
              <w:rPr>
                <w:rFonts w:hint="eastAsia" w:ascii="仿宋" w:hAnsi="仿宋" w:eastAsia="仿宋" w:cs="仿宋"/>
                <w:color w:val="auto"/>
                <w:kern w:val="0"/>
                <w:szCs w:val="21"/>
                <w:highlight w:val="none"/>
                <w:lang w:bidi="ar"/>
              </w:rPr>
              <w:t>年1月1日起至今，供应商承接</w:t>
            </w:r>
            <w:r>
              <w:rPr>
                <w:rFonts w:hint="eastAsia" w:ascii="仿宋" w:hAnsi="仿宋" w:eastAsia="仿宋" w:cs="仿宋"/>
                <w:color w:val="auto"/>
                <w:kern w:val="0"/>
                <w:szCs w:val="21"/>
                <w:highlight w:val="none"/>
                <w:lang w:val="en-US" w:eastAsia="zh-CN" w:bidi="ar"/>
              </w:rPr>
              <w:t>类似工程</w:t>
            </w:r>
            <w:r>
              <w:rPr>
                <w:rFonts w:hint="eastAsia" w:ascii="仿宋" w:hAnsi="仿宋" w:eastAsia="仿宋" w:cs="仿宋"/>
                <w:color w:val="auto"/>
                <w:kern w:val="0"/>
                <w:szCs w:val="21"/>
                <w:highlight w:val="none"/>
                <w:lang w:bidi="ar"/>
              </w:rPr>
              <w:t>审计</w:t>
            </w:r>
            <w:r>
              <w:rPr>
                <w:rFonts w:hint="eastAsia" w:ascii="仿宋" w:hAnsi="仿宋" w:eastAsia="仿宋" w:cs="仿宋"/>
                <w:color w:val="auto"/>
                <w:kern w:val="0"/>
                <w:szCs w:val="21"/>
                <w:highlight w:val="none"/>
                <w:lang w:val="en-US" w:eastAsia="zh-CN" w:bidi="ar"/>
              </w:rPr>
              <w:t>服务项目</w:t>
            </w:r>
            <w:r>
              <w:rPr>
                <w:rFonts w:hint="eastAsia" w:ascii="仿宋" w:hAnsi="仿宋" w:eastAsia="仿宋" w:cs="仿宋"/>
                <w:color w:val="auto"/>
                <w:kern w:val="0"/>
                <w:szCs w:val="21"/>
                <w:highlight w:val="none"/>
                <w:lang w:bidi="ar"/>
              </w:rPr>
              <w:t>业绩</w:t>
            </w:r>
            <w:r>
              <w:rPr>
                <w:rFonts w:hint="eastAsia" w:ascii="仿宋" w:hAnsi="仿宋" w:eastAsia="仿宋" w:cs="仿宋"/>
                <w:color w:val="auto"/>
                <w:kern w:val="0"/>
                <w:szCs w:val="21"/>
                <w:highlight w:val="none"/>
                <w:lang w:val="en-US" w:eastAsia="zh-CN" w:bidi="ar"/>
              </w:rPr>
              <w:t>的</w:t>
            </w:r>
            <w:r>
              <w:rPr>
                <w:rFonts w:hint="eastAsia" w:ascii="仿宋" w:hAnsi="仿宋" w:eastAsia="仿宋" w:cs="仿宋"/>
                <w:color w:val="auto"/>
                <w:kern w:val="0"/>
                <w:szCs w:val="21"/>
                <w:highlight w:val="none"/>
                <w:lang w:bidi="ar"/>
              </w:rPr>
              <w:t>，每项得</w:t>
            </w:r>
            <w:r>
              <w:rPr>
                <w:rFonts w:hint="eastAsia" w:ascii="仿宋" w:hAnsi="仿宋" w:eastAsia="仿宋" w:cs="仿宋"/>
                <w:color w:val="auto"/>
                <w:kern w:val="0"/>
                <w:szCs w:val="21"/>
                <w:highlight w:val="none"/>
                <w:lang w:val="en-US" w:eastAsia="zh-CN" w:bidi="ar"/>
              </w:rPr>
              <w:t>1.5</w:t>
            </w:r>
            <w:r>
              <w:rPr>
                <w:rFonts w:hint="eastAsia" w:ascii="仿宋" w:hAnsi="仿宋" w:eastAsia="仿宋" w:cs="仿宋"/>
                <w:color w:val="auto"/>
                <w:kern w:val="0"/>
                <w:szCs w:val="21"/>
                <w:highlight w:val="none"/>
                <w:lang w:bidi="ar"/>
              </w:rPr>
              <w:t>分，满分</w:t>
            </w:r>
            <w:r>
              <w:rPr>
                <w:rFonts w:hint="eastAsia" w:ascii="仿宋" w:hAnsi="仿宋" w:eastAsia="仿宋" w:cs="仿宋"/>
                <w:color w:val="auto"/>
                <w:kern w:val="0"/>
                <w:szCs w:val="21"/>
                <w:highlight w:val="none"/>
                <w:lang w:val="en-US" w:eastAsia="zh-CN" w:bidi="ar"/>
              </w:rPr>
              <w:t>15</w:t>
            </w:r>
            <w:r>
              <w:rPr>
                <w:rFonts w:hint="eastAsia" w:ascii="仿宋" w:hAnsi="仿宋" w:eastAsia="仿宋" w:cs="仿宋"/>
                <w:color w:val="auto"/>
                <w:kern w:val="0"/>
                <w:szCs w:val="21"/>
                <w:highlight w:val="none"/>
                <w:lang w:bidi="ar"/>
              </w:rPr>
              <w:t>分。</w:t>
            </w:r>
            <w:bookmarkEnd w:id="68"/>
          </w:p>
          <w:p w14:paraId="035D918D">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[以</w:t>
            </w:r>
            <w:r>
              <w:rPr>
                <w:rFonts w:hint="eastAsia" w:ascii="仿宋" w:hAnsi="仿宋" w:eastAsia="仿宋" w:cs="仿宋"/>
                <w:color w:val="auto"/>
                <w:szCs w:val="21"/>
                <w:highlight w:val="none"/>
              </w:rPr>
              <w:t>响应文件中</w:t>
            </w:r>
            <w:r>
              <w:rPr>
                <w:rStyle w:val="118"/>
                <w:rFonts w:hint="eastAsia" w:ascii="仿宋" w:hAnsi="仿宋" w:eastAsia="仿宋" w:cs="仿宋"/>
                <w:color w:val="auto"/>
                <w:sz w:val="21"/>
                <w:szCs w:val="21"/>
                <w:highlight w:val="none"/>
                <w:lang w:bidi="ar"/>
              </w:rPr>
              <w:t>提供</w:t>
            </w:r>
            <w:r>
              <w:rPr>
                <w:rFonts w:hint="eastAsia" w:ascii="仿宋" w:hAnsi="仿宋" w:eastAsia="仿宋" w:cs="仿宋"/>
                <w:color w:val="auto"/>
                <w:kern w:val="0"/>
                <w:szCs w:val="21"/>
                <w:highlight w:val="none"/>
                <w:lang w:bidi="ar"/>
              </w:rPr>
              <w:t>合同或者中标（成交）通知书复印</w:t>
            </w:r>
            <w:r>
              <w:rPr>
                <w:rFonts w:hint="eastAsia" w:ascii="仿宋" w:hAnsi="仿宋" w:eastAsia="仿宋" w:cs="仿宋"/>
                <w:color w:val="auto"/>
                <w:kern w:val="0"/>
                <w:szCs w:val="21"/>
                <w:highlight w:val="none"/>
                <w:lang w:eastAsia="zh-CN" w:bidi="ar"/>
              </w:rPr>
              <w:t>件和定案表</w:t>
            </w:r>
            <w:r>
              <w:rPr>
                <w:rFonts w:hint="eastAsia" w:ascii="仿宋" w:hAnsi="仿宋" w:eastAsia="仿宋" w:cs="仿宋"/>
                <w:color w:val="auto"/>
                <w:kern w:val="0"/>
                <w:szCs w:val="21"/>
                <w:highlight w:val="none"/>
                <w:lang w:bidi="ar"/>
              </w:rPr>
              <w:t>加盖竞标供应商公章为准]。</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A18D">
            <w:pPr>
              <w:widowControl/>
              <w:jc w:val="center"/>
              <w:textAlignment w:val="center"/>
              <w:rPr>
                <w:rFonts w:hint="eastAsia" w:ascii="仿宋" w:hAnsi="仿宋" w:eastAsia="仿宋" w:cs="仿宋"/>
                <w:color w:val="auto"/>
                <w:szCs w:val="21"/>
                <w:highlight w:val="none"/>
              </w:rPr>
            </w:pPr>
          </w:p>
        </w:tc>
      </w:tr>
      <w:tr w14:paraId="610E8C2A">
        <w:tblPrEx>
          <w:tblCellMar>
            <w:top w:w="0" w:type="dxa"/>
            <w:left w:w="108" w:type="dxa"/>
            <w:bottom w:w="0" w:type="dxa"/>
            <w:right w:w="108" w:type="dxa"/>
          </w:tblCellMar>
        </w:tblPrEx>
        <w:trPr>
          <w:trHeight w:val="873" w:hRule="atLeast"/>
        </w:trPr>
        <w:tc>
          <w:tcPr>
            <w:tcW w:w="694"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36270F55">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727"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6140B94D">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技术分</w:t>
            </w:r>
          </w:p>
          <w:p w14:paraId="33977D06">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（满分</w:t>
            </w:r>
            <w:r>
              <w:rPr>
                <w:rFonts w:hint="eastAsia" w:ascii="仿宋" w:hAnsi="仿宋" w:eastAsia="仿宋" w:cs="仿宋"/>
                <w:color w:val="auto"/>
                <w:kern w:val="0"/>
                <w:szCs w:val="21"/>
                <w:highlight w:val="none"/>
                <w:lang w:val="en-US" w:eastAsia="zh-CN" w:bidi="ar"/>
              </w:rPr>
              <w:t>75</w:t>
            </w:r>
            <w:r>
              <w:rPr>
                <w:rFonts w:hint="eastAsia" w:ascii="仿宋" w:hAnsi="仿宋" w:eastAsia="仿宋" w:cs="仿宋"/>
                <w:color w:val="auto"/>
                <w:kern w:val="0"/>
                <w:szCs w:val="21"/>
                <w:highlight w:val="none"/>
                <w:lang w:bidi="ar"/>
              </w:rPr>
              <w:t>分）</w:t>
            </w:r>
          </w:p>
        </w:tc>
        <w:tc>
          <w:tcPr>
            <w:tcW w:w="6870"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2826928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评审因素：由</w:t>
            </w:r>
            <w:r>
              <w:rPr>
                <w:rFonts w:hint="eastAsia" w:ascii="仿宋" w:hAnsi="仿宋" w:eastAsia="仿宋" w:cs="仿宋"/>
                <w:color w:val="auto"/>
                <w:kern w:val="0"/>
                <w:szCs w:val="21"/>
                <w:highlight w:val="none"/>
                <w:lang w:val="en-US" w:eastAsia="zh-CN" w:bidi="ar"/>
              </w:rPr>
              <w:t>磋商小组</w:t>
            </w:r>
            <w:r>
              <w:rPr>
                <w:rFonts w:hint="eastAsia" w:ascii="仿宋" w:hAnsi="仿宋" w:eastAsia="仿宋" w:cs="仿宋"/>
                <w:color w:val="auto"/>
                <w:kern w:val="0"/>
                <w:szCs w:val="21"/>
                <w:highlight w:val="none"/>
                <w:lang w:bidi="ar"/>
              </w:rPr>
              <w:t>在打分前根据</w:t>
            </w:r>
            <w:r>
              <w:rPr>
                <w:rFonts w:hint="eastAsia" w:ascii="仿宋" w:hAnsi="仿宋" w:eastAsia="仿宋" w:cs="仿宋"/>
                <w:color w:val="auto"/>
                <w:kern w:val="0"/>
                <w:szCs w:val="21"/>
                <w:highlight w:val="none"/>
                <w:lang w:val="en-US" w:eastAsia="zh-CN" w:bidi="ar"/>
              </w:rPr>
              <w:t>竞争性磋商</w:t>
            </w:r>
            <w:r>
              <w:rPr>
                <w:rFonts w:hint="eastAsia" w:ascii="仿宋" w:hAnsi="仿宋" w:eastAsia="仿宋" w:cs="仿宋"/>
                <w:color w:val="auto"/>
                <w:kern w:val="0"/>
                <w:szCs w:val="21"/>
                <w:highlight w:val="none"/>
                <w:lang w:bidi="ar"/>
              </w:rPr>
              <w:t>文件要求，对各竞标供应商编制的方案响应程度进行评审，对各竞标供应商进行独立打分</w:t>
            </w:r>
          </w:p>
        </w:tc>
        <w:tc>
          <w:tcPr>
            <w:tcW w:w="619"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2D6540FB">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75</w:t>
            </w:r>
          </w:p>
        </w:tc>
      </w:tr>
      <w:tr w14:paraId="4B9A00CC">
        <w:tblPrEx>
          <w:tblCellMar>
            <w:top w:w="0" w:type="dxa"/>
            <w:left w:w="108" w:type="dxa"/>
            <w:bottom w:w="0" w:type="dxa"/>
            <w:right w:w="108" w:type="dxa"/>
          </w:tblCellMar>
        </w:tblPrEx>
        <w:trPr>
          <w:trHeight w:val="90" w:hRule="atLeast"/>
        </w:trPr>
        <w:tc>
          <w:tcPr>
            <w:tcW w:w="694" w:type="dxa"/>
            <w:tcBorders>
              <w:top w:val="single" w:color="000000" w:sz="4" w:space="0"/>
              <w:left w:val="single" w:color="000000" w:sz="4" w:space="0"/>
              <w:bottom w:val="single" w:color="auto" w:sz="4" w:space="0"/>
              <w:right w:val="single" w:color="000000" w:sz="4" w:space="0"/>
            </w:tcBorders>
            <w:shd w:val="clear" w:color="auto" w:fill="auto"/>
            <w:vAlign w:val="center"/>
          </w:tcPr>
          <w:p w14:paraId="1EF024DC">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3.1</w:t>
            </w:r>
          </w:p>
        </w:tc>
        <w:tc>
          <w:tcPr>
            <w:tcW w:w="1727" w:type="dxa"/>
            <w:tcBorders>
              <w:top w:val="single" w:color="000000" w:sz="4" w:space="0"/>
              <w:left w:val="single" w:color="000000" w:sz="4" w:space="0"/>
              <w:bottom w:val="single" w:color="auto" w:sz="4" w:space="0"/>
              <w:right w:val="single" w:color="000000" w:sz="4" w:space="0"/>
            </w:tcBorders>
            <w:shd w:val="clear" w:color="auto" w:fill="auto"/>
            <w:vAlign w:val="center"/>
          </w:tcPr>
          <w:p w14:paraId="258144E0">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服务方案分（满分15）</w:t>
            </w:r>
          </w:p>
        </w:tc>
        <w:tc>
          <w:tcPr>
            <w:tcW w:w="6870" w:type="dxa"/>
            <w:tcBorders>
              <w:top w:val="single" w:color="000000" w:sz="4" w:space="0"/>
              <w:left w:val="single" w:color="000000" w:sz="4" w:space="0"/>
              <w:bottom w:val="single" w:color="auto" w:sz="4" w:space="0"/>
              <w:right w:val="single" w:color="000000" w:sz="4" w:space="0"/>
            </w:tcBorders>
            <w:shd w:val="clear" w:color="auto" w:fill="auto"/>
            <w:vAlign w:val="center"/>
          </w:tcPr>
          <w:p w14:paraId="7B4525FF">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评委根据供应商响应文件中提供的服务措施方案内容进行评审，并独立打分。</w:t>
            </w:r>
          </w:p>
          <w:p w14:paraId="487BC39C">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一档（</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分）：服务措施内容简单，方案基本能满足本项目的基本需求。</w:t>
            </w:r>
          </w:p>
          <w:p w14:paraId="083EA44D">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二档（</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分）：服务措施内容一般，包含组织架构、流程、服务环节。</w:t>
            </w:r>
          </w:p>
          <w:p w14:paraId="14EE5831">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三档（</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lang w:eastAsia="zh-CN"/>
              </w:rPr>
              <w:t>分）：服务措施内容具体，组织架构清晰，流程规范，服务环节完善；承诺提供非常规的专业工程审核工具；按承诺拟投入相应的审核人员，分工合理、及时响应；审核过程中及时反馈问题，及时记录审核的全部过程，复核完后及时修改；按要求准备会议资料，形成会议纪要，资料整理归档。</w:t>
            </w:r>
          </w:p>
          <w:p w14:paraId="36E135DB">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四档（</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eastAsia="zh-CN"/>
              </w:rPr>
              <w:t>分）：服务措施内容优秀，组织架构清晰，流程规范，服务环节完善；承诺提供非常规的专业工程审核工具；按承诺拟投入相应的审核人员，分工合理、及时响应；审核过程中及时反馈问题，及时记录审核的全部过程，复核完后及时修改；按要求准备会议资料，形成会议纪要，资料整理归档；随时可根据采购人要求配合出差或到项目地办公保障措施（如培训、继续教育、福利等）；对现有的评审工作流程提出合理化建议。</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7E54">
            <w:pPr>
              <w:jc w:val="center"/>
              <w:rPr>
                <w:rFonts w:hint="eastAsia" w:ascii="仿宋" w:hAnsi="仿宋" w:eastAsia="仿宋" w:cs="仿宋"/>
                <w:color w:val="auto"/>
                <w:szCs w:val="21"/>
                <w:highlight w:val="none"/>
              </w:rPr>
            </w:pPr>
          </w:p>
          <w:p w14:paraId="40C8523F">
            <w:pPr>
              <w:jc w:val="center"/>
              <w:rPr>
                <w:rFonts w:hint="eastAsia" w:ascii="仿宋" w:hAnsi="仿宋" w:eastAsia="仿宋" w:cs="仿宋"/>
                <w:color w:val="auto"/>
                <w:szCs w:val="21"/>
                <w:highlight w:val="none"/>
              </w:rPr>
            </w:pPr>
          </w:p>
        </w:tc>
      </w:tr>
      <w:tr w14:paraId="6F0AE07E">
        <w:tblPrEx>
          <w:tblCellMar>
            <w:top w:w="0" w:type="dxa"/>
            <w:left w:w="108" w:type="dxa"/>
            <w:bottom w:w="0" w:type="dxa"/>
            <w:right w:w="108" w:type="dxa"/>
          </w:tblCellMar>
        </w:tblPrEx>
        <w:trPr>
          <w:trHeight w:val="90" w:hRule="atLeast"/>
        </w:trPr>
        <w:tc>
          <w:tcPr>
            <w:tcW w:w="694" w:type="dxa"/>
            <w:tcBorders>
              <w:top w:val="single" w:color="auto" w:sz="4" w:space="0"/>
              <w:left w:val="single" w:color="000000" w:sz="4" w:space="0"/>
              <w:right w:val="single" w:color="000000" w:sz="4" w:space="0"/>
            </w:tcBorders>
            <w:shd w:val="clear" w:color="auto" w:fill="auto"/>
            <w:vAlign w:val="center"/>
          </w:tcPr>
          <w:p w14:paraId="28486219">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3.2</w:t>
            </w:r>
          </w:p>
        </w:tc>
        <w:tc>
          <w:tcPr>
            <w:tcW w:w="1727" w:type="dxa"/>
            <w:tcBorders>
              <w:top w:val="single" w:color="auto" w:sz="4" w:space="0"/>
              <w:left w:val="single" w:color="000000" w:sz="4" w:space="0"/>
              <w:right w:val="single" w:color="000000" w:sz="4" w:space="0"/>
            </w:tcBorders>
            <w:shd w:val="clear" w:color="auto" w:fill="auto"/>
            <w:vAlign w:val="center"/>
          </w:tcPr>
          <w:p w14:paraId="76363ABB">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审核进度控制措施分（满分15分）</w:t>
            </w:r>
          </w:p>
        </w:tc>
        <w:tc>
          <w:tcPr>
            <w:tcW w:w="6870" w:type="dxa"/>
            <w:tcBorders>
              <w:top w:val="single" w:color="auto" w:sz="4" w:space="0"/>
              <w:left w:val="single" w:color="000000" w:sz="4" w:space="0"/>
              <w:right w:val="single" w:color="000000" w:sz="4" w:space="0"/>
            </w:tcBorders>
            <w:shd w:val="clear" w:color="auto" w:fill="auto"/>
            <w:vAlign w:val="center"/>
          </w:tcPr>
          <w:p w14:paraId="257C640A">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评委根据供应商响应文件中提供的审核进度控制措施内容进行评审，并独立打分。</w:t>
            </w:r>
          </w:p>
          <w:p w14:paraId="5D4F8DAF">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一档（</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分）：提供审核进度控制措施方案的</w:t>
            </w:r>
            <w:r>
              <w:rPr>
                <w:rFonts w:hint="eastAsia" w:ascii="仿宋" w:hAnsi="仿宋" w:eastAsia="仿宋" w:cs="仿宋"/>
                <w:color w:val="auto"/>
                <w:szCs w:val="21"/>
                <w:highlight w:val="none"/>
                <w:lang w:val="en-US" w:eastAsia="zh-CN"/>
              </w:rPr>
              <w:t>简单</w:t>
            </w:r>
            <w:r>
              <w:rPr>
                <w:rFonts w:hint="eastAsia" w:ascii="仿宋" w:hAnsi="仿宋" w:eastAsia="仿宋" w:cs="仿宋"/>
                <w:color w:val="auto"/>
                <w:szCs w:val="21"/>
                <w:highlight w:val="none"/>
                <w:lang w:eastAsia="zh-CN"/>
              </w:rPr>
              <w:t>。</w:t>
            </w:r>
          </w:p>
          <w:p w14:paraId="532B206C">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二档（</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分）：审核进度控制措施内容简单，包含进度控制制度、组织架构、流程、工作职责。</w:t>
            </w:r>
          </w:p>
          <w:p w14:paraId="44A6C6A6">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三档（</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lang w:eastAsia="zh-CN"/>
              </w:rPr>
              <w:t>分）：审核进度控制措施内容具体，进度控制制度完善，组织架构清晰，流程规范，工作职责明确；控制审核进度按规定时间完成的相对应措施；对审核资料、现场踏勘、项目对数、复核后的修改、会议组织、资料整理归档等环节提出具体的控制措施。</w:t>
            </w:r>
          </w:p>
          <w:p w14:paraId="3CE00D0F">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四档（</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eastAsia="zh-CN"/>
              </w:rPr>
              <w:t>分）：审核进度控制措施内容具体，进度控制制度完善，组织架构清晰，流程规范，工作职责明确；控制审核进度按规定时间缩短的相对应措施，具有可操作性，针对性强；对审核资料、现场踏勘、项目对数、复核后的修改、会议组织、资料整理归档等环节提出具体的控制措施，因审核资料不完整和送审单位对数响应不及时影响审核时间采取的应对措施。</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9176">
            <w:pPr>
              <w:jc w:val="center"/>
              <w:rPr>
                <w:rFonts w:hint="eastAsia" w:ascii="仿宋" w:hAnsi="仿宋" w:eastAsia="仿宋" w:cs="仿宋"/>
                <w:color w:val="auto"/>
                <w:szCs w:val="21"/>
                <w:highlight w:val="none"/>
              </w:rPr>
            </w:pPr>
          </w:p>
        </w:tc>
      </w:tr>
      <w:tr w14:paraId="1869B2D8">
        <w:tblPrEx>
          <w:tblCellMar>
            <w:top w:w="0" w:type="dxa"/>
            <w:left w:w="108" w:type="dxa"/>
            <w:bottom w:w="0" w:type="dxa"/>
            <w:right w:w="108" w:type="dxa"/>
          </w:tblCellMar>
        </w:tblPrEx>
        <w:trPr>
          <w:trHeight w:val="2558"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F361">
            <w:pPr>
              <w:widowControl/>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bidi="ar"/>
              </w:rPr>
              <w:t>3.</w:t>
            </w:r>
            <w:r>
              <w:rPr>
                <w:rFonts w:hint="eastAsia" w:ascii="仿宋" w:hAnsi="仿宋" w:eastAsia="仿宋" w:cs="仿宋"/>
                <w:color w:val="auto"/>
                <w:kern w:val="0"/>
                <w:szCs w:val="21"/>
                <w:highlight w:val="none"/>
                <w:lang w:val="en-US" w:eastAsia="zh-CN" w:bidi="ar"/>
              </w:rPr>
              <w:t>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C19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服务承诺</w:t>
            </w:r>
            <w:r>
              <w:rPr>
                <w:rFonts w:hint="eastAsia" w:ascii="仿宋" w:hAnsi="仿宋" w:eastAsia="仿宋" w:cs="仿宋"/>
                <w:color w:val="auto"/>
                <w:kern w:val="0"/>
                <w:szCs w:val="21"/>
                <w:highlight w:val="none"/>
                <w:lang w:bidi="ar"/>
              </w:rPr>
              <w:t>（满分</w:t>
            </w:r>
            <w:r>
              <w:rPr>
                <w:rFonts w:hint="eastAsia" w:ascii="仿宋" w:hAnsi="仿宋" w:eastAsia="仿宋" w:cs="仿宋"/>
                <w:color w:val="auto"/>
                <w:kern w:val="0"/>
                <w:szCs w:val="21"/>
                <w:highlight w:val="none"/>
                <w:lang w:val="en-US" w:eastAsia="zh-CN" w:bidi="ar"/>
              </w:rPr>
              <w:t>5</w:t>
            </w:r>
            <w:r>
              <w:rPr>
                <w:rFonts w:hint="eastAsia" w:ascii="仿宋" w:hAnsi="仿宋" w:eastAsia="仿宋" w:cs="仿宋"/>
                <w:color w:val="auto"/>
                <w:kern w:val="0"/>
                <w:szCs w:val="21"/>
                <w:highlight w:val="none"/>
                <w:lang w:bidi="ar"/>
              </w:rPr>
              <w:t>分）</w:t>
            </w:r>
          </w:p>
        </w:tc>
        <w:tc>
          <w:tcPr>
            <w:tcW w:w="6870" w:type="dxa"/>
            <w:tcBorders>
              <w:top w:val="single" w:color="000000" w:sz="4" w:space="0"/>
              <w:left w:val="single" w:color="000000" w:sz="4" w:space="0"/>
              <w:bottom w:val="single" w:color="auto" w:sz="4" w:space="0"/>
              <w:right w:val="single" w:color="000000" w:sz="4" w:space="0"/>
            </w:tcBorders>
            <w:shd w:val="clear" w:color="auto" w:fill="auto"/>
            <w:vAlign w:val="center"/>
          </w:tcPr>
          <w:p w14:paraId="72593FAC">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一档</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2分）</w:t>
            </w:r>
            <w:r>
              <w:rPr>
                <w:rFonts w:hint="eastAsia" w:ascii="仿宋" w:hAnsi="仿宋" w:eastAsia="仿宋" w:cs="仿宋"/>
                <w:color w:val="auto"/>
                <w:szCs w:val="21"/>
                <w:highlight w:val="none"/>
              </w:rPr>
              <w:t>：接到</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通知后到达现场处理问题的响应时间大于 2 个小时且小于等于 3 个小时的得 1 分。</w:t>
            </w:r>
          </w:p>
          <w:p w14:paraId="6D9EEE61">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二档</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3分）</w:t>
            </w:r>
            <w:r>
              <w:rPr>
                <w:rFonts w:hint="eastAsia" w:ascii="仿宋" w:hAnsi="仿宋" w:eastAsia="仿宋" w:cs="仿宋"/>
                <w:color w:val="auto"/>
                <w:szCs w:val="21"/>
                <w:highlight w:val="none"/>
              </w:rPr>
              <w:t>：接到</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通知后到达现场处理问题的响应时间大于1 个小时且小于等于 2 个小时的得 2 分。</w:t>
            </w:r>
          </w:p>
          <w:p w14:paraId="693CFB29">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三档</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5分）</w:t>
            </w:r>
            <w:r>
              <w:rPr>
                <w:rFonts w:hint="eastAsia" w:ascii="仿宋" w:hAnsi="仿宋" w:eastAsia="仿宋" w:cs="仿宋"/>
                <w:color w:val="auto"/>
                <w:szCs w:val="21"/>
                <w:highlight w:val="none"/>
              </w:rPr>
              <w:t>：接到</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通知后到达现场处理问题的响应时间小于等于 1 个小时的得3分。</w:t>
            </w:r>
          </w:p>
          <w:p w14:paraId="4064AF4F">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说明：响应时间超过3个小时的不得分。提供相应的响应时间的</w:t>
            </w:r>
            <w:r>
              <w:rPr>
                <w:rFonts w:hint="eastAsia" w:ascii="仿宋" w:hAnsi="仿宋" w:eastAsia="仿宋" w:cs="仿宋"/>
                <w:color w:val="auto"/>
                <w:szCs w:val="21"/>
                <w:highlight w:val="none"/>
                <w:lang w:val="en-US" w:eastAsia="zh-CN"/>
              </w:rPr>
              <w:t>承诺函。</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8864">
            <w:pPr>
              <w:widowControl/>
              <w:textAlignment w:val="center"/>
              <w:rPr>
                <w:rFonts w:hint="eastAsia" w:ascii="仿宋" w:hAnsi="仿宋" w:eastAsia="仿宋" w:cs="仿宋"/>
                <w:color w:val="auto"/>
                <w:kern w:val="0"/>
                <w:szCs w:val="21"/>
                <w:highlight w:val="none"/>
                <w:lang w:bidi="ar"/>
              </w:rPr>
            </w:pPr>
          </w:p>
        </w:tc>
      </w:tr>
      <w:tr w14:paraId="1B048264">
        <w:tblPrEx>
          <w:tblCellMar>
            <w:top w:w="0" w:type="dxa"/>
            <w:left w:w="108" w:type="dxa"/>
            <w:bottom w:w="0" w:type="dxa"/>
            <w:right w:w="108" w:type="dxa"/>
          </w:tblCellMar>
        </w:tblPrEx>
        <w:trPr>
          <w:trHeight w:val="191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275A">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3.4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D245">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质量控制方案（满分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eastAsia="zh-CN"/>
              </w:rPr>
              <w:t>分）</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EA49">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一档（</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分）：复核流程基本达到规范标准，配备有复核人员</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人。</w:t>
            </w:r>
          </w:p>
          <w:p w14:paraId="34457BC0">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二档（</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分）：复核流程基本达到规范标准，具有可行的质量控制制度，质量保证措施能够保证投资评审质量，复核人员</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人及以上。</w:t>
            </w:r>
          </w:p>
          <w:p w14:paraId="46575BBE">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三档（</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lang w:eastAsia="zh-CN"/>
              </w:rPr>
              <w:t>分）：满足二档的基础上，复核人员专业</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类（</w:t>
            </w:r>
            <w:r>
              <w:rPr>
                <w:rFonts w:hint="eastAsia" w:ascii="仿宋" w:hAnsi="仿宋" w:eastAsia="仿宋" w:cs="仿宋"/>
                <w:color w:val="auto"/>
                <w:szCs w:val="21"/>
                <w:highlight w:val="none"/>
                <w:lang w:val="en-US" w:eastAsia="zh-CN"/>
              </w:rPr>
              <w:t>包含土建及安装）</w:t>
            </w:r>
            <w:r>
              <w:rPr>
                <w:rFonts w:hint="eastAsia" w:ascii="仿宋" w:hAnsi="仿宋" w:eastAsia="仿宋" w:cs="仿宋"/>
                <w:color w:val="auto"/>
                <w:szCs w:val="21"/>
                <w:highlight w:val="none"/>
                <w:lang w:eastAsia="zh-CN"/>
              </w:rPr>
              <w:t>及以上，经验丰富，质量控制制度健全，保证措施具体有效，承诺单项工程的评审成果经复核后误差率＜3%。</w:t>
            </w:r>
          </w:p>
          <w:p w14:paraId="3F0BE00A">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四档（</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eastAsia="zh-CN"/>
              </w:rPr>
              <w:t>分）：满足三档的基础上，质量控制方案内容齐全、完整，管控措施合理有效，可操性强，对质量控制、编审工作中的关键流程把控到位。</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B798">
            <w:pPr>
              <w:jc w:val="left"/>
              <w:rPr>
                <w:rFonts w:hint="eastAsia" w:ascii="仿宋" w:hAnsi="仿宋" w:eastAsia="仿宋" w:cs="仿宋"/>
                <w:color w:val="auto"/>
                <w:szCs w:val="21"/>
                <w:highlight w:val="none"/>
              </w:rPr>
            </w:pPr>
          </w:p>
        </w:tc>
      </w:tr>
      <w:tr w14:paraId="42D82712">
        <w:tblPrEx>
          <w:tblCellMar>
            <w:top w:w="0" w:type="dxa"/>
            <w:left w:w="108" w:type="dxa"/>
            <w:bottom w:w="0" w:type="dxa"/>
            <w:right w:w="108" w:type="dxa"/>
          </w:tblCellMar>
        </w:tblPrEx>
        <w:trPr>
          <w:trHeight w:val="979"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0D87">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3.5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CC6B">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评审案例分析分（满分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eastAsia="zh-CN"/>
              </w:rPr>
              <w:t>分）</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D26E">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评委根据供应商响应文件中提供的评审案例分析内容进行评审，并独立打分。</w:t>
            </w:r>
          </w:p>
          <w:p w14:paraId="49411B4A">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一档（</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分）：提供评审案例分析</w:t>
            </w:r>
            <w:r>
              <w:rPr>
                <w:rFonts w:hint="eastAsia" w:ascii="仿宋" w:hAnsi="仿宋" w:eastAsia="仿宋" w:cs="仿宋"/>
                <w:color w:val="auto"/>
                <w:szCs w:val="21"/>
                <w:highlight w:val="none"/>
                <w:lang w:val="en-US" w:eastAsia="zh-CN"/>
              </w:rPr>
              <w:t>简单，基本满足需求</w:t>
            </w:r>
            <w:r>
              <w:rPr>
                <w:rFonts w:hint="eastAsia" w:ascii="仿宋" w:hAnsi="仿宋" w:eastAsia="仿宋" w:cs="仿宋"/>
                <w:color w:val="auto"/>
                <w:szCs w:val="21"/>
                <w:highlight w:val="none"/>
                <w:lang w:eastAsia="zh-CN"/>
              </w:rPr>
              <w:t>。</w:t>
            </w:r>
          </w:p>
          <w:p w14:paraId="39EAB472">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二</w:t>
            </w:r>
            <w:r>
              <w:rPr>
                <w:rFonts w:hint="eastAsia" w:ascii="仿宋" w:hAnsi="仿宋" w:eastAsia="仿宋" w:cs="仿宋"/>
                <w:color w:val="auto"/>
                <w:szCs w:val="21"/>
                <w:highlight w:val="none"/>
                <w:lang w:eastAsia="zh-CN"/>
              </w:rPr>
              <w:t>档（</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分）：评审案例分析内容基本完整，数据准确，依据基本充分，评审流程规范，列明核增核减情况，审核结论准确；</w:t>
            </w:r>
          </w:p>
          <w:p w14:paraId="1095D5EC">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lang w:eastAsia="zh-CN"/>
              </w:rPr>
              <w:t>档（</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lang w:eastAsia="zh-CN"/>
              </w:rPr>
              <w:t>分）：评审案例分析内容完整，数据准确，依据充分，评审流程规范，对列明的核增核减情况进行原因分析（包含数量、单价、费用、定额等方面）；提出争议问题并提供解决办法；审核结论准确；</w:t>
            </w:r>
          </w:p>
          <w:p w14:paraId="1B18A85E">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四</w:t>
            </w:r>
            <w:r>
              <w:rPr>
                <w:rFonts w:hint="eastAsia" w:ascii="仿宋" w:hAnsi="仿宋" w:eastAsia="仿宋" w:cs="仿宋"/>
                <w:color w:val="auto"/>
                <w:szCs w:val="21"/>
                <w:highlight w:val="none"/>
                <w:lang w:eastAsia="zh-CN"/>
              </w:rPr>
              <w:t>档（</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eastAsia="zh-CN"/>
              </w:rPr>
              <w:t>分）：评审案例分析内容完整，数据准确，依据充分，评审流程规范，对列明的核增核减情况进行有针对性的原因分析（包含数量、单价、费用、定额等方面），提出争议问题并提供解决办法，解决办法切实可行；审核/评审结论准确；造价的指标分析；披露评审问题有理有据、分析透彻，提出评审建议措施具体、针对性强。</w:t>
            </w:r>
          </w:p>
          <w:p w14:paraId="1474CB10">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注：</w:t>
            </w:r>
            <w:r>
              <w:rPr>
                <w:rFonts w:hint="eastAsia" w:ascii="仿宋" w:hAnsi="仿宋" w:eastAsia="仿宋" w:cs="仿宋"/>
                <w:color w:val="auto"/>
                <w:szCs w:val="21"/>
                <w:highlight w:val="none"/>
                <w:lang w:eastAsia="zh-CN"/>
              </w:rPr>
              <w:t>评审委员会根据供应商提供自20</w:t>
            </w:r>
            <w:r>
              <w:rPr>
                <w:rFonts w:hint="eastAsia" w:ascii="仿宋" w:hAnsi="仿宋" w:eastAsia="仿宋" w:cs="仿宋"/>
                <w:color w:val="auto"/>
                <w:szCs w:val="21"/>
                <w:highlight w:val="none"/>
                <w:lang w:val="en-US" w:eastAsia="zh-CN"/>
              </w:rPr>
              <w:t>22</w:t>
            </w:r>
            <w:r>
              <w:rPr>
                <w:rFonts w:hint="eastAsia" w:ascii="仿宋" w:hAnsi="仿宋" w:eastAsia="仿宋" w:cs="仿宋"/>
                <w:color w:val="auto"/>
                <w:szCs w:val="21"/>
                <w:highlight w:val="none"/>
                <w:lang w:eastAsia="zh-CN"/>
              </w:rPr>
              <w:t>年1月1日以来本单位完成的一个结算项目案例分析[附合同或委托文件、加盖委托单位公章的项目审定单（或结论书或定案表）材料原件扫描件）]进行评审，并独立打分，未提供不得分。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5166">
            <w:pPr>
              <w:jc w:val="left"/>
              <w:rPr>
                <w:rFonts w:hint="eastAsia" w:ascii="仿宋" w:hAnsi="仿宋" w:eastAsia="仿宋" w:cs="仿宋"/>
                <w:color w:val="auto"/>
                <w:szCs w:val="21"/>
                <w:highlight w:val="none"/>
              </w:rPr>
            </w:pPr>
          </w:p>
        </w:tc>
      </w:tr>
      <w:tr w14:paraId="1AB8F301">
        <w:tblPrEx>
          <w:tblCellMar>
            <w:top w:w="0" w:type="dxa"/>
            <w:left w:w="108" w:type="dxa"/>
            <w:bottom w:w="0" w:type="dxa"/>
            <w:right w:w="108" w:type="dxa"/>
          </w:tblCellMar>
        </w:tblPrEx>
        <w:trPr>
          <w:trHeight w:val="191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7441">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bidi="ar"/>
              </w:rPr>
              <w:t>3.</w:t>
            </w:r>
            <w:r>
              <w:rPr>
                <w:rFonts w:hint="eastAsia" w:ascii="仿宋" w:hAnsi="仿宋" w:eastAsia="仿宋" w:cs="仿宋"/>
                <w:color w:val="auto"/>
                <w:kern w:val="0"/>
                <w:szCs w:val="21"/>
                <w:highlight w:val="none"/>
                <w:lang w:val="en-US" w:eastAsia="zh-CN" w:bidi="ar"/>
              </w:rPr>
              <w:t>6</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9763">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配备人员（满分</w:t>
            </w:r>
            <w:r>
              <w:rPr>
                <w:rFonts w:hint="eastAsia" w:ascii="仿宋" w:hAnsi="仿宋" w:eastAsia="仿宋" w:cs="仿宋"/>
                <w:color w:val="auto"/>
                <w:kern w:val="0"/>
                <w:szCs w:val="21"/>
                <w:highlight w:val="none"/>
                <w:lang w:val="en-US" w:eastAsia="zh-CN" w:bidi="ar"/>
              </w:rPr>
              <w:t>10</w:t>
            </w:r>
            <w:r>
              <w:rPr>
                <w:rFonts w:hint="eastAsia" w:ascii="仿宋" w:hAnsi="仿宋" w:eastAsia="仿宋" w:cs="仿宋"/>
                <w:color w:val="auto"/>
                <w:kern w:val="0"/>
                <w:szCs w:val="21"/>
                <w:highlight w:val="none"/>
                <w:lang w:bidi="ar"/>
              </w:rPr>
              <w:t>分）</w:t>
            </w:r>
          </w:p>
        </w:tc>
        <w:tc>
          <w:tcPr>
            <w:tcW w:w="6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8F5A">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69" w:name="OLE_LINK2"/>
            <w:r>
              <w:rPr>
                <w:rFonts w:hint="eastAsia" w:ascii="仿宋" w:hAnsi="仿宋" w:eastAsia="仿宋" w:cs="仿宋"/>
                <w:color w:val="auto"/>
                <w:szCs w:val="21"/>
                <w:highlight w:val="none"/>
              </w:rPr>
              <w:t>拟投入的项目负责人</w:t>
            </w:r>
            <w:bookmarkEnd w:id="69"/>
            <w:r>
              <w:rPr>
                <w:rFonts w:hint="eastAsia" w:ascii="仿宋" w:hAnsi="仿宋" w:eastAsia="仿宋" w:cs="仿宋"/>
                <w:color w:val="auto"/>
                <w:szCs w:val="21"/>
                <w:highlight w:val="none"/>
              </w:rPr>
              <w:t>，</w:t>
            </w:r>
            <w:bookmarkStart w:id="70" w:name="OLE_LINK3"/>
            <w:r>
              <w:rPr>
                <w:rFonts w:hint="eastAsia" w:ascii="仿宋" w:hAnsi="仿宋" w:eastAsia="仿宋" w:cs="仿宋"/>
                <w:color w:val="auto"/>
                <w:szCs w:val="21"/>
                <w:highlight w:val="none"/>
              </w:rPr>
              <w:t>具备一级注册造价工程师执业资格和</w:t>
            </w:r>
            <w:r>
              <w:rPr>
                <w:rFonts w:hint="eastAsia" w:ascii="仿宋" w:hAnsi="仿宋" w:eastAsia="仿宋" w:cs="仿宋"/>
                <w:color w:val="auto"/>
                <w:szCs w:val="21"/>
                <w:highlight w:val="none"/>
                <w:lang w:eastAsia="zh-CN"/>
              </w:rPr>
              <w:t>高</w:t>
            </w:r>
            <w:r>
              <w:rPr>
                <w:rFonts w:hint="eastAsia" w:ascii="仿宋" w:hAnsi="仿宋" w:eastAsia="仿宋" w:cs="仿宋"/>
                <w:color w:val="auto"/>
                <w:szCs w:val="21"/>
                <w:highlight w:val="none"/>
              </w:rPr>
              <w:t>级职称</w:t>
            </w:r>
            <w:bookmarkEnd w:id="70"/>
            <w:r>
              <w:rPr>
                <w:rFonts w:hint="eastAsia" w:ascii="仿宋" w:hAnsi="仿宋" w:eastAsia="仿宋" w:cs="仿宋"/>
                <w:color w:val="auto"/>
                <w:szCs w:val="21"/>
                <w:highlight w:val="none"/>
              </w:rPr>
              <w:t>的，得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具有</w:t>
            </w:r>
            <w:r>
              <w:rPr>
                <w:rFonts w:hint="eastAsia" w:ascii="仿宋" w:hAnsi="仿宋" w:eastAsia="仿宋" w:cs="仿宋"/>
                <w:color w:val="auto"/>
                <w:szCs w:val="21"/>
                <w:highlight w:val="none"/>
                <w:lang w:val="en-US" w:eastAsia="zh-CN"/>
              </w:rPr>
              <w:t>10年及以上</w:t>
            </w:r>
            <w:r>
              <w:rPr>
                <w:rFonts w:hint="eastAsia" w:ascii="仿宋" w:hAnsi="仿宋" w:eastAsia="仿宋" w:cs="仿宋"/>
                <w:color w:val="auto"/>
                <w:szCs w:val="21"/>
                <w:highlight w:val="none"/>
                <w:lang w:eastAsia="zh-CN"/>
              </w:rPr>
              <w:t>工作年限的（从业时间以获取造价师或造价员资格证书起计），得</w:t>
            </w:r>
            <w:r>
              <w:rPr>
                <w:rFonts w:hint="eastAsia" w:ascii="仿宋" w:hAnsi="仿宋" w:eastAsia="仿宋" w:cs="仿宋"/>
                <w:color w:val="auto"/>
                <w:szCs w:val="21"/>
                <w:highlight w:val="none"/>
                <w:lang w:val="en-US" w:eastAsia="zh-CN"/>
              </w:rPr>
              <w:t>1分，</w:t>
            </w:r>
            <w:bookmarkStart w:id="71" w:name="OLE_LINK5"/>
            <w:r>
              <w:rPr>
                <w:rFonts w:hint="eastAsia" w:ascii="仿宋" w:hAnsi="仿宋" w:eastAsia="仿宋" w:cs="仿宋"/>
                <w:color w:val="auto"/>
                <w:szCs w:val="21"/>
                <w:highlight w:val="none"/>
              </w:rPr>
              <w:t>本项满分</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bookmarkEnd w:id="71"/>
          </w:p>
          <w:p w14:paraId="1F9D94E6">
            <w:pPr>
              <w:jc w:val="left"/>
              <w:rPr>
                <w:rFonts w:hint="eastAsia" w:ascii="仿宋" w:hAnsi="仿宋" w:eastAsia="仿宋" w:cs="仿宋"/>
                <w:color w:val="auto"/>
                <w:szCs w:val="21"/>
                <w:highlight w:val="none"/>
              </w:rPr>
            </w:pPr>
            <w:bookmarkStart w:id="72" w:name="OLE_LINK4"/>
            <w:r>
              <w:rPr>
                <w:rFonts w:hint="eastAsia" w:ascii="仿宋" w:hAnsi="仿宋" w:eastAsia="仿宋" w:cs="仿宋"/>
                <w:color w:val="auto"/>
                <w:szCs w:val="21"/>
                <w:highlight w:val="none"/>
              </w:rPr>
              <w:t>(2)拟投入的其他人员中</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具备一级注册造价工程师执业资格和中级(含)以上技术职称的，每人得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；具备二级注册造价工程师执业资格和中级(含)以上技术职称的，每人得 0.5分，</w:t>
            </w:r>
            <w:r>
              <w:rPr>
                <w:rFonts w:hint="eastAsia" w:ascii="仿宋" w:hAnsi="仿宋" w:eastAsia="仿宋" w:cs="仿宋"/>
                <w:color w:val="auto"/>
                <w:szCs w:val="21"/>
                <w:highlight w:val="none"/>
              </w:rPr>
              <w:t>本项满分</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分。</w:t>
            </w:r>
            <w:bookmarkEnd w:id="72"/>
          </w:p>
          <w:p w14:paraId="58AC3E0D">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注:以上拟投入人员须提供 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月至 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月内连续3个月的依法缴纳社保证明(退体返聘人员可列为项目组成员但不计分)及职称证书、资格证等作为证明材料并加盖供应商公章。</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A80C">
            <w:pPr>
              <w:jc w:val="left"/>
              <w:rPr>
                <w:rFonts w:hint="eastAsia" w:ascii="仿宋" w:hAnsi="仿宋" w:eastAsia="仿宋" w:cs="仿宋"/>
                <w:color w:val="auto"/>
                <w:szCs w:val="21"/>
                <w:highlight w:val="none"/>
              </w:rPr>
            </w:pPr>
          </w:p>
        </w:tc>
      </w:tr>
      <w:tr w14:paraId="0CD951CC">
        <w:tblPrEx>
          <w:tblCellMar>
            <w:top w:w="0" w:type="dxa"/>
            <w:left w:w="108" w:type="dxa"/>
            <w:bottom w:w="0" w:type="dxa"/>
            <w:right w:w="108" w:type="dxa"/>
          </w:tblCellMar>
        </w:tblPrEx>
        <w:trPr>
          <w:trHeight w:val="609" w:hRule="atLeast"/>
        </w:trPr>
        <w:tc>
          <w:tcPr>
            <w:tcW w:w="99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EE5A4">
            <w:pPr>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合计总分：1+2+3</w:t>
            </w:r>
          </w:p>
        </w:tc>
      </w:tr>
    </w:tbl>
    <w:p w14:paraId="1158E30E">
      <w:pPr>
        <w:rPr>
          <w:rFonts w:hint="eastAsia"/>
          <w:color w:val="auto"/>
          <w:highlight w:val="none"/>
          <w:lang w:val="en-US" w:eastAsia="zh-CN"/>
        </w:rPr>
      </w:pPr>
    </w:p>
    <w:p w14:paraId="41762C9F">
      <w:pPr>
        <w:spacing w:line="360" w:lineRule="auto"/>
        <w:ind w:firstLine="643" w:firstLineChars="200"/>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标项2：</w:t>
      </w:r>
    </w:p>
    <w:tbl>
      <w:tblPr>
        <w:tblStyle w:val="34"/>
        <w:tblW w:w="10105" w:type="dxa"/>
        <w:tblInd w:w="0" w:type="dxa"/>
        <w:tblLayout w:type="fixed"/>
        <w:tblCellMar>
          <w:top w:w="0" w:type="dxa"/>
          <w:left w:w="108" w:type="dxa"/>
          <w:bottom w:w="0" w:type="dxa"/>
          <w:right w:w="108" w:type="dxa"/>
        </w:tblCellMar>
      </w:tblPr>
      <w:tblGrid>
        <w:gridCol w:w="689"/>
        <w:gridCol w:w="1615"/>
        <w:gridCol w:w="6861"/>
        <w:gridCol w:w="940"/>
      </w:tblGrid>
      <w:tr w14:paraId="268DA6FF">
        <w:tblPrEx>
          <w:tblCellMar>
            <w:top w:w="0" w:type="dxa"/>
            <w:left w:w="108" w:type="dxa"/>
            <w:bottom w:w="0" w:type="dxa"/>
            <w:right w:w="108" w:type="dxa"/>
          </w:tblCellMar>
        </w:tblPrEx>
        <w:trPr>
          <w:cantSplit/>
          <w:trHeight w:val="276"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F2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序号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0CE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评分类型</w:t>
            </w:r>
          </w:p>
        </w:tc>
        <w:tc>
          <w:tcPr>
            <w:tcW w:w="6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B6A2">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评分标准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2CEA">
            <w:pPr>
              <w:jc w:val="center"/>
              <w:rPr>
                <w:rFonts w:hint="eastAsia" w:ascii="仿宋" w:hAnsi="仿宋" w:eastAsia="仿宋" w:cs="仿宋"/>
                <w:color w:val="auto"/>
                <w:szCs w:val="21"/>
                <w:highlight w:val="none"/>
              </w:rPr>
            </w:pPr>
          </w:p>
        </w:tc>
      </w:tr>
      <w:tr w14:paraId="53E110B9">
        <w:tblPrEx>
          <w:tblCellMar>
            <w:top w:w="0" w:type="dxa"/>
            <w:left w:w="108" w:type="dxa"/>
            <w:bottom w:w="0" w:type="dxa"/>
            <w:right w:w="108" w:type="dxa"/>
          </w:tblCellMar>
        </w:tblPrEx>
        <w:trPr>
          <w:cantSplit/>
          <w:trHeight w:val="495" w:hRule="atLeast"/>
        </w:trPr>
        <w:tc>
          <w:tcPr>
            <w:tcW w:w="689"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15A7A7FE">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61589C99">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价格分</w:t>
            </w:r>
          </w:p>
          <w:p w14:paraId="11A74F9C">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（满分</w:t>
            </w:r>
            <w:r>
              <w:rPr>
                <w:rFonts w:hint="eastAsia" w:ascii="仿宋" w:hAnsi="仿宋" w:eastAsia="仿宋" w:cs="仿宋"/>
                <w:color w:val="auto"/>
                <w:kern w:val="0"/>
                <w:szCs w:val="21"/>
                <w:highlight w:val="none"/>
                <w:lang w:val="en-US" w:eastAsia="zh-CN" w:bidi="ar"/>
              </w:rPr>
              <w:t>10</w:t>
            </w:r>
            <w:r>
              <w:rPr>
                <w:rFonts w:hint="eastAsia" w:ascii="仿宋" w:hAnsi="仿宋" w:eastAsia="仿宋" w:cs="仿宋"/>
                <w:color w:val="auto"/>
                <w:kern w:val="0"/>
                <w:szCs w:val="21"/>
                <w:highlight w:val="none"/>
                <w:lang w:bidi="ar"/>
              </w:rPr>
              <w:t>分）</w:t>
            </w:r>
          </w:p>
        </w:tc>
        <w:tc>
          <w:tcPr>
            <w:tcW w:w="6861"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244E800C">
            <w:pPr>
              <w:jc w:val="center"/>
              <w:rPr>
                <w:rFonts w:hint="eastAsia" w:ascii="仿宋" w:hAnsi="仿宋" w:eastAsia="仿宋" w:cs="仿宋"/>
                <w:color w:val="auto"/>
                <w:szCs w:val="21"/>
                <w:highlight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2F89AD2D">
            <w:pPr>
              <w:widowControl/>
              <w:jc w:val="center"/>
              <w:textAlignment w:val="center"/>
              <w:rPr>
                <w:rFonts w:hint="default" w:ascii="仿宋" w:hAnsi="仿宋" w:eastAsia="仿宋" w:cs="仿宋"/>
                <w:color w:val="auto"/>
                <w:szCs w:val="21"/>
                <w:highlight w:val="none"/>
                <w:lang w:val="en-US"/>
              </w:rPr>
            </w:pPr>
            <w:r>
              <w:rPr>
                <w:rFonts w:hint="eastAsia" w:ascii="仿宋" w:hAnsi="仿宋" w:eastAsia="仿宋" w:cs="仿宋"/>
                <w:color w:val="auto"/>
                <w:kern w:val="0"/>
                <w:szCs w:val="21"/>
                <w:highlight w:val="none"/>
                <w:lang w:val="en-US" w:eastAsia="zh-CN" w:bidi="ar"/>
              </w:rPr>
              <w:t>10</w:t>
            </w:r>
          </w:p>
        </w:tc>
      </w:tr>
      <w:tr w14:paraId="3CC0E86B">
        <w:tblPrEx>
          <w:tblCellMar>
            <w:top w:w="0" w:type="dxa"/>
            <w:left w:w="108" w:type="dxa"/>
            <w:bottom w:w="0" w:type="dxa"/>
            <w:right w:w="108" w:type="dxa"/>
          </w:tblCellMar>
        </w:tblPrEx>
        <w:trPr>
          <w:cantSplit/>
          <w:trHeight w:val="2186"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CD95">
            <w:pPr>
              <w:jc w:val="center"/>
              <w:rPr>
                <w:rFonts w:hint="eastAsia" w:ascii="仿宋" w:hAnsi="仿宋" w:eastAsia="仿宋" w:cs="仿宋"/>
                <w:color w:val="auto"/>
                <w:szCs w:val="21"/>
                <w:highlight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E9B0">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价格分</w:t>
            </w:r>
          </w:p>
          <w:p w14:paraId="21F4CBF3">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（满分</w:t>
            </w:r>
            <w:r>
              <w:rPr>
                <w:rFonts w:hint="eastAsia" w:ascii="仿宋" w:hAnsi="仿宋" w:eastAsia="仿宋" w:cs="仿宋"/>
                <w:color w:val="auto"/>
                <w:kern w:val="0"/>
                <w:szCs w:val="21"/>
                <w:highlight w:val="none"/>
                <w:lang w:val="en-US" w:eastAsia="zh-CN" w:bidi="ar"/>
              </w:rPr>
              <w:t>10</w:t>
            </w:r>
            <w:r>
              <w:rPr>
                <w:rFonts w:hint="eastAsia" w:ascii="仿宋" w:hAnsi="仿宋" w:eastAsia="仿宋" w:cs="仿宋"/>
                <w:color w:val="auto"/>
                <w:kern w:val="0"/>
                <w:szCs w:val="21"/>
                <w:highlight w:val="none"/>
                <w:lang w:bidi="ar"/>
              </w:rPr>
              <w:t>分）</w:t>
            </w:r>
          </w:p>
        </w:tc>
        <w:tc>
          <w:tcPr>
            <w:tcW w:w="6861" w:type="dxa"/>
            <w:tcBorders>
              <w:top w:val="single" w:color="000000" w:sz="4" w:space="0"/>
              <w:left w:val="single" w:color="000000" w:sz="4" w:space="0"/>
              <w:right w:val="single" w:color="000000" w:sz="4" w:space="0"/>
            </w:tcBorders>
            <w:shd w:val="clear" w:color="auto" w:fill="auto"/>
            <w:vAlign w:val="center"/>
          </w:tcPr>
          <w:p w14:paraId="1110047D">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
                <w:bCs/>
                <w:color w:val="auto"/>
                <w:szCs w:val="21"/>
                <w:highlight w:val="none"/>
              </w:rPr>
              <w:t>本项目为小</w:t>
            </w:r>
            <w:r>
              <w:rPr>
                <w:rFonts w:hint="eastAsia" w:ascii="仿宋" w:hAnsi="仿宋" w:eastAsia="仿宋" w:cs="仿宋"/>
                <w:b/>
                <w:bCs/>
                <w:color w:val="auto"/>
                <w:szCs w:val="21"/>
                <w:highlight w:val="none"/>
                <w:lang w:val="en-US" w:eastAsia="zh-CN"/>
              </w:rPr>
              <w:t>微</w:t>
            </w:r>
            <w:r>
              <w:rPr>
                <w:rFonts w:hint="eastAsia" w:ascii="仿宋" w:hAnsi="仿宋" w:eastAsia="仿宋" w:cs="仿宋"/>
                <w:b/>
                <w:bCs/>
                <w:color w:val="auto"/>
                <w:szCs w:val="21"/>
                <w:highlight w:val="none"/>
              </w:rPr>
              <w:t>企业预留项目，价格评审时，各供应商不重复享受政策，</w:t>
            </w:r>
            <w:r>
              <w:rPr>
                <w:rFonts w:hint="eastAsia" w:ascii="仿宋" w:hAnsi="仿宋" w:eastAsia="仿宋" w:cs="仿宋"/>
                <w:color w:val="auto"/>
                <w:szCs w:val="21"/>
                <w:highlight w:val="none"/>
              </w:rPr>
              <w:t>其评标报价=最后报价。</w:t>
            </w:r>
          </w:p>
          <w:p w14:paraId="0D390E63">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（2）满足采购文件要求且评标报价最低的评标报价为评标基准价，其价格分为满分。</w:t>
            </w:r>
          </w:p>
          <w:p w14:paraId="09D2FD78">
            <w:pPr>
              <w:pStyle w:val="20"/>
              <w:spacing w:line="360" w:lineRule="exact"/>
              <w:rPr>
                <w:rFonts w:hint="eastAsia" w:ascii="仿宋" w:hAnsi="仿宋" w:eastAsia="仿宋" w:cs="仿宋"/>
                <w:bCs/>
                <w:color w:val="auto"/>
                <w:kern w:val="2"/>
                <w:sz w:val="21"/>
                <w:highlight w:val="none"/>
              </w:rPr>
            </w:pPr>
            <w:r>
              <w:rPr>
                <w:rFonts w:hint="eastAsia" w:ascii="仿宋" w:hAnsi="仿宋" w:eastAsia="仿宋" w:cs="仿宋"/>
                <w:bCs/>
                <w:color w:val="auto"/>
                <w:kern w:val="2"/>
                <w:sz w:val="21"/>
                <w:highlight w:val="none"/>
              </w:rPr>
              <w:t>（3）某供应商价格分计算公式：</w:t>
            </w:r>
          </w:p>
          <w:p w14:paraId="07D10740">
            <w:pPr>
              <w:widowControl/>
              <w:textAlignment w:val="cente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价格分得分=（基准价/最后报价）×</w:t>
            </w: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rPr>
              <w:t>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B227">
            <w:pPr>
              <w:jc w:val="center"/>
              <w:rPr>
                <w:rFonts w:hint="eastAsia" w:ascii="仿宋" w:hAnsi="仿宋" w:eastAsia="仿宋" w:cs="仿宋"/>
                <w:color w:val="auto"/>
                <w:szCs w:val="21"/>
                <w:highlight w:val="none"/>
              </w:rPr>
            </w:pPr>
          </w:p>
        </w:tc>
      </w:tr>
      <w:tr w14:paraId="0C63F635">
        <w:tblPrEx>
          <w:tblCellMar>
            <w:top w:w="0" w:type="dxa"/>
            <w:left w:w="108" w:type="dxa"/>
            <w:bottom w:w="0" w:type="dxa"/>
            <w:right w:w="108" w:type="dxa"/>
          </w:tblCellMar>
        </w:tblPrEx>
        <w:trPr>
          <w:cantSplit/>
          <w:trHeight w:val="846" w:hRule="atLeast"/>
        </w:trPr>
        <w:tc>
          <w:tcPr>
            <w:tcW w:w="689"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2B262BA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7CA6A8E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业绩分</w:t>
            </w:r>
            <w:r>
              <w:rPr>
                <w:rFonts w:hint="eastAsia" w:ascii="仿宋" w:hAnsi="仿宋" w:eastAsia="仿宋" w:cs="仿宋"/>
                <w:color w:val="auto"/>
                <w:kern w:val="0"/>
                <w:szCs w:val="21"/>
                <w:highlight w:val="none"/>
                <w:lang w:bidi="ar"/>
              </w:rPr>
              <w:t>（满分</w:t>
            </w:r>
            <w:r>
              <w:rPr>
                <w:rFonts w:hint="eastAsia" w:ascii="仿宋" w:hAnsi="仿宋" w:eastAsia="仿宋" w:cs="仿宋"/>
                <w:color w:val="auto"/>
                <w:kern w:val="0"/>
                <w:szCs w:val="21"/>
                <w:highlight w:val="none"/>
                <w:lang w:val="en-US" w:eastAsia="zh-CN" w:bidi="ar"/>
              </w:rPr>
              <w:t>15</w:t>
            </w:r>
            <w:r>
              <w:rPr>
                <w:rFonts w:hint="eastAsia" w:ascii="仿宋" w:hAnsi="仿宋" w:eastAsia="仿宋" w:cs="仿宋"/>
                <w:color w:val="auto"/>
                <w:kern w:val="0"/>
                <w:szCs w:val="21"/>
                <w:highlight w:val="none"/>
                <w:lang w:bidi="ar"/>
              </w:rPr>
              <w:t>分）</w:t>
            </w:r>
          </w:p>
        </w:tc>
        <w:tc>
          <w:tcPr>
            <w:tcW w:w="6861"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516674C8">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评审因素</w:t>
            </w:r>
          </w:p>
        </w:tc>
        <w:tc>
          <w:tcPr>
            <w:tcW w:w="940"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20A3338">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15</w:t>
            </w:r>
          </w:p>
        </w:tc>
      </w:tr>
      <w:tr w14:paraId="2E9624E7">
        <w:tblPrEx>
          <w:tblCellMar>
            <w:top w:w="0" w:type="dxa"/>
            <w:left w:w="108" w:type="dxa"/>
            <w:bottom w:w="0" w:type="dxa"/>
            <w:right w:w="108" w:type="dxa"/>
          </w:tblCellMar>
        </w:tblPrEx>
        <w:trPr>
          <w:cantSplit/>
          <w:trHeight w:val="1349"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C01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2.1</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A6AF">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业绩</w:t>
            </w:r>
          </w:p>
          <w:p w14:paraId="29CC46E3">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（满分</w:t>
            </w:r>
            <w:r>
              <w:rPr>
                <w:rFonts w:hint="eastAsia" w:ascii="仿宋" w:hAnsi="仿宋" w:eastAsia="仿宋" w:cs="仿宋"/>
                <w:color w:val="auto"/>
                <w:kern w:val="0"/>
                <w:szCs w:val="21"/>
                <w:highlight w:val="none"/>
                <w:lang w:val="en-US" w:eastAsia="zh-CN" w:bidi="ar"/>
              </w:rPr>
              <w:t>15</w:t>
            </w:r>
            <w:r>
              <w:rPr>
                <w:rFonts w:hint="eastAsia" w:ascii="仿宋" w:hAnsi="仿宋" w:eastAsia="仿宋" w:cs="仿宋"/>
                <w:color w:val="auto"/>
                <w:kern w:val="0"/>
                <w:szCs w:val="21"/>
                <w:highlight w:val="none"/>
                <w:lang w:bidi="ar"/>
              </w:rPr>
              <w:t>分）</w:t>
            </w:r>
          </w:p>
        </w:tc>
        <w:tc>
          <w:tcPr>
            <w:tcW w:w="6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F95A">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项目业绩分：202</w:t>
            </w:r>
            <w:r>
              <w:rPr>
                <w:rFonts w:hint="eastAsia" w:ascii="仿宋" w:hAnsi="仿宋" w:eastAsia="仿宋" w:cs="仿宋"/>
                <w:color w:val="auto"/>
                <w:kern w:val="0"/>
                <w:szCs w:val="21"/>
                <w:highlight w:val="none"/>
                <w:lang w:val="en-US" w:eastAsia="zh-CN" w:bidi="ar"/>
              </w:rPr>
              <w:t>2</w:t>
            </w:r>
            <w:r>
              <w:rPr>
                <w:rFonts w:hint="eastAsia" w:ascii="仿宋" w:hAnsi="仿宋" w:eastAsia="仿宋" w:cs="仿宋"/>
                <w:color w:val="auto"/>
                <w:kern w:val="0"/>
                <w:szCs w:val="21"/>
                <w:highlight w:val="none"/>
                <w:lang w:bidi="ar"/>
              </w:rPr>
              <w:t>年1月1日起至今，供应商承接过</w:t>
            </w:r>
            <w:r>
              <w:rPr>
                <w:rFonts w:hint="eastAsia" w:ascii="仿宋" w:hAnsi="仿宋" w:eastAsia="仿宋" w:cs="仿宋"/>
                <w:color w:val="auto"/>
                <w:kern w:val="0"/>
                <w:szCs w:val="21"/>
                <w:highlight w:val="none"/>
                <w:lang w:val="en-US" w:eastAsia="zh-CN" w:bidi="ar"/>
              </w:rPr>
              <w:t>类似工程类财务</w:t>
            </w:r>
            <w:r>
              <w:rPr>
                <w:rFonts w:hint="eastAsia" w:ascii="仿宋" w:hAnsi="仿宋" w:eastAsia="仿宋" w:cs="仿宋"/>
                <w:color w:val="auto"/>
                <w:kern w:val="0"/>
                <w:szCs w:val="21"/>
                <w:highlight w:val="none"/>
                <w:lang w:bidi="ar"/>
              </w:rPr>
              <w:t>审计</w:t>
            </w:r>
            <w:r>
              <w:rPr>
                <w:rFonts w:hint="eastAsia" w:ascii="仿宋" w:hAnsi="仿宋" w:eastAsia="仿宋" w:cs="仿宋"/>
                <w:color w:val="auto"/>
                <w:kern w:val="0"/>
                <w:szCs w:val="21"/>
                <w:highlight w:val="none"/>
                <w:lang w:val="en-US" w:eastAsia="zh-CN" w:bidi="ar"/>
              </w:rPr>
              <w:t>服务</w:t>
            </w:r>
            <w:r>
              <w:rPr>
                <w:rFonts w:hint="eastAsia" w:ascii="仿宋" w:hAnsi="仿宋" w:eastAsia="仿宋" w:cs="仿宋"/>
                <w:color w:val="auto"/>
                <w:kern w:val="0"/>
                <w:szCs w:val="21"/>
                <w:highlight w:val="none"/>
                <w:lang w:bidi="ar"/>
              </w:rPr>
              <w:t>业绩，每项得</w:t>
            </w:r>
            <w:r>
              <w:rPr>
                <w:rFonts w:hint="eastAsia" w:ascii="仿宋" w:hAnsi="仿宋" w:eastAsia="仿宋" w:cs="仿宋"/>
                <w:color w:val="auto"/>
                <w:kern w:val="0"/>
                <w:szCs w:val="21"/>
                <w:highlight w:val="none"/>
                <w:lang w:val="en-US" w:eastAsia="zh-CN" w:bidi="ar"/>
              </w:rPr>
              <w:t>1.5</w:t>
            </w:r>
            <w:r>
              <w:rPr>
                <w:rFonts w:hint="eastAsia" w:ascii="仿宋" w:hAnsi="仿宋" w:eastAsia="仿宋" w:cs="仿宋"/>
                <w:color w:val="auto"/>
                <w:kern w:val="0"/>
                <w:szCs w:val="21"/>
                <w:highlight w:val="none"/>
                <w:lang w:bidi="ar"/>
              </w:rPr>
              <w:t>分，满分</w:t>
            </w:r>
            <w:r>
              <w:rPr>
                <w:rFonts w:hint="eastAsia" w:ascii="仿宋" w:hAnsi="仿宋" w:eastAsia="仿宋" w:cs="仿宋"/>
                <w:color w:val="auto"/>
                <w:kern w:val="0"/>
                <w:szCs w:val="21"/>
                <w:highlight w:val="none"/>
                <w:lang w:val="en-US" w:eastAsia="zh-CN" w:bidi="ar"/>
              </w:rPr>
              <w:t>15</w:t>
            </w:r>
            <w:r>
              <w:rPr>
                <w:rFonts w:hint="eastAsia" w:ascii="仿宋" w:hAnsi="仿宋" w:eastAsia="仿宋" w:cs="仿宋"/>
                <w:color w:val="auto"/>
                <w:kern w:val="0"/>
                <w:szCs w:val="21"/>
                <w:highlight w:val="none"/>
                <w:lang w:bidi="ar"/>
              </w:rPr>
              <w:t>分。[以</w:t>
            </w:r>
            <w:r>
              <w:rPr>
                <w:rFonts w:hint="eastAsia" w:ascii="仿宋" w:hAnsi="仿宋" w:eastAsia="仿宋" w:cs="仿宋"/>
                <w:color w:val="auto"/>
                <w:szCs w:val="21"/>
                <w:highlight w:val="none"/>
              </w:rPr>
              <w:t>响应文件中</w:t>
            </w:r>
            <w:r>
              <w:rPr>
                <w:rStyle w:val="118"/>
                <w:rFonts w:hint="eastAsia" w:ascii="仿宋" w:hAnsi="仿宋" w:eastAsia="仿宋" w:cs="仿宋"/>
                <w:color w:val="auto"/>
                <w:sz w:val="21"/>
                <w:szCs w:val="21"/>
                <w:highlight w:val="none"/>
                <w:lang w:bidi="ar"/>
              </w:rPr>
              <w:t>提供</w:t>
            </w:r>
            <w:r>
              <w:rPr>
                <w:rFonts w:hint="eastAsia" w:ascii="仿宋" w:hAnsi="仿宋" w:eastAsia="仿宋" w:cs="仿宋"/>
                <w:color w:val="auto"/>
                <w:kern w:val="0"/>
                <w:szCs w:val="21"/>
                <w:highlight w:val="none"/>
                <w:lang w:bidi="ar"/>
              </w:rPr>
              <w:t>合同或者中标（成交）通知书复印件加盖竞标供应商公章为准]。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5DCF">
            <w:pPr>
              <w:widowControl/>
              <w:jc w:val="center"/>
              <w:textAlignment w:val="center"/>
              <w:rPr>
                <w:rFonts w:hint="eastAsia" w:ascii="仿宋" w:hAnsi="仿宋" w:eastAsia="仿宋" w:cs="仿宋"/>
                <w:color w:val="auto"/>
                <w:szCs w:val="21"/>
                <w:highlight w:val="none"/>
              </w:rPr>
            </w:pPr>
          </w:p>
        </w:tc>
      </w:tr>
      <w:tr w14:paraId="4D37EF3D">
        <w:tblPrEx>
          <w:tblCellMar>
            <w:top w:w="0" w:type="dxa"/>
            <w:left w:w="108" w:type="dxa"/>
            <w:bottom w:w="0" w:type="dxa"/>
            <w:right w:w="108" w:type="dxa"/>
          </w:tblCellMar>
        </w:tblPrEx>
        <w:trPr>
          <w:cantSplit/>
          <w:trHeight w:val="1132" w:hRule="atLeast"/>
        </w:trPr>
        <w:tc>
          <w:tcPr>
            <w:tcW w:w="689"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6FDB28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615"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04708E7D">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技术分</w:t>
            </w:r>
          </w:p>
          <w:p w14:paraId="6CAF342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（满分</w:t>
            </w:r>
            <w:r>
              <w:rPr>
                <w:rFonts w:hint="eastAsia" w:ascii="仿宋" w:hAnsi="仿宋" w:eastAsia="仿宋" w:cs="仿宋"/>
                <w:color w:val="auto"/>
                <w:kern w:val="0"/>
                <w:szCs w:val="21"/>
                <w:highlight w:val="none"/>
                <w:lang w:val="en-US" w:eastAsia="zh-CN" w:bidi="ar"/>
              </w:rPr>
              <w:t>75</w:t>
            </w:r>
            <w:r>
              <w:rPr>
                <w:rFonts w:hint="eastAsia" w:ascii="仿宋" w:hAnsi="仿宋" w:eastAsia="仿宋" w:cs="仿宋"/>
                <w:color w:val="auto"/>
                <w:kern w:val="0"/>
                <w:szCs w:val="21"/>
                <w:highlight w:val="none"/>
                <w:lang w:bidi="ar"/>
              </w:rPr>
              <w:t>分）</w:t>
            </w:r>
          </w:p>
        </w:tc>
        <w:tc>
          <w:tcPr>
            <w:tcW w:w="6861"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5151D6E3">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评审因素：由</w:t>
            </w:r>
            <w:r>
              <w:rPr>
                <w:rFonts w:hint="eastAsia" w:ascii="仿宋" w:hAnsi="仿宋" w:eastAsia="仿宋" w:cs="仿宋"/>
                <w:color w:val="auto"/>
                <w:kern w:val="0"/>
                <w:szCs w:val="21"/>
                <w:highlight w:val="none"/>
                <w:lang w:val="en-US" w:eastAsia="zh-CN" w:bidi="ar"/>
              </w:rPr>
              <w:t>磋商小组</w:t>
            </w:r>
            <w:r>
              <w:rPr>
                <w:rFonts w:hint="eastAsia" w:ascii="仿宋" w:hAnsi="仿宋" w:eastAsia="仿宋" w:cs="仿宋"/>
                <w:color w:val="auto"/>
                <w:kern w:val="0"/>
                <w:szCs w:val="21"/>
                <w:highlight w:val="none"/>
                <w:lang w:bidi="ar"/>
              </w:rPr>
              <w:t>在打分前根据</w:t>
            </w:r>
            <w:r>
              <w:rPr>
                <w:rFonts w:hint="eastAsia" w:ascii="仿宋" w:hAnsi="仿宋" w:eastAsia="仿宋" w:cs="仿宋"/>
                <w:color w:val="auto"/>
                <w:kern w:val="0"/>
                <w:szCs w:val="21"/>
                <w:highlight w:val="none"/>
                <w:lang w:val="en-US" w:eastAsia="zh-CN" w:bidi="ar"/>
              </w:rPr>
              <w:t>竞争性磋商</w:t>
            </w:r>
            <w:r>
              <w:rPr>
                <w:rFonts w:hint="eastAsia" w:ascii="仿宋" w:hAnsi="仿宋" w:eastAsia="仿宋" w:cs="仿宋"/>
                <w:color w:val="auto"/>
                <w:kern w:val="0"/>
                <w:szCs w:val="21"/>
                <w:highlight w:val="none"/>
                <w:lang w:bidi="ar"/>
              </w:rPr>
              <w:t>文件要求，对各竞标供应商编制的实施方案响应程度进行评审，对各竞标供应商进行独立打分</w:t>
            </w:r>
          </w:p>
        </w:tc>
        <w:tc>
          <w:tcPr>
            <w:tcW w:w="940" w:type="dxa"/>
            <w:tcBorders>
              <w:top w:val="single" w:color="000000" w:sz="4" w:space="0"/>
              <w:left w:val="single" w:color="000000" w:sz="4" w:space="0"/>
              <w:bottom w:val="single" w:color="000000" w:sz="4" w:space="0"/>
              <w:right w:val="single" w:color="000000" w:sz="4" w:space="0"/>
            </w:tcBorders>
            <w:shd w:val="clear" w:color="auto" w:fill="C6E0B4"/>
            <w:vAlign w:val="center"/>
          </w:tcPr>
          <w:p w14:paraId="24F30B3C">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lang w:val="en-US" w:eastAsia="zh-CN" w:bidi="ar"/>
              </w:rPr>
              <w:t>75</w:t>
            </w:r>
          </w:p>
        </w:tc>
      </w:tr>
      <w:tr w14:paraId="191CB131">
        <w:tblPrEx>
          <w:tblCellMar>
            <w:top w:w="0" w:type="dxa"/>
            <w:left w:w="108" w:type="dxa"/>
            <w:bottom w:w="0" w:type="dxa"/>
            <w:right w:w="108" w:type="dxa"/>
          </w:tblCellMar>
        </w:tblPrEx>
        <w:trPr>
          <w:cantSplit/>
          <w:trHeight w:val="610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861C">
            <w:pPr>
              <w:widowControl/>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bidi="ar"/>
              </w:rPr>
              <w:t>3.</w:t>
            </w:r>
            <w:r>
              <w:rPr>
                <w:rFonts w:hint="eastAsia" w:ascii="仿宋" w:hAnsi="仿宋" w:eastAsia="仿宋" w:cs="仿宋"/>
                <w:color w:val="auto"/>
                <w:kern w:val="0"/>
                <w:szCs w:val="21"/>
                <w:highlight w:val="none"/>
                <w:lang w:val="en-US" w:eastAsia="zh-CN" w:bidi="ar"/>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215E">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项目实施方案（满分15分）</w:t>
            </w:r>
          </w:p>
        </w:tc>
        <w:tc>
          <w:tcPr>
            <w:tcW w:w="6861" w:type="dxa"/>
            <w:tcBorders>
              <w:top w:val="single" w:color="000000" w:sz="4" w:space="0"/>
              <w:left w:val="single" w:color="000000" w:sz="4" w:space="0"/>
              <w:bottom w:val="single" w:color="auto" w:sz="4" w:space="0"/>
              <w:right w:val="single" w:color="000000" w:sz="4" w:space="0"/>
            </w:tcBorders>
            <w:shd w:val="clear" w:color="auto" w:fill="auto"/>
            <w:vAlign w:val="center"/>
          </w:tcPr>
          <w:p w14:paraId="40D5A9DA">
            <w:pPr>
              <w:widowControl/>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一档(3分)：</w:t>
            </w:r>
            <w:r>
              <w:rPr>
                <w:rFonts w:hint="eastAsia" w:ascii="仿宋" w:hAnsi="仿宋" w:eastAsia="仿宋" w:cs="仿宋"/>
                <w:color w:val="auto"/>
                <w:szCs w:val="21"/>
                <w:highlight w:val="none"/>
              </w:rPr>
              <w:t>提供的内容</w:t>
            </w:r>
            <w:r>
              <w:rPr>
                <w:rFonts w:hint="eastAsia" w:ascii="仿宋" w:hAnsi="仿宋" w:eastAsia="仿宋" w:cs="仿宋"/>
                <w:color w:val="auto"/>
                <w:szCs w:val="21"/>
                <w:highlight w:val="none"/>
                <w:lang w:val="en-US" w:eastAsia="zh-CN"/>
              </w:rPr>
              <w:t>简单</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基本</w:t>
            </w:r>
            <w:r>
              <w:rPr>
                <w:rFonts w:hint="eastAsia" w:ascii="仿宋" w:hAnsi="仿宋" w:eastAsia="仿宋" w:cs="仿宋"/>
                <w:color w:val="auto"/>
                <w:szCs w:val="21"/>
                <w:highlight w:val="none"/>
              </w:rPr>
              <w:t>满足要求</w:t>
            </w:r>
            <w:r>
              <w:rPr>
                <w:rFonts w:hint="eastAsia" w:ascii="仿宋" w:hAnsi="仿宋" w:eastAsia="仿宋" w:cs="仿宋"/>
                <w:color w:val="auto"/>
                <w:szCs w:val="21"/>
                <w:highlight w:val="none"/>
                <w:lang w:eastAsia="zh-CN"/>
              </w:rPr>
              <w:t>。</w:t>
            </w:r>
          </w:p>
          <w:p w14:paraId="541376FF">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二档(7分)：项目实施方案内容基本满足采购需求。财务、税务政策运用分析与实践阐述分析到位。按照审计准则及项目要求，提出的建议内容有基本的项目实施保障作用； </w:t>
            </w:r>
          </w:p>
          <w:p w14:paraId="7F9FAA20">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三档（11分）：项目实施方案内容较详细、较完善，对本项目内容理解较深刻，行业背景、项目特点以及工作重点难点分析较准确、较细致。业务流程内容较详细、完善、清晰，项目契合，针对性、合理性较强。运用分析与实践分析符合项目实际要求，结合相关政策可以能够提供处理指导和财务咨询等服务。按照审计准则及项目要求，提出的合理化建议较详细，合理性、可行性较强，体现项目实施保障能力； </w:t>
            </w:r>
          </w:p>
          <w:p w14:paraId="473C08A2">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四档（15分）：项目实施方案有整体内容详细、完善，对本项目内容理解深刻、透彻、全面，行业背景、项目特点以及工作重点难点分析准确、细致、有针对性。业务流程内容详细、完善、清晰，与项目契合度高，针对性、合理性强，并具备可操作性。分析与实践分析符合项目实际要求，能提供处理指导和财务咨询等服务，政策结合的可靠性强，可操作性强。按照审计准则及项目要求，提出有效的建议，建议内容详实、完善，针对性、合理性强，准确把握项目的审计意图和所要达到的审计目的，完全契合本项目实施，对项目实施保障作用突出，对项目实施起到关键、有利作用。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DED8">
            <w:pPr>
              <w:widowControl/>
              <w:textAlignment w:val="center"/>
              <w:rPr>
                <w:rFonts w:hint="eastAsia" w:ascii="仿宋" w:hAnsi="仿宋" w:eastAsia="仿宋" w:cs="仿宋"/>
                <w:color w:val="auto"/>
                <w:kern w:val="0"/>
                <w:szCs w:val="21"/>
                <w:highlight w:val="none"/>
                <w:lang w:val="en-US" w:eastAsia="zh-CN" w:bidi="ar"/>
              </w:rPr>
            </w:pPr>
          </w:p>
        </w:tc>
      </w:tr>
      <w:tr w14:paraId="5F875A29">
        <w:tblPrEx>
          <w:tblCellMar>
            <w:top w:w="0" w:type="dxa"/>
            <w:left w:w="108" w:type="dxa"/>
            <w:bottom w:w="0" w:type="dxa"/>
            <w:right w:w="108" w:type="dxa"/>
          </w:tblCellMar>
        </w:tblPrEx>
        <w:trPr>
          <w:cantSplit/>
          <w:trHeight w:val="26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366D">
            <w:pPr>
              <w:widowControl/>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bidi="ar"/>
              </w:rPr>
              <w:t>3.</w:t>
            </w:r>
            <w:r>
              <w:rPr>
                <w:rFonts w:hint="eastAsia" w:ascii="仿宋" w:hAnsi="仿宋" w:eastAsia="仿宋" w:cs="仿宋"/>
                <w:color w:val="auto"/>
                <w:kern w:val="0"/>
                <w:szCs w:val="21"/>
                <w:highlight w:val="none"/>
                <w:lang w:val="en-US" w:eastAsia="zh-CN" w:bidi="ar"/>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66E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bidi="ar"/>
              </w:rPr>
              <w:t>服务承诺</w:t>
            </w:r>
            <w:r>
              <w:rPr>
                <w:rFonts w:hint="eastAsia" w:ascii="仿宋" w:hAnsi="仿宋" w:eastAsia="仿宋" w:cs="仿宋"/>
                <w:color w:val="auto"/>
                <w:kern w:val="0"/>
                <w:szCs w:val="21"/>
                <w:highlight w:val="none"/>
                <w:lang w:bidi="ar"/>
              </w:rPr>
              <w:t>（满分</w:t>
            </w:r>
            <w:r>
              <w:rPr>
                <w:rFonts w:hint="eastAsia" w:ascii="仿宋" w:hAnsi="仿宋" w:eastAsia="仿宋" w:cs="仿宋"/>
                <w:color w:val="auto"/>
                <w:kern w:val="0"/>
                <w:szCs w:val="21"/>
                <w:highlight w:val="none"/>
                <w:lang w:val="en-US" w:eastAsia="zh-CN" w:bidi="ar"/>
              </w:rPr>
              <w:t>10</w:t>
            </w:r>
            <w:r>
              <w:rPr>
                <w:rFonts w:hint="eastAsia" w:ascii="仿宋" w:hAnsi="仿宋" w:eastAsia="仿宋" w:cs="仿宋"/>
                <w:color w:val="auto"/>
                <w:kern w:val="0"/>
                <w:szCs w:val="21"/>
                <w:highlight w:val="none"/>
                <w:lang w:bidi="ar"/>
              </w:rPr>
              <w:t>分）</w:t>
            </w:r>
          </w:p>
        </w:tc>
        <w:tc>
          <w:tcPr>
            <w:tcW w:w="6861" w:type="dxa"/>
            <w:tcBorders>
              <w:top w:val="single" w:color="auto" w:sz="4" w:space="0"/>
              <w:left w:val="single" w:color="000000" w:sz="4" w:space="0"/>
              <w:right w:val="single" w:color="000000" w:sz="4" w:space="0"/>
            </w:tcBorders>
            <w:shd w:val="clear" w:color="auto" w:fill="auto"/>
            <w:vAlign w:val="center"/>
          </w:tcPr>
          <w:p w14:paraId="7A07589F">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一档(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分):提供服务承诺或提供的内容简单</w:t>
            </w:r>
            <w:r>
              <w:rPr>
                <w:rFonts w:hint="eastAsia" w:ascii="仿宋" w:hAnsi="仿宋" w:eastAsia="仿宋" w:cs="仿宋"/>
                <w:color w:val="auto"/>
                <w:szCs w:val="21"/>
                <w:highlight w:val="none"/>
                <w:lang w:eastAsia="zh-CN"/>
              </w:rPr>
              <w:t>。</w:t>
            </w:r>
          </w:p>
          <w:p w14:paraId="040584E8">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二档(</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分):服务承诺</w:t>
            </w:r>
            <w:r>
              <w:rPr>
                <w:rFonts w:hint="eastAsia" w:ascii="仿宋" w:hAnsi="仿宋" w:eastAsia="仿宋" w:cs="仿宋"/>
                <w:color w:val="auto"/>
                <w:szCs w:val="21"/>
                <w:highlight w:val="none"/>
                <w:lang w:eastAsia="zh-CN"/>
              </w:rPr>
              <w:t>基本符合要求</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能</w:t>
            </w:r>
            <w:r>
              <w:rPr>
                <w:rFonts w:hint="eastAsia" w:ascii="仿宋" w:hAnsi="仿宋" w:eastAsia="仿宋" w:cs="仿宋"/>
                <w:color w:val="auto"/>
                <w:szCs w:val="21"/>
                <w:highlight w:val="none"/>
              </w:rPr>
              <w:t>满足项目需求;</w:t>
            </w:r>
          </w:p>
          <w:p w14:paraId="3AC79CA2">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三档(</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在二档的基础上，</w:t>
            </w:r>
            <w:r>
              <w:rPr>
                <w:rFonts w:hint="eastAsia" w:ascii="仿宋" w:hAnsi="仿宋" w:eastAsia="仿宋" w:cs="仿宋"/>
                <w:color w:val="auto"/>
                <w:szCs w:val="21"/>
                <w:highlight w:val="none"/>
              </w:rPr>
              <w:t>服务承诺较具体、全面，实施性较强，服务承诺较好;</w:t>
            </w:r>
          </w:p>
          <w:p w14:paraId="4CD852C8">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四档(</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在三档的基础上，</w:t>
            </w:r>
            <w:r>
              <w:rPr>
                <w:rFonts w:hint="eastAsia" w:ascii="仿宋" w:hAnsi="仿宋" w:eastAsia="仿宋" w:cs="仿宋"/>
                <w:color w:val="auto"/>
                <w:szCs w:val="21"/>
                <w:highlight w:val="none"/>
              </w:rPr>
              <w:t>服务承诺完整，内容详细，可行性强，承诺编制期间出现问题时迅速响应并在业主要求的时间内派本项目专职代表到现场主动解决问题，服务承诺优秀。</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1EEF">
            <w:pPr>
              <w:widowControl/>
              <w:textAlignment w:val="center"/>
              <w:rPr>
                <w:rFonts w:hint="eastAsia" w:ascii="仿宋" w:hAnsi="仿宋" w:eastAsia="仿宋" w:cs="仿宋"/>
                <w:color w:val="auto"/>
                <w:kern w:val="0"/>
                <w:szCs w:val="21"/>
                <w:highlight w:val="none"/>
                <w:lang w:val="en-US" w:eastAsia="zh-CN" w:bidi="ar"/>
              </w:rPr>
            </w:pPr>
          </w:p>
        </w:tc>
      </w:tr>
      <w:tr w14:paraId="642E98FD">
        <w:tblPrEx>
          <w:tblCellMar>
            <w:top w:w="0" w:type="dxa"/>
            <w:left w:w="108" w:type="dxa"/>
            <w:bottom w:w="0" w:type="dxa"/>
            <w:right w:w="108" w:type="dxa"/>
          </w:tblCellMar>
        </w:tblPrEx>
        <w:trPr>
          <w:cantSplit/>
          <w:trHeight w:val="26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4F2B">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3.3</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CA29">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Cs w:val="21"/>
                <w:highlight w:val="none"/>
                <w:lang w:val="en-US" w:eastAsia="zh-CN"/>
              </w:rPr>
              <w:t>质量管理水平方案（15分）</w:t>
            </w:r>
          </w:p>
        </w:tc>
        <w:tc>
          <w:tcPr>
            <w:tcW w:w="6861" w:type="dxa"/>
            <w:tcBorders>
              <w:top w:val="single" w:color="auto" w:sz="4" w:space="0"/>
              <w:left w:val="single" w:color="000000" w:sz="4" w:space="0"/>
              <w:right w:val="single" w:color="000000" w:sz="4" w:space="0"/>
            </w:tcBorders>
            <w:shd w:val="clear" w:color="auto" w:fill="auto"/>
            <w:vAlign w:val="center"/>
          </w:tcPr>
          <w:p w14:paraId="7B967AB0">
            <w:pPr>
              <w:widowControl/>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一档（3分):能提出针对本项决算工作相关的质量管理方案整体内容粗糙、不清晰，针对性、合理性，有二级复核程序，质量管理方案对项目实施保障作用。</w:t>
            </w:r>
          </w:p>
          <w:p w14:paraId="635061D2">
            <w:pPr>
              <w:widowControl/>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二档(7分):质量管理制度基本完善，质量管理制度实施保证措施基本完整，项目咨询、意见分歧解决、项目质量复核、项目质量检查、质量管理缺陷识别与整改等方面的政策与程序科学，内容基本合理可行。</w:t>
            </w:r>
          </w:p>
          <w:p w14:paraId="215F1581">
            <w:pPr>
              <w:widowControl/>
              <w:textAlignment w:val="center"/>
              <w:rPr>
                <w:rFonts w:hint="eastAsia"/>
                <w:color w:val="auto"/>
                <w:highlight w:val="none"/>
                <w:lang w:val="en-US" w:eastAsia="zh-CN"/>
              </w:rPr>
            </w:pPr>
            <w:r>
              <w:rPr>
                <w:rFonts w:hint="eastAsia" w:ascii="仿宋" w:hAnsi="仿宋" w:eastAsia="仿宋" w:cs="仿宋"/>
                <w:color w:val="auto"/>
                <w:szCs w:val="21"/>
                <w:highlight w:val="none"/>
                <w:lang w:val="en-US" w:eastAsia="zh-CN"/>
              </w:rPr>
              <w:t>三档(11分):质量管理制度基本完善，质量管理制度实施保证措施完整，项目咨询、意见分歧解决、项目质量复核、项目质量检查、质量管理缺陷识别与整改等方面的政策与程序科学，内容良好，具有一定针对性的。</w:t>
            </w:r>
          </w:p>
          <w:p w14:paraId="48FEB197">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四档(15分):质量管理制度完善，质量管理制度实施保证措施完整，有详尽可行的具体落实措施，其中项目咨询、意见分歧解决、项目质量复核、项目质量检查、质量管理缺陷识别与整改等方面的政策与程序科学、准确、合理，针对性强的。完全契合本项目实施，有详细的复核程序，对项目实施起到关键有利作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47CE">
            <w:pPr>
              <w:widowControl/>
              <w:textAlignment w:val="center"/>
              <w:rPr>
                <w:rFonts w:hint="eastAsia" w:ascii="仿宋" w:hAnsi="仿宋" w:eastAsia="仿宋" w:cs="仿宋"/>
                <w:color w:val="auto"/>
                <w:kern w:val="0"/>
                <w:szCs w:val="21"/>
                <w:highlight w:val="none"/>
                <w:lang w:val="en-US" w:eastAsia="zh-CN" w:bidi="ar"/>
              </w:rPr>
            </w:pPr>
          </w:p>
        </w:tc>
      </w:tr>
      <w:tr w14:paraId="5E98D29B">
        <w:tblPrEx>
          <w:tblCellMar>
            <w:top w:w="0" w:type="dxa"/>
            <w:left w:w="108" w:type="dxa"/>
            <w:bottom w:w="0" w:type="dxa"/>
            <w:right w:w="108" w:type="dxa"/>
          </w:tblCellMar>
        </w:tblPrEx>
        <w:trPr>
          <w:cantSplit/>
          <w:trHeight w:val="26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6B1F">
            <w:pPr>
              <w:widowControl/>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3.4</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8485">
            <w:pPr>
              <w:widowControl/>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案例分析分（满分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eastAsia="zh-CN"/>
              </w:rPr>
              <w:t>分）</w:t>
            </w:r>
          </w:p>
        </w:tc>
        <w:tc>
          <w:tcPr>
            <w:tcW w:w="6861" w:type="dxa"/>
            <w:tcBorders>
              <w:top w:val="single" w:color="auto" w:sz="4" w:space="0"/>
              <w:left w:val="single" w:color="000000" w:sz="4" w:space="0"/>
              <w:right w:val="single" w:color="000000" w:sz="4" w:space="0"/>
            </w:tcBorders>
            <w:shd w:val="clear" w:color="auto" w:fill="auto"/>
            <w:vAlign w:val="center"/>
          </w:tcPr>
          <w:p w14:paraId="5A2652FE">
            <w:pPr>
              <w:widowControl/>
              <w:textAlignment w:val="center"/>
              <w:rPr>
                <w:rFonts w:hint="eastAsia" w:ascii="仿宋" w:hAnsi="仿宋" w:eastAsia="仿宋" w:cs="仿宋"/>
                <w:color w:val="auto"/>
                <w:szCs w:val="21"/>
                <w:highlight w:val="none"/>
                <w:lang w:eastAsia="zh-CN"/>
              </w:rPr>
            </w:pPr>
            <w:bookmarkStart w:id="130" w:name="_GoBack"/>
            <w:r>
              <w:rPr>
                <w:rFonts w:hint="eastAsia" w:ascii="仿宋" w:hAnsi="仿宋" w:eastAsia="仿宋" w:cs="仿宋"/>
                <w:color w:val="auto"/>
                <w:szCs w:val="21"/>
                <w:highlight w:val="none"/>
                <w:lang w:eastAsia="zh-CN"/>
              </w:rPr>
              <w:t>评委根据供应商响应文件中提供的评审案例分析内容进行评审，并独立打分。</w:t>
            </w:r>
          </w:p>
          <w:p w14:paraId="78EEEDDE">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一档（</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分）：提供评审案例分析</w:t>
            </w:r>
            <w:r>
              <w:rPr>
                <w:rFonts w:hint="eastAsia" w:ascii="仿宋" w:hAnsi="仿宋" w:eastAsia="仿宋" w:cs="仿宋"/>
                <w:color w:val="auto"/>
                <w:szCs w:val="21"/>
                <w:highlight w:val="none"/>
                <w:lang w:val="en-US" w:eastAsia="zh-CN"/>
              </w:rPr>
              <w:t>简单</w:t>
            </w:r>
            <w:r>
              <w:rPr>
                <w:rFonts w:hint="eastAsia" w:ascii="仿宋" w:hAnsi="仿宋" w:eastAsia="仿宋" w:cs="仿宋"/>
                <w:color w:val="auto"/>
                <w:szCs w:val="21"/>
                <w:highlight w:val="none"/>
                <w:lang w:eastAsia="zh-CN"/>
              </w:rPr>
              <w:t>。</w:t>
            </w:r>
          </w:p>
          <w:p w14:paraId="7C28E7D0">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二</w:t>
            </w:r>
            <w:r>
              <w:rPr>
                <w:rFonts w:hint="eastAsia" w:ascii="仿宋" w:hAnsi="仿宋" w:eastAsia="仿宋" w:cs="仿宋"/>
                <w:color w:val="auto"/>
                <w:szCs w:val="21"/>
                <w:highlight w:val="none"/>
                <w:lang w:eastAsia="zh-CN"/>
              </w:rPr>
              <w:t>档（</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分）：评审案例分析内容基本完整，数据准确，依据基本充分，评审流程规范，列明情况，审核结论准确；</w:t>
            </w:r>
          </w:p>
          <w:p w14:paraId="35C67989">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lang w:eastAsia="zh-CN"/>
              </w:rPr>
              <w:t>档（</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lang w:eastAsia="zh-CN"/>
              </w:rPr>
              <w:t>分）：</w:t>
            </w:r>
            <w:r>
              <w:rPr>
                <w:rFonts w:hint="eastAsia" w:ascii="仿宋" w:hAnsi="仿宋" w:eastAsia="仿宋" w:cs="仿宋"/>
                <w:color w:val="auto"/>
                <w:szCs w:val="21"/>
                <w:highlight w:val="none"/>
                <w:lang w:val="en-US" w:eastAsia="zh-CN"/>
              </w:rPr>
              <w:t>财务</w:t>
            </w:r>
            <w:r>
              <w:rPr>
                <w:rFonts w:hint="eastAsia" w:ascii="仿宋" w:hAnsi="仿宋" w:eastAsia="仿宋" w:cs="仿宋"/>
                <w:color w:val="auto"/>
                <w:szCs w:val="21"/>
                <w:highlight w:val="none"/>
                <w:lang w:eastAsia="zh-CN"/>
              </w:rPr>
              <w:t>案例分析内容完整，数据准确，依据充分，评审流程规范，对列明的</w:t>
            </w:r>
            <w:r>
              <w:rPr>
                <w:rFonts w:hint="eastAsia" w:ascii="仿宋" w:hAnsi="仿宋" w:eastAsia="仿宋" w:cs="仿宋"/>
                <w:color w:val="auto"/>
                <w:szCs w:val="21"/>
                <w:highlight w:val="none"/>
                <w:lang w:val="en-US" w:eastAsia="zh-CN"/>
              </w:rPr>
              <w:t>财务状况</w:t>
            </w:r>
            <w:r>
              <w:rPr>
                <w:rFonts w:hint="eastAsia" w:ascii="仿宋" w:hAnsi="仿宋" w:eastAsia="仿宋" w:cs="仿宋"/>
                <w:color w:val="auto"/>
                <w:szCs w:val="21"/>
                <w:highlight w:val="none"/>
                <w:lang w:eastAsia="zh-CN"/>
              </w:rPr>
              <w:t>情况进行原因分析；提出争议问题并提供解决办法；审核结论准确；</w:t>
            </w:r>
          </w:p>
          <w:p w14:paraId="7DF8A1FB">
            <w:pPr>
              <w:widowControl/>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四</w:t>
            </w:r>
            <w:r>
              <w:rPr>
                <w:rFonts w:hint="eastAsia" w:ascii="仿宋" w:hAnsi="仿宋" w:eastAsia="仿宋" w:cs="仿宋"/>
                <w:color w:val="auto"/>
                <w:szCs w:val="21"/>
                <w:highlight w:val="none"/>
                <w:lang w:eastAsia="zh-CN"/>
              </w:rPr>
              <w:t>档（</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eastAsia="zh-CN"/>
              </w:rPr>
              <w:t>分）：评审案例分析内容完整，数据准确，依据充分，评审流程规范，对列明的</w:t>
            </w:r>
            <w:r>
              <w:rPr>
                <w:rFonts w:hint="eastAsia" w:ascii="仿宋" w:hAnsi="仿宋" w:eastAsia="仿宋" w:cs="仿宋"/>
                <w:color w:val="auto"/>
                <w:szCs w:val="21"/>
                <w:highlight w:val="none"/>
                <w:lang w:val="en-US" w:eastAsia="zh-CN"/>
              </w:rPr>
              <w:t>财务状况</w:t>
            </w:r>
            <w:r>
              <w:rPr>
                <w:rFonts w:hint="eastAsia" w:ascii="仿宋" w:hAnsi="仿宋" w:eastAsia="仿宋" w:cs="仿宋"/>
                <w:color w:val="auto"/>
                <w:szCs w:val="21"/>
                <w:highlight w:val="none"/>
                <w:lang w:eastAsia="zh-CN"/>
              </w:rPr>
              <w:t>情况进行有针对性的原因分析，提出争议问题并提供解决办法，解决办法切实可行；审核/评审结论准确；提出评审建议措施具体、针对性强。</w:t>
            </w:r>
          </w:p>
          <w:p w14:paraId="28497F7C">
            <w:pPr>
              <w:widowControl/>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w:t>
            </w:r>
            <w:r>
              <w:rPr>
                <w:rFonts w:hint="eastAsia" w:ascii="仿宋" w:hAnsi="仿宋" w:eastAsia="仿宋" w:cs="仿宋"/>
                <w:color w:val="auto"/>
                <w:szCs w:val="21"/>
                <w:highlight w:val="none"/>
                <w:lang w:eastAsia="zh-CN"/>
              </w:rPr>
              <w:t>评审委员会根据供应商提供自20</w:t>
            </w:r>
            <w:r>
              <w:rPr>
                <w:rFonts w:hint="eastAsia" w:ascii="仿宋" w:hAnsi="仿宋" w:eastAsia="仿宋" w:cs="仿宋"/>
                <w:color w:val="auto"/>
                <w:szCs w:val="21"/>
                <w:highlight w:val="none"/>
                <w:lang w:val="en-US" w:eastAsia="zh-CN"/>
              </w:rPr>
              <w:t>22</w:t>
            </w:r>
            <w:r>
              <w:rPr>
                <w:rFonts w:hint="eastAsia" w:ascii="仿宋" w:hAnsi="仿宋" w:eastAsia="仿宋" w:cs="仿宋"/>
                <w:color w:val="auto"/>
                <w:szCs w:val="21"/>
                <w:highlight w:val="none"/>
                <w:lang w:eastAsia="zh-CN"/>
              </w:rPr>
              <w:t>年1月1日以来本单位完成的一个结算项目案例分析[附合同或委托文件、加盖委托单位公章的项目材料原件扫描件）]进行评审，并独立打分，未提供不得分。</w:t>
            </w:r>
            <w:bookmarkEnd w:id="130"/>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56C4">
            <w:pPr>
              <w:widowControl/>
              <w:textAlignment w:val="center"/>
              <w:rPr>
                <w:rFonts w:hint="eastAsia" w:ascii="仿宋" w:hAnsi="仿宋" w:eastAsia="仿宋" w:cs="仿宋"/>
                <w:color w:val="auto"/>
                <w:kern w:val="0"/>
                <w:szCs w:val="21"/>
                <w:highlight w:val="none"/>
                <w:lang w:val="en-US" w:eastAsia="zh-CN" w:bidi="ar"/>
              </w:rPr>
            </w:pPr>
          </w:p>
        </w:tc>
      </w:tr>
      <w:tr w14:paraId="3EBF5075">
        <w:tblPrEx>
          <w:tblCellMar>
            <w:top w:w="0" w:type="dxa"/>
            <w:left w:w="108" w:type="dxa"/>
            <w:bottom w:w="0" w:type="dxa"/>
            <w:right w:w="108" w:type="dxa"/>
          </w:tblCellMar>
        </w:tblPrEx>
        <w:trPr>
          <w:cantSplit/>
          <w:trHeight w:val="61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F8347">
            <w:pPr>
              <w:widowControl/>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lang w:bidi="ar"/>
              </w:rPr>
              <w:t>3.</w:t>
            </w:r>
            <w:r>
              <w:rPr>
                <w:rFonts w:hint="eastAsia" w:ascii="仿宋" w:hAnsi="仿宋" w:eastAsia="仿宋" w:cs="仿宋"/>
                <w:color w:val="auto"/>
                <w:kern w:val="0"/>
                <w:szCs w:val="21"/>
                <w:highlight w:val="none"/>
                <w:lang w:val="en-US" w:eastAsia="zh-CN" w:bidi="ar"/>
              </w:rPr>
              <w:t>4</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293DD">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配备人员（满分</w:t>
            </w:r>
            <w:r>
              <w:rPr>
                <w:rFonts w:hint="eastAsia" w:ascii="仿宋" w:hAnsi="仿宋" w:eastAsia="仿宋" w:cs="仿宋"/>
                <w:color w:val="auto"/>
                <w:kern w:val="0"/>
                <w:szCs w:val="21"/>
                <w:highlight w:val="none"/>
                <w:lang w:val="en-US" w:eastAsia="zh-CN" w:bidi="ar"/>
              </w:rPr>
              <w:t>20</w:t>
            </w:r>
            <w:r>
              <w:rPr>
                <w:rFonts w:hint="eastAsia" w:ascii="仿宋" w:hAnsi="仿宋" w:eastAsia="仿宋" w:cs="仿宋"/>
                <w:color w:val="auto"/>
                <w:kern w:val="0"/>
                <w:szCs w:val="21"/>
                <w:highlight w:val="none"/>
                <w:lang w:bidi="ar"/>
              </w:rPr>
              <w:t>分）</w:t>
            </w:r>
          </w:p>
        </w:tc>
        <w:tc>
          <w:tcPr>
            <w:tcW w:w="6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0C2D">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拟配备人员评分</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1484">
            <w:pPr>
              <w:jc w:val="left"/>
              <w:rPr>
                <w:rFonts w:hint="eastAsia" w:ascii="仿宋" w:hAnsi="仿宋" w:eastAsia="仿宋" w:cs="仿宋"/>
                <w:color w:val="auto"/>
                <w:kern w:val="0"/>
                <w:szCs w:val="21"/>
                <w:highlight w:val="none"/>
                <w:lang w:val="en-US" w:eastAsia="zh-CN" w:bidi="ar"/>
              </w:rPr>
            </w:pPr>
          </w:p>
        </w:tc>
      </w:tr>
      <w:tr w14:paraId="0E0D810D">
        <w:tblPrEx>
          <w:tblCellMar>
            <w:top w:w="0" w:type="dxa"/>
            <w:left w:w="108" w:type="dxa"/>
            <w:bottom w:w="0" w:type="dxa"/>
            <w:right w:w="108" w:type="dxa"/>
          </w:tblCellMar>
        </w:tblPrEx>
        <w:trPr>
          <w:cantSplit/>
          <w:trHeight w:val="236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27FBE">
            <w:pPr>
              <w:jc w:val="center"/>
              <w:rPr>
                <w:rFonts w:hint="eastAsia" w:ascii="仿宋" w:hAnsi="仿宋" w:eastAsia="仿宋" w:cs="仿宋"/>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8D680">
            <w:pPr>
              <w:jc w:val="center"/>
              <w:rPr>
                <w:rFonts w:hint="eastAsia" w:ascii="仿宋" w:hAnsi="仿宋" w:eastAsia="仿宋" w:cs="仿宋"/>
                <w:color w:val="auto"/>
                <w:szCs w:val="21"/>
                <w:highlight w:val="none"/>
              </w:rPr>
            </w:pPr>
          </w:p>
        </w:tc>
        <w:tc>
          <w:tcPr>
            <w:tcW w:w="6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C1FC">
            <w:pPr>
              <w:widowControl/>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r>
              <w:rPr>
                <w:rFonts w:hint="eastAsia" w:ascii="仿宋" w:hAnsi="仿宋" w:eastAsia="仿宋" w:cs="仿宋"/>
                <w:color w:val="auto"/>
                <w:kern w:val="0"/>
                <w:szCs w:val="21"/>
                <w:highlight w:val="none"/>
                <w:lang w:val="en-US" w:eastAsia="zh-CN" w:bidi="ar"/>
              </w:rPr>
              <w:t>磋商</w:t>
            </w:r>
            <w:r>
              <w:rPr>
                <w:rFonts w:hint="eastAsia" w:ascii="仿宋" w:hAnsi="仿宋" w:eastAsia="仿宋" w:cs="仿宋"/>
                <w:color w:val="auto"/>
                <w:kern w:val="0"/>
                <w:szCs w:val="21"/>
                <w:highlight w:val="none"/>
                <w:lang w:bidi="ar"/>
              </w:rPr>
              <w:t>供应商最低人员配备不能少于</w:t>
            </w:r>
            <w:r>
              <w:rPr>
                <w:rFonts w:hint="eastAsia" w:ascii="仿宋" w:hAnsi="仿宋" w:eastAsia="仿宋" w:cs="仿宋"/>
                <w:color w:val="auto"/>
                <w:kern w:val="0"/>
                <w:szCs w:val="21"/>
                <w:highlight w:val="none"/>
                <w:lang w:val="en-US" w:eastAsia="zh-CN" w:bidi="ar"/>
              </w:rPr>
              <w:t>1</w:t>
            </w:r>
            <w:r>
              <w:rPr>
                <w:rFonts w:hint="eastAsia" w:ascii="仿宋" w:hAnsi="仿宋" w:eastAsia="仿宋" w:cs="仿宋"/>
                <w:color w:val="auto"/>
                <w:kern w:val="0"/>
                <w:szCs w:val="21"/>
                <w:highlight w:val="none"/>
                <w:lang w:bidi="ar"/>
              </w:rPr>
              <w:t>名注册会计师，在此基础上，每增加1名注册会计师得</w:t>
            </w:r>
            <w:r>
              <w:rPr>
                <w:rFonts w:hint="eastAsia" w:ascii="仿宋" w:hAnsi="仿宋" w:eastAsia="仿宋" w:cs="仿宋"/>
                <w:color w:val="auto"/>
                <w:kern w:val="0"/>
                <w:szCs w:val="21"/>
                <w:highlight w:val="none"/>
                <w:lang w:val="en-US" w:eastAsia="zh-CN" w:bidi="ar"/>
              </w:rPr>
              <w:t>2</w:t>
            </w:r>
            <w:r>
              <w:rPr>
                <w:rFonts w:hint="eastAsia" w:ascii="仿宋" w:hAnsi="仿宋" w:eastAsia="仿宋" w:cs="仿宋"/>
                <w:color w:val="auto"/>
                <w:kern w:val="0"/>
                <w:szCs w:val="21"/>
                <w:highlight w:val="none"/>
                <w:lang w:bidi="ar"/>
              </w:rPr>
              <w:t>分，满分</w:t>
            </w:r>
            <w:r>
              <w:rPr>
                <w:rFonts w:hint="eastAsia" w:ascii="仿宋" w:hAnsi="仿宋" w:eastAsia="仿宋" w:cs="仿宋"/>
                <w:color w:val="auto"/>
                <w:kern w:val="0"/>
                <w:szCs w:val="21"/>
                <w:highlight w:val="none"/>
                <w:lang w:val="en-US" w:eastAsia="zh-CN" w:bidi="ar"/>
              </w:rPr>
              <w:t>10</w:t>
            </w:r>
            <w:r>
              <w:rPr>
                <w:rFonts w:hint="eastAsia" w:ascii="仿宋" w:hAnsi="仿宋" w:eastAsia="仿宋" w:cs="仿宋"/>
                <w:color w:val="auto"/>
                <w:kern w:val="0"/>
                <w:szCs w:val="21"/>
                <w:highlight w:val="none"/>
                <w:lang w:bidi="ar"/>
              </w:rPr>
              <w:t>分。（</w:t>
            </w:r>
            <w:r>
              <w:rPr>
                <w:rFonts w:hint="eastAsia" w:ascii="仿宋" w:hAnsi="仿宋" w:eastAsia="仿宋" w:cs="仿宋"/>
                <w:color w:val="auto"/>
                <w:szCs w:val="21"/>
                <w:highlight w:val="none"/>
              </w:rPr>
              <w:t>响应文件中</w:t>
            </w:r>
            <w:r>
              <w:rPr>
                <w:rFonts w:hint="eastAsia" w:ascii="仿宋" w:hAnsi="仿宋" w:eastAsia="仿宋" w:cs="仿宋"/>
                <w:color w:val="auto"/>
                <w:kern w:val="0"/>
                <w:szCs w:val="21"/>
                <w:highlight w:val="none"/>
                <w:lang w:bidi="ar"/>
              </w:rPr>
              <w:t>提供配备人员的注册会计师证复印件及磋商供应商在磋商截止时间前</w:t>
            </w:r>
            <w:r>
              <w:rPr>
                <w:rFonts w:hint="eastAsia" w:ascii="仿宋" w:hAnsi="仿宋" w:eastAsia="仿宋" w:cs="仿宋"/>
                <w:color w:val="auto"/>
                <w:kern w:val="0"/>
                <w:szCs w:val="21"/>
                <w:highlight w:val="none"/>
                <w:lang w:val="en-US" w:eastAsia="zh-CN" w:bidi="ar"/>
              </w:rPr>
              <w:t>一</w:t>
            </w:r>
            <w:r>
              <w:rPr>
                <w:rFonts w:hint="eastAsia" w:ascii="仿宋" w:hAnsi="仿宋" w:eastAsia="仿宋" w:cs="仿宋"/>
                <w:color w:val="auto"/>
                <w:kern w:val="0"/>
                <w:szCs w:val="21"/>
                <w:highlight w:val="none"/>
                <w:lang w:bidi="ar"/>
              </w:rPr>
              <w:t>年内连续三个月为其缴纳的社保证明复印件加盖供应商公章，如为退休返聘人员，须提供退休证明文件及返聘合同复印件加盖供应商公章，</w:t>
            </w:r>
            <w:r>
              <w:rPr>
                <w:rFonts w:hint="eastAsia" w:ascii="仿宋" w:hAnsi="仿宋" w:eastAsia="仿宋" w:cs="仿宋"/>
                <w:color w:val="auto"/>
                <w:kern w:val="0"/>
                <w:szCs w:val="21"/>
                <w:highlight w:val="none"/>
                <w:lang w:val="en-US" w:eastAsia="zh-CN" w:bidi="ar"/>
              </w:rPr>
              <w:t>或</w:t>
            </w:r>
            <w:r>
              <w:rPr>
                <w:rFonts w:hint="eastAsia" w:ascii="仿宋" w:hAnsi="仿宋" w:eastAsia="仿宋" w:cs="仿宋"/>
                <w:color w:val="auto"/>
                <w:kern w:val="0"/>
                <w:szCs w:val="21"/>
                <w:highlight w:val="none"/>
                <w:lang w:bidi="ar"/>
              </w:rPr>
              <w:t>提供</w:t>
            </w:r>
            <w:r>
              <w:rPr>
                <w:rFonts w:hint="eastAsia" w:ascii="仿宋" w:hAnsi="仿宋" w:eastAsia="仿宋" w:cs="仿宋"/>
                <w:color w:val="auto"/>
                <w:kern w:val="0"/>
                <w:szCs w:val="21"/>
                <w:highlight w:val="none"/>
                <w:lang w:val="en-US" w:eastAsia="zh-CN" w:bidi="ar"/>
              </w:rPr>
              <w:t>上述人员与</w:t>
            </w:r>
            <w:r>
              <w:rPr>
                <w:rFonts w:hint="eastAsia" w:ascii="仿宋" w:hAnsi="仿宋" w:eastAsia="仿宋" w:cs="仿宋"/>
                <w:color w:val="auto"/>
                <w:kern w:val="0"/>
                <w:szCs w:val="21"/>
                <w:highlight w:val="none"/>
                <w:lang w:bidi="ar"/>
              </w:rPr>
              <w:t>磋商供应商</w:t>
            </w:r>
            <w:r>
              <w:rPr>
                <w:rFonts w:hint="eastAsia" w:ascii="仿宋" w:hAnsi="仿宋" w:eastAsia="仿宋" w:cs="仿宋"/>
                <w:color w:val="auto"/>
                <w:kern w:val="0"/>
                <w:szCs w:val="21"/>
                <w:highlight w:val="none"/>
                <w:lang w:val="en-US" w:eastAsia="zh-CN" w:bidi="ar"/>
              </w:rPr>
              <w:t>签订的参与服务项目意向书复印件</w:t>
            </w:r>
            <w:r>
              <w:rPr>
                <w:rFonts w:hint="eastAsia" w:ascii="仿宋" w:hAnsi="仿宋" w:eastAsia="仿宋" w:cs="仿宋"/>
                <w:color w:val="auto"/>
                <w:kern w:val="0"/>
                <w:szCs w:val="21"/>
                <w:highlight w:val="none"/>
                <w:lang w:bidi="ar"/>
              </w:rPr>
              <w:t>加盖供应商公章</w:t>
            </w:r>
            <w:r>
              <w:rPr>
                <w:rFonts w:hint="eastAsia" w:ascii="仿宋" w:hAnsi="仿宋" w:eastAsia="仿宋" w:cs="仿宋"/>
                <w:color w:val="auto"/>
                <w:kern w:val="0"/>
                <w:szCs w:val="21"/>
                <w:highlight w:val="none"/>
                <w:lang w:val="en-US" w:eastAsia="zh-CN" w:bidi="ar"/>
              </w:rPr>
              <w:t>，未按要求提供的不得分</w:t>
            </w:r>
            <w:r>
              <w:rPr>
                <w:rFonts w:hint="eastAsia" w:ascii="仿宋" w:hAnsi="仿宋" w:eastAsia="仿宋" w:cs="仿宋"/>
                <w:color w:val="auto"/>
                <w:kern w:val="0"/>
                <w:szCs w:val="21"/>
                <w:highlight w:val="none"/>
                <w:lang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5033">
            <w:pPr>
              <w:widowControl/>
              <w:jc w:val="center"/>
              <w:textAlignment w:val="center"/>
              <w:rPr>
                <w:rFonts w:hint="eastAsia" w:ascii="仿宋" w:hAnsi="仿宋" w:eastAsia="仿宋" w:cs="仿宋"/>
                <w:color w:val="auto"/>
                <w:szCs w:val="21"/>
                <w:highlight w:val="none"/>
              </w:rPr>
            </w:pPr>
          </w:p>
        </w:tc>
      </w:tr>
      <w:tr w14:paraId="2F30F635">
        <w:tblPrEx>
          <w:tblCellMar>
            <w:top w:w="0" w:type="dxa"/>
            <w:left w:w="108" w:type="dxa"/>
            <w:bottom w:w="0" w:type="dxa"/>
            <w:right w:w="108" w:type="dxa"/>
          </w:tblCellMar>
        </w:tblPrEx>
        <w:trPr>
          <w:cantSplit/>
          <w:trHeight w:val="1263"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7E7CB">
            <w:pPr>
              <w:jc w:val="center"/>
              <w:rPr>
                <w:rFonts w:hint="eastAsia" w:ascii="仿宋" w:hAnsi="仿宋" w:eastAsia="仿宋" w:cs="仿宋"/>
                <w:color w:val="auto"/>
                <w:szCs w:val="21"/>
                <w:highlight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314EF">
            <w:pPr>
              <w:jc w:val="center"/>
              <w:rPr>
                <w:rFonts w:hint="eastAsia" w:ascii="仿宋" w:hAnsi="仿宋" w:eastAsia="仿宋" w:cs="仿宋"/>
                <w:color w:val="auto"/>
                <w:szCs w:val="21"/>
                <w:highlight w:val="none"/>
              </w:rPr>
            </w:pPr>
          </w:p>
        </w:tc>
        <w:tc>
          <w:tcPr>
            <w:tcW w:w="6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160A">
            <w:pPr>
              <w:widowControl/>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2.</w:t>
            </w:r>
            <w:r>
              <w:rPr>
                <w:rFonts w:hint="eastAsia" w:ascii="仿宋" w:hAnsi="仿宋" w:eastAsia="仿宋" w:cs="仿宋"/>
                <w:color w:val="auto"/>
                <w:kern w:val="0"/>
                <w:szCs w:val="21"/>
                <w:highlight w:val="none"/>
                <w:lang w:val="en-US" w:eastAsia="zh-CN" w:bidi="ar"/>
              </w:rPr>
              <w:t>磋商供应商拟配备</w:t>
            </w:r>
            <w:r>
              <w:rPr>
                <w:rFonts w:hint="eastAsia" w:ascii="仿宋" w:hAnsi="仿宋" w:eastAsia="仿宋" w:cs="仿宋"/>
                <w:color w:val="auto"/>
                <w:kern w:val="0"/>
                <w:szCs w:val="21"/>
                <w:highlight w:val="none"/>
                <w:lang w:bidi="ar"/>
              </w:rPr>
              <w:t>主审注册会计师2021年1月1日起至今</w:t>
            </w:r>
            <w:r>
              <w:rPr>
                <w:rFonts w:hint="eastAsia" w:ascii="仿宋" w:hAnsi="仿宋" w:eastAsia="仿宋" w:cs="仿宋"/>
                <w:color w:val="auto"/>
                <w:kern w:val="0"/>
                <w:szCs w:val="21"/>
                <w:highlight w:val="none"/>
                <w:lang w:val="en-US" w:eastAsia="zh-CN" w:bidi="ar"/>
              </w:rPr>
              <w:t>每</w:t>
            </w:r>
            <w:r>
              <w:rPr>
                <w:rFonts w:hint="eastAsia" w:ascii="仿宋" w:hAnsi="仿宋" w:eastAsia="仿宋" w:cs="仿宋"/>
                <w:color w:val="auto"/>
                <w:kern w:val="0"/>
                <w:szCs w:val="21"/>
                <w:highlight w:val="none"/>
                <w:lang w:bidi="ar"/>
              </w:rPr>
              <w:t>有1个资金专项检查或专项审计项目业绩的，得</w:t>
            </w:r>
            <w:r>
              <w:rPr>
                <w:rFonts w:hint="eastAsia" w:ascii="仿宋" w:hAnsi="仿宋" w:eastAsia="仿宋" w:cs="仿宋"/>
                <w:color w:val="auto"/>
                <w:kern w:val="0"/>
                <w:szCs w:val="21"/>
                <w:highlight w:val="none"/>
                <w:lang w:val="en-US" w:eastAsia="zh-CN" w:bidi="ar"/>
              </w:rPr>
              <w:t>2</w:t>
            </w:r>
            <w:r>
              <w:rPr>
                <w:rFonts w:hint="eastAsia" w:ascii="仿宋" w:hAnsi="仿宋" w:eastAsia="仿宋" w:cs="仿宋"/>
                <w:color w:val="auto"/>
                <w:kern w:val="0"/>
                <w:szCs w:val="21"/>
                <w:highlight w:val="none"/>
                <w:lang w:bidi="ar"/>
              </w:rPr>
              <w:t>分，满分</w:t>
            </w:r>
            <w:r>
              <w:rPr>
                <w:rFonts w:hint="eastAsia" w:ascii="仿宋" w:hAnsi="仿宋" w:eastAsia="仿宋" w:cs="仿宋"/>
                <w:color w:val="auto"/>
                <w:kern w:val="0"/>
                <w:szCs w:val="21"/>
                <w:highlight w:val="none"/>
                <w:lang w:val="en-US" w:eastAsia="zh-CN" w:bidi="ar"/>
              </w:rPr>
              <w:t>10</w:t>
            </w:r>
            <w:r>
              <w:rPr>
                <w:rFonts w:hint="eastAsia" w:ascii="仿宋" w:hAnsi="仿宋" w:eastAsia="仿宋" w:cs="仿宋"/>
                <w:color w:val="auto"/>
                <w:kern w:val="0"/>
                <w:szCs w:val="21"/>
                <w:highlight w:val="none"/>
                <w:lang w:bidi="ar"/>
              </w:rPr>
              <w:t>分。（</w:t>
            </w:r>
            <w:r>
              <w:rPr>
                <w:rFonts w:hint="eastAsia" w:ascii="仿宋" w:hAnsi="仿宋" w:eastAsia="仿宋" w:cs="仿宋"/>
                <w:color w:val="auto"/>
                <w:szCs w:val="21"/>
                <w:highlight w:val="none"/>
              </w:rPr>
              <w:t>响应文件中</w:t>
            </w:r>
            <w:r>
              <w:rPr>
                <w:rFonts w:hint="eastAsia" w:ascii="仿宋" w:hAnsi="仿宋" w:eastAsia="仿宋" w:cs="仿宋"/>
                <w:color w:val="auto"/>
                <w:kern w:val="0"/>
                <w:szCs w:val="21"/>
                <w:highlight w:val="none"/>
                <w:lang w:bidi="ar"/>
              </w:rPr>
              <w:t>提供类似业绩证明材料复印件加盖供应商公章，</w:t>
            </w:r>
            <w:r>
              <w:rPr>
                <w:rFonts w:hint="eastAsia" w:ascii="仿宋" w:hAnsi="仿宋" w:eastAsia="仿宋" w:cs="仿宋"/>
                <w:color w:val="auto"/>
                <w:kern w:val="0"/>
                <w:szCs w:val="21"/>
                <w:highlight w:val="none"/>
                <w:lang w:val="en-US" w:eastAsia="zh-CN" w:bidi="ar"/>
              </w:rPr>
              <w:t>未按要求提供的不得分</w:t>
            </w:r>
            <w:r>
              <w:rPr>
                <w:rFonts w:hint="eastAsia" w:ascii="仿宋" w:hAnsi="仿宋" w:eastAsia="仿宋" w:cs="仿宋"/>
                <w:color w:val="auto"/>
                <w:kern w:val="0"/>
                <w:szCs w:val="21"/>
                <w:highlight w:val="none"/>
                <w:lang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6997">
            <w:pPr>
              <w:widowControl/>
              <w:jc w:val="center"/>
              <w:textAlignment w:val="center"/>
              <w:rPr>
                <w:rFonts w:hint="eastAsia" w:ascii="仿宋" w:hAnsi="仿宋" w:eastAsia="仿宋" w:cs="仿宋"/>
                <w:color w:val="auto"/>
                <w:szCs w:val="21"/>
                <w:highlight w:val="none"/>
              </w:rPr>
            </w:pPr>
          </w:p>
        </w:tc>
      </w:tr>
      <w:tr w14:paraId="06C5D61F">
        <w:tblPrEx>
          <w:tblCellMar>
            <w:top w:w="0" w:type="dxa"/>
            <w:left w:w="108" w:type="dxa"/>
            <w:bottom w:w="0" w:type="dxa"/>
            <w:right w:w="108" w:type="dxa"/>
          </w:tblCellMar>
        </w:tblPrEx>
        <w:trPr>
          <w:trHeight w:val="609" w:hRule="atLeast"/>
        </w:trPr>
        <w:tc>
          <w:tcPr>
            <w:tcW w:w="10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BEF331">
            <w:pPr>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合计总分：1+2+3</w:t>
            </w:r>
          </w:p>
        </w:tc>
      </w:tr>
    </w:tbl>
    <w:p w14:paraId="378AD266">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6.评审依据：磋商小组将以磋商响应文件为评审依据，对供应商的报价、技术、商务等方面内容按百分制打分。（计分方法按四舍五入取至百分位）</w:t>
      </w:r>
    </w:p>
    <w:p w14:paraId="01B64D6E">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7.1每分标由磋商小组根据综合评分情况，按照评审得分由高到低顺序推荐3名成交候选供应商，并编写评审报告，</w:t>
      </w:r>
      <w:r>
        <w:rPr>
          <w:rFonts w:hint="eastAsia" w:ascii="仿宋" w:hAnsi="仿宋" w:eastAsia="仿宋" w:cs="仿宋"/>
          <w:color w:val="auto"/>
          <w:highlight w:val="none"/>
        </w:rPr>
        <w:t>评审报告通过电子交易平台向采购人、采购代理机构提交。</w:t>
      </w:r>
      <w:r>
        <w:rPr>
          <w:rFonts w:hint="eastAsia" w:ascii="仿宋" w:hAnsi="仿宋" w:eastAsia="仿宋" w:cs="仿宋"/>
          <w:bCs/>
          <w:color w:val="auto"/>
          <w:szCs w:val="21"/>
          <w:highlight w:val="none"/>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745E22E3">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7.2本项目分为</w:t>
      </w:r>
      <w:r>
        <w:rPr>
          <w:rFonts w:hint="eastAsia" w:ascii="仿宋" w:hAnsi="仿宋" w:eastAsia="仿宋" w:cs="仿宋"/>
          <w:b/>
          <w:color w:val="auto"/>
          <w:szCs w:val="21"/>
          <w:highlight w:val="none"/>
          <w:lang w:val="en-US" w:eastAsia="zh-CN"/>
        </w:rPr>
        <w:t>1</w:t>
      </w:r>
      <w:r>
        <w:rPr>
          <w:rFonts w:hint="eastAsia" w:ascii="仿宋" w:hAnsi="仿宋" w:eastAsia="仿宋" w:cs="仿宋"/>
          <w:b/>
          <w:color w:val="auto"/>
          <w:szCs w:val="21"/>
          <w:highlight w:val="none"/>
        </w:rPr>
        <w:t>分标、</w:t>
      </w: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rPr>
        <w:t>分标共</w:t>
      </w: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rPr>
        <w:t>个分标，一个供应商可同时投多个分标，</w:t>
      </w:r>
      <w:r>
        <w:rPr>
          <w:rFonts w:hint="eastAsia" w:ascii="仿宋" w:hAnsi="仿宋" w:eastAsia="仿宋" w:cs="仿宋"/>
          <w:b/>
          <w:color w:val="auto"/>
          <w:szCs w:val="21"/>
          <w:highlight w:val="none"/>
          <w:lang w:val="en-US" w:eastAsia="zh-CN"/>
        </w:rPr>
        <w:t>也可以</w:t>
      </w:r>
      <w:r>
        <w:rPr>
          <w:rFonts w:hint="eastAsia" w:ascii="仿宋" w:hAnsi="仿宋" w:eastAsia="仿宋" w:cs="仿宋"/>
          <w:b/>
          <w:color w:val="auto"/>
          <w:szCs w:val="21"/>
          <w:highlight w:val="none"/>
        </w:rPr>
        <w:t>成为</w:t>
      </w:r>
      <w:r>
        <w:rPr>
          <w:rFonts w:hint="eastAsia" w:ascii="仿宋" w:hAnsi="仿宋" w:eastAsia="仿宋" w:cs="仿宋"/>
          <w:b/>
          <w:color w:val="auto"/>
          <w:szCs w:val="21"/>
          <w:highlight w:val="none"/>
          <w:lang w:val="en-US" w:eastAsia="zh-CN"/>
        </w:rPr>
        <w:t>两</w:t>
      </w:r>
      <w:r>
        <w:rPr>
          <w:rFonts w:hint="eastAsia" w:ascii="仿宋" w:hAnsi="仿宋" w:eastAsia="仿宋" w:cs="仿宋"/>
          <w:b/>
          <w:color w:val="auto"/>
          <w:szCs w:val="21"/>
          <w:highlight w:val="none"/>
        </w:rPr>
        <w:t>个分标的成交供应商。评标时按A分标、B分标先后顺序进行评审。</w:t>
      </w:r>
    </w:p>
    <w:p w14:paraId="77F9B21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br w:type="page"/>
      </w:r>
    </w:p>
    <w:p w14:paraId="4BA240FE">
      <w:pPr>
        <w:rPr>
          <w:rFonts w:hint="eastAsia" w:ascii="仿宋" w:hAnsi="仿宋" w:eastAsia="仿宋" w:cs="仿宋"/>
          <w:color w:val="auto"/>
          <w:highlight w:val="none"/>
        </w:rPr>
      </w:pPr>
    </w:p>
    <w:p w14:paraId="6A8D9154">
      <w:pPr>
        <w:rPr>
          <w:rFonts w:hint="eastAsia" w:ascii="仿宋" w:hAnsi="仿宋" w:eastAsia="仿宋" w:cs="仿宋"/>
          <w:color w:val="auto"/>
          <w:highlight w:val="none"/>
        </w:rPr>
      </w:pPr>
    </w:p>
    <w:p w14:paraId="1313F020">
      <w:pPr>
        <w:rPr>
          <w:rFonts w:hint="eastAsia" w:ascii="仿宋" w:hAnsi="仿宋" w:eastAsia="仿宋" w:cs="仿宋"/>
          <w:color w:val="auto"/>
          <w:highlight w:val="none"/>
        </w:rPr>
      </w:pPr>
    </w:p>
    <w:p w14:paraId="1CB53A2B">
      <w:pPr>
        <w:rPr>
          <w:rFonts w:hint="eastAsia" w:ascii="仿宋" w:hAnsi="仿宋" w:eastAsia="仿宋" w:cs="仿宋"/>
          <w:color w:val="auto"/>
          <w:highlight w:val="none"/>
        </w:rPr>
      </w:pPr>
    </w:p>
    <w:p w14:paraId="38637CC6">
      <w:pPr>
        <w:rPr>
          <w:rFonts w:hint="eastAsia" w:ascii="仿宋" w:hAnsi="仿宋" w:eastAsia="仿宋" w:cs="仿宋"/>
          <w:color w:val="auto"/>
          <w:highlight w:val="none"/>
        </w:rPr>
      </w:pPr>
    </w:p>
    <w:p w14:paraId="42292F72">
      <w:pPr>
        <w:rPr>
          <w:rFonts w:hint="eastAsia" w:ascii="仿宋" w:hAnsi="仿宋" w:eastAsia="仿宋" w:cs="仿宋"/>
          <w:color w:val="auto"/>
          <w:highlight w:val="none"/>
        </w:rPr>
      </w:pPr>
    </w:p>
    <w:p w14:paraId="716D5D97">
      <w:pPr>
        <w:rPr>
          <w:rFonts w:hint="eastAsia" w:ascii="仿宋" w:hAnsi="仿宋" w:eastAsia="仿宋" w:cs="仿宋"/>
          <w:color w:val="auto"/>
          <w:highlight w:val="none"/>
        </w:rPr>
      </w:pPr>
    </w:p>
    <w:p w14:paraId="5F53BA47">
      <w:pPr>
        <w:rPr>
          <w:rFonts w:hint="eastAsia" w:ascii="仿宋" w:hAnsi="仿宋" w:eastAsia="仿宋" w:cs="仿宋"/>
          <w:color w:val="auto"/>
          <w:highlight w:val="none"/>
        </w:rPr>
      </w:pPr>
    </w:p>
    <w:p w14:paraId="2A0D3DEA">
      <w:pPr>
        <w:rPr>
          <w:rFonts w:hint="eastAsia" w:ascii="仿宋" w:hAnsi="仿宋" w:eastAsia="仿宋" w:cs="仿宋"/>
          <w:color w:val="auto"/>
          <w:highlight w:val="none"/>
        </w:rPr>
      </w:pPr>
    </w:p>
    <w:p w14:paraId="73C6B279">
      <w:pPr>
        <w:rPr>
          <w:rFonts w:hint="eastAsia" w:ascii="仿宋" w:hAnsi="仿宋" w:eastAsia="仿宋" w:cs="仿宋"/>
          <w:color w:val="auto"/>
          <w:highlight w:val="none"/>
        </w:rPr>
      </w:pPr>
    </w:p>
    <w:p w14:paraId="35CE3B87">
      <w:pPr>
        <w:rPr>
          <w:rFonts w:hint="eastAsia" w:ascii="仿宋" w:hAnsi="仿宋" w:eastAsia="仿宋" w:cs="仿宋"/>
          <w:color w:val="auto"/>
          <w:highlight w:val="none"/>
        </w:rPr>
      </w:pPr>
    </w:p>
    <w:p w14:paraId="61DBED2E">
      <w:pPr>
        <w:rPr>
          <w:rFonts w:hint="eastAsia" w:ascii="仿宋" w:hAnsi="仿宋" w:eastAsia="仿宋" w:cs="仿宋"/>
          <w:color w:val="auto"/>
          <w:highlight w:val="none"/>
        </w:rPr>
      </w:pPr>
    </w:p>
    <w:p w14:paraId="4C2E27AF">
      <w:pPr>
        <w:rPr>
          <w:rFonts w:hint="eastAsia" w:ascii="仿宋" w:hAnsi="仿宋" w:eastAsia="仿宋" w:cs="仿宋"/>
          <w:color w:val="auto"/>
          <w:highlight w:val="none"/>
        </w:rPr>
      </w:pPr>
    </w:p>
    <w:p w14:paraId="28EF4BD7">
      <w:pPr>
        <w:pStyle w:val="2"/>
        <w:jc w:val="center"/>
        <w:rPr>
          <w:rFonts w:hint="eastAsia" w:ascii="仿宋" w:hAnsi="仿宋" w:eastAsia="仿宋" w:cs="仿宋"/>
          <w:color w:val="auto"/>
          <w:highlight w:val="none"/>
        </w:rPr>
      </w:pPr>
      <w:bookmarkStart w:id="73" w:name="_Toc151675540"/>
      <w:r>
        <w:rPr>
          <w:rFonts w:hint="eastAsia" w:ascii="仿宋" w:hAnsi="仿宋" w:eastAsia="仿宋" w:cs="仿宋"/>
          <w:color w:val="auto"/>
          <w:highlight w:val="none"/>
        </w:rPr>
        <w:t>第五章  响应文件格式</w:t>
      </w:r>
      <w:bookmarkEnd w:id="73"/>
    </w:p>
    <w:p w14:paraId="7949461D">
      <w:pPr>
        <w:spacing w:line="240" w:lineRule="atLeast"/>
        <w:rPr>
          <w:rFonts w:hint="eastAsia" w:ascii="仿宋" w:hAnsi="仿宋" w:eastAsia="仿宋" w:cs="仿宋"/>
          <w:b/>
          <w:color w:val="auto"/>
          <w:sz w:val="32"/>
          <w:szCs w:val="32"/>
          <w:highlight w:val="none"/>
        </w:rPr>
      </w:pPr>
    </w:p>
    <w:p w14:paraId="5D88E433">
      <w:pPr>
        <w:spacing w:line="240" w:lineRule="atLeast"/>
        <w:rPr>
          <w:rFonts w:hint="eastAsia" w:ascii="仿宋" w:hAnsi="仿宋" w:eastAsia="仿宋" w:cs="仿宋"/>
          <w:b/>
          <w:color w:val="auto"/>
          <w:sz w:val="32"/>
          <w:szCs w:val="32"/>
          <w:highlight w:val="none"/>
        </w:rPr>
      </w:pPr>
    </w:p>
    <w:p w14:paraId="2A25D7A6">
      <w:pPr>
        <w:spacing w:line="240" w:lineRule="atLeast"/>
        <w:rPr>
          <w:rFonts w:hint="eastAsia" w:ascii="仿宋" w:hAnsi="仿宋" w:eastAsia="仿宋" w:cs="仿宋"/>
          <w:b/>
          <w:color w:val="auto"/>
          <w:sz w:val="32"/>
          <w:szCs w:val="32"/>
          <w:highlight w:val="none"/>
        </w:rPr>
      </w:pPr>
    </w:p>
    <w:p w14:paraId="4B538201">
      <w:pPr>
        <w:spacing w:line="240" w:lineRule="atLeast"/>
        <w:rPr>
          <w:rFonts w:hint="eastAsia" w:ascii="仿宋" w:hAnsi="仿宋" w:eastAsia="仿宋" w:cs="仿宋"/>
          <w:b/>
          <w:color w:val="auto"/>
          <w:sz w:val="32"/>
          <w:szCs w:val="32"/>
          <w:highlight w:val="none"/>
        </w:rPr>
      </w:pPr>
    </w:p>
    <w:p w14:paraId="3E01B5DF">
      <w:pPr>
        <w:spacing w:line="240" w:lineRule="atLeast"/>
        <w:rPr>
          <w:rFonts w:hint="eastAsia" w:ascii="仿宋" w:hAnsi="仿宋" w:eastAsia="仿宋" w:cs="仿宋"/>
          <w:b/>
          <w:color w:val="auto"/>
          <w:sz w:val="32"/>
          <w:szCs w:val="32"/>
          <w:highlight w:val="none"/>
        </w:rPr>
      </w:pPr>
    </w:p>
    <w:p w14:paraId="1D66526A">
      <w:pPr>
        <w:spacing w:line="240" w:lineRule="atLeast"/>
        <w:rPr>
          <w:rFonts w:hint="eastAsia" w:ascii="仿宋" w:hAnsi="仿宋" w:eastAsia="仿宋" w:cs="仿宋"/>
          <w:b/>
          <w:color w:val="auto"/>
          <w:sz w:val="32"/>
          <w:szCs w:val="32"/>
          <w:highlight w:val="none"/>
        </w:rPr>
      </w:pPr>
    </w:p>
    <w:p w14:paraId="315E3CED">
      <w:pPr>
        <w:spacing w:line="240" w:lineRule="atLeast"/>
        <w:rPr>
          <w:rFonts w:hint="eastAsia" w:ascii="仿宋" w:hAnsi="仿宋" w:eastAsia="仿宋" w:cs="仿宋"/>
          <w:b/>
          <w:color w:val="auto"/>
          <w:sz w:val="32"/>
          <w:szCs w:val="32"/>
          <w:highlight w:val="none"/>
        </w:rPr>
      </w:pPr>
    </w:p>
    <w:p w14:paraId="3D12156A">
      <w:pPr>
        <w:spacing w:line="240" w:lineRule="atLeast"/>
        <w:rPr>
          <w:rFonts w:hint="eastAsia" w:ascii="仿宋" w:hAnsi="仿宋" w:eastAsia="仿宋" w:cs="仿宋"/>
          <w:b/>
          <w:color w:val="auto"/>
          <w:sz w:val="32"/>
          <w:szCs w:val="32"/>
          <w:highlight w:val="none"/>
        </w:rPr>
      </w:pPr>
    </w:p>
    <w:p w14:paraId="05E13BDE">
      <w:pPr>
        <w:spacing w:line="240" w:lineRule="atLeast"/>
        <w:rPr>
          <w:rFonts w:hint="eastAsia" w:ascii="仿宋" w:hAnsi="仿宋" w:eastAsia="仿宋" w:cs="仿宋"/>
          <w:b/>
          <w:color w:val="auto"/>
          <w:sz w:val="32"/>
          <w:szCs w:val="32"/>
          <w:highlight w:val="none"/>
        </w:rPr>
      </w:pPr>
    </w:p>
    <w:p w14:paraId="5BB665F5">
      <w:pPr>
        <w:spacing w:line="240" w:lineRule="atLeast"/>
        <w:rPr>
          <w:rFonts w:hint="eastAsia" w:ascii="仿宋" w:hAnsi="仿宋" w:eastAsia="仿宋" w:cs="仿宋"/>
          <w:b/>
          <w:color w:val="auto"/>
          <w:sz w:val="32"/>
          <w:szCs w:val="32"/>
          <w:highlight w:val="none"/>
        </w:rPr>
      </w:pPr>
    </w:p>
    <w:p w14:paraId="1102619A">
      <w:pPr>
        <w:spacing w:line="240" w:lineRule="atLeast"/>
        <w:rPr>
          <w:rFonts w:hint="eastAsia" w:ascii="仿宋" w:hAnsi="仿宋" w:eastAsia="仿宋" w:cs="仿宋"/>
          <w:b/>
          <w:color w:val="auto"/>
          <w:sz w:val="32"/>
          <w:szCs w:val="32"/>
          <w:highlight w:val="none"/>
        </w:rPr>
      </w:pPr>
    </w:p>
    <w:p w14:paraId="23D86D58">
      <w:pPr>
        <w:rPr>
          <w:rFonts w:hint="eastAsia" w:ascii="仿宋" w:hAnsi="仿宋" w:eastAsia="仿宋" w:cs="仿宋"/>
          <w:color w:val="auto"/>
          <w:highlight w:val="none"/>
        </w:rPr>
      </w:pPr>
    </w:p>
    <w:p w14:paraId="12F33689">
      <w:pPr>
        <w:rPr>
          <w:rFonts w:hint="eastAsia" w:ascii="仿宋" w:hAnsi="仿宋" w:eastAsia="仿宋" w:cs="仿宋"/>
          <w:color w:val="auto"/>
          <w:highlight w:val="none"/>
        </w:rPr>
      </w:pPr>
    </w:p>
    <w:p w14:paraId="25C9D86A">
      <w:pPr>
        <w:snapToGrid w:val="0"/>
        <w:spacing w:before="156" w:beforeLines="50" w:after="50"/>
        <w:jc w:val="center"/>
        <w:rPr>
          <w:rFonts w:hint="eastAsia" w:ascii="仿宋" w:hAnsi="仿宋" w:eastAsia="仿宋" w:cs="仿宋"/>
          <w:bCs/>
          <w:color w:val="auto"/>
          <w:sz w:val="32"/>
          <w:szCs w:val="32"/>
          <w:highlight w:val="none"/>
        </w:rPr>
      </w:pPr>
    </w:p>
    <w:p w14:paraId="28898F1F">
      <w:pPr>
        <w:snapToGrid w:val="0"/>
        <w:spacing w:before="156" w:beforeLines="50" w:after="50"/>
        <w:jc w:val="center"/>
        <w:rPr>
          <w:rFonts w:hint="eastAsia" w:ascii="仿宋" w:hAnsi="仿宋" w:eastAsia="仿宋" w:cs="仿宋"/>
          <w:bCs/>
          <w:color w:val="auto"/>
          <w:sz w:val="32"/>
          <w:szCs w:val="32"/>
          <w:highlight w:val="none"/>
        </w:rPr>
      </w:pPr>
    </w:p>
    <w:p w14:paraId="677870CE">
      <w:pPr>
        <w:rPr>
          <w:rFonts w:hint="eastAsia" w:ascii="仿宋" w:hAnsi="仿宋" w:eastAsia="仿宋" w:cs="仿宋"/>
          <w:b/>
          <w:color w:val="auto"/>
          <w:sz w:val="32"/>
          <w:szCs w:val="32"/>
          <w:highlight w:val="none"/>
        </w:rPr>
      </w:pPr>
      <w:bookmarkStart w:id="74" w:name="_Toc35611516"/>
      <w:bookmarkStart w:id="75" w:name="_Toc44229899"/>
      <w:bookmarkStart w:id="76" w:name="_Toc35611438"/>
      <w:bookmarkStart w:id="77" w:name="_Toc31728084"/>
      <w:bookmarkStart w:id="78" w:name="_Toc71366186"/>
      <w:bookmarkStart w:id="79" w:name="_Toc31723070"/>
      <w:r>
        <w:rPr>
          <w:rFonts w:hint="eastAsia" w:ascii="仿宋" w:hAnsi="仿宋" w:eastAsia="仿宋" w:cs="仿宋"/>
          <w:b/>
          <w:color w:val="auto"/>
          <w:sz w:val="32"/>
          <w:szCs w:val="32"/>
          <w:highlight w:val="none"/>
        </w:rPr>
        <w:t>一、资格证明文件格式</w:t>
      </w:r>
      <w:bookmarkEnd w:id="74"/>
      <w:bookmarkEnd w:id="75"/>
      <w:bookmarkEnd w:id="76"/>
      <w:bookmarkEnd w:id="77"/>
      <w:bookmarkEnd w:id="78"/>
      <w:bookmarkEnd w:id="79"/>
    </w:p>
    <w:p w14:paraId="163C9EB9">
      <w:pPr>
        <w:snapToGrid w:val="0"/>
        <w:spacing w:before="156" w:beforeLines="50" w:after="5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1.资格证明文件封面格式：</w:t>
      </w:r>
    </w:p>
    <w:p w14:paraId="492C4622">
      <w:pPr>
        <w:snapToGrid w:val="0"/>
        <w:spacing w:before="156" w:beforeLines="50" w:after="50"/>
        <w:jc w:val="center"/>
        <w:rPr>
          <w:rFonts w:hint="eastAsia" w:ascii="仿宋" w:hAnsi="仿宋" w:eastAsia="仿宋" w:cs="仿宋"/>
          <w:color w:val="auto"/>
          <w:sz w:val="44"/>
          <w:szCs w:val="44"/>
          <w:highlight w:val="none"/>
        </w:rPr>
      </w:pPr>
    </w:p>
    <w:p w14:paraId="11D97859">
      <w:pPr>
        <w:snapToGrid w:val="0"/>
        <w:spacing w:before="156" w:beforeLines="50" w:after="50"/>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电子响应文件</w:t>
      </w:r>
    </w:p>
    <w:p w14:paraId="57600694">
      <w:pPr>
        <w:snapToGrid w:val="0"/>
        <w:spacing w:before="156" w:beforeLines="50" w:after="50"/>
        <w:rPr>
          <w:rFonts w:hint="eastAsia" w:ascii="仿宋" w:hAnsi="仿宋" w:eastAsia="仿宋" w:cs="仿宋"/>
          <w:color w:val="auto"/>
          <w:sz w:val="24"/>
          <w:szCs w:val="20"/>
          <w:highlight w:val="none"/>
        </w:rPr>
      </w:pPr>
    </w:p>
    <w:p w14:paraId="20E3DDF6">
      <w:pPr>
        <w:snapToGrid w:val="0"/>
        <w:spacing w:before="156"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资格证明文件</w:t>
      </w:r>
    </w:p>
    <w:p w14:paraId="109176B5">
      <w:pPr>
        <w:snapToGrid w:val="0"/>
        <w:spacing w:before="156" w:beforeLines="50" w:after="50"/>
        <w:rPr>
          <w:rFonts w:hint="eastAsia" w:ascii="仿宋" w:hAnsi="仿宋" w:eastAsia="仿宋" w:cs="仿宋"/>
          <w:bCs/>
          <w:color w:val="auto"/>
          <w:sz w:val="24"/>
          <w:szCs w:val="20"/>
          <w:highlight w:val="none"/>
        </w:rPr>
      </w:pPr>
    </w:p>
    <w:p w14:paraId="5B096A8C">
      <w:pPr>
        <w:snapToGrid w:val="0"/>
        <w:spacing w:before="156" w:beforeLines="50" w:after="50"/>
        <w:rPr>
          <w:rFonts w:hint="eastAsia" w:ascii="仿宋" w:hAnsi="仿宋" w:eastAsia="仿宋" w:cs="仿宋"/>
          <w:bCs/>
          <w:color w:val="auto"/>
          <w:sz w:val="24"/>
          <w:szCs w:val="20"/>
          <w:highlight w:val="none"/>
        </w:rPr>
      </w:pPr>
    </w:p>
    <w:p w14:paraId="6A497946">
      <w:pPr>
        <w:snapToGrid w:val="0"/>
        <w:spacing w:before="156" w:beforeLines="50" w:after="50"/>
        <w:rPr>
          <w:rFonts w:hint="eastAsia" w:ascii="仿宋" w:hAnsi="仿宋" w:eastAsia="仿宋" w:cs="仿宋"/>
          <w:bCs/>
          <w:color w:val="auto"/>
          <w:sz w:val="24"/>
          <w:szCs w:val="20"/>
          <w:highlight w:val="none"/>
        </w:rPr>
      </w:pPr>
    </w:p>
    <w:p w14:paraId="076E1872">
      <w:pPr>
        <w:snapToGrid w:val="0"/>
        <w:spacing w:before="156" w:beforeLines="50" w:after="50"/>
        <w:rPr>
          <w:rFonts w:hint="eastAsia" w:ascii="仿宋" w:hAnsi="仿宋" w:eastAsia="仿宋" w:cs="仿宋"/>
          <w:bCs/>
          <w:color w:val="auto"/>
          <w:sz w:val="24"/>
          <w:szCs w:val="20"/>
          <w:highlight w:val="none"/>
        </w:rPr>
      </w:pPr>
    </w:p>
    <w:p w14:paraId="65A01892">
      <w:pPr>
        <w:snapToGrid w:val="0"/>
        <w:spacing w:before="156" w:beforeLines="50" w:after="50"/>
        <w:rPr>
          <w:rFonts w:hint="eastAsia" w:ascii="仿宋" w:hAnsi="仿宋" w:eastAsia="仿宋" w:cs="仿宋"/>
          <w:bCs/>
          <w:color w:val="auto"/>
          <w:sz w:val="24"/>
          <w:szCs w:val="20"/>
          <w:highlight w:val="none"/>
        </w:rPr>
      </w:pPr>
    </w:p>
    <w:p w14:paraId="6D2B2217">
      <w:pPr>
        <w:snapToGrid w:val="0"/>
        <w:spacing w:before="156"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0AAB2AF6">
      <w:pPr>
        <w:snapToGrid w:val="0"/>
        <w:spacing w:before="156" w:beforeLines="50" w:after="50"/>
        <w:ind w:firstLine="720" w:firstLineChars="225"/>
        <w:rPr>
          <w:rFonts w:hint="eastAsia" w:ascii="仿宋" w:hAnsi="仿宋" w:eastAsia="仿宋" w:cs="仿宋"/>
          <w:bCs/>
          <w:color w:val="auto"/>
          <w:sz w:val="32"/>
          <w:szCs w:val="32"/>
          <w:highlight w:val="none"/>
        </w:rPr>
      </w:pPr>
    </w:p>
    <w:p w14:paraId="2F9D969D">
      <w:pPr>
        <w:snapToGrid w:val="0"/>
        <w:spacing w:before="156"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08DAB962">
      <w:pPr>
        <w:snapToGrid w:val="0"/>
        <w:spacing w:before="156" w:beforeLines="50" w:after="50"/>
        <w:ind w:firstLine="720" w:firstLineChars="225"/>
        <w:rPr>
          <w:rFonts w:hint="eastAsia" w:ascii="仿宋" w:hAnsi="仿宋" w:eastAsia="仿宋" w:cs="仿宋"/>
          <w:bCs/>
          <w:color w:val="auto"/>
          <w:sz w:val="32"/>
          <w:szCs w:val="32"/>
          <w:highlight w:val="none"/>
        </w:rPr>
      </w:pPr>
    </w:p>
    <w:p w14:paraId="70D592FC">
      <w:pPr>
        <w:snapToGrid w:val="0"/>
        <w:spacing w:before="156"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所竞分标（如有则填写，无分标时填写“无”或者留空）：</w:t>
      </w:r>
    </w:p>
    <w:p w14:paraId="5E24778E">
      <w:pPr>
        <w:snapToGrid w:val="0"/>
        <w:spacing w:before="156" w:beforeLines="50" w:after="50"/>
        <w:ind w:firstLine="720" w:firstLineChars="225"/>
        <w:rPr>
          <w:rFonts w:hint="eastAsia" w:ascii="仿宋" w:hAnsi="仿宋" w:eastAsia="仿宋" w:cs="仿宋"/>
          <w:bCs/>
          <w:color w:val="auto"/>
          <w:sz w:val="32"/>
          <w:szCs w:val="32"/>
          <w:highlight w:val="none"/>
        </w:rPr>
      </w:pPr>
    </w:p>
    <w:p w14:paraId="0173567C">
      <w:pPr>
        <w:pStyle w:val="7"/>
        <w:snapToGrid w:val="0"/>
        <w:spacing w:before="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4BAFFB03">
      <w:pPr>
        <w:snapToGrid w:val="0"/>
        <w:spacing w:before="156" w:beforeLines="50" w:after="50"/>
        <w:ind w:firstLine="640" w:firstLineChars="200"/>
        <w:rPr>
          <w:rFonts w:hint="eastAsia" w:ascii="仿宋" w:hAnsi="仿宋" w:eastAsia="仿宋" w:cs="仿宋"/>
          <w:bCs/>
          <w:color w:val="auto"/>
          <w:sz w:val="32"/>
          <w:szCs w:val="32"/>
          <w:highlight w:val="none"/>
        </w:rPr>
      </w:pPr>
    </w:p>
    <w:p w14:paraId="46E6ABD3">
      <w:pPr>
        <w:pStyle w:val="7"/>
        <w:snapToGrid w:val="0"/>
        <w:spacing w:before="50" w:after="50"/>
        <w:ind w:firstLine="720" w:firstLineChars="225"/>
        <w:rPr>
          <w:rFonts w:hint="eastAsia" w:ascii="仿宋" w:hAnsi="仿宋" w:eastAsia="仿宋" w:cs="仿宋"/>
          <w:bCs/>
          <w:color w:val="auto"/>
          <w:sz w:val="32"/>
          <w:szCs w:val="32"/>
          <w:highlight w:val="none"/>
        </w:rPr>
      </w:pPr>
    </w:p>
    <w:p w14:paraId="5E27266F">
      <w:pPr>
        <w:pStyle w:val="7"/>
        <w:snapToGrid w:val="0"/>
        <w:spacing w:before="50" w:after="50"/>
        <w:ind w:firstLine="720" w:firstLineChars="225"/>
        <w:rPr>
          <w:rFonts w:hint="eastAsia" w:ascii="仿宋" w:hAnsi="仿宋" w:eastAsia="仿宋" w:cs="仿宋"/>
          <w:bCs/>
          <w:color w:val="auto"/>
          <w:sz w:val="32"/>
          <w:szCs w:val="32"/>
          <w:highlight w:val="none"/>
        </w:rPr>
      </w:pPr>
    </w:p>
    <w:p w14:paraId="39D52E98">
      <w:pPr>
        <w:pStyle w:val="7"/>
        <w:snapToGrid w:val="0"/>
        <w:spacing w:before="50" w:after="50"/>
        <w:ind w:firstLine="1280" w:firstLineChars="400"/>
        <w:rPr>
          <w:rFonts w:hint="eastAsia" w:ascii="仿宋" w:hAnsi="仿宋" w:eastAsia="仿宋" w:cs="仿宋"/>
          <w:bCs/>
          <w:color w:val="auto"/>
          <w:sz w:val="32"/>
          <w:szCs w:val="32"/>
          <w:highlight w:val="none"/>
        </w:rPr>
      </w:pPr>
    </w:p>
    <w:p w14:paraId="1D609D6E">
      <w:pPr>
        <w:snapToGrid w:val="0"/>
        <w:spacing w:before="156"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w:t>
      </w:r>
    </w:p>
    <w:p w14:paraId="0A4C63D3">
      <w:pPr>
        <w:snapToGrid w:val="0"/>
        <w:spacing w:before="156" w:beforeLines="50" w:after="50" w:line="360" w:lineRule="auto"/>
        <w:ind w:left="142"/>
        <w:jc w:val="left"/>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2.资格证明文件目录</w:t>
      </w:r>
    </w:p>
    <w:p w14:paraId="5ADD5615">
      <w:pPr>
        <w:snapToGrid w:val="0"/>
        <w:spacing w:before="156" w:beforeLines="50" w:after="50" w:line="360" w:lineRule="auto"/>
        <w:ind w:firstLine="64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根据磋商文件规定及供应商提供的材料自行编写目录（部分格式后附）。</w:t>
      </w:r>
    </w:p>
    <w:p w14:paraId="1A49B217">
      <w:pPr>
        <w:snapToGrid w:val="0"/>
        <w:spacing w:before="156" w:beforeLines="50" w:after="50"/>
        <w:rPr>
          <w:rFonts w:hint="eastAsia" w:ascii="仿宋" w:hAnsi="仿宋" w:eastAsia="仿宋" w:cs="仿宋"/>
          <w:color w:val="auto"/>
          <w:sz w:val="24"/>
          <w:szCs w:val="20"/>
          <w:highlight w:val="none"/>
        </w:rPr>
      </w:pPr>
    </w:p>
    <w:p w14:paraId="66B3DE0D">
      <w:pPr>
        <w:spacing w:line="300" w:lineRule="auto"/>
        <w:rPr>
          <w:rFonts w:hint="eastAsia" w:ascii="仿宋" w:hAnsi="仿宋" w:eastAsia="仿宋" w:cs="仿宋"/>
          <w:color w:val="auto"/>
          <w:szCs w:val="21"/>
          <w:highlight w:val="none"/>
        </w:rPr>
      </w:pPr>
    </w:p>
    <w:p w14:paraId="61A9D372">
      <w:pPr>
        <w:spacing w:line="300" w:lineRule="auto"/>
        <w:rPr>
          <w:rFonts w:hint="eastAsia" w:ascii="仿宋" w:hAnsi="仿宋" w:eastAsia="仿宋" w:cs="仿宋"/>
          <w:color w:val="auto"/>
          <w:szCs w:val="21"/>
          <w:highlight w:val="none"/>
        </w:rPr>
      </w:pPr>
    </w:p>
    <w:p w14:paraId="49F6BF62">
      <w:pPr>
        <w:spacing w:line="300" w:lineRule="auto"/>
        <w:rPr>
          <w:rFonts w:hint="eastAsia" w:ascii="仿宋" w:hAnsi="仿宋" w:eastAsia="仿宋" w:cs="仿宋"/>
          <w:color w:val="auto"/>
          <w:szCs w:val="21"/>
          <w:highlight w:val="none"/>
        </w:rPr>
      </w:pPr>
    </w:p>
    <w:p w14:paraId="42EA9A78">
      <w:pPr>
        <w:spacing w:line="300" w:lineRule="auto"/>
        <w:rPr>
          <w:rFonts w:hint="eastAsia" w:ascii="仿宋" w:hAnsi="仿宋" w:eastAsia="仿宋" w:cs="仿宋"/>
          <w:color w:val="auto"/>
          <w:szCs w:val="21"/>
          <w:highlight w:val="none"/>
        </w:rPr>
      </w:pPr>
    </w:p>
    <w:p w14:paraId="01ED5F53">
      <w:pPr>
        <w:spacing w:line="300" w:lineRule="auto"/>
        <w:rPr>
          <w:rFonts w:hint="eastAsia" w:ascii="仿宋" w:hAnsi="仿宋" w:eastAsia="仿宋" w:cs="仿宋"/>
          <w:color w:val="auto"/>
          <w:szCs w:val="21"/>
          <w:highlight w:val="none"/>
        </w:rPr>
      </w:pPr>
    </w:p>
    <w:p w14:paraId="1F17E064">
      <w:pPr>
        <w:spacing w:line="300" w:lineRule="auto"/>
        <w:rPr>
          <w:rFonts w:hint="eastAsia" w:ascii="仿宋" w:hAnsi="仿宋" w:eastAsia="仿宋" w:cs="仿宋"/>
          <w:color w:val="auto"/>
          <w:szCs w:val="21"/>
          <w:highlight w:val="none"/>
        </w:rPr>
      </w:pPr>
    </w:p>
    <w:p w14:paraId="7F8F3F87">
      <w:pPr>
        <w:spacing w:line="300" w:lineRule="auto"/>
        <w:rPr>
          <w:rFonts w:hint="eastAsia" w:ascii="仿宋" w:hAnsi="仿宋" w:eastAsia="仿宋" w:cs="仿宋"/>
          <w:color w:val="auto"/>
          <w:szCs w:val="21"/>
          <w:highlight w:val="none"/>
        </w:rPr>
      </w:pPr>
    </w:p>
    <w:p w14:paraId="23975CC7">
      <w:pPr>
        <w:spacing w:line="300" w:lineRule="auto"/>
        <w:rPr>
          <w:rFonts w:hint="eastAsia" w:ascii="仿宋" w:hAnsi="仿宋" w:eastAsia="仿宋" w:cs="仿宋"/>
          <w:color w:val="auto"/>
          <w:szCs w:val="21"/>
          <w:highlight w:val="none"/>
        </w:rPr>
      </w:pPr>
    </w:p>
    <w:p w14:paraId="69BEBDCE">
      <w:pPr>
        <w:spacing w:line="300" w:lineRule="auto"/>
        <w:rPr>
          <w:rFonts w:hint="eastAsia" w:ascii="仿宋" w:hAnsi="仿宋" w:eastAsia="仿宋" w:cs="仿宋"/>
          <w:color w:val="auto"/>
          <w:szCs w:val="21"/>
          <w:highlight w:val="none"/>
        </w:rPr>
      </w:pPr>
    </w:p>
    <w:p w14:paraId="7F71EBFB">
      <w:pPr>
        <w:spacing w:line="300" w:lineRule="auto"/>
        <w:rPr>
          <w:rFonts w:hint="eastAsia" w:ascii="仿宋" w:hAnsi="仿宋" w:eastAsia="仿宋" w:cs="仿宋"/>
          <w:color w:val="auto"/>
          <w:szCs w:val="21"/>
          <w:highlight w:val="none"/>
        </w:rPr>
      </w:pPr>
    </w:p>
    <w:p w14:paraId="48E4CC52">
      <w:pPr>
        <w:spacing w:line="300" w:lineRule="auto"/>
        <w:rPr>
          <w:rFonts w:hint="eastAsia" w:ascii="仿宋" w:hAnsi="仿宋" w:eastAsia="仿宋" w:cs="仿宋"/>
          <w:color w:val="auto"/>
          <w:szCs w:val="21"/>
          <w:highlight w:val="none"/>
        </w:rPr>
      </w:pPr>
    </w:p>
    <w:p w14:paraId="0D52BA16">
      <w:pPr>
        <w:spacing w:line="300" w:lineRule="auto"/>
        <w:rPr>
          <w:rFonts w:hint="eastAsia" w:ascii="仿宋" w:hAnsi="仿宋" w:eastAsia="仿宋" w:cs="仿宋"/>
          <w:color w:val="auto"/>
          <w:szCs w:val="21"/>
          <w:highlight w:val="none"/>
        </w:rPr>
      </w:pPr>
    </w:p>
    <w:p w14:paraId="47594E17">
      <w:pPr>
        <w:spacing w:line="300" w:lineRule="auto"/>
        <w:rPr>
          <w:rFonts w:hint="eastAsia" w:ascii="仿宋" w:hAnsi="仿宋" w:eastAsia="仿宋" w:cs="仿宋"/>
          <w:color w:val="auto"/>
          <w:szCs w:val="21"/>
          <w:highlight w:val="none"/>
        </w:rPr>
      </w:pPr>
    </w:p>
    <w:p w14:paraId="6FE28492">
      <w:pPr>
        <w:spacing w:line="300" w:lineRule="auto"/>
        <w:rPr>
          <w:rFonts w:hint="eastAsia" w:ascii="仿宋" w:hAnsi="仿宋" w:eastAsia="仿宋" w:cs="仿宋"/>
          <w:color w:val="auto"/>
          <w:szCs w:val="21"/>
          <w:highlight w:val="none"/>
        </w:rPr>
      </w:pPr>
    </w:p>
    <w:p w14:paraId="56F2223B">
      <w:pPr>
        <w:spacing w:line="300" w:lineRule="auto"/>
        <w:rPr>
          <w:rFonts w:hint="eastAsia" w:ascii="仿宋" w:hAnsi="仿宋" w:eastAsia="仿宋" w:cs="仿宋"/>
          <w:color w:val="auto"/>
          <w:szCs w:val="21"/>
          <w:highlight w:val="none"/>
        </w:rPr>
      </w:pPr>
    </w:p>
    <w:p w14:paraId="39A06C6A">
      <w:pPr>
        <w:spacing w:line="32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2D8FC06E">
      <w:pPr>
        <w:pStyle w:val="16"/>
        <w:spacing w:before="150" w:line="219" w:lineRule="auto"/>
        <w:jc w:val="center"/>
        <w:rPr>
          <w:rFonts w:hint="eastAsia" w:ascii="仿宋" w:hAnsi="仿宋" w:eastAsia="仿宋" w:cs="仿宋"/>
          <w:color w:val="auto"/>
          <w:highlight w:val="none"/>
        </w:rPr>
      </w:pPr>
      <w:r>
        <w:rPr>
          <w:rFonts w:hint="eastAsia" w:ascii="仿宋" w:hAnsi="仿宋" w:eastAsia="仿宋" w:cs="仿宋"/>
          <w:b/>
          <w:bCs/>
          <w:color w:val="auto"/>
          <w:spacing w:val="-3"/>
          <w:sz w:val="32"/>
          <w:szCs w:val="32"/>
          <w:highlight w:val="none"/>
        </w:rPr>
        <w:t>贺州市政府采购供应商信用承诺函(格式)</w:t>
      </w:r>
    </w:p>
    <w:p w14:paraId="0463A153">
      <w:pPr>
        <w:spacing w:line="246" w:lineRule="auto"/>
        <w:rPr>
          <w:rFonts w:hint="eastAsia" w:ascii="仿宋" w:hAnsi="仿宋" w:eastAsia="仿宋" w:cs="仿宋"/>
          <w:color w:val="auto"/>
          <w:highlight w:val="none"/>
        </w:rPr>
      </w:pPr>
    </w:p>
    <w:p w14:paraId="4FF24365">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致(采购人或采购代理机构):</w:t>
      </w:r>
    </w:p>
    <w:p w14:paraId="32BE0D48">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p>
    <w:p w14:paraId="732D9F40">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p w14:paraId="58C14423">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供应商地址：</w:t>
      </w:r>
    </w:p>
    <w:p w14:paraId="09978C3A">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09F83F1">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1.我单位具有符合采购文件资格要求独立承担民事责任的能力。</w:t>
      </w:r>
    </w:p>
    <w:p w14:paraId="22FE341E">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2.我单位具有符合采购文件资格要求的财务状况报告。</w:t>
      </w:r>
    </w:p>
    <w:p w14:paraId="20B9448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3.我单位具有符合采购文件资格要求的依法缴纳税收和社会保障记录的良好记录。</w:t>
      </w:r>
    </w:p>
    <w:p w14:paraId="5E7B7DDD">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4.我单位具有符合采购文件资格要求履行合同所必需的设备和专业技术能力。</w:t>
      </w:r>
    </w:p>
    <w:p w14:paraId="7B7C0B46">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0B0566C3">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若我单位承诺不实，自愿承担提供虚假材料谋取中标、成交的法律责任。</w:t>
      </w:r>
    </w:p>
    <w:p w14:paraId="0A3B8A74">
      <w:pPr>
        <w:spacing w:line="360" w:lineRule="auto"/>
        <w:contextualSpacing/>
        <w:jc w:val="left"/>
        <w:rPr>
          <w:rFonts w:hint="eastAsia" w:ascii="仿宋" w:hAnsi="仿宋" w:eastAsia="仿宋" w:cs="仿宋"/>
          <w:color w:val="auto"/>
          <w:szCs w:val="21"/>
          <w:highlight w:val="none"/>
        </w:rPr>
      </w:pPr>
    </w:p>
    <w:p w14:paraId="334D68F8">
      <w:pPr>
        <w:spacing w:line="360" w:lineRule="auto"/>
        <w:contextualSpacing/>
        <w:jc w:val="left"/>
        <w:rPr>
          <w:rFonts w:hint="eastAsia" w:ascii="仿宋" w:hAnsi="仿宋" w:eastAsia="仿宋" w:cs="仿宋"/>
          <w:color w:val="auto"/>
          <w:szCs w:val="21"/>
          <w:highlight w:val="none"/>
        </w:rPr>
      </w:pPr>
    </w:p>
    <w:p w14:paraId="3E35334E">
      <w:pPr>
        <w:spacing w:line="360" w:lineRule="auto"/>
        <w:ind w:right="480"/>
        <w:contextualSpacing/>
        <w:jc w:val="center"/>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法定代表人或者委托代理人（签字或签章）：</w:t>
      </w:r>
      <w:r>
        <w:rPr>
          <w:rFonts w:hint="eastAsia" w:ascii="仿宋" w:hAnsi="仿宋" w:eastAsia="仿宋" w:cs="仿宋"/>
          <w:color w:val="auto"/>
          <w:szCs w:val="21"/>
          <w:highlight w:val="none"/>
          <w:u w:val="single"/>
        </w:rPr>
        <w:t xml:space="preserve">                    </w:t>
      </w:r>
    </w:p>
    <w:p w14:paraId="3FC26FCB">
      <w:pPr>
        <w:spacing w:line="360" w:lineRule="auto"/>
        <w:ind w:right="480" w:firstLine="2625" w:firstLineChars="1250"/>
        <w:contextualSpacing/>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供应商（盖电子公章）： </w:t>
      </w:r>
      <w:r>
        <w:rPr>
          <w:rFonts w:hint="eastAsia" w:ascii="仿宋" w:hAnsi="仿宋" w:eastAsia="仿宋" w:cs="仿宋"/>
          <w:color w:val="auto"/>
          <w:szCs w:val="21"/>
          <w:highlight w:val="none"/>
          <w:u w:val="single"/>
        </w:rPr>
        <w:t xml:space="preserve">                              </w:t>
      </w:r>
    </w:p>
    <w:p w14:paraId="29A64B66">
      <w:pPr>
        <w:spacing w:line="360" w:lineRule="auto"/>
        <w:ind w:right="480" w:firstLine="4620" w:firstLineChars="2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38E4C402">
      <w:pPr>
        <w:spacing w:line="360" w:lineRule="auto"/>
        <w:contextualSpacing/>
        <w:jc w:val="left"/>
        <w:rPr>
          <w:rFonts w:hint="eastAsia" w:ascii="仿宋" w:hAnsi="仿宋" w:eastAsia="仿宋" w:cs="仿宋"/>
          <w:color w:val="auto"/>
          <w:szCs w:val="21"/>
          <w:highlight w:val="none"/>
        </w:rPr>
      </w:pPr>
    </w:p>
    <w:p w14:paraId="3FD0EAD0">
      <w:pPr>
        <w:spacing w:line="360" w:lineRule="auto"/>
        <w:ind w:firstLine="420" w:firstLineChars="200"/>
        <w:contextualSpacing/>
        <w:jc w:val="left"/>
        <w:rPr>
          <w:rFonts w:hint="eastAsia" w:ascii="仿宋" w:hAnsi="仿宋" w:eastAsia="仿宋" w:cs="仿宋"/>
          <w:color w:val="auto"/>
          <w:szCs w:val="21"/>
          <w:highlight w:val="none"/>
        </w:rPr>
      </w:pPr>
    </w:p>
    <w:p w14:paraId="0EB289DF">
      <w:pPr>
        <w:spacing w:line="400" w:lineRule="exact"/>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注：1.供应商须在投标(响应)文件中按此模板提供承诺函，未提供视为未实质性响应招标(采购)文件要求，按无效投标(响应)处理。</w:t>
      </w:r>
    </w:p>
    <w:p w14:paraId="2C0B3A29">
      <w:pPr>
        <w:spacing w:line="44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2.供应商的法定代表人(其他组织的为负责人)或者授权代表的签名或盖章应真实、有效，如由授权代表签名或盖章的，应提供“法定代表人授权书”。</w:t>
      </w:r>
    </w:p>
    <w:p w14:paraId="7B38643B">
      <w:pPr>
        <w:wordWrap w:val="0"/>
        <w:spacing w:before="156" w:beforeLines="50" w:after="50" w:line="320" w:lineRule="exact"/>
        <w:ind w:right="482" w:firstLine="210" w:firstLineChars="100"/>
        <w:contextualSpacing/>
        <w:jc w:val="center"/>
        <w:rPr>
          <w:rFonts w:hint="eastAsia" w:ascii="仿宋" w:hAnsi="仿宋" w:eastAsia="仿宋" w:cs="仿宋"/>
          <w:color w:val="auto"/>
          <w:szCs w:val="21"/>
          <w:highlight w:val="none"/>
        </w:rPr>
      </w:pPr>
    </w:p>
    <w:p w14:paraId="7C3FA9A6">
      <w:pPr>
        <w:spacing w:line="320" w:lineRule="exact"/>
        <w:jc w:val="center"/>
        <w:rPr>
          <w:rFonts w:hint="eastAsia" w:ascii="仿宋" w:hAnsi="仿宋" w:eastAsia="仿宋" w:cs="仿宋"/>
          <w:b/>
          <w:color w:val="auto"/>
          <w:sz w:val="32"/>
          <w:szCs w:val="32"/>
          <w:highlight w:val="none"/>
        </w:rPr>
      </w:pPr>
    </w:p>
    <w:p w14:paraId="66562A48">
      <w:pPr>
        <w:spacing w:line="320" w:lineRule="exact"/>
        <w:jc w:val="center"/>
        <w:rPr>
          <w:rFonts w:hint="eastAsia" w:ascii="仿宋" w:hAnsi="仿宋" w:eastAsia="仿宋" w:cs="仿宋"/>
          <w:b/>
          <w:color w:val="auto"/>
          <w:sz w:val="32"/>
          <w:szCs w:val="32"/>
          <w:highlight w:val="none"/>
        </w:rPr>
      </w:pPr>
    </w:p>
    <w:p w14:paraId="44818746">
      <w:pPr>
        <w:spacing w:line="320" w:lineRule="exact"/>
        <w:jc w:val="center"/>
        <w:rPr>
          <w:rFonts w:hint="eastAsia" w:ascii="仿宋" w:hAnsi="仿宋" w:eastAsia="仿宋" w:cs="仿宋"/>
          <w:b/>
          <w:color w:val="auto"/>
          <w:sz w:val="32"/>
          <w:szCs w:val="32"/>
          <w:highlight w:val="none"/>
        </w:rPr>
      </w:pPr>
    </w:p>
    <w:p w14:paraId="753556E4">
      <w:pPr>
        <w:spacing w:line="320" w:lineRule="exact"/>
        <w:jc w:val="center"/>
        <w:rPr>
          <w:rFonts w:hint="eastAsia" w:ascii="仿宋" w:hAnsi="仿宋" w:eastAsia="仿宋" w:cs="仿宋"/>
          <w:b/>
          <w:color w:val="auto"/>
          <w:sz w:val="32"/>
          <w:szCs w:val="32"/>
          <w:highlight w:val="none"/>
        </w:rPr>
      </w:pPr>
    </w:p>
    <w:p w14:paraId="468E093E">
      <w:pPr>
        <w:spacing w:line="320" w:lineRule="exact"/>
        <w:jc w:val="center"/>
        <w:rPr>
          <w:rFonts w:hint="eastAsia" w:ascii="仿宋" w:hAnsi="仿宋" w:eastAsia="仿宋" w:cs="仿宋"/>
          <w:b/>
          <w:color w:val="auto"/>
          <w:sz w:val="32"/>
          <w:szCs w:val="32"/>
          <w:highlight w:val="none"/>
        </w:rPr>
      </w:pPr>
    </w:p>
    <w:p w14:paraId="0B5D2D29">
      <w:pPr>
        <w:spacing w:line="320" w:lineRule="exact"/>
        <w:jc w:val="center"/>
        <w:rPr>
          <w:rFonts w:hint="eastAsia" w:ascii="仿宋" w:hAnsi="仿宋" w:eastAsia="仿宋" w:cs="仿宋"/>
          <w:b/>
          <w:color w:val="auto"/>
          <w:sz w:val="32"/>
          <w:szCs w:val="32"/>
          <w:highlight w:val="none"/>
        </w:rPr>
      </w:pPr>
    </w:p>
    <w:p w14:paraId="2D4FECE8">
      <w:pPr>
        <w:spacing w:line="32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供应商直接控股、管理关系信息表</w:t>
      </w:r>
    </w:p>
    <w:p w14:paraId="293D043B">
      <w:pPr>
        <w:snapToGrid w:val="0"/>
        <w:spacing w:before="156" w:beforeLines="50" w:after="50" w:line="360" w:lineRule="auto"/>
        <w:jc w:val="center"/>
        <w:rPr>
          <w:rFonts w:hint="eastAsia" w:ascii="仿宋" w:hAnsi="仿宋" w:eastAsia="仿宋" w:cs="仿宋"/>
          <w:b/>
          <w:color w:val="auto"/>
          <w:sz w:val="24"/>
          <w:highlight w:val="none"/>
        </w:rPr>
      </w:pPr>
    </w:p>
    <w:p w14:paraId="19693228">
      <w:pPr>
        <w:spacing w:line="360" w:lineRule="auto"/>
        <w:contextualSpacing/>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供应商直接控股股东信息表</w:t>
      </w:r>
    </w:p>
    <w:p w14:paraId="278D84B7">
      <w:pPr>
        <w:spacing w:line="360" w:lineRule="auto"/>
        <w:contextualSpacing/>
        <w:jc w:val="center"/>
        <w:rPr>
          <w:rFonts w:hint="eastAsia" w:ascii="仿宋" w:hAnsi="仿宋" w:eastAsia="仿宋" w:cs="仿宋"/>
          <w:b/>
          <w:color w:val="auto"/>
          <w:sz w:val="24"/>
          <w:highlight w:val="none"/>
        </w:rPr>
      </w:pPr>
    </w:p>
    <w:tbl>
      <w:tblPr>
        <w:tblStyle w:val="3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3B6AE64">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D85995">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28E7BA">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DAE7C4">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349197">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740D43">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1742667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101CB1">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395900">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3B133B">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82B0D0">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8EA726">
            <w:pPr>
              <w:widowControl/>
              <w:spacing w:line="360" w:lineRule="auto"/>
              <w:contextualSpacing/>
              <w:jc w:val="center"/>
              <w:rPr>
                <w:rFonts w:hint="eastAsia" w:ascii="仿宋" w:hAnsi="仿宋" w:eastAsia="仿宋" w:cs="仿宋"/>
                <w:color w:val="auto"/>
                <w:kern w:val="0"/>
                <w:sz w:val="24"/>
                <w:highlight w:val="none"/>
              </w:rPr>
            </w:pPr>
          </w:p>
        </w:tc>
      </w:tr>
      <w:tr w14:paraId="00E6C0A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767546">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E444F4">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14D9AD">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EFE9D7">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1AA235">
            <w:pPr>
              <w:widowControl/>
              <w:spacing w:line="360" w:lineRule="auto"/>
              <w:contextualSpacing/>
              <w:jc w:val="center"/>
              <w:rPr>
                <w:rFonts w:hint="eastAsia" w:ascii="仿宋" w:hAnsi="仿宋" w:eastAsia="仿宋" w:cs="仿宋"/>
                <w:color w:val="auto"/>
                <w:kern w:val="0"/>
                <w:sz w:val="24"/>
                <w:highlight w:val="none"/>
              </w:rPr>
            </w:pPr>
          </w:p>
        </w:tc>
      </w:tr>
      <w:tr w14:paraId="7382BDB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05F3EA">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06FE46">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185D84">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BE3CD2">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6577A0">
            <w:pPr>
              <w:widowControl/>
              <w:spacing w:line="360" w:lineRule="auto"/>
              <w:contextualSpacing/>
              <w:jc w:val="center"/>
              <w:rPr>
                <w:rFonts w:hint="eastAsia" w:ascii="仿宋" w:hAnsi="仿宋" w:eastAsia="仿宋" w:cs="仿宋"/>
                <w:color w:val="auto"/>
                <w:kern w:val="0"/>
                <w:sz w:val="24"/>
                <w:highlight w:val="none"/>
              </w:rPr>
            </w:pPr>
          </w:p>
        </w:tc>
      </w:tr>
      <w:tr w14:paraId="38E2371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4E464A">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0D9E59">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407DC5">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FDD98D">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A64E65">
            <w:pPr>
              <w:widowControl/>
              <w:spacing w:line="360" w:lineRule="auto"/>
              <w:contextualSpacing/>
              <w:jc w:val="center"/>
              <w:rPr>
                <w:rFonts w:hint="eastAsia" w:ascii="仿宋" w:hAnsi="仿宋" w:eastAsia="仿宋" w:cs="仿宋"/>
                <w:color w:val="auto"/>
                <w:kern w:val="0"/>
                <w:sz w:val="24"/>
                <w:highlight w:val="none"/>
              </w:rPr>
            </w:pPr>
          </w:p>
        </w:tc>
      </w:tr>
    </w:tbl>
    <w:p w14:paraId="32963DE0">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43FD0EA">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32347D5">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2.本表所指的控股关系仅限于直接控股关系，不包括间接的控股关系。公司实际控制人与公司之间的关系不属于本表所指的直接控股关系。</w:t>
      </w:r>
    </w:p>
    <w:p w14:paraId="75FCC4E8">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3.供应商不存在直接控股股东的，则在“直接控股股东名称”填“无”。</w:t>
      </w:r>
    </w:p>
    <w:p w14:paraId="288E5232">
      <w:pPr>
        <w:spacing w:line="360" w:lineRule="auto"/>
        <w:ind w:firstLine="420" w:firstLineChars="200"/>
        <w:contextualSpacing/>
        <w:jc w:val="left"/>
        <w:rPr>
          <w:rFonts w:hint="eastAsia" w:ascii="仿宋" w:hAnsi="仿宋" w:eastAsia="仿宋" w:cs="仿宋"/>
          <w:color w:val="auto"/>
          <w:szCs w:val="21"/>
          <w:highlight w:val="none"/>
        </w:rPr>
      </w:pPr>
    </w:p>
    <w:p w14:paraId="43E8F305">
      <w:pPr>
        <w:spacing w:line="360" w:lineRule="auto"/>
        <w:ind w:firstLine="560" w:firstLineChars="200"/>
        <w:contextualSpacing/>
        <w:jc w:val="left"/>
        <w:rPr>
          <w:rFonts w:hint="eastAsia" w:ascii="仿宋" w:hAnsi="仿宋" w:eastAsia="仿宋" w:cs="仿宋"/>
          <w:color w:val="auto"/>
          <w:sz w:val="28"/>
          <w:szCs w:val="28"/>
          <w:highlight w:val="none"/>
        </w:rPr>
      </w:pPr>
    </w:p>
    <w:p w14:paraId="0730DD5D">
      <w:pPr>
        <w:spacing w:line="360" w:lineRule="auto"/>
        <w:ind w:right="480"/>
        <w:contextualSpacing/>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法定代表人或者委托代理人（签字或者电子签名）：</w:t>
      </w:r>
    </w:p>
    <w:p w14:paraId="43DE07D4">
      <w:pPr>
        <w:spacing w:line="360" w:lineRule="auto"/>
        <w:ind w:right="480" w:firstLine="3360" w:firstLineChars="14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供应商（电子签章）：</w:t>
      </w:r>
    </w:p>
    <w:p w14:paraId="09D69F76">
      <w:pPr>
        <w:spacing w:line="360" w:lineRule="auto"/>
        <w:ind w:firstLine="4320" w:firstLineChars="1800"/>
        <w:contextualSpacing/>
        <w:jc w:val="left"/>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年月日</w:t>
      </w:r>
    </w:p>
    <w:p w14:paraId="07C67DAD">
      <w:pPr>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3C55C96C">
      <w:pPr>
        <w:spacing w:line="32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供应商直接管理关系信息表</w:t>
      </w:r>
    </w:p>
    <w:p w14:paraId="73E6150D">
      <w:pPr>
        <w:snapToGrid w:val="0"/>
        <w:spacing w:line="360" w:lineRule="auto"/>
        <w:jc w:val="center"/>
        <w:rPr>
          <w:rFonts w:hint="eastAsia" w:ascii="仿宋" w:hAnsi="仿宋" w:eastAsia="仿宋" w:cs="仿宋"/>
          <w:b/>
          <w:color w:val="auto"/>
          <w:sz w:val="24"/>
          <w:highlight w:val="none"/>
        </w:rPr>
      </w:pPr>
    </w:p>
    <w:tbl>
      <w:tblPr>
        <w:tblStyle w:val="3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60012B7">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7F2886">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A21507">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BDBD7C">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809CF7">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308F356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C8455A">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9B95D2">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88CDB7">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7C4C03">
            <w:pPr>
              <w:widowControl/>
              <w:spacing w:line="360" w:lineRule="auto"/>
              <w:contextualSpacing/>
              <w:jc w:val="center"/>
              <w:rPr>
                <w:rFonts w:hint="eastAsia" w:ascii="仿宋" w:hAnsi="仿宋" w:eastAsia="仿宋" w:cs="仿宋"/>
                <w:color w:val="auto"/>
                <w:kern w:val="0"/>
                <w:sz w:val="24"/>
                <w:highlight w:val="none"/>
              </w:rPr>
            </w:pPr>
          </w:p>
        </w:tc>
      </w:tr>
      <w:tr w14:paraId="121C478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FDFD8B">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DF153C">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ACEBDB">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4B2681">
            <w:pPr>
              <w:widowControl/>
              <w:spacing w:line="360" w:lineRule="auto"/>
              <w:contextualSpacing/>
              <w:jc w:val="center"/>
              <w:rPr>
                <w:rFonts w:hint="eastAsia" w:ascii="仿宋" w:hAnsi="仿宋" w:eastAsia="仿宋" w:cs="仿宋"/>
                <w:color w:val="auto"/>
                <w:kern w:val="0"/>
                <w:sz w:val="24"/>
                <w:highlight w:val="none"/>
              </w:rPr>
            </w:pPr>
          </w:p>
        </w:tc>
      </w:tr>
      <w:tr w14:paraId="5DFE8BE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F4EE20">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FBE601">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C0EB51">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64DF63">
            <w:pPr>
              <w:widowControl/>
              <w:spacing w:line="360" w:lineRule="auto"/>
              <w:contextualSpacing/>
              <w:jc w:val="center"/>
              <w:rPr>
                <w:rFonts w:hint="eastAsia" w:ascii="仿宋" w:hAnsi="仿宋" w:eastAsia="仿宋" w:cs="仿宋"/>
                <w:color w:val="auto"/>
                <w:kern w:val="0"/>
                <w:sz w:val="24"/>
                <w:highlight w:val="none"/>
              </w:rPr>
            </w:pPr>
          </w:p>
        </w:tc>
      </w:tr>
      <w:tr w14:paraId="68284D5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73476A">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9DAED0">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7CFE87">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08807C">
            <w:pPr>
              <w:widowControl/>
              <w:spacing w:line="360" w:lineRule="auto"/>
              <w:contextualSpacing/>
              <w:jc w:val="center"/>
              <w:rPr>
                <w:rFonts w:hint="eastAsia" w:ascii="仿宋" w:hAnsi="仿宋" w:eastAsia="仿宋" w:cs="仿宋"/>
                <w:color w:val="auto"/>
                <w:kern w:val="0"/>
                <w:sz w:val="24"/>
                <w:highlight w:val="none"/>
              </w:rPr>
            </w:pPr>
          </w:p>
        </w:tc>
      </w:tr>
    </w:tbl>
    <w:p w14:paraId="47B68D72">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AACD602">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1.管理关系：是指不具有出资持股关系的其他单位之间存在的管理与被管理关系，如一些上下级关系的事业单位和团体组织。</w:t>
      </w:r>
    </w:p>
    <w:p w14:paraId="42464573">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6"/>
          <w:sz w:val="24"/>
          <w:highlight w:val="none"/>
        </w:rPr>
        <w:t>本表所指的管理关系仅限于直接管理关系，不包括间接的管理关系。</w:t>
      </w:r>
    </w:p>
    <w:p w14:paraId="43B4B4B1">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3.供应商不存在直接管理关系的，则在“直接管理关系单位名称”填“无”。</w:t>
      </w:r>
    </w:p>
    <w:p w14:paraId="1B6E9467">
      <w:pPr>
        <w:spacing w:line="360" w:lineRule="auto"/>
        <w:contextualSpacing/>
        <w:jc w:val="left"/>
        <w:rPr>
          <w:rFonts w:hint="eastAsia" w:ascii="仿宋" w:hAnsi="仿宋" w:eastAsia="仿宋" w:cs="仿宋"/>
          <w:color w:val="auto"/>
          <w:sz w:val="28"/>
          <w:szCs w:val="28"/>
          <w:highlight w:val="none"/>
        </w:rPr>
      </w:pPr>
    </w:p>
    <w:p w14:paraId="6000A536">
      <w:pPr>
        <w:spacing w:line="360" w:lineRule="auto"/>
        <w:contextualSpacing/>
        <w:jc w:val="left"/>
        <w:rPr>
          <w:rFonts w:hint="eastAsia" w:ascii="仿宋" w:hAnsi="仿宋" w:eastAsia="仿宋" w:cs="仿宋"/>
          <w:color w:val="auto"/>
          <w:sz w:val="28"/>
          <w:szCs w:val="28"/>
          <w:highlight w:val="none"/>
        </w:rPr>
      </w:pPr>
    </w:p>
    <w:p w14:paraId="15A4ADC2">
      <w:pPr>
        <w:spacing w:line="360" w:lineRule="auto"/>
        <w:contextualSpacing/>
        <w:jc w:val="left"/>
        <w:rPr>
          <w:rFonts w:hint="eastAsia" w:ascii="仿宋" w:hAnsi="仿宋" w:eastAsia="仿宋" w:cs="仿宋"/>
          <w:color w:val="auto"/>
          <w:sz w:val="28"/>
          <w:szCs w:val="28"/>
          <w:highlight w:val="none"/>
        </w:rPr>
      </w:pPr>
    </w:p>
    <w:p w14:paraId="21D8A552">
      <w:pPr>
        <w:spacing w:line="360" w:lineRule="auto"/>
        <w:contextualSpacing/>
        <w:jc w:val="left"/>
        <w:rPr>
          <w:rFonts w:hint="eastAsia" w:ascii="仿宋" w:hAnsi="仿宋" w:eastAsia="仿宋" w:cs="仿宋"/>
          <w:color w:val="auto"/>
          <w:sz w:val="28"/>
          <w:szCs w:val="28"/>
          <w:highlight w:val="none"/>
        </w:rPr>
      </w:pPr>
    </w:p>
    <w:p w14:paraId="692D8DA9">
      <w:pPr>
        <w:spacing w:line="360" w:lineRule="auto"/>
        <w:contextualSpacing/>
        <w:jc w:val="left"/>
        <w:rPr>
          <w:rFonts w:hint="eastAsia" w:ascii="仿宋" w:hAnsi="仿宋" w:eastAsia="仿宋" w:cs="仿宋"/>
          <w:color w:val="auto"/>
          <w:sz w:val="28"/>
          <w:szCs w:val="28"/>
          <w:highlight w:val="none"/>
        </w:rPr>
      </w:pPr>
    </w:p>
    <w:p w14:paraId="73D69772">
      <w:pPr>
        <w:spacing w:line="360" w:lineRule="auto"/>
        <w:contextualSpacing/>
        <w:jc w:val="left"/>
        <w:rPr>
          <w:rFonts w:hint="eastAsia" w:ascii="仿宋" w:hAnsi="仿宋" w:eastAsia="仿宋" w:cs="仿宋"/>
          <w:color w:val="auto"/>
          <w:sz w:val="28"/>
          <w:szCs w:val="28"/>
          <w:highlight w:val="none"/>
        </w:rPr>
      </w:pPr>
    </w:p>
    <w:p w14:paraId="58F6F23B">
      <w:pPr>
        <w:spacing w:line="360" w:lineRule="auto"/>
        <w:ind w:right="480"/>
        <w:contextualSpacing/>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法定代表人或者委托代理人（签字或者电子签名）：</w:t>
      </w:r>
    </w:p>
    <w:p w14:paraId="2A3A1E99">
      <w:pPr>
        <w:spacing w:line="360" w:lineRule="auto"/>
        <w:ind w:right="480" w:firstLine="3360" w:firstLineChars="14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供应商（电子签章）：</w:t>
      </w:r>
    </w:p>
    <w:p w14:paraId="0D98FD46">
      <w:pPr>
        <w:spacing w:line="360" w:lineRule="auto"/>
        <w:ind w:firstLine="4320" w:firstLineChars="1800"/>
        <w:contextualSpacing/>
        <w:jc w:val="left"/>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年月日</w:t>
      </w:r>
    </w:p>
    <w:p w14:paraId="24609FFD">
      <w:pPr>
        <w:spacing w:line="320" w:lineRule="exact"/>
        <w:jc w:val="center"/>
        <w:rPr>
          <w:rFonts w:hint="eastAsia" w:ascii="仿宋" w:hAnsi="仿宋" w:eastAsia="仿宋" w:cs="仿宋"/>
          <w:b/>
          <w:color w:val="auto"/>
          <w:sz w:val="32"/>
          <w:szCs w:val="32"/>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z w:val="32"/>
          <w:szCs w:val="32"/>
          <w:highlight w:val="none"/>
        </w:rPr>
        <w:t>竞标声明</w:t>
      </w:r>
    </w:p>
    <w:p w14:paraId="6B357E6D">
      <w:pPr>
        <w:spacing w:line="320" w:lineRule="exact"/>
        <w:jc w:val="center"/>
        <w:rPr>
          <w:rFonts w:hint="eastAsia" w:ascii="仿宋" w:hAnsi="仿宋" w:eastAsia="仿宋" w:cs="仿宋"/>
          <w:color w:val="auto"/>
          <w:sz w:val="24"/>
          <w:szCs w:val="20"/>
          <w:highlight w:val="none"/>
        </w:rPr>
      </w:pPr>
    </w:p>
    <w:p w14:paraId="1ABFDF0F">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63971ED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系中华人民共和国合法供应商，经营地址。</w:t>
      </w:r>
    </w:p>
    <w:p w14:paraId="4DF9B8E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项目的竞标，为便于贵方公正、择优地确定成交供应商及其竞标产品和服务，我方就本次竞标有关事项郑重声明如下：</w:t>
      </w:r>
    </w:p>
    <w:p w14:paraId="10D0283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0D6BA31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w:t>
      </w:r>
    </w:p>
    <w:p w14:paraId="0E5E927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74BE3EF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（1）将按磋商文件的约定履行合同责任和义务；</w:t>
      </w:r>
    </w:p>
    <w:p w14:paraId="33B54E8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（2）已详细审查全部磋商文件，包括澄清或者更正公告（如有）；</w:t>
      </w:r>
    </w:p>
    <w:p w14:paraId="4B0FB23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（3）同意提供按照贵方可能要求的与磋商有关的一切数据或者资料；</w:t>
      </w:r>
    </w:p>
    <w:p w14:paraId="056E09A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（4）响应磋商文件规定的竞标有效期。</w:t>
      </w:r>
    </w:p>
    <w:p w14:paraId="34B1520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5FFFD1F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0AD2F8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34968E7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A8882D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3D9D65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94272C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38DD05F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56D452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F39E72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14CAF06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09E3EA7">
      <w:pPr>
        <w:pStyle w:val="20"/>
        <w:spacing w:line="360" w:lineRule="auto"/>
        <w:ind w:firstLine="480" w:firstLineChars="2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7.与本磋商有关的一切正式往来信函请寄：邮政编号：</w:t>
      </w:r>
    </w:p>
    <w:p w14:paraId="0EA2A155">
      <w:pPr>
        <w:pStyle w:val="20"/>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电话/传真：电子邮箱：</w:t>
      </w:r>
    </w:p>
    <w:p w14:paraId="4EA1F742">
      <w:pPr>
        <w:pStyle w:val="18"/>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开户银行：帐号：</w:t>
      </w:r>
    </w:p>
    <w:p w14:paraId="4486BF57">
      <w:pPr>
        <w:pStyle w:val="18"/>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46EE4631">
      <w:pPr>
        <w:pStyle w:val="18"/>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4DB4570A">
      <w:pPr>
        <w:spacing w:line="360" w:lineRule="auto"/>
        <w:contextualSpacing/>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注：如为联合体竞标，盖章处须加盖联合体牵头人电子签章并由联合体牵头人法定代表人分别签字或者盖章或者电子签名，否则响应文件按无效处理。</w:t>
      </w:r>
    </w:p>
    <w:p w14:paraId="7B94C9AE">
      <w:pPr>
        <w:spacing w:line="360" w:lineRule="auto"/>
        <w:contextualSpacing/>
        <w:jc w:val="left"/>
        <w:rPr>
          <w:rFonts w:hint="eastAsia" w:ascii="仿宋" w:hAnsi="仿宋" w:eastAsia="仿宋" w:cs="仿宋"/>
          <w:color w:val="auto"/>
          <w:szCs w:val="21"/>
          <w:highlight w:val="none"/>
        </w:rPr>
      </w:pPr>
    </w:p>
    <w:p w14:paraId="7EB0DC04">
      <w:pPr>
        <w:spacing w:line="360" w:lineRule="auto"/>
        <w:ind w:firstLine="1575" w:firstLineChars="750"/>
        <w:contextualSpacing/>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 w:val="24"/>
          <w:highlight w:val="none"/>
        </w:rPr>
        <w:t>签字或者盖章或者电子签名</w:t>
      </w:r>
      <w:r>
        <w:rPr>
          <w:rFonts w:hint="eastAsia" w:ascii="仿宋" w:hAnsi="仿宋" w:eastAsia="仿宋" w:cs="仿宋"/>
          <w:color w:val="auto"/>
          <w:highlight w:val="none"/>
        </w:rPr>
        <w:t>）：</w:t>
      </w:r>
    </w:p>
    <w:p w14:paraId="14F07040">
      <w:pPr>
        <w:spacing w:line="360" w:lineRule="auto"/>
        <w:ind w:firstLine="3780" w:firstLineChars="1800"/>
        <w:contextualSpacing/>
        <w:rPr>
          <w:rFonts w:hint="eastAsia" w:ascii="仿宋" w:hAnsi="仿宋" w:eastAsia="仿宋" w:cs="仿宋"/>
          <w:color w:val="auto"/>
          <w:szCs w:val="21"/>
          <w:highlight w:val="none"/>
          <w:u w:val="single"/>
        </w:rPr>
      </w:pPr>
      <w:r>
        <w:rPr>
          <w:rFonts w:hint="eastAsia" w:ascii="仿宋" w:hAnsi="仿宋" w:eastAsia="仿宋" w:cs="仿宋"/>
          <w:color w:val="auto"/>
          <w:highlight w:val="none"/>
        </w:rPr>
        <w:t>供应商（电子签章）：</w:t>
      </w:r>
    </w:p>
    <w:p w14:paraId="228C4F88">
      <w:pPr>
        <w:pStyle w:val="18"/>
        <w:tabs>
          <w:tab w:val="left" w:pos="939"/>
        </w:tabs>
        <w:spacing w:line="360" w:lineRule="auto"/>
        <w:ind w:left="0" w:leftChars="0" w:firstLine="3780" w:firstLineChars="1800"/>
        <w:rPr>
          <w:rFonts w:hint="eastAsia" w:ascii="仿宋" w:hAnsi="仿宋" w:eastAsia="仿宋" w:cs="仿宋"/>
          <w:color w:val="auto"/>
          <w:sz w:val="24"/>
          <w:highlight w:val="none"/>
        </w:rPr>
      </w:pPr>
      <w:r>
        <w:rPr>
          <w:rFonts w:hint="eastAsia" w:ascii="仿宋" w:hAnsi="仿宋" w:eastAsia="仿宋" w:cs="仿宋"/>
          <w:color w:val="auto"/>
          <w:highlight w:val="none"/>
        </w:rPr>
        <w:t>年月日</w:t>
      </w:r>
    </w:p>
    <w:p w14:paraId="4A1F4266">
      <w:pPr>
        <w:spacing w:line="360" w:lineRule="auto"/>
        <w:ind w:right="480" w:firstLine="240" w:firstLineChars="100"/>
        <w:contextualSpacing/>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p>
    <w:p w14:paraId="06948DE0">
      <w:pPr>
        <w:jc w:val="center"/>
        <w:rPr>
          <w:rFonts w:hint="eastAsia" w:ascii="仿宋" w:hAnsi="仿宋" w:eastAsia="仿宋" w:cs="仿宋"/>
          <w:color w:val="auto"/>
          <w:sz w:val="44"/>
          <w:szCs w:val="44"/>
          <w:highlight w:val="none"/>
        </w:rPr>
      </w:pPr>
      <w:bookmarkStart w:id="80" w:name="_Toc71365926"/>
      <w:r>
        <w:rPr>
          <w:rFonts w:hint="eastAsia" w:ascii="仿宋" w:hAnsi="仿宋" w:eastAsia="仿宋" w:cs="仿宋"/>
          <w:color w:val="auto"/>
          <w:sz w:val="44"/>
          <w:szCs w:val="44"/>
          <w:highlight w:val="none"/>
        </w:rPr>
        <w:t>中小企业声明函（服务）</w:t>
      </w:r>
      <w:bookmarkEnd w:id="80"/>
    </w:p>
    <w:p w14:paraId="4F5C5199">
      <w:pPr>
        <w:spacing w:before="2" w:line="500" w:lineRule="exact"/>
        <w:ind w:firstLine="708" w:firstLineChars="294"/>
        <w:rPr>
          <w:rFonts w:hint="eastAsia" w:ascii="仿宋" w:hAnsi="仿宋" w:eastAsia="仿宋" w:cs="仿宋"/>
          <w:b/>
          <w:bCs/>
          <w:color w:val="auto"/>
          <w:sz w:val="24"/>
          <w:highlight w:val="none"/>
        </w:rPr>
      </w:pPr>
    </w:p>
    <w:p w14:paraId="408924C3">
      <w:pPr>
        <w:pStyle w:val="16"/>
        <w:spacing w:line="500" w:lineRule="exact"/>
        <w:ind w:right="142" w:firstLine="705" w:firstLineChars="294"/>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64529C17">
      <w:pPr>
        <w:tabs>
          <w:tab w:val="left" w:pos="1384"/>
          <w:tab w:val="left" w:pos="4562"/>
          <w:tab w:val="left" w:pos="6803"/>
        </w:tabs>
        <w:spacing w:before="13" w:line="500" w:lineRule="exact"/>
        <w:ind w:right="142" w:firstLine="772" w:firstLineChars="322"/>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5A46A86F">
      <w:pPr>
        <w:tabs>
          <w:tab w:val="left" w:pos="1065"/>
          <w:tab w:val="left" w:pos="4262"/>
          <w:tab w:val="left" w:pos="6477"/>
        </w:tabs>
        <w:spacing w:before="20" w:line="500" w:lineRule="exact"/>
        <w:ind w:right="84" w:firstLine="772" w:firstLineChars="3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0069B09A">
      <w:pPr>
        <w:pStyle w:val="16"/>
        <w:spacing w:before="34" w:line="500" w:lineRule="exact"/>
        <w:ind w:right="142" w:firstLine="705" w:firstLineChars="294"/>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0D077E8">
      <w:pPr>
        <w:pStyle w:val="16"/>
        <w:spacing w:before="34" w:line="500" w:lineRule="exact"/>
        <w:ind w:right="142" w:firstLine="705" w:firstLineChars="294"/>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F703E76">
      <w:pPr>
        <w:pStyle w:val="16"/>
        <w:spacing w:before="25" w:line="500" w:lineRule="exact"/>
        <w:ind w:right="142" w:firstLine="705" w:firstLineChars="294"/>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E77D394">
      <w:pPr>
        <w:pStyle w:val="16"/>
        <w:spacing w:before="56" w:line="500" w:lineRule="exact"/>
        <w:ind w:right="1808" w:firstLine="705" w:firstLineChars="294"/>
        <w:rPr>
          <w:rFonts w:hint="eastAsia" w:ascii="仿宋" w:hAnsi="仿宋" w:eastAsia="仿宋" w:cs="仿宋"/>
          <w:color w:val="auto"/>
          <w:sz w:val="24"/>
          <w:highlight w:val="none"/>
        </w:rPr>
      </w:pPr>
    </w:p>
    <w:p w14:paraId="738FE358">
      <w:pPr>
        <w:pStyle w:val="16"/>
        <w:spacing w:before="56" w:line="500" w:lineRule="exact"/>
        <w:ind w:right="650" w:firstLine="5625" w:firstLineChars="2344"/>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企业名称（章）：</w:t>
      </w:r>
    </w:p>
    <w:p w14:paraId="66A280A0">
      <w:pPr>
        <w:pStyle w:val="16"/>
        <w:spacing w:before="56" w:line="500" w:lineRule="exact"/>
        <w:ind w:right="1808" w:firstLine="5625" w:firstLineChars="2344"/>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2D153860">
      <w:pPr>
        <w:spacing w:line="5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DA4096B">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44"/>
          <w:szCs w:val="44"/>
          <w:highlight w:val="none"/>
        </w:rPr>
        <w:t>残疾人福利性单位声明函</w:t>
      </w:r>
    </w:p>
    <w:p w14:paraId="48AAC02B">
      <w:pPr>
        <w:spacing w:line="360" w:lineRule="auto"/>
        <w:rPr>
          <w:rFonts w:hint="eastAsia" w:ascii="仿宋" w:hAnsi="仿宋" w:eastAsia="仿宋" w:cs="仿宋"/>
          <w:color w:val="auto"/>
          <w:sz w:val="32"/>
          <w:szCs w:val="32"/>
          <w:highlight w:val="none"/>
        </w:rPr>
      </w:pPr>
    </w:p>
    <w:p w14:paraId="2782CF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6715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E9AFFFA">
      <w:pPr>
        <w:spacing w:line="360" w:lineRule="auto"/>
        <w:rPr>
          <w:rFonts w:hint="eastAsia" w:ascii="仿宋" w:hAnsi="仿宋" w:eastAsia="仿宋" w:cs="仿宋"/>
          <w:color w:val="auto"/>
          <w:sz w:val="24"/>
          <w:highlight w:val="none"/>
        </w:rPr>
      </w:pPr>
    </w:p>
    <w:p w14:paraId="67A014F8">
      <w:pPr>
        <w:spacing w:line="360" w:lineRule="auto"/>
        <w:rPr>
          <w:rFonts w:hint="eastAsia" w:ascii="仿宋" w:hAnsi="仿宋" w:eastAsia="仿宋" w:cs="仿宋"/>
          <w:color w:val="auto"/>
          <w:sz w:val="24"/>
          <w:highlight w:val="none"/>
        </w:rPr>
      </w:pPr>
    </w:p>
    <w:p w14:paraId="72FE106D">
      <w:pPr>
        <w:spacing w:line="360" w:lineRule="auto"/>
        <w:rPr>
          <w:rFonts w:hint="eastAsia" w:ascii="仿宋" w:hAnsi="仿宋" w:eastAsia="仿宋" w:cs="仿宋"/>
          <w:color w:val="auto"/>
          <w:sz w:val="24"/>
          <w:highlight w:val="none"/>
        </w:rPr>
      </w:pPr>
    </w:p>
    <w:p w14:paraId="3ABDE3B7">
      <w:pPr>
        <w:spacing w:line="360" w:lineRule="auto"/>
        <w:ind w:firstLine="2400" w:firstLineChars="10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单位名称（盖章）：</w:t>
      </w:r>
    </w:p>
    <w:p w14:paraId="06236EDF">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57B11CBA">
      <w:pPr>
        <w:spacing w:line="360" w:lineRule="auto"/>
        <w:rPr>
          <w:rFonts w:hint="eastAsia" w:ascii="仿宋" w:hAnsi="仿宋" w:eastAsia="仿宋" w:cs="仿宋"/>
          <w:color w:val="auto"/>
          <w:sz w:val="24"/>
          <w:highlight w:val="none"/>
        </w:rPr>
      </w:pPr>
    </w:p>
    <w:p w14:paraId="48E0FDA7">
      <w:pPr>
        <w:spacing w:line="360" w:lineRule="auto"/>
        <w:rPr>
          <w:rFonts w:hint="eastAsia" w:ascii="仿宋" w:hAnsi="仿宋" w:eastAsia="仿宋" w:cs="仿宋"/>
          <w:color w:val="auto"/>
          <w:sz w:val="24"/>
          <w:highlight w:val="none"/>
        </w:rPr>
      </w:pPr>
    </w:p>
    <w:p w14:paraId="2EC7FFDD">
      <w:pPr>
        <w:spacing w:line="360" w:lineRule="auto"/>
        <w:rPr>
          <w:rFonts w:hint="eastAsia" w:ascii="仿宋" w:hAnsi="仿宋" w:eastAsia="仿宋" w:cs="仿宋"/>
          <w:color w:val="auto"/>
          <w:sz w:val="24"/>
          <w:highlight w:val="none"/>
        </w:rPr>
      </w:pPr>
    </w:p>
    <w:p w14:paraId="2C20BF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A7860CA">
      <w:pPr>
        <w:spacing w:line="360" w:lineRule="auto"/>
        <w:ind w:right="420"/>
        <w:contextualSpacing/>
        <w:jc w:val="left"/>
        <w:rPr>
          <w:rFonts w:hint="eastAsia" w:ascii="仿宋" w:hAnsi="仿宋" w:eastAsia="仿宋" w:cs="仿宋"/>
          <w:b/>
          <w:bCs/>
          <w:color w:val="auto"/>
          <w:sz w:val="32"/>
          <w:szCs w:val="32"/>
          <w:highlight w:val="none"/>
        </w:rPr>
      </w:pPr>
    </w:p>
    <w:p w14:paraId="5E9BE3A1">
      <w:pPr>
        <w:spacing w:line="360" w:lineRule="auto"/>
        <w:ind w:right="420"/>
        <w:contextualSpacing/>
        <w:jc w:val="left"/>
        <w:rPr>
          <w:rFonts w:hint="eastAsia" w:ascii="仿宋" w:hAnsi="仿宋" w:eastAsia="仿宋" w:cs="仿宋"/>
          <w:b/>
          <w:bCs/>
          <w:color w:val="auto"/>
          <w:sz w:val="32"/>
          <w:szCs w:val="32"/>
          <w:highlight w:val="none"/>
        </w:rPr>
      </w:pPr>
    </w:p>
    <w:p w14:paraId="5258D2E0">
      <w:pPr>
        <w:pStyle w:val="46"/>
        <w:ind w:firstLine="480"/>
        <w:rPr>
          <w:rFonts w:hint="eastAsia" w:ascii="仿宋" w:hAnsi="仿宋" w:eastAsia="仿宋" w:cs="仿宋"/>
          <w:color w:val="auto"/>
          <w:highlight w:val="none"/>
        </w:rPr>
      </w:pPr>
    </w:p>
    <w:p w14:paraId="5AD6738D">
      <w:pPr>
        <w:rPr>
          <w:rFonts w:hint="eastAsia" w:ascii="仿宋" w:hAnsi="仿宋" w:eastAsia="仿宋" w:cs="仿宋"/>
          <w:color w:val="auto"/>
          <w:highlight w:val="none"/>
        </w:rPr>
      </w:pPr>
    </w:p>
    <w:p w14:paraId="05986515">
      <w:pPr>
        <w:pStyle w:val="46"/>
        <w:ind w:firstLine="480"/>
        <w:rPr>
          <w:rFonts w:hint="eastAsia" w:ascii="仿宋" w:hAnsi="仿宋" w:eastAsia="仿宋" w:cs="仿宋"/>
          <w:color w:val="auto"/>
          <w:highlight w:val="none"/>
        </w:rPr>
      </w:pPr>
    </w:p>
    <w:p w14:paraId="7BBCE3B8">
      <w:pPr>
        <w:rPr>
          <w:rFonts w:hint="eastAsia" w:ascii="仿宋" w:hAnsi="仿宋" w:eastAsia="仿宋" w:cs="仿宋"/>
          <w:color w:val="auto"/>
          <w:highlight w:val="none"/>
        </w:rPr>
      </w:pPr>
    </w:p>
    <w:p w14:paraId="596B676B">
      <w:pPr>
        <w:pStyle w:val="46"/>
        <w:ind w:firstLine="480"/>
        <w:rPr>
          <w:rFonts w:hint="eastAsia" w:ascii="仿宋" w:hAnsi="仿宋" w:eastAsia="仿宋" w:cs="仿宋"/>
          <w:color w:val="auto"/>
          <w:highlight w:val="none"/>
        </w:rPr>
      </w:pPr>
    </w:p>
    <w:p w14:paraId="139994AF">
      <w:pPr>
        <w:rPr>
          <w:rFonts w:hint="eastAsia" w:ascii="仿宋" w:hAnsi="仿宋" w:eastAsia="仿宋" w:cs="仿宋"/>
          <w:color w:val="auto"/>
          <w:highlight w:val="none"/>
        </w:rPr>
      </w:pPr>
    </w:p>
    <w:p w14:paraId="75301EB0">
      <w:pPr>
        <w:pStyle w:val="46"/>
        <w:ind w:firstLine="480"/>
        <w:rPr>
          <w:rFonts w:hint="eastAsia" w:ascii="仿宋" w:hAnsi="仿宋" w:eastAsia="仿宋" w:cs="仿宋"/>
          <w:color w:val="auto"/>
          <w:highlight w:val="none"/>
        </w:rPr>
      </w:pPr>
    </w:p>
    <w:p w14:paraId="199DB8C3">
      <w:pPr>
        <w:rPr>
          <w:rFonts w:hint="eastAsia" w:ascii="仿宋" w:hAnsi="仿宋" w:eastAsia="仿宋" w:cs="仿宋"/>
          <w:color w:val="auto"/>
          <w:highlight w:val="none"/>
        </w:rPr>
      </w:pPr>
    </w:p>
    <w:p w14:paraId="1EADDF57">
      <w:pPr>
        <w:spacing w:line="360" w:lineRule="auto"/>
        <w:ind w:right="420"/>
        <w:contextualSpacing/>
        <w:jc w:val="left"/>
        <w:rPr>
          <w:rFonts w:hint="eastAsia" w:ascii="仿宋" w:hAnsi="仿宋" w:eastAsia="仿宋" w:cs="仿宋"/>
          <w:b/>
          <w:bCs/>
          <w:color w:val="auto"/>
          <w:sz w:val="32"/>
          <w:szCs w:val="32"/>
          <w:highlight w:val="none"/>
        </w:rPr>
      </w:pPr>
    </w:p>
    <w:p w14:paraId="7AFCDB5C">
      <w:pPr>
        <w:spacing w:line="360" w:lineRule="auto"/>
        <w:ind w:right="420"/>
        <w:contextualSpacing/>
        <w:jc w:val="left"/>
        <w:rPr>
          <w:rFonts w:hint="eastAsia" w:ascii="仿宋" w:hAnsi="仿宋" w:eastAsia="仿宋" w:cs="仿宋"/>
          <w:b/>
          <w:bCs/>
          <w:color w:val="auto"/>
          <w:sz w:val="32"/>
          <w:szCs w:val="32"/>
          <w:highlight w:val="none"/>
        </w:rPr>
      </w:pPr>
    </w:p>
    <w:p w14:paraId="5B5F12D5">
      <w:pPr>
        <w:spacing w:line="360" w:lineRule="auto"/>
        <w:ind w:right="420"/>
        <w:contextualSpacing/>
        <w:jc w:val="left"/>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二、</w:t>
      </w:r>
      <w:r>
        <w:rPr>
          <w:rFonts w:hint="eastAsia" w:ascii="仿宋" w:hAnsi="仿宋" w:eastAsia="仿宋" w:cs="仿宋"/>
          <w:b/>
          <w:color w:val="auto"/>
          <w:sz w:val="32"/>
          <w:szCs w:val="32"/>
          <w:highlight w:val="none"/>
        </w:rPr>
        <w:t>报价文件格式</w:t>
      </w:r>
    </w:p>
    <w:p w14:paraId="68C69BF2">
      <w:pPr>
        <w:snapToGrid w:val="0"/>
        <w:spacing w:before="156" w:beforeLines="50" w:after="50"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1.报价文件封面格式</w:t>
      </w:r>
    </w:p>
    <w:p w14:paraId="34CC942D">
      <w:pPr>
        <w:snapToGrid w:val="0"/>
        <w:spacing w:before="156" w:beforeLines="50" w:after="50"/>
        <w:rPr>
          <w:rFonts w:hint="eastAsia" w:ascii="仿宋" w:hAnsi="仿宋" w:eastAsia="仿宋" w:cs="仿宋"/>
          <w:bCs/>
          <w:color w:val="auto"/>
          <w:sz w:val="32"/>
          <w:szCs w:val="20"/>
          <w:highlight w:val="none"/>
        </w:rPr>
      </w:pPr>
    </w:p>
    <w:p w14:paraId="35E562F1">
      <w:pPr>
        <w:snapToGrid w:val="0"/>
        <w:spacing w:before="156" w:beforeLines="50" w:after="50"/>
        <w:jc w:val="center"/>
        <w:rPr>
          <w:rFonts w:hint="eastAsia" w:ascii="仿宋" w:hAnsi="仿宋" w:eastAsia="仿宋" w:cs="仿宋"/>
          <w:color w:val="auto"/>
          <w:sz w:val="24"/>
          <w:szCs w:val="20"/>
          <w:highlight w:val="none"/>
        </w:rPr>
      </w:pPr>
      <w:r>
        <w:rPr>
          <w:rFonts w:hint="eastAsia" w:ascii="仿宋" w:hAnsi="仿宋" w:eastAsia="仿宋" w:cs="仿宋"/>
          <w:color w:val="auto"/>
          <w:sz w:val="44"/>
          <w:szCs w:val="44"/>
          <w:highlight w:val="none"/>
        </w:rPr>
        <w:t>电子响应文件</w:t>
      </w:r>
    </w:p>
    <w:p w14:paraId="258FF1C7">
      <w:pPr>
        <w:snapToGrid w:val="0"/>
        <w:spacing w:before="156" w:beforeLines="50" w:after="50"/>
        <w:rPr>
          <w:rFonts w:hint="eastAsia" w:ascii="仿宋" w:hAnsi="仿宋" w:eastAsia="仿宋" w:cs="仿宋"/>
          <w:color w:val="auto"/>
          <w:sz w:val="24"/>
          <w:szCs w:val="20"/>
          <w:highlight w:val="none"/>
        </w:rPr>
      </w:pPr>
    </w:p>
    <w:p w14:paraId="783C09CA">
      <w:pPr>
        <w:snapToGrid w:val="0"/>
        <w:spacing w:before="156" w:beforeLines="50" w:after="50"/>
        <w:rPr>
          <w:rFonts w:hint="eastAsia" w:ascii="仿宋" w:hAnsi="仿宋" w:eastAsia="仿宋" w:cs="仿宋"/>
          <w:color w:val="auto"/>
          <w:sz w:val="24"/>
          <w:szCs w:val="20"/>
          <w:highlight w:val="none"/>
        </w:rPr>
      </w:pPr>
    </w:p>
    <w:p w14:paraId="6547689B">
      <w:pPr>
        <w:snapToGrid w:val="0"/>
        <w:spacing w:before="156"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报价文件</w:t>
      </w:r>
    </w:p>
    <w:p w14:paraId="00AF71AB">
      <w:pPr>
        <w:snapToGrid w:val="0"/>
        <w:spacing w:before="156" w:beforeLines="50" w:after="50"/>
        <w:rPr>
          <w:rFonts w:hint="eastAsia" w:ascii="仿宋" w:hAnsi="仿宋" w:eastAsia="仿宋" w:cs="仿宋"/>
          <w:bCs/>
          <w:color w:val="auto"/>
          <w:sz w:val="24"/>
          <w:szCs w:val="20"/>
          <w:highlight w:val="none"/>
        </w:rPr>
      </w:pPr>
    </w:p>
    <w:p w14:paraId="230FC492">
      <w:pPr>
        <w:snapToGrid w:val="0"/>
        <w:spacing w:before="156" w:beforeLines="50" w:after="50"/>
        <w:rPr>
          <w:rFonts w:hint="eastAsia" w:ascii="仿宋" w:hAnsi="仿宋" w:eastAsia="仿宋" w:cs="仿宋"/>
          <w:bCs/>
          <w:color w:val="auto"/>
          <w:sz w:val="24"/>
          <w:szCs w:val="20"/>
          <w:highlight w:val="none"/>
        </w:rPr>
      </w:pPr>
    </w:p>
    <w:p w14:paraId="582AA512">
      <w:pPr>
        <w:snapToGrid w:val="0"/>
        <w:spacing w:before="156" w:beforeLines="50" w:after="50"/>
        <w:rPr>
          <w:rFonts w:hint="eastAsia" w:ascii="仿宋" w:hAnsi="仿宋" w:eastAsia="仿宋" w:cs="仿宋"/>
          <w:bCs/>
          <w:color w:val="auto"/>
          <w:sz w:val="24"/>
          <w:szCs w:val="20"/>
          <w:highlight w:val="none"/>
        </w:rPr>
      </w:pPr>
    </w:p>
    <w:p w14:paraId="28980C55">
      <w:pPr>
        <w:snapToGrid w:val="0"/>
        <w:spacing w:before="156" w:beforeLines="50" w:after="50"/>
        <w:rPr>
          <w:rFonts w:hint="eastAsia" w:ascii="仿宋" w:hAnsi="仿宋" w:eastAsia="仿宋" w:cs="仿宋"/>
          <w:bCs/>
          <w:color w:val="auto"/>
          <w:sz w:val="24"/>
          <w:szCs w:val="20"/>
          <w:highlight w:val="none"/>
        </w:rPr>
      </w:pPr>
    </w:p>
    <w:p w14:paraId="4D8405E6">
      <w:pPr>
        <w:snapToGrid w:val="0"/>
        <w:spacing w:before="156" w:beforeLines="50" w:after="50"/>
        <w:rPr>
          <w:rFonts w:hint="eastAsia" w:ascii="仿宋" w:hAnsi="仿宋" w:eastAsia="仿宋" w:cs="仿宋"/>
          <w:bCs/>
          <w:color w:val="auto"/>
          <w:sz w:val="24"/>
          <w:szCs w:val="20"/>
          <w:highlight w:val="none"/>
        </w:rPr>
      </w:pPr>
    </w:p>
    <w:p w14:paraId="16D9892E">
      <w:pPr>
        <w:snapToGrid w:val="0"/>
        <w:spacing w:before="156"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3743E33A">
      <w:pPr>
        <w:snapToGrid w:val="0"/>
        <w:spacing w:before="156" w:beforeLines="50" w:after="50"/>
        <w:ind w:firstLine="720" w:firstLineChars="225"/>
        <w:rPr>
          <w:rFonts w:hint="eastAsia" w:ascii="仿宋" w:hAnsi="仿宋" w:eastAsia="仿宋" w:cs="仿宋"/>
          <w:bCs/>
          <w:color w:val="auto"/>
          <w:sz w:val="32"/>
          <w:szCs w:val="32"/>
          <w:highlight w:val="none"/>
        </w:rPr>
      </w:pPr>
    </w:p>
    <w:p w14:paraId="63E0BF71">
      <w:pPr>
        <w:snapToGrid w:val="0"/>
        <w:spacing w:before="156"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0F339E25">
      <w:pPr>
        <w:snapToGrid w:val="0"/>
        <w:spacing w:before="156" w:beforeLines="50" w:after="50"/>
        <w:ind w:firstLine="720" w:firstLineChars="225"/>
        <w:rPr>
          <w:rFonts w:hint="eastAsia" w:ascii="仿宋" w:hAnsi="仿宋" w:eastAsia="仿宋" w:cs="仿宋"/>
          <w:bCs/>
          <w:color w:val="auto"/>
          <w:sz w:val="32"/>
          <w:szCs w:val="32"/>
          <w:highlight w:val="none"/>
        </w:rPr>
      </w:pPr>
    </w:p>
    <w:p w14:paraId="1D9BA2B7">
      <w:pPr>
        <w:snapToGrid w:val="0"/>
        <w:spacing w:before="156"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所竞分标（如有则填写，无分标时填写“无”或者留空）：</w:t>
      </w:r>
    </w:p>
    <w:p w14:paraId="162AA1F9">
      <w:pPr>
        <w:snapToGrid w:val="0"/>
        <w:spacing w:before="156" w:beforeLines="50" w:after="50"/>
        <w:ind w:firstLine="720" w:firstLineChars="225"/>
        <w:rPr>
          <w:rFonts w:hint="eastAsia" w:ascii="仿宋" w:hAnsi="仿宋" w:eastAsia="仿宋" w:cs="仿宋"/>
          <w:bCs/>
          <w:color w:val="auto"/>
          <w:sz w:val="32"/>
          <w:szCs w:val="32"/>
          <w:highlight w:val="none"/>
        </w:rPr>
      </w:pPr>
    </w:p>
    <w:p w14:paraId="4D45BBEC">
      <w:pPr>
        <w:pStyle w:val="7"/>
        <w:snapToGrid w:val="0"/>
        <w:spacing w:before="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57A76454">
      <w:pPr>
        <w:pStyle w:val="7"/>
        <w:snapToGrid w:val="0"/>
        <w:spacing w:before="50" w:after="50"/>
        <w:ind w:firstLine="640" w:firstLineChars="200"/>
        <w:rPr>
          <w:rFonts w:hint="eastAsia" w:ascii="仿宋" w:hAnsi="仿宋" w:eastAsia="仿宋" w:cs="仿宋"/>
          <w:bCs/>
          <w:color w:val="auto"/>
          <w:sz w:val="32"/>
          <w:szCs w:val="32"/>
          <w:highlight w:val="none"/>
        </w:rPr>
      </w:pPr>
    </w:p>
    <w:p w14:paraId="58F14DCA">
      <w:pPr>
        <w:pStyle w:val="7"/>
        <w:snapToGrid w:val="0"/>
        <w:spacing w:before="50" w:after="50"/>
        <w:ind w:firstLine="720" w:firstLineChars="225"/>
        <w:rPr>
          <w:rFonts w:hint="eastAsia" w:ascii="仿宋" w:hAnsi="仿宋" w:eastAsia="仿宋" w:cs="仿宋"/>
          <w:bCs/>
          <w:color w:val="auto"/>
          <w:sz w:val="32"/>
          <w:szCs w:val="32"/>
          <w:highlight w:val="none"/>
        </w:rPr>
      </w:pPr>
    </w:p>
    <w:p w14:paraId="04395E43">
      <w:pPr>
        <w:pStyle w:val="7"/>
        <w:snapToGrid w:val="0"/>
        <w:spacing w:before="50" w:after="50"/>
        <w:ind w:firstLine="0"/>
        <w:rPr>
          <w:rFonts w:hint="eastAsia" w:ascii="仿宋" w:hAnsi="仿宋" w:eastAsia="仿宋" w:cs="仿宋"/>
          <w:bCs/>
          <w:color w:val="auto"/>
          <w:sz w:val="32"/>
          <w:szCs w:val="32"/>
          <w:highlight w:val="none"/>
        </w:rPr>
      </w:pPr>
    </w:p>
    <w:p w14:paraId="330E6217">
      <w:pPr>
        <w:pStyle w:val="7"/>
        <w:snapToGrid w:val="0"/>
        <w:spacing w:before="50" w:after="50"/>
        <w:ind w:firstLine="1280" w:firstLineChars="400"/>
        <w:rPr>
          <w:rFonts w:hint="eastAsia" w:ascii="仿宋" w:hAnsi="仿宋" w:eastAsia="仿宋" w:cs="仿宋"/>
          <w:bCs/>
          <w:color w:val="auto"/>
          <w:sz w:val="32"/>
          <w:szCs w:val="32"/>
          <w:highlight w:val="none"/>
        </w:rPr>
      </w:pPr>
    </w:p>
    <w:p w14:paraId="38FB118D">
      <w:pPr>
        <w:snapToGrid w:val="0"/>
        <w:spacing w:before="156"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年月日</w:t>
      </w:r>
    </w:p>
    <w:p w14:paraId="46A4C09A">
      <w:pPr>
        <w:snapToGrid w:val="0"/>
        <w:spacing w:before="156" w:beforeLines="50" w:after="50" w:line="360" w:lineRule="auto"/>
        <w:ind w:left="142"/>
        <w:jc w:val="left"/>
        <w:rPr>
          <w:rFonts w:hint="eastAsia" w:ascii="仿宋" w:hAnsi="仿宋" w:eastAsia="仿宋" w:cs="仿宋"/>
          <w:b/>
          <w:bCs/>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b/>
          <w:bCs/>
          <w:color w:val="auto"/>
          <w:sz w:val="32"/>
          <w:szCs w:val="32"/>
          <w:highlight w:val="none"/>
        </w:rPr>
        <w:t>2.报价文件目录</w:t>
      </w:r>
    </w:p>
    <w:p w14:paraId="6B763F72">
      <w:pPr>
        <w:pStyle w:val="20"/>
        <w:spacing w:line="500" w:lineRule="exact"/>
        <w:jc w:val="center"/>
        <w:rPr>
          <w:rFonts w:hint="eastAsia" w:ascii="仿宋" w:hAnsi="仿宋" w:eastAsia="仿宋" w:cs="仿宋"/>
          <w:bCs/>
          <w:color w:val="auto"/>
          <w:kern w:val="2"/>
          <w:sz w:val="44"/>
          <w:szCs w:val="44"/>
          <w:highlight w:val="none"/>
        </w:rPr>
      </w:pPr>
      <w:r>
        <w:rPr>
          <w:rFonts w:hint="eastAsia" w:ascii="仿宋" w:hAnsi="仿宋" w:eastAsia="仿宋" w:cs="仿宋"/>
          <w:color w:val="auto"/>
          <w:sz w:val="32"/>
          <w:szCs w:val="32"/>
          <w:highlight w:val="none"/>
        </w:rPr>
        <w:t>根据磋商文件规定及供应商提供的材料自行编写目录（部分格式后附）。</w:t>
      </w:r>
      <w:r>
        <w:rPr>
          <w:rFonts w:hint="eastAsia" w:ascii="仿宋" w:hAnsi="仿宋" w:eastAsia="仿宋" w:cs="仿宋"/>
          <w:b/>
          <w:bCs/>
          <w:color w:val="auto"/>
          <w:sz w:val="32"/>
          <w:szCs w:val="32"/>
          <w:highlight w:val="none"/>
        </w:rPr>
        <w:br w:type="page"/>
      </w:r>
      <w:r>
        <w:rPr>
          <w:rFonts w:hint="eastAsia" w:ascii="仿宋" w:hAnsi="仿宋" w:eastAsia="仿宋" w:cs="仿宋"/>
          <w:bCs/>
          <w:color w:val="auto"/>
          <w:kern w:val="2"/>
          <w:sz w:val="44"/>
          <w:szCs w:val="44"/>
          <w:highlight w:val="none"/>
        </w:rPr>
        <w:t>响应函</w:t>
      </w:r>
    </w:p>
    <w:p w14:paraId="7118A6B9">
      <w:pPr>
        <w:pStyle w:val="20"/>
        <w:spacing w:line="500" w:lineRule="exact"/>
        <w:rPr>
          <w:rFonts w:hint="eastAsia" w:ascii="仿宋" w:hAnsi="仿宋" w:eastAsia="仿宋" w:cs="仿宋"/>
          <w:color w:val="auto"/>
          <w:sz w:val="32"/>
          <w:highlight w:val="none"/>
        </w:rPr>
      </w:pPr>
    </w:p>
    <w:p w14:paraId="2AB04B3E">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[采购组织机构]：</w:t>
      </w:r>
    </w:p>
    <w:p w14:paraId="000BE98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我方已仔细阅读了贵方组织的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rPr>
        <w:t>的竞争性磋商采购文件</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分标</w:t>
      </w:r>
      <w:r>
        <w:rPr>
          <w:rFonts w:hint="eastAsia" w:ascii="仿宋" w:hAnsi="仿宋" w:eastAsia="仿宋" w:cs="仿宋"/>
          <w:color w:val="auto"/>
          <w:sz w:val="24"/>
          <w:highlight w:val="none"/>
        </w:rPr>
        <w:t>的全部内容，现正式递交下述文件参加贵方组织的本次政府采购活动：</w:t>
      </w:r>
    </w:p>
    <w:p w14:paraId="35F2CE1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一、报价文件电子版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份（包含按“第二章 供应商须知”提交的全部文件）；</w:t>
      </w:r>
    </w:p>
    <w:p w14:paraId="4782F41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二、技术文件电子版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份（包含按“第二章 供应商须知”提交的全部文件）；商务文件电子版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份（包含按“第二章 供应商须知”提交的全部文件）；（商务技术文件已合并装订成册）</w:t>
      </w:r>
    </w:p>
    <w:p w14:paraId="5168B14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三、资格证明文件电子版（包含按“第二章供应商须知”提交的全部文件）；</w:t>
      </w:r>
    </w:p>
    <w:p w14:paraId="64F5274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据此函，签字人兹宣布：</w:t>
      </w:r>
    </w:p>
    <w:p w14:paraId="6464171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1、我方愿意以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的竞标报价，提供本项目竞争性磋商采购文件第三章“采购需求”中相应的采购内容：</w:t>
      </w:r>
    </w:p>
    <w:p w14:paraId="1DA76B0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2、我方同意自本项目竞争性磋商采购文件采购公告规定的递交响应文件截止时间起遵循本响应函，并承诺在“第二章 供应商须知”规定的响应有效期内不修改、撤销响应文件。</w:t>
      </w:r>
    </w:p>
    <w:p w14:paraId="49CF6D4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3、我方在此声明，所递交的响应文件及有关资料内容完整、真实和准确。</w:t>
      </w:r>
    </w:p>
    <w:p w14:paraId="29A6BE4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4、如本项目采购内容涉及须符合国家强制规定的，我方承诺我方本次竞标均符合国家有关强制规定。</w:t>
      </w:r>
    </w:p>
    <w:p w14:paraId="0E71354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47BAB394">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6、我方已详细审核竞争性磋商采购文件，我方知道必须放弃提出含糊不清或误解问题的权利。</w:t>
      </w:r>
    </w:p>
    <w:p w14:paraId="1DF5203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7、我方承诺满足竞争性磋商采购文件第六章“合同文本”的条款，承担完成合同的责任和义务。</w:t>
      </w:r>
    </w:p>
    <w:p w14:paraId="02BC9FB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8、我方同意应贵方要求提供与本竞标有关的任何数据或资料。若贵方需要，我方愿意提供我方作出的一切承诺的证明材料。</w:t>
      </w:r>
    </w:p>
    <w:p w14:paraId="7569563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9、我方完全理解贵方不一定接受响应报价最低的竞标人为成交供应商的行为。</w:t>
      </w:r>
    </w:p>
    <w:p w14:paraId="026D93C5">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A0D7415">
      <w:pPr>
        <w:spacing w:line="360" w:lineRule="auto"/>
        <w:ind w:firstLine="480" w:firstLineChars="200"/>
        <w:contextualSpacing/>
        <w:rPr>
          <w:rFonts w:hint="eastAsia" w:ascii="仿宋" w:hAnsi="仿宋" w:eastAsia="仿宋" w:cs="仿宋"/>
          <w:color w:val="auto"/>
          <w:sz w:val="24"/>
          <w:highlight w:val="none"/>
        </w:rPr>
      </w:pPr>
    </w:p>
    <w:p w14:paraId="1A72EF6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 提供虚假材料谋取中标、成交的；</w:t>
      </w:r>
    </w:p>
    <w:p w14:paraId="3E81017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 采取不正当手段诋毁、排挤其他供应商的；</w:t>
      </w:r>
    </w:p>
    <w:p w14:paraId="5D40DBF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 与采购人、其他供应商或者采购代理机构恶意串通的；</w:t>
      </w:r>
    </w:p>
    <w:p w14:paraId="73582F5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 向采购人、采购代理机构行贿或者提供其他不正当利益的；</w:t>
      </w:r>
    </w:p>
    <w:p w14:paraId="7CDE37A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 在采购过程中与采购人进行协商磋商的；</w:t>
      </w:r>
    </w:p>
    <w:p w14:paraId="64EF189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 拒绝有关部门监督检查或提供虚假情况的。</w:t>
      </w:r>
    </w:p>
    <w:p w14:paraId="7171BCC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11.与本磋商有关的一切正式往来信函请寄：</w:t>
      </w:r>
    </w:p>
    <w:p w14:paraId="03B9376D">
      <w:pPr>
        <w:pStyle w:val="2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D51B287">
      <w:pPr>
        <w:pStyle w:val="20"/>
        <w:spacing w:line="360" w:lineRule="auto"/>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p>
    <w:p w14:paraId="4F079E01">
      <w:pPr>
        <w:pStyle w:val="20"/>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w:t>
      </w:r>
    </w:p>
    <w:p w14:paraId="3DF26C0A">
      <w:pPr>
        <w:pStyle w:val="20"/>
        <w:spacing w:line="360" w:lineRule="auto"/>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14:paraId="55D6BC6E">
      <w:pPr>
        <w:pStyle w:val="20"/>
        <w:spacing w:line="360" w:lineRule="auto"/>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开户名称：</w:t>
      </w:r>
      <w:r>
        <w:rPr>
          <w:rFonts w:hint="eastAsia" w:ascii="仿宋" w:hAnsi="仿宋" w:eastAsia="仿宋" w:cs="仿宋"/>
          <w:color w:val="auto"/>
          <w:sz w:val="24"/>
          <w:szCs w:val="24"/>
          <w:highlight w:val="none"/>
          <w:u w:val="single"/>
        </w:rPr>
        <w:t xml:space="preserve">                                                    </w:t>
      </w:r>
    </w:p>
    <w:p w14:paraId="5E3B2F38">
      <w:pPr>
        <w:pStyle w:val="20"/>
        <w:spacing w:line="360" w:lineRule="auto"/>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p>
    <w:p w14:paraId="3FDF6494">
      <w:pPr>
        <w:pStyle w:val="20"/>
        <w:spacing w:line="360" w:lineRule="auto"/>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银行账号：</w:t>
      </w:r>
      <w:r>
        <w:rPr>
          <w:rFonts w:hint="eastAsia" w:ascii="仿宋" w:hAnsi="仿宋" w:eastAsia="仿宋" w:cs="仿宋"/>
          <w:color w:val="auto"/>
          <w:sz w:val="24"/>
          <w:szCs w:val="24"/>
          <w:highlight w:val="none"/>
          <w:u w:val="single"/>
        </w:rPr>
        <w:t xml:space="preserve">                                                    </w:t>
      </w:r>
    </w:p>
    <w:p w14:paraId="6FD1A44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28C58538">
      <w:pPr>
        <w:spacing w:line="360" w:lineRule="auto"/>
        <w:ind w:firstLine="480" w:firstLineChars="200"/>
        <w:contextualSpacing/>
        <w:rPr>
          <w:rFonts w:hint="eastAsia" w:ascii="仿宋" w:hAnsi="仿宋" w:eastAsia="仿宋" w:cs="仿宋"/>
          <w:color w:val="auto"/>
          <w:sz w:val="24"/>
          <w:highlight w:val="none"/>
        </w:rPr>
      </w:pPr>
    </w:p>
    <w:p w14:paraId="1024C018">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供应商名称（电子签章）：</w:t>
      </w:r>
    </w:p>
    <w:p w14:paraId="1DE226E4">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2B0E082">
      <w:pPr>
        <w:spacing w:line="520" w:lineRule="exact"/>
        <w:jc w:val="center"/>
        <w:rPr>
          <w:rFonts w:hint="eastAsia" w:ascii="仿宋" w:hAnsi="仿宋" w:eastAsia="仿宋" w:cs="仿宋"/>
          <w:bCs/>
          <w:color w:val="auto"/>
          <w:sz w:val="44"/>
          <w:szCs w:val="44"/>
          <w:highlight w:val="none"/>
        </w:rPr>
      </w:pPr>
    </w:p>
    <w:p w14:paraId="0D8B066D">
      <w:pP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br w:type="page"/>
      </w:r>
    </w:p>
    <w:p w14:paraId="1DD198E8">
      <w:pPr>
        <w:spacing w:line="520" w:lineRule="exact"/>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44"/>
          <w:szCs w:val="44"/>
          <w:highlight w:val="none"/>
        </w:rPr>
        <w:t>磋商报价表</w:t>
      </w:r>
      <w:r>
        <w:rPr>
          <w:rFonts w:hint="eastAsia" w:ascii="仿宋" w:hAnsi="仿宋" w:eastAsia="仿宋" w:cs="仿宋"/>
          <w:bCs/>
          <w:color w:val="auto"/>
          <w:sz w:val="44"/>
          <w:szCs w:val="44"/>
          <w:highlight w:val="none"/>
          <w:lang w:eastAsia="zh-CN"/>
        </w:rPr>
        <w:t>（</w:t>
      </w:r>
      <w:r>
        <w:rPr>
          <w:rFonts w:hint="eastAsia" w:ascii="仿宋" w:hAnsi="仿宋" w:eastAsia="仿宋" w:cs="仿宋"/>
          <w:bCs/>
          <w:color w:val="auto"/>
          <w:sz w:val="44"/>
          <w:szCs w:val="44"/>
          <w:highlight w:val="none"/>
          <w:lang w:val="en-US" w:eastAsia="zh-CN"/>
        </w:rPr>
        <w:t>分标1）</w:t>
      </w:r>
    </w:p>
    <w:p w14:paraId="6B7DE502">
      <w:pPr>
        <w:spacing w:line="440" w:lineRule="exact"/>
        <w:jc w:val="center"/>
        <w:rPr>
          <w:rFonts w:hint="eastAsia" w:ascii="仿宋" w:hAnsi="仿宋" w:eastAsia="仿宋" w:cs="仿宋"/>
          <w:bCs/>
          <w:color w:val="auto"/>
          <w:sz w:val="32"/>
          <w:szCs w:val="32"/>
          <w:highlight w:val="none"/>
        </w:rPr>
      </w:pPr>
    </w:p>
    <w:p w14:paraId="17AACDAB">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49F3A071">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0936A18D">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分标：</w:t>
      </w:r>
    </w:p>
    <w:p w14:paraId="248C0560">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p>
    <w:tbl>
      <w:tblPr>
        <w:tblStyle w:val="34"/>
        <w:tblW w:w="993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540"/>
        <w:gridCol w:w="2239"/>
        <w:gridCol w:w="3192"/>
        <w:gridCol w:w="1343"/>
      </w:tblGrid>
      <w:tr w14:paraId="1B57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2" w:type="dxa"/>
            <w:tcBorders>
              <w:top w:val="single" w:color="auto" w:sz="4" w:space="0"/>
              <w:left w:val="single" w:color="auto" w:sz="4" w:space="0"/>
              <w:bottom w:val="single" w:color="auto" w:sz="4" w:space="0"/>
              <w:right w:val="single" w:color="auto" w:sz="4" w:space="0"/>
            </w:tcBorders>
            <w:vAlign w:val="center"/>
          </w:tcPr>
          <w:p w14:paraId="6ED21E8E">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540" w:type="dxa"/>
            <w:tcBorders>
              <w:top w:val="single" w:color="auto" w:sz="4" w:space="0"/>
              <w:left w:val="single" w:color="auto" w:sz="4" w:space="0"/>
              <w:bottom w:val="single" w:color="auto" w:sz="4" w:space="0"/>
              <w:right w:val="single" w:color="auto" w:sz="4" w:space="0"/>
            </w:tcBorders>
            <w:vAlign w:val="center"/>
          </w:tcPr>
          <w:p w14:paraId="0E9766BA">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标的名称</w:t>
            </w:r>
          </w:p>
        </w:tc>
        <w:tc>
          <w:tcPr>
            <w:tcW w:w="2239" w:type="dxa"/>
            <w:tcBorders>
              <w:top w:val="single" w:color="auto" w:sz="4" w:space="0"/>
              <w:left w:val="single" w:color="auto" w:sz="4" w:space="0"/>
              <w:bottom w:val="single" w:color="auto" w:sz="4" w:space="0"/>
              <w:right w:val="single" w:color="auto" w:sz="4" w:space="0"/>
            </w:tcBorders>
            <w:vAlign w:val="center"/>
          </w:tcPr>
          <w:p w14:paraId="79D2FA21">
            <w:pPr>
              <w:spacing w:line="360" w:lineRule="auto"/>
              <w:contextualSpacing/>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折扣率</w:t>
            </w:r>
          </w:p>
        </w:tc>
        <w:tc>
          <w:tcPr>
            <w:tcW w:w="3192" w:type="dxa"/>
            <w:tcBorders>
              <w:top w:val="single" w:color="auto" w:sz="4" w:space="0"/>
              <w:left w:val="single" w:color="auto" w:sz="4" w:space="0"/>
              <w:bottom w:val="single" w:color="auto" w:sz="4" w:space="0"/>
              <w:right w:val="single" w:color="auto" w:sz="4" w:space="0"/>
            </w:tcBorders>
            <w:vAlign w:val="center"/>
          </w:tcPr>
          <w:p w14:paraId="73FAAAA4">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1343" w:type="dxa"/>
            <w:tcBorders>
              <w:top w:val="single" w:color="auto" w:sz="4" w:space="0"/>
              <w:left w:val="single" w:color="auto" w:sz="4" w:space="0"/>
              <w:bottom w:val="single" w:color="auto" w:sz="4" w:space="0"/>
              <w:right w:val="single" w:color="auto" w:sz="4" w:space="0"/>
            </w:tcBorders>
            <w:vAlign w:val="center"/>
          </w:tcPr>
          <w:p w14:paraId="7AFB5AC0">
            <w:pPr>
              <w:spacing w:line="360" w:lineRule="auto"/>
              <w:contextualSpacing/>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1F7E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22" w:type="dxa"/>
            <w:tcBorders>
              <w:top w:val="single" w:color="auto" w:sz="4" w:space="0"/>
              <w:left w:val="single" w:color="auto" w:sz="4" w:space="0"/>
              <w:bottom w:val="single" w:color="auto" w:sz="4" w:space="0"/>
              <w:right w:val="single" w:color="auto" w:sz="4" w:space="0"/>
            </w:tcBorders>
            <w:vAlign w:val="center"/>
          </w:tcPr>
          <w:p w14:paraId="40A75BE5">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540" w:type="dxa"/>
            <w:tcBorders>
              <w:top w:val="single" w:color="auto" w:sz="4" w:space="0"/>
              <w:left w:val="single" w:color="auto" w:sz="4" w:space="0"/>
              <w:bottom w:val="single" w:color="auto" w:sz="4" w:space="0"/>
              <w:right w:val="single" w:color="auto" w:sz="4" w:space="0"/>
            </w:tcBorders>
            <w:vAlign w:val="center"/>
          </w:tcPr>
          <w:p w14:paraId="2A3B4E7E">
            <w:pPr>
              <w:spacing w:line="360" w:lineRule="auto"/>
              <w:contextualSpacing/>
              <w:rPr>
                <w:rFonts w:hint="eastAsia" w:ascii="仿宋" w:hAnsi="仿宋" w:eastAsia="仿宋" w:cs="仿宋"/>
                <w:color w:val="auto"/>
                <w:sz w:val="24"/>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1F75D249">
            <w:pPr>
              <w:spacing w:line="360" w:lineRule="auto"/>
              <w:contextualSpacing/>
              <w:rPr>
                <w:rFonts w:hint="eastAsia" w:ascii="仿宋" w:hAnsi="仿宋" w:eastAsia="仿宋" w:cs="仿宋"/>
                <w:color w:val="auto"/>
                <w:sz w:val="24"/>
                <w:highlight w:val="none"/>
              </w:rPr>
            </w:pPr>
          </w:p>
        </w:tc>
        <w:tc>
          <w:tcPr>
            <w:tcW w:w="3192" w:type="dxa"/>
            <w:tcBorders>
              <w:top w:val="single" w:color="auto" w:sz="4" w:space="0"/>
              <w:left w:val="single" w:color="auto" w:sz="4" w:space="0"/>
              <w:bottom w:val="single" w:color="auto" w:sz="4" w:space="0"/>
              <w:right w:val="single" w:color="auto" w:sz="4" w:space="0"/>
            </w:tcBorders>
          </w:tcPr>
          <w:p w14:paraId="3893C219">
            <w:pPr>
              <w:spacing w:line="360" w:lineRule="auto"/>
              <w:contextualSpacing/>
              <w:rPr>
                <w:rFonts w:hint="eastAsia" w:ascii="仿宋" w:hAnsi="仿宋" w:eastAsia="仿宋" w:cs="仿宋"/>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2E276D4">
            <w:pPr>
              <w:spacing w:line="360" w:lineRule="auto"/>
              <w:contextualSpacing/>
              <w:rPr>
                <w:rFonts w:hint="eastAsia" w:ascii="仿宋" w:hAnsi="仿宋" w:eastAsia="仿宋" w:cs="仿宋"/>
                <w:color w:val="auto"/>
                <w:sz w:val="24"/>
                <w:highlight w:val="none"/>
              </w:rPr>
            </w:pPr>
          </w:p>
        </w:tc>
      </w:tr>
    </w:tbl>
    <w:p w14:paraId="6E897C72">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06D382CE">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供应商的报价表必须加盖供应商电子签章并由法定代表人或者委托代理人签字或者电子签名，</w:t>
      </w:r>
      <w:r>
        <w:rPr>
          <w:rFonts w:hint="eastAsia" w:ascii="仿宋" w:hAnsi="仿宋" w:eastAsia="仿宋" w:cs="仿宋"/>
          <w:b/>
          <w:color w:val="auto"/>
          <w:sz w:val="24"/>
          <w:highlight w:val="none"/>
        </w:rPr>
        <w:t>否则其响应文件按无效处理</w:t>
      </w:r>
      <w:r>
        <w:rPr>
          <w:rFonts w:hint="eastAsia" w:ascii="仿宋" w:hAnsi="仿宋" w:eastAsia="仿宋" w:cs="仿宋"/>
          <w:color w:val="auto"/>
          <w:sz w:val="24"/>
          <w:highlight w:val="none"/>
        </w:rPr>
        <w:t>。</w:t>
      </w:r>
    </w:p>
    <w:p w14:paraId="72D35482">
      <w:pPr>
        <w:spacing w:line="360" w:lineRule="auto"/>
        <w:ind w:firstLine="480" w:firstLineChars="200"/>
        <w:contextualSpacing/>
        <w:jc w:val="lef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报价一经涂改，应在涂改处加盖供应商公章或者加盖电子签章或者由法定代表人或者授权委托人签字（或者电子签名）</w:t>
      </w:r>
      <w:r>
        <w:rPr>
          <w:rFonts w:hint="eastAsia" w:ascii="仿宋" w:hAnsi="仿宋" w:eastAsia="仿宋" w:cs="仿宋"/>
          <w:b/>
          <w:color w:val="auto"/>
          <w:sz w:val="24"/>
          <w:highlight w:val="none"/>
        </w:rPr>
        <w:t>，否则其响应文件按无效处理。</w:t>
      </w:r>
    </w:p>
    <w:p w14:paraId="5E5CEF31">
      <w:pPr>
        <w:spacing w:line="360" w:lineRule="auto"/>
        <w:ind w:firstLine="480" w:firstLineChars="200"/>
        <w:contextualSpacing/>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3.如为联合体竞标，“供应商名称”处必须列明联合体各方名称，标注联合体牵头人名称，</w:t>
      </w:r>
      <w:r>
        <w:rPr>
          <w:rFonts w:hint="eastAsia" w:ascii="仿宋" w:hAnsi="仿宋" w:eastAsia="仿宋" w:cs="仿宋"/>
          <w:b/>
          <w:color w:val="auto"/>
          <w:sz w:val="24"/>
          <w:highlight w:val="none"/>
        </w:rPr>
        <w:t>否则其响应文件按无效响应处理。</w:t>
      </w:r>
    </w:p>
    <w:p w14:paraId="131A55C7">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 如为联合体竞标，</w:t>
      </w:r>
      <w:r>
        <w:rPr>
          <w:rFonts w:hint="eastAsia" w:ascii="仿宋" w:hAnsi="仿宋" w:eastAsia="仿宋" w:cs="仿宋"/>
          <w:color w:val="auto"/>
          <w:spacing w:val="-6"/>
          <w:sz w:val="24"/>
          <w:highlight w:val="none"/>
        </w:rPr>
        <w:t>盖章处须加盖联合体牵头人电子签章</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否则其响应文件按无效处理。</w:t>
      </w:r>
    </w:p>
    <w:p w14:paraId="143478D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pacing w:val="-6"/>
          <w:sz w:val="24"/>
          <w:highlight w:val="none"/>
        </w:rPr>
        <w:t>如有多分标，分别列明各分标的报价表，</w:t>
      </w:r>
      <w:r>
        <w:rPr>
          <w:rFonts w:hint="eastAsia" w:ascii="仿宋" w:hAnsi="仿宋" w:eastAsia="仿宋" w:cs="仿宋"/>
          <w:b/>
          <w:color w:val="auto"/>
          <w:spacing w:val="-6"/>
          <w:sz w:val="24"/>
          <w:highlight w:val="none"/>
        </w:rPr>
        <w:t>否则其响应文件按无效响应处理。</w:t>
      </w:r>
    </w:p>
    <w:p w14:paraId="609DC218">
      <w:pPr>
        <w:spacing w:line="360" w:lineRule="auto"/>
        <w:ind w:right="-817" w:rightChars="-389"/>
        <w:contextualSpacing/>
        <w:rPr>
          <w:rFonts w:hint="eastAsia" w:ascii="仿宋" w:hAnsi="仿宋" w:eastAsia="仿宋" w:cs="仿宋"/>
          <w:color w:val="auto"/>
          <w:sz w:val="24"/>
          <w:highlight w:val="none"/>
        </w:rPr>
      </w:pPr>
    </w:p>
    <w:p w14:paraId="43ABC609">
      <w:pPr>
        <w:spacing w:line="360" w:lineRule="auto"/>
        <w:ind w:right="-817" w:rightChars="-389" w:firstLine="2640" w:firstLineChars="1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法定代表人或者委托代理人（签字或者电子签名）：</w:t>
      </w:r>
    </w:p>
    <w:p w14:paraId="4B1D135C">
      <w:pPr>
        <w:spacing w:line="360" w:lineRule="auto"/>
        <w:ind w:right="-817" w:rightChars="-389" w:firstLine="2640" w:firstLineChars="1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供应商（电子签章）：</w:t>
      </w:r>
    </w:p>
    <w:p w14:paraId="625867CF">
      <w:pPr>
        <w:spacing w:line="360" w:lineRule="auto"/>
        <w:ind w:right="-817" w:rightChars="-389" w:firstLine="4080" w:firstLineChars="17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日期：年月日</w:t>
      </w:r>
    </w:p>
    <w:p w14:paraId="04829780">
      <w:pPr>
        <w:spacing w:line="360" w:lineRule="auto"/>
        <w:ind w:right="420"/>
        <w:contextualSpacing/>
        <w:jc w:val="left"/>
        <w:rPr>
          <w:rFonts w:hint="eastAsia" w:ascii="仿宋" w:hAnsi="仿宋" w:eastAsia="仿宋" w:cs="仿宋"/>
          <w:b/>
          <w:bCs/>
          <w:color w:val="auto"/>
          <w:sz w:val="32"/>
          <w:szCs w:val="32"/>
          <w:highlight w:val="none"/>
        </w:rPr>
      </w:pPr>
    </w:p>
    <w:p w14:paraId="0ACCCB6B">
      <w:pPr>
        <w:spacing w:line="360" w:lineRule="auto"/>
        <w:ind w:right="420"/>
        <w:contextualSpacing/>
        <w:jc w:val="left"/>
        <w:rPr>
          <w:rFonts w:hint="eastAsia" w:ascii="仿宋" w:hAnsi="仿宋" w:eastAsia="仿宋" w:cs="仿宋"/>
          <w:b/>
          <w:bCs/>
          <w:color w:val="auto"/>
          <w:sz w:val="32"/>
          <w:szCs w:val="32"/>
          <w:highlight w:val="none"/>
        </w:rPr>
      </w:pPr>
    </w:p>
    <w:p w14:paraId="4FD3E0D7">
      <w:pPr>
        <w:spacing w:line="360" w:lineRule="auto"/>
        <w:ind w:right="420"/>
        <w:contextualSpacing/>
        <w:jc w:val="left"/>
        <w:rPr>
          <w:rFonts w:hint="eastAsia" w:ascii="仿宋" w:hAnsi="仿宋" w:eastAsia="仿宋" w:cs="仿宋"/>
          <w:b/>
          <w:bCs/>
          <w:color w:val="auto"/>
          <w:sz w:val="32"/>
          <w:szCs w:val="32"/>
          <w:highlight w:val="none"/>
        </w:rPr>
      </w:pPr>
    </w:p>
    <w:p w14:paraId="5712F895">
      <w:pPr>
        <w:spacing w:line="360" w:lineRule="auto"/>
        <w:ind w:right="420"/>
        <w:contextualSpacing/>
        <w:jc w:val="left"/>
        <w:rPr>
          <w:rFonts w:hint="eastAsia" w:ascii="仿宋" w:hAnsi="仿宋" w:eastAsia="仿宋" w:cs="仿宋"/>
          <w:b/>
          <w:bCs/>
          <w:color w:val="auto"/>
          <w:sz w:val="32"/>
          <w:szCs w:val="32"/>
          <w:highlight w:val="none"/>
        </w:rPr>
      </w:pPr>
    </w:p>
    <w:p w14:paraId="2EB0DBA5">
      <w:pPr>
        <w:spacing w:line="360" w:lineRule="auto"/>
        <w:ind w:right="420"/>
        <w:contextualSpacing/>
        <w:jc w:val="left"/>
        <w:rPr>
          <w:rFonts w:hint="eastAsia" w:ascii="仿宋" w:hAnsi="仿宋" w:eastAsia="仿宋" w:cs="仿宋"/>
          <w:b/>
          <w:bCs/>
          <w:color w:val="auto"/>
          <w:sz w:val="32"/>
          <w:szCs w:val="32"/>
          <w:highlight w:val="none"/>
        </w:rPr>
      </w:pPr>
    </w:p>
    <w:p w14:paraId="0768D008">
      <w:pPr>
        <w:spacing w:line="520" w:lineRule="exact"/>
        <w:jc w:val="center"/>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44"/>
          <w:szCs w:val="44"/>
          <w:highlight w:val="none"/>
        </w:rPr>
        <w:t>磋商报价表</w:t>
      </w:r>
      <w:r>
        <w:rPr>
          <w:rFonts w:hint="eastAsia" w:ascii="仿宋" w:hAnsi="仿宋" w:eastAsia="仿宋" w:cs="仿宋"/>
          <w:bCs/>
          <w:color w:val="auto"/>
          <w:sz w:val="44"/>
          <w:szCs w:val="44"/>
          <w:highlight w:val="none"/>
          <w:lang w:eastAsia="zh-CN"/>
        </w:rPr>
        <w:t>（</w:t>
      </w:r>
      <w:r>
        <w:rPr>
          <w:rFonts w:hint="eastAsia" w:ascii="仿宋" w:hAnsi="仿宋" w:eastAsia="仿宋" w:cs="仿宋"/>
          <w:bCs/>
          <w:color w:val="auto"/>
          <w:sz w:val="44"/>
          <w:szCs w:val="44"/>
          <w:highlight w:val="none"/>
          <w:lang w:val="en-US" w:eastAsia="zh-CN"/>
        </w:rPr>
        <w:t>分标2）</w:t>
      </w:r>
    </w:p>
    <w:p w14:paraId="4E00D4F3">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4260F060">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2382AEB5">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分标（如有）：</w:t>
      </w:r>
    </w:p>
    <w:p w14:paraId="1CB5C04D">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p>
    <w:tbl>
      <w:tblPr>
        <w:tblStyle w:val="34"/>
        <w:tblW w:w="995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704"/>
        <w:gridCol w:w="929"/>
        <w:gridCol w:w="1264"/>
        <w:gridCol w:w="1799"/>
        <w:gridCol w:w="1288"/>
        <w:gridCol w:w="1335"/>
      </w:tblGrid>
      <w:tr w14:paraId="3EE5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31" w:type="dxa"/>
            <w:tcBorders>
              <w:top w:val="single" w:color="auto" w:sz="4" w:space="0"/>
              <w:left w:val="single" w:color="auto" w:sz="4" w:space="0"/>
              <w:bottom w:val="single" w:color="auto" w:sz="4" w:space="0"/>
              <w:right w:val="single" w:color="auto" w:sz="4" w:space="0"/>
            </w:tcBorders>
            <w:vAlign w:val="center"/>
          </w:tcPr>
          <w:p w14:paraId="3D29E356">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04" w:type="dxa"/>
            <w:tcBorders>
              <w:top w:val="single" w:color="auto" w:sz="4" w:space="0"/>
              <w:left w:val="single" w:color="auto" w:sz="4" w:space="0"/>
              <w:bottom w:val="single" w:color="auto" w:sz="4" w:space="0"/>
              <w:right w:val="single" w:color="auto" w:sz="4" w:space="0"/>
            </w:tcBorders>
            <w:vAlign w:val="center"/>
          </w:tcPr>
          <w:p w14:paraId="3E0CB111">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标的名称</w:t>
            </w:r>
          </w:p>
        </w:tc>
        <w:tc>
          <w:tcPr>
            <w:tcW w:w="929" w:type="dxa"/>
            <w:tcBorders>
              <w:top w:val="single" w:color="auto" w:sz="4" w:space="0"/>
              <w:left w:val="single" w:color="auto" w:sz="4" w:space="0"/>
              <w:bottom w:val="single" w:color="auto" w:sz="4" w:space="0"/>
              <w:right w:val="single" w:color="auto" w:sz="4" w:space="0"/>
            </w:tcBorders>
            <w:vAlign w:val="center"/>
          </w:tcPr>
          <w:p w14:paraId="65289BD1">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264" w:type="dxa"/>
            <w:tcBorders>
              <w:top w:val="single" w:color="auto" w:sz="4" w:space="0"/>
              <w:left w:val="single" w:color="auto" w:sz="4" w:space="0"/>
              <w:bottom w:val="single" w:color="auto" w:sz="4" w:space="0"/>
              <w:right w:val="single" w:color="auto" w:sz="4" w:space="0"/>
            </w:tcBorders>
            <w:vAlign w:val="center"/>
          </w:tcPr>
          <w:p w14:paraId="4DBD34C2">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799" w:type="dxa"/>
            <w:tcBorders>
              <w:top w:val="single" w:color="auto" w:sz="4" w:space="0"/>
              <w:left w:val="single" w:color="auto" w:sz="4" w:space="0"/>
              <w:bottom w:val="single" w:color="auto" w:sz="4" w:space="0"/>
              <w:right w:val="single" w:color="auto" w:sz="4" w:space="0"/>
            </w:tcBorders>
            <w:vAlign w:val="center"/>
          </w:tcPr>
          <w:p w14:paraId="1B941FC4">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288" w:type="dxa"/>
            <w:tcBorders>
              <w:top w:val="single" w:color="auto" w:sz="4" w:space="0"/>
              <w:left w:val="single" w:color="auto" w:sz="4" w:space="0"/>
              <w:bottom w:val="single" w:color="auto" w:sz="4" w:space="0"/>
              <w:right w:val="single" w:color="auto" w:sz="4" w:space="0"/>
            </w:tcBorders>
            <w:vAlign w:val="center"/>
          </w:tcPr>
          <w:p w14:paraId="4D829665">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1335" w:type="dxa"/>
            <w:tcBorders>
              <w:top w:val="single" w:color="auto" w:sz="4" w:space="0"/>
              <w:left w:val="single" w:color="auto" w:sz="4" w:space="0"/>
              <w:bottom w:val="single" w:color="auto" w:sz="4" w:space="0"/>
              <w:right w:val="single" w:color="auto" w:sz="4" w:space="0"/>
            </w:tcBorders>
            <w:vAlign w:val="center"/>
          </w:tcPr>
          <w:p w14:paraId="6EE58456">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687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31" w:type="dxa"/>
            <w:tcBorders>
              <w:top w:val="single" w:color="auto" w:sz="4" w:space="0"/>
              <w:left w:val="single" w:color="auto" w:sz="4" w:space="0"/>
              <w:bottom w:val="single" w:color="auto" w:sz="4" w:space="0"/>
              <w:right w:val="single" w:color="auto" w:sz="4" w:space="0"/>
            </w:tcBorders>
            <w:vAlign w:val="center"/>
          </w:tcPr>
          <w:p w14:paraId="46CE74AE">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704" w:type="dxa"/>
            <w:tcBorders>
              <w:top w:val="single" w:color="auto" w:sz="4" w:space="0"/>
              <w:left w:val="single" w:color="auto" w:sz="4" w:space="0"/>
              <w:bottom w:val="single" w:color="auto" w:sz="4" w:space="0"/>
              <w:right w:val="single" w:color="auto" w:sz="4" w:space="0"/>
            </w:tcBorders>
            <w:vAlign w:val="center"/>
          </w:tcPr>
          <w:p w14:paraId="4D0577F1">
            <w:pPr>
              <w:spacing w:line="360" w:lineRule="auto"/>
              <w:contextualSpacing/>
              <w:rPr>
                <w:rFonts w:hint="eastAsia" w:ascii="仿宋" w:hAnsi="仿宋" w:eastAsia="仿宋" w:cs="仿宋"/>
                <w:color w:val="auto"/>
                <w:sz w:val="24"/>
                <w:highlight w:val="none"/>
              </w:rPr>
            </w:pPr>
          </w:p>
        </w:tc>
        <w:tc>
          <w:tcPr>
            <w:tcW w:w="929" w:type="dxa"/>
            <w:tcBorders>
              <w:top w:val="single" w:color="auto" w:sz="4" w:space="0"/>
              <w:left w:val="single" w:color="auto" w:sz="4" w:space="0"/>
              <w:bottom w:val="single" w:color="auto" w:sz="4" w:space="0"/>
              <w:right w:val="single" w:color="auto" w:sz="4" w:space="0"/>
            </w:tcBorders>
            <w:vAlign w:val="center"/>
          </w:tcPr>
          <w:p w14:paraId="74A10F4C">
            <w:pPr>
              <w:spacing w:line="360" w:lineRule="auto"/>
              <w:contextualSpacing/>
              <w:jc w:val="center"/>
              <w:rPr>
                <w:rFonts w:hint="eastAsia" w:ascii="仿宋" w:hAnsi="仿宋" w:eastAsia="仿宋" w:cs="仿宋"/>
                <w:color w:val="auto"/>
                <w:sz w:val="24"/>
                <w:highlight w:val="none"/>
              </w:rPr>
            </w:pPr>
          </w:p>
        </w:tc>
        <w:tc>
          <w:tcPr>
            <w:tcW w:w="1264" w:type="dxa"/>
            <w:tcBorders>
              <w:top w:val="single" w:color="auto" w:sz="4" w:space="0"/>
              <w:left w:val="single" w:color="auto" w:sz="4" w:space="0"/>
              <w:bottom w:val="single" w:color="auto" w:sz="4" w:space="0"/>
              <w:right w:val="single" w:color="auto" w:sz="4" w:space="0"/>
            </w:tcBorders>
          </w:tcPr>
          <w:p w14:paraId="069D1702">
            <w:pPr>
              <w:spacing w:line="360" w:lineRule="auto"/>
              <w:contextualSpacing/>
              <w:rPr>
                <w:rFonts w:hint="eastAsia" w:ascii="仿宋" w:hAnsi="仿宋" w:eastAsia="仿宋" w:cs="仿宋"/>
                <w:color w:val="auto"/>
                <w:sz w:val="24"/>
                <w:highlight w:val="none"/>
              </w:rPr>
            </w:pPr>
          </w:p>
        </w:tc>
        <w:tc>
          <w:tcPr>
            <w:tcW w:w="1799" w:type="dxa"/>
            <w:tcBorders>
              <w:top w:val="single" w:color="auto" w:sz="4" w:space="0"/>
              <w:left w:val="single" w:color="auto" w:sz="4" w:space="0"/>
              <w:bottom w:val="single" w:color="auto" w:sz="4" w:space="0"/>
              <w:right w:val="single" w:color="auto" w:sz="4" w:space="0"/>
            </w:tcBorders>
          </w:tcPr>
          <w:p w14:paraId="21B2BCE0">
            <w:pPr>
              <w:spacing w:line="360" w:lineRule="auto"/>
              <w:contextualSpacing/>
              <w:rPr>
                <w:rFonts w:hint="eastAsia" w:ascii="仿宋" w:hAnsi="仿宋" w:eastAsia="仿宋" w:cs="仿宋"/>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tcPr>
          <w:p w14:paraId="2C1158E4">
            <w:pPr>
              <w:spacing w:line="360" w:lineRule="auto"/>
              <w:contextualSpacing/>
              <w:rPr>
                <w:rFonts w:hint="eastAsia" w:ascii="仿宋" w:hAnsi="仿宋" w:eastAsia="仿宋" w:cs="仿宋"/>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76795394">
            <w:pPr>
              <w:spacing w:line="360" w:lineRule="auto"/>
              <w:contextualSpacing/>
              <w:rPr>
                <w:rFonts w:hint="eastAsia" w:ascii="仿宋" w:hAnsi="仿宋" w:eastAsia="仿宋" w:cs="仿宋"/>
                <w:color w:val="auto"/>
                <w:sz w:val="24"/>
                <w:highlight w:val="none"/>
              </w:rPr>
            </w:pPr>
          </w:p>
        </w:tc>
      </w:tr>
      <w:tr w14:paraId="348E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50" w:type="dxa"/>
            <w:gridSpan w:val="7"/>
            <w:tcBorders>
              <w:top w:val="single" w:color="auto" w:sz="4" w:space="0"/>
              <w:left w:val="single" w:color="auto" w:sz="4" w:space="0"/>
              <w:bottom w:val="single" w:color="auto" w:sz="4" w:space="0"/>
              <w:right w:val="single" w:color="auto" w:sz="4" w:space="0"/>
            </w:tcBorders>
            <w:vAlign w:val="center"/>
          </w:tcPr>
          <w:p w14:paraId="056ECFC9">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合计金额大写：人民币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3554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50" w:type="dxa"/>
            <w:gridSpan w:val="7"/>
            <w:tcBorders>
              <w:top w:val="single" w:color="auto" w:sz="4" w:space="0"/>
              <w:left w:val="single" w:color="auto" w:sz="4" w:space="0"/>
              <w:bottom w:val="single" w:color="auto" w:sz="4" w:space="0"/>
              <w:right w:val="single" w:color="auto" w:sz="4" w:space="0"/>
            </w:tcBorders>
            <w:vAlign w:val="center"/>
          </w:tcPr>
          <w:p w14:paraId="34A2D910">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r>
    </w:tbl>
    <w:p w14:paraId="177D068B">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773B8769">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供应商的报价表必须加盖供应商电子签章并由法定代表人或者委托代理人签字或者电子签名，</w:t>
      </w:r>
      <w:r>
        <w:rPr>
          <w:rFonts w:hint="eastAsia" w:ascii="仿宋" w:hAnsi="仿宋" w:eastAsia="仿宋" w:cs="仿宋"/>
          <w:b/>
          <w:color w:val="auto"/>
          <w:sz w:val="24"/>
          <w:highlight w:val="none"/>
        </w:rPr>
        <w:t>否则其响应文件按无效处理</w:t>
      </w:r>
      <w:r>
        <w:rPr>
          <w:rFonts w:hint="eastAsia" w:ascii="仿宋" w:hAnsi="仿宋" w:eastAsia="仿宋" w:cs="仿宋"/>
          <w:color w:val="auto"/>
          <w:sz w:val="24"/>
          <w:highlight w:val="none"/>
        </w:rPr>
        <w:t>。</w:t>
      </w:r>
    </w:p>
    <w:p w14:paraId="7C27FC6C">
      <w:pPr>
        <w:spacing w:line="360" w:lineRule="auto"/>
        <w:ind w:firstLine="480" w:firstLineChars="200"/>
        <w:contextualSpacing/>
        <w:jc w:val="lef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color w:val="auto"/>
          <w:sz w:val="24"/>
          <w:highlight w:val="none"/>
        </w:rPr>
        <w:t>报价一经涂改，应在涂改处加盖供应商公章或者加盖电子签章或者由法定代表人或者授权委托人签字（或者电子签名）</w:t>
      </w:r>
      <w:r>
        <w:rPr>
          <w:rFonts w:hint="eastAsia" w:ascii="仿宋" w:hAnsi="仿宋" w:eastAsia="仿宋" w:cs="仿宋"/>
          <w:b/>
          <w:color w:val="auto"/>
          <w:sz w:val="24"/>
          <w:highlight w:val="none"/>
        </w:rPr>
        <w:t>，否则其响应文件按无效处理。</w:t>
      </w:r>
    </w:p>
    <w:p w14:paraId="790FE698">
      <w:pPr>
        <w:spacing w:line="360" w:lineRule="auto"/>
        <w:ind w:firstLine="480" w:firstLineChars="200"/>
        <w:contextualSpacing/>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3.如为联合体竞标，“供应商名称”处必须列明联合体各方名称，标注联合体牵头人名称，</w:t>
      </w:r>
      <w:r>
        <w:rPr>
          <w:rFonts w:hint="eastAsia" w:ascii="仿宋" w:hAnsi="仿宋" w:eastAsia="仿宋" w:cs="仿宋"/>
          <w:b/>
          <w:color w:val="auto"/>
          <w:sz w:val="24"/>
          <w:highlight w:val="none"/>
        </w:rPr>
        <w:t>否则其响应文件按无效响应处理。</w:t>
      </w:r>
    </w:p>
    <w:p w14:paraId="0B2DAE2E">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 如为联合体竞标，</w:t>
      </w:r>
      <w:r>
        <w:rPr>
          <w:rFonts w:hint="eastAsia" w:ascii="仿宋" w:hAnsi="仿宋" w:eastAsia="仿宋" w:cs="仿宋"/>
          <w:color w:val="auto"/>
          <w:spacing w:val="-6"/>
          <w:sz w:val="24"/>
          <w:highlight w:val="none"/>
        </w:rPr>
        <w:t>盖章处须加盖联合体牵头人电子签章</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否则其响应文件按无效处理。</w:t>
      </w:r>
    </w:p>
    <w:p w14:paraId="1870532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pacing w:val="-6"/>
          <w:sz w:val="24"/>
          <w:highlight w:val="none"/>
        </w:rPr>
        <w:t>如有多分标，分别列明各分标的报价表，</w:t>
      </w:r>
      <w:r>
        <w:rPr>
          <w:rFonts w:hint="eastAsia" w:ascii="仿宋" w:hAnsi="仿宋" w:eastAsia="仿宋" w:cs="仿宋"/>
          <w:b/>
          <w:color w:val="auto"/>
          <w:spacing w:val="-6"/>
          <w:sz w:val="24"/>
          <w:highlight w:val="none"/>
        </w:rPr>
        <w:t>否则其响应文件按无效响应处理。</w:t>
      </w:r>
    </w:p>
    <w:p w14:paraId="3C728A6B">
      <w:pPr>
        <w:spacing w:line="360" w:lineRule="auto"/>
        <w:ind w:right="-817" w:rightChars="-389"/>
        <w:contextualSpacing/>
        <w:rPr>
          <w:rFonts w:hint="eastAsia" w:ascii="仿宋" w:hAnsi="仿宋" w:eastAsia="仿宋" w:cs="仿宋"/>
          <w:color w:val="auto"/>
          <w:sz w:val="24"/>
          <w:highlight w:val="none"/>
        </w:rPr>
      </w:pPr>
    </w:p>
    <w:p w14:paraId="57908468">
      <w:pPr>
        <w:spacing w:line="360" w:lineRule="auto"/>
        <w:ind w:right="-817" w:rightChars="-389" w:firstLine="2640" w:firstLineChars="1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法定代表人或者委托代理人（签字或者电子签名）：</w:t>
      </w:r>
    </w:p>
    <w:p w14:paraId="29E4D0C3">
      <w:pPr>
        <w:spacing w:line="360" w:lineRule="auto"/>
        <w:ind w:right="-817" w:rightChars="-389" w:firstLine="2640" w:firstLineChars="1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供应商（电子签章）：</w:t>
      </w:r>
    </w:p>
    <w:p w14:paraId="53DB5767">
      <w:pPr>
        <w:spacing w:line="360" w:lineRule="auto"/>
        <w:ind w:right="-817" w:rightChars="-389" w:firstLine="4080" w:firstLineChars="17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6211892D">
      <w:pPr>
        <w:spacing w:line="360" w:lineRule="auto"/>
        <w:ind w:right="420"/>
        <w:contextualSpacing/>
        <w:jc w:val="left"/>
        <w:rPr>
          <w:rFonts w:hint="eastAsia" w:ascii="仿宋" w:hAnsi="仿宋" w:eastAsia="仿宋" w:cs="仿宋"/>
          <w:b/>
          <w:bCs/>
          <w:color w:val="auto"/>
          <w:sz w:val="32"/>
          <w:szCs w:val="32"/>
          <w:highlight w:val="none"/>
        </w:rPr>
      </w:pPr>
    </w:p>
    <w:p w14:paraId="527A4FDE">
      <w:pPr>
        <w:spacing w:line="360" w:lineRule="auto"/>
        <w:ind w:right="420"/>
        <w:contextualSpacing/>
        <w:jc w:val="left"/>
        <w:rPr>
          <w:rFonts w:hint="eastAsia" w:ascii="仿宋" w:hAnsi="仿宋" w:eastAsia="仿宋" w:cs="仿宋"/>
          <w:b/>
          <w:bCs/>
          <w:color w:val="auto"/>
          <w:sz w:val="32"/>
          <w:szCs w:val="32"/>
          <w:highlight w:val="none"/>
        </w:rPr>
      </w:pPr>
    </w:p>
    <w:p w14:paraId="0FFCFB81">
      <w:pPr>
        <w:spacing w:line="360" w:lineRule="auto"/>
        <w:ind w:right="420"/>
        <w:contextualSpacing/>
        <w:jc w:val="left"/>
        <w:rPr>
          <w:rFonts w:hint="eastAsia" w:ascii="仿宋" w:hAnsi="仿宋" w:eastAsia="仿宋" w:cs="仿宋"/>
          <w:b/>
          <w:bCs/>
          <w:color w:val="auto"/>
          <w:sz w:val="32"/>
          <w:szCs w:val="32"/>
          <w:highlight w:val="none"/>
        </w:rPr>
      </w:pPr>
    </w:p>
    <w:p w14:paraId="29C696DF">
      <w:pPr>
        <w:spacing w:line="360" w:lineRule="auto"/>
        <w:ind w:right="420"/>
        <w:contextualSpacing/>
        <w:jc w:val="left"/>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三、</w:t>
      </w:r>
      <w:r>
        <w:rPr>
          <w:rFonts w:hint="eastAsia" w:ascii="仿宋" w:hAnsi="仿宋" w:eastAsia="仿宋" w:cs="仿宋"/>
          <w:b/>
          <w:color w:val="auto"/>
          <w:sz w:val="32"/>
          <w:szCs w:val="32"/>
          <w:highlight w:val="none"/>
        </w:rPr>
        <w:t>商务技术文件格式</w:t>
      </w:r>
    </w:p>
    <w:p w14:paraId="75AA66F8">
      <w:pPr>
        <w:snapToGrid w:val="0"/>
        <w:spacing w:before="156" w:beforeLines="50" w:after="50"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1.商务技术文件封面格式</w:t>
      </w:r>
    </w:p>
    <w:p w14:paraId="4E9B5393">
      <w:pPr>
        <w:snapToGrid w:val="0"/>
        <w:spacing w:before="156" w:beforeLines="50" w:after="50"/>
        <w:rPr>
          <w:rFonts w:hint="eastAsia" w:ascii="仿宋" w:hAnsi="仿宋" w:eastAsia="仿宋" w:cs="仿宋"/>
          <w:bCs/>
          <w:color w:val="auto"/>
          <w:sz w:val="32"/>
          <w:szCs w:val="20"/>
          <w:highlight w:val="none"/>
        </w:rPr>
      </w:pPr>
    </w:p>
    <w:p w14:paraId="43FA3024">
      <w:pPr>
        <w:snapToGrid w:val="0"/>
        <w:spacing w:before="156" w:beforeLines="50" w:after="50"/>
        <w:jc w:val="center"/>
        <w:rPr>
          <w:rFonts w:hint="eastAsia" w:ascii="仿宋" w:hAnsi="仿宋" w:eastAsia="仿宋" w:cs="仿宋"/>
          <w:color w:val="auto"/>
          <w:sz w:val="24"/>
          <w:szCs w:val="20"/>
          <w:highlight w:val="none"/>
        </w:rPr>
      </w:pPr>
      <w:r>
        <w:rPr>
          <w:rFonts w:hint="eastAsia" w:ascii="仿宋" w:hAnsi="仿宋" w:eastAsia="仿宋" w:cs="仿宋"/>
          <w:color w:val="auto"/>
          <w:sz w:val="44"/>
          <w:szCs w:val="44"/>
          <w:highlight w:val="none"/>
        </w:rPr>
        <w:t>电子响应文件</w:t>
      </w:r>
    </w:p>
    <w:p w14:paraId="17A3CB80">
      <w:pPr>
        <w:snapToGrid w:val="0"/>
        <w:spacing w:before="156" w:beforeLines="50" w:after="50"/>
        <w:rPr>
          <w:rFonts w:hint="eastAsia" w:ascii="仿宋" w:hAnsi="仿宋" w:eastAsia="仿宋" w:cs="仿宋"/>
          <w:color w:val="auto"/>
          <w:sz w:val="24"/>
          <w:szCs w:val="20"/>
          <w:highlight w:val="none"/>
        </w:rPr>
      </w:pPr>
    </w:p>
    <w:p w14:paraId="30B0796E">
      <w:pPr>
        <w:snapToGrid w:val="0"/>
        <w:spacing w:before="156" w:beforeLines="50" w:after="50"/>
        <w:rPr>
          <w:rFonts w:hint="eastAsia" w:ascii="仿宋" w:hAnsi="仿宋" w:eastAsia="仿宋" w:cs="仿宋"/>
          <w:color w:val="auto"/>
          <w:sz w:val="24"/>
          <w:szCs w:val="20"/>
          <w:highlight w:val="none"/>
        </w:rPr>
      </w:pPr>
    </w:p>
    <w:p w14:paraId="23DFDC86">
      <w:pPr>
        <w:snapToGrid w:val="0"/>
        <w:spacing w:before="156"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商务技术文件</w:t>
      </w:r>
    </w:p>
    <w:p w14:paraId="2BFE8B94">
      <w:pPr>
        <w:snapToGrid w:val="0"/>
        <w:spacing w:before="156" w:beforeLines="50" w:after="50"/>
        <w:rPr>
          <w:rFonts w:hint="eastAsia" w:ascii="仿宋" w:hAnsi="仿宋" w:eastAsia="仿宋" w:cs="仿宋"/>
          <w:bCs/>
          <w:color w:val="auto"/>
          <w:sz w:val="24"/>
          <w:szCs w:val="20"/>
          <w:highlight w:val="none"/>
        </w:rPr>
      </w:pPr>
    </w:p>
    <w:p w14:paraId="23D26B6A">
      <w:pPr>
        <w:snapToGrid w:val="0"/>
        <w:spacing w:before="156" w:beforeLines="50" w:after="50"/>
        <w:rPr>
          <w:rFonts w:hint="eastAsia" w:ascii="仿宋" w:hAnsi="仿宋" w:eastAsia="仿宋" w:cs="仿宋"/>
          <w:bCs/>
          <w:color w:val="auto"/>
          <w:sz w:val="24"/>
          <w:szCs w:val="20"/>
          <w:highlight w:val="none"/>
        </w:rPr>
      </w:pPr>
    </w:p>
    <w:p w14:paraId="19E69F41">
      <w:pPr>
        <w:snapToGrid w:val="0"/>
        <w:spacing w:before="156" w:beforeLines="50" w:after="50"/>
        <w:rPr>
          <w:rFonts w:hint="eastAsia" w:ascii="仿宋" w:hAnsi="仿宋" w:eastAsia="仿宋" w:cs="仿宋"/>
          <w:bCs/>
          <w:color w:val="auto"/>
          <w:sz w:val="24"/>
          <w:szCs w:val="20"/>
          <w:highlight w:val="none"/>
        </w:rPr>
      </w:pPr>
    </w:p>
    <w:p w14:paraId="5DB614CA">
      <w:pPr>
        <w:snapToGrid w:val="0"/>
        <w:spacing w:before="156" w:beforeLines="50" w:after="50"/>
        <w:rPr>
          <w:rFonts w:hint="eastAsia" w:ascii="仿宋" w:hAnsi="仿宋" w:eastAsia="仿宋" w:cs="仿宋"/>
          <w:bCs/>
          <w:color w:val="auto"/>
          <w:sz w:val="24"/>
          <w:szCs w:val="20"/>
          <w:highlight w:val="none"/>
        </w:rPr>
      </w:pPr>
    </w:p>
    <w:p w14:paraId="0E746807">
      <w:pPr>
        <w:snapToGrid w:val="0"/>
        <w:spacing w:before="156" w:beforeLines="50" w:after="50"/>
        <w:rPr>
          <w:rFonts w:hint="eastAsia" w:ascii="仿宋" w:hAnsi="仿宋" w:eastAsia="仿宋" w:cs="仿宋"/>
          <w:bCs/>
          <w:color w:val="auto"/>
          <w:sz w:val="24"/>
          <w:szCs w:val="20"/>
          <w:highlight w:val="none"/>
        </w:rPr>
      </w:pPr>
    </w:p>
    <w:p w14:paraId="3EB9B0EC">
      <w:pPr>
        <w:snapToGrid w:val="0"/>
        <w:spacing w:before="156"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p>
    <w:p w14:paraId="1C7C2A76">
      <w:pPr>
        <w:snapToGrid w:val="0"/>
        <w:spacing w:before="156" w:beforeLines="50" w:after="50"/>
        <w:ind w:firstLine="720" w:firstLineChars="225"/>
        <w:rPr>
          <w:rFonts w:hint="eastAsia" w:ascii="仿宋" w:hAnsi="仿宋" w:eastAsia="仿宋" w:cs="仿宋"/>
          <w:bCs/>
          <w:color w:val="auto"/>
          <w:sz w:val="32"/>
          <w:szCs w:val="32"/>
          <w:highlight w:val="none"/>
        </w:rPr>
      </w:pPr>
    </w:p>
    <w:p w14:paraId="2D0252F8">
      <w:pPr>
        <w:snapToGrid w:val="0"/>
        <w:spacing w:before="156"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5AE83987">
      <w:pPr>
        <w:snapToGrid w:val="0"/>
        <w:spacing w:before="156" w:beforeLines="50" w:after="50"/>
        <w:ind w:firstLine="720" w:firstLineChars="225"/>
        <w:rPr>
          <w:rFonts w:hint="eastAsia" w:ascii="仿宋" w:hAnsi="仿宋" w:eastAsia="仿宋" w:cs="仿宋"/>
          <w:bCs/>
          <w:color w:val="auto"/>
          <w:sz w:val="32"/>
          <w:szCs w:val="32"/>
          <w:highlight w:val="none"/>
        </w:rPr>
      </w:pPr>
    </w:p>
    <w:p w14:paraId="04756C57">
      <w:pPr>
        <w:snapToGrid w:val="0"/>
        <w:spacing w:before="156"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所竞分标（如有则填写，无分标时填写“无”或者留空）：</w:t>
      </w:r>
    </w:p>
    <w:p w14:paraId="6EA31EC2">
      <w:pPr>
        <w:snapToGrid w:val="0"/>
        <w:spacing w:before="156" w:beforeLines="50" w:after="50"/>
        <w:ind w:firstLine="720" w:firstLineChars="225"/>
        <w:rPr>
          <w:rFonts w:hint="eastAsia" w:ascii="仿宋" w:hAnsi="仿宋" w:eastAsia="仿宋" w:cs="仿宋"/>
          <w:bCs/>
          <w:color w:val="auto"/>
          <w:sz w:val="32"/>
          <w:szCs w:val="32"/>
          <w:highlight w:val="none"/>
        </w:rPr>
      </w:pPr>
    </w:p>
    <w:p w14:paraId="0EBD7029">
      <w:pPr>
        <w:pStyle w:val="7"/>
        <w:snapToGrid w:val="0"/>
        <w:spacing w:before="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64875A12">
      <w:pPr>
        <w:pStyle w:val="7"/>
        <w:snapToGrid w:val="0"/>
        <w:spacing w:before="50" w:after="50"/>
        <w:ind w:firstLine="640" w:firstLineChars="200"/>
        <w:rPr>
          <w:rFonts w:hint="eastAsia" w:ascii="仿宋" w:hAnsi="仿宋" w:eastAsia="仿宋" w:cs="仿宋"/>
          <w:bCs/>
          <w:color w:val="auto"/>
          <w:sz w:val="32"/>
          <w:szCs w:val="32"/>
          <w:highlight w:val="none"/>
        </w:rPr>
      </w:pPr>
    </w:p>
    <w:p w14:paraId="422A1EFF">
      <w:pPr>
        <w:pStyle w:val="7"/>
        <w:snapToGrid w:val="0"/>
        <w:spacing w:before="50" w:after="50"/>
        <w:ind w:firstLine="720" w:firstLineChars="225"/>
        <w:rPr>
          <w:rFonts w:hint="eastAsia" w:ascii="仿宋" w:hAnsi="仿宋" w:eastAsia="仿宋" w:cs="仿宋"/>
          <w:bCs/>
          <w:color w:val="auto"/>
          <w:sz w:val="32"/>
          <w:szCs w:val="32"/>
          <w:highlight w:val="none"/>
        </w:rPr>
      </w:pPr>
    </w:p>
    <w:p w14:paraId="5CFB9A77">
      <w:pPr>
        <w:pStyle w:val="7"/>
        <w:snapToGrid w:val="0"/>
        <w:spacing w:before="50" w:after="50"/>
        <w:ind w:firstLine="0"/>
        <w:rPr>
          <w:rFonts w:hint="eastAsia" w:ascii="仿宋" w:hAnsi="仿宋" w:eastAsia="仿宋" w:cs="仿宋"/>
          <w:bCs/>
          <w:color w:val="auto"/>
          <w:sz w:val="32"/>
          <w:szCs w:val="32"/>
          <w:highlight w:val="none"/>
        </w:rPr>
      </w:pPr>
    </w:p>
    <w:p w14:paraId="2A5A4187">
      <w:pPr>
        <w:pStyle w:val="7"/>
        <w:snapToGrid w:val="0"/>
        <w:spacing w:before="50" w:after="50"/>
        <w:ind w:firstLine="1280" w:firstLineChars="400"/>
        <w:rPr>
          <w:rFonts w:hint="eastAsia" w:ascii="仿宋" w:hAnsi="仿宋" w:eastAsia="仿宋" w:cs="仿宋"/>
          <w:bCs/>
          <w:color w:val="auto"/>
          <w:sz w:val="32"/>
          <w:szCs w:val="32"/>
          <w:highlight w:val="none"/>
        </w:rPr>
      </w:pPr>
    </w:p>
    <w:p w14:paraId="59EFA594">
      <w:pPr>
        <w:snapToGrid w:val="0"/>
        <w:spacing w:before="156"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年月日</w:t>
      </w:r>
    </w:p>
    <w:p w14:paraId="64CF49BF">
      <w:pPr>
        <w:snapToGrid w:val="0"/>
        <w:spacing w:before="156" w:beforeLines="50" w:after="50" w:line="360" w:lineRule="auto"/>
        <w:ind w:right="480" w:firstLine="240" w:firstLineChars="1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32"/>
          <w:szCs w:val="32"/>
          <w:highlight w:val="none"/>
        </w:rPr>
        <w:t>2.商务技术文件目录</w:t>
      </w:r>
    </w:p>
    <w:p w14:paraId="7BB5DF69">
      <w:pPr>
        <w:snapToGrid w:val="0"/>
        <w:spacing w:before="156" w:beforeLines="50" w:after="50"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根据磋商文件规定及供应商提供的材料自行编写目录（部分格式后附）。</w:t>
      </w:r>
    </w:p>
    <w:p w14:paraId="2F4A0354">
      <w:pPr>
        <w:spacing w:line="400" w:lineRule="exact"/>
        <w:rPr>
          <w:rFonts w:hint="eastAsia" w:ascii="仿宋" w:hAnsi="仿宋" w:eastAsia="仿宋" w:cs="仿宋"/>
          <w:color w:val="auto"/>
          <w:sz w:val="32"/>
          <w:szCs w:val="32"/>
          <w:highlight w:val="none"/>
        </w:rPr>
      </w:pPr>
    </w:p>
    <w:p w14:paraId="009D6A62">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44"/>
          <w:szCs w:val="44"/>
          <w:highlight w:val="none"/>
        </w:rPr>
        <w:t>无串通竞标行为的承诺函</w:t>
      </w:r>
    </w:p>
    <w:p w14:paraId="6248D0E5">
      <w:pPr>
        <w:spacing w:line="360" w:lineRule="auto"/>
        <w:ind w:firstLine="640" w:firstLineChars="200"/>
        <w:contextualSpacing/>
        <w:rPr>
          <w:rFonts w:hint="eastAsia" w:ascii="仿宋" w:hAnsi="仿宋" w:eastAsia="仿宋" w:cs="仿宋"/>
          <w:color w:val="auto"/>
          <w:sz w:val="32"/>
          <w:szCs w:val="32"/>
          <w:highlight w:val="none"/>
        </w:rPr>
      </w:pPr>
    </w:p>
    <w:p w14:paraId="26DF993E">
      <w:pPr>
        <w:spacing w:line="360" w:lineRule="auto"/>
        <w:ind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一、我方承诺无下列相互串通竞标的情形：</w:t>
      </w:r>
    </w:p>
    <w:p w14:paraId="03F757A4">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1.不同供应商的响应文件由同一单位或者个人编制；</w:t>
      </w:r>
    </w:p>
    <w:p w14:paraId="38E2C35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2.不同供应商委托同一单位或者个人办理竞标事宜；</w:t>
      </w:r>
    </w:p>
    <w:p w14:paraId="4C7F652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3.不同供应商的响应文件载明的项目管理员为同一个人；</w:t>
      </w:r>
    </w:p>
    <w:p w14:paraId="5A4888B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4.不</w:t>
      </w:r>
      <w:r>
        <w:rPr>
          <w:rFonts w:hint="eastAsia" w:ascii="仿宋" w:hAnsi="仿宋" w:eastAsia="仿宋" w:cs="仿宋"/>
          <w:color w:val="auto"/>
          <w:spacing w:val="-6"/>
          <w:sz w:val="24"/>
          <w:highlight w:val="none"/>
        </w:rPr>
        <w:t>同供应商的响应文件异常一致或者竞标报价呈规律性差异；</w:t>
      </w:r>
    </w:p>
    <w:p w14:paraId="636197F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5.不同供应商的响应文件相互混装；</w:t>
      </w:r>
    </w:p>
    <w:p w14:paraId="54DE9FD5">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6.不同供应商的磋商保证金从同一单位或者个人账户转出。</w:t>
      </w:r>
    </w:p>
    <w:p w14:paraId="7941430A">
      <w:pPr>
        <w:spacing w:line="360" w:lineRule="auto"/>
        <w:ind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二、我方承诺无下列恶意串通的情形：</w:t>
      </w:r>
    </w:p>
    <w:p w14:paraId="3DBD650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1.供应商直接或者间接从采购人或者采购代理机构处获得其他供应商的相关信息并修改其响应文件；</w:t>
      </w:r>
    </w:p>
    <w:p w14:paraId="16720F2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2.供应商按照采购人或者采购代理机构的授意撤换、修改响应文件；</w:t>
      </w:r>
    </w:p>
    <w:p w14:paraId="38FC8DD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3.供</w:t>
      </w:r>
      <w:r>
        <w:rPr>
          <w:rFonts w:hint="eastAsia" w:ascii="仿宋" w:hAnsi="仿宋" w:eastAsia="仿宋" w:cs="仿宋"/>
          <w:color w:val="auto"/>
          <w:spacing w:val="-6"/>
          <w:sz w:val="24"/>
          <w:highlight w:val="none"/>
        </w:rPr>
        <w:t>应商之间协商报价、技术方案等响应文件的实质性内容；</w:t>
      </w:r>
    </w:p>
    <w:p w14:paraId="0EEBF18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14:paraId="477024F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2536984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6.供应商之间商定部分供应商放弃参加政府采购活动或者放弃成交；</w:t>
      </w:r>
    </w:p>
    <w:p w14:paraId="081C3AD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w:t>
      </w:r>
      <w:r>
        <w:rPr>
          <w:rFonts w:hint="eastAsia" w:ascii="仿宋" w:hAnsi="仿宋" w:eastAsia="仿宋" w:cs="仿宋"/>
          <w:color w:val="auto"/>
          <w:spacing w:val="-6"/>
          <w:sz w:val="24"/>
          <w:highlight w:val="none"/>
        </w:rPr>
        <w:t>谋求特定供应商成交或者排斥其他供应商的其他串通行为。</w:t>
      </w:r>
    </w:p>
    <w:p w14:paraId="689B2D61">
      <w:pPr>
        <w:spacing w:line="360" w:lineRule="auto"/>
        <w:ind w:firstLine="480" w:firstLineChars="200"/>
        <w:contextualSpacing/>
        <w:rPr>
          <w:rFonts w:hint="eastAsia" w:ascii="仿宋" w:hAnsi="仿宋" w:eastAsia="仿宋" w:cs="仿宋"/>
          <w:color w:val="auto"/>
          <w:sz w:val="24"/>
          <w:highlight w:val="none"/>
        </w:rPr>
      </w:pPr>
    </w:p>
    <w:p w14:paraId="18C2314D">
      <w:pPr>
        <w:spacing w:line="360" w:lineRule="auto"/>
        <w:ind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以上情形一经核查属实，我方愿意承担一切后果，并不再寻求任何旨在减轻或者免除法律责任的辩解。</w:t>
      </w:r>
    </w:p>
    <w:p w14:paraId="2262C677">
      <w:pPr>
        <w:spacing w:line="360" w:lineRule="auto"/>
        <w:contextualSpacing/>
        <w:rPr>
          <w:rFonts w:hint="eastAsia" w:ascii="仿宋" w:hAnsi="仿宋" w:eastAsia="仿宋" w:cs="仿宋"/>
          <w:color w:val="auto"/>
          <w:sz w:val="24"/>
          <w:highlight w:val="none"/>
        </w:rPr>
      </w:pPr>
    </w:p>
    <w:p w14:paraId="4421321C">
      <w:pPr>
        <w:spacing w:line="360" w:lineRule="auto"/>
        <w:ind w:firstLine="3600" w:firstLineChars="15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供应商（电子签章）：</w:t>
      </w:r>
    </w:p>
    <w:p w14:paraId="16B6E6B0">
      <w:pPr>
        <w:spacing w:line="360" w:lineRule="auto"/>
        <w:ind w:firstLine="480" w:firstLineChars="200"/>
        <w:contextualSpacing/>
        <w:jc w:val="center"/>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t>年月日</w:t>
      </w:r>
    </w:p>
    <w:p w14:paraId="173043D2">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bCs/>
          <w:color w:val="auto"/>
          <w:sz w:val="44"/>
          <w:szCs w:val="44"/>
          <w:highlight w:val="none"/>
        </w:rPr>
        <w:br w:type="page"/>
      </w:r>
      <w:r>
        <w:rPr>
          <w:rFonts w:hint="eastAsia" w:ascii="仿宋" w:hAnsi="仿宋" w:eastAsia="仿宋" w:cs="仿宋"/>
          <w:bCs/>
          <w:color w:val="auto"/>
          <w:sz w:val="44"/>
          <w:szCs w:val="44"/>
          <w:highlight w:val="none"/>
        </w:rPr>
        <w:t>法定代表人证明书</w:t>
      </w:r>
    </w:p>
    <w:p w14:paraId="42573291">
      <w:pPr>
        <w:spacing w:line="360" w:lineRule="auto"/>
        <w:ind w:left="540"/>
        <w:contextualSpacing/>
        <w:rPr>
          <w:rFonts w:hint="eastAsia" w:ascii="仿宋" w:hAnsi="仿宋" w:eastAsia="仿宋" w:cs="仿宋"/>
          <w:color w:val="auto"/>
          <w:sz w:val="32"/>
          <w:szCs w:val="32"/>
          <w:highlight w:val="none"/>
        </w:rPr>
      </w:pPr>
    </w:p>
    <w:p w14:paraId="6DB3E434">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p>
    <w:p w14:paraId="11BAC0A5">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089CEEE2">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姓名：性别：</w:t>
      </w:r>
    </w:p>
    <w:p w14:paraId="28B28189">
      <w:pPr>
        <w:spacing w:line="360" w:lineRule="auto"/>
        <w:ind w:left="54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年龄：职务：</w:t>
      </w:r>
    </w:p>
    <w:p w14:paraId="15DD1362">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189B2C5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的法定代表人。</w:t>
      </w:r>
    </w:p>
    <w:p w14:paraId="437949DF">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1F918736">
      <w:pPr>
        <w:spacing w:line="360" w:lineRule="auto"/>
        <w:ind w:left="540"/>
        <w:contextualSpacing/>
        <w:rPr>
          <w:rFonts w:hint="eastAsia" w:ascii="仿宋" w:hAnsi="仿宋" w:eastAsia="仿宋" w:cs="仿宋"/>
          <w:color w:val="auto"/>
          <w:sz w:val="24"/>
          <w:highlight w:val="none"/>
        </w:rPr>
      </w:pPr>
    </w:p>
    <w:p w14:paraId="1DCC2E17">
      <w:pPr>
        <w:spacing w:line="360" w:lineRule="auto"/>
        <w:ind w:left="540"/>
        <w:contextualSpacing/>
        <w:rPr>
          <w:rFonts w:hint="eastAsia" w:ascii="仿宋" w:hAnsi="仿宋" w:eastAsia="仿宋" w:cs="仿宋"/>
          <w:color w:val="auto"/>
          <w:sz w:val="24"/>
          <w:highlight w:val="none"/>
        </w:rPr>
      </w:pPr>
    </w:p>
    <w:p w14:paraId="34B4AA63">
      <w:pPr>
        <w:spacing w:line="360" w:lineRule="auto"/>
        <w:ind w:left="540"/>
        <w:contextualSpacing/>
        <w:rPr>
          <w:rFonts w:hint="eastAsia" w:ascii="仿宋" w:hAnsi="仿宋" w:eastAsia="仿宋" w:cs="仿宋"/>
          <w:color w:val="auto"/>
          <w:sz w:val="24"/>
          <w:highlight w:val="none"/>
        </w:rPr>
      </w:pPr>
    </w:p>
    <w:p w14:paraId="455E6A52">
      <w:pPr>
        <w:spacing w:line="360" w:lineRule="auto"/>
        <w:ind w:left="54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附件：法定代表人有效身份证正反面复印件</w:t>
      </w:r>
    </w:p>
    <w:p w14:paraId="6BDAA414">
      <w:pPr>
        <w:spacing w:line="360" w:lineRule="auto"/>
        <w:ind w:left="540"/>
        <w:contextualSpacing/>
        <w:rPr>
          <w:rFonts w:hint="eastAsia" w:ascii="仿宋" w:hAnsi="仿宋" w:eastAsia="仿宋" w:cs="仿宋"/>
          <w:color w:val="auto"/>
          <w:sz w:val="24"/>
          <w:highlight w:val="none"/>
        </w:rPr>
      </w:pPr>
    </w:p>
    <w:p w14:paraId="69463E7A">
      <w:pPr>
        <w:spacing w:line="360" w:lineRule="auto"/>
        <w:ind w:left="540"/>
        <w:contextualSpacing/>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供应商（电子签章）：</w:t>
      </w:r>
    </w:p>
    <w:p w14:paraId="10BCA8D5">
      <w:pPr>
        <w:spacing w:line="360" w:lineRule="auto"/>
        <w:ind w:firstLine="4080" w:firstLineChars="1700"/>
        <w:contextualSpacing/>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年月日</w:t>
      </w:r>
    </w:p>
    <w:p w14:paraId="60A2A4F9">
      <w:pPr>
        <w:spacing w:line="360" w:lineRule="auto"/>
        <w:contextualSpacing/>
        <w:jc w:val="center"/>
        <w:rPr>
          <w:rFonts w:hint="eastAsia" w:ascii="仿宋" w:hAnsi="仿宋" w:eastAsia="仿宋" w:cs="仿宋"/>
          <w:b/>
          <w:color w:val="auto"/>
          <w:sz w:val="24"/>
          <w:highlight w:val="none"/>
        </w:rPr>
      </w:pPr>
    </w:p>
    <w:p w14:paraId="1E427365">
      <w:pPr>
        <w:spacing w:line="360" w:lineRule="auto"/>
        <w:contextualSpacing/>
        <w:jc w:val="left"/>
        <w:rPr>
          <w:rFonts w:hint="eastAsia" w:ascii="仿宋" w:hAnsi="仿宋" w:eastAsia="仿宋" w:cs="仿宋"/>
          <w:color w:val="auto"/>
          <w:sz w:val="24"/>
          <w:highlight w:val="none"/>
        </w:rPr>
      </w:pPr>
    </w:p>
    <w:p w14:paraId="628D96D3">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注：自然人竞标的无需提供，联合体竞标的只需牵头人出具。</w:t>
      </w:r>
    </w:p>
    <w:p w14:paraId="5E988816">
      <w:pPr>
        <w:adjustRightInd w:val="0"/>
        <w:snapToGrid w:val="0"/>
        <w:spacing w:line="300" w:lineRule="auto"/>
        <w:jc w:val="left"/>
        <w:rPr>
          <w:rFonts w:hint="eastAsia" w:ascii="仿宋" w:hAnsi="仿宋" w:eastAsia="仿宋" w:cs="仿宋"/>
          <w:b/>
          <w:color w:val="auto"/>
          <w:szCs w:val="21"/>
          <w:highlight w:val="none"/>
        </w:rPr>
      </w:pPr>
    </w:p>
    <w:p w14:paraId="40D2FEEF">
      <w:pPr>
        <w:spacing w:line="50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43F43DB0">
      <w:pPr>
        <w:spacing w:line="520" w:lineRule="exact"/>
        <w:jc w:val="center"/>
        <w:rPr>
          <w:rFonts w:hint="eastAsia" w:ascii="仿宋" w:hAnsi="仿宋" w:eastAsia="仿宋" w:cs="仿宋"/>
          <w:color w:val="auto"/>
          <w:sz w:val="44"/>
          <w:szCs w:val="44"/>
          <w:highlight w:val="none"/>
        </w:rPr>
      </w:pPr>
      <w:bookmarkStart w:id="81" w:name="_Hlk65853643"/>
      <w:r>
        <w:rPr>
          <w:rFonts w:hint="eastAsia" w:ascii="仿宋" w:hAnsi="仿宋" w:eastAsia="仿宋" w:cs="仿宋"/>
          <w:color w:val="auto"/>
          <w:sz w:val="44"/>
          <w:szCs w:val="44"/>
          <w:highlight w:val="none"/>
        </w:rPr>
        <w:t>授权委托书</w:t>
      </w:r>
    </w:p>
    <w:p w14:paraId="406D03E9">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（非联合体竞标格式）</w:t>
      </w:r>
    </w:p>
    <w:p w14:paraId="19FC0DF8">
      <w:pPr>
        <w:spacing w:line="52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32"/>
          <w:szCs w:val="32"/>
          <w:highlight w:val="none"/>
        </w:rPr>
        <w:t>（如有委托时）</w:t>
      </w:r>
    </w:p>
    <w:p w14:paraId="38B3B48C">
      <w:pPr>
        <w:spacing w:line="520" w:lineRule="exact"/>
        <w:rPr>
          <w:rFonts w:hint="eastAsia" w:ascii="仿宋" w:hAnsi="仿宋" w:eastAsia="仿宋" w:cs="仿宋"/>
          <w:color w:val="auto"/>
          <w:sz w:val="32"/>
          <w:szCs w:val="32"/>
          <w:highlight w:val="none"/>
        </w:rPr>
      </w:pPr>
    </w:p>
    <w:p w14:paraId="1C69BA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7CF7E7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sym w:font="Wingdings 2" w:char="00A3"/>
      </w:r>
      <w:r>
        <w:rPr>
          <w:rFonts w:hint="eastAsia" w:ascii="仿宋" w:hAnsi="仿宋" w:eastAsia="仿宋" w:cs="仿宋"/>
          <w:color w:val="auto"/>
          <w:sz w:val="24"/>
          <w:highlight w:val="none"/>
          <w:u w:val="single"/>
        </w:rPr>
        <w:t>法定代表人/□负责人/□自然人本人</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以我方的名义参加项目的竞标活动，并代表我方全权办理针对上述项目的所有采购程序和环节的具体事务和签署相关文件。</w:t>
      </w:r>
    </w:p>
    <w:p w14:paraId="476A8E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我方对委托代理人的签字或者电子签名事项负全部责任。</w:t>
      </w:r>
    </w:p>
    <w:p w14:paraId="42F31D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5B70561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62482D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附：法定代表人身份证明书及委托代理人有效身份证正反面复印件</w:t>
      </w:r>
    </w:p>
    <w:p w14:paraId="3393A856">
      <w:pPr>
        <w:spacing w:line="360" w:lineRule="auto"/>
        <w:rPr>
          <w:rFonts w:hint="eastAsia" w:ascii="仿宋" w:hAnsi="仿宋" w:eastAsia="仿宋" w:cs="仿宋"/>
          <w:color w:val="auto"/>
          <w:sz w:val="24"/>
          <w:highlight w:val="none"/>
        </w:rPr>
      </w:pPr>
    </w:p>
    <w:p w14:paraId="28BB730D">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委托代理人（签字或者电子签名）：法定代表人（签字或者盖章或者电子签名）：</w:t>
      </w:r>
    </w:p>
    <w:p w14:paraId="1788F2F9">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委托代理人身份证号码：</w:t>
      </w:r>
    </w:p>
    <w:p w14:paraId="76BB04B6">
      <w:pPr>
        <w:spacing w:line="360" w:lineRule="auto"/>
        <w:contextualSpacing/>
        <w:rPr>
          <w:rFonts w:hint="eastAsia" w:ascii="仿宋" w:hAnsi="仿宋" w:eastAsia="仿宋" w:cs="仿宋"/>
          <w:color w:val="auto"/>
          <w:sz w:val="24"/>
          <w:highlight w:val="none"/>
        </w:rPr>
      </w:pPr>
    </w:p>
    <w:p w14:paraId="1139553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供应商（电子签章）：</w:t>
      </w:r>
    </w:p>
    <w:p w14:paraId="7350BD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年月日</w:t>
      </w:r>
    </w:p>
    <w:p w14:paraId="55DE7FF4">
      <w:pPr>
        <w:spacing w:line="360" w:lineRule="auto"/>
        <w:rPr>
          <w:rFonts w:hint="eastAsia" w:ascii="仿宋" w:hAnsi="仿宋" w:eastAsia="仿宋" w:cs="仿宋"/>
          <w:color w:val="auto"/>
          <w:sz w:val="24"/>
          <w:highlight w:val="none"/>
        </w:rPr>
      </w:pPr>
    </w:p>
    <w:p w14:paraId="3E6878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 法定代表人必须在授权委托书上签字或者盖章或者电子签名，委托代理人必须在授权委托书上签字或者电子签名，</w:t>
      </w:r>
      <w:r>
        <w:rPr>
          <w:rFonts w:hint="eastAsia" w:ascii="仿宋" w:hAnsi="仿宋" w:eastAsia="仿宋" w:cs="仿宋"/>
          <w:b/>
          <w:color w:val="auto"/>
          <w:sz w:val="24"/>
          <w:highlight w:val="none"/>
        </w:rPr>
        <w:t>否则其响应文件按无效响应处理。</w:t>
      </w:r>
    </w:p>
    <w:p w14:paraId="48CEC27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bookmarkStart w:id="82" w:name="_Hlk65853109"/>
      <w:bookmarkStart w:id="83" w:name="_Hlk65853542"/>
      <w:r>
        <w:rPr>
          <w:rFonts w:hint="eastAsia" w:ascii="仿宋" w:hAnsi="仿宋" w:eastAsia="仿宋" w:cs="仿宋"/>
          <w:color w:val="auto"/>
          <w:sz w:val="24"/>
          <w:highlight w:val="none"/>
        </w:rPr>
        <w:t>法人、其他组织竞标时“我方”是指“我单位”，自然人竞标时“我方”是指“本人”。</w:t>
      </w:r>
      <w:bookmarkEnd w:id="82"/>
    </w:p>
    <w:bookmarkEnd w:id="83"/>
    <w:p w14:paraId="3944F441">
      <w:pPr>
        <w:spacing w:line="360" w:lineRule="auto"/>
        <w:ind w:firstLine="420" w:firstLineChars="200"/>
        <w:jc w:val="left"/>
        <w:rPr>
          <w:rFonts w:hint="eastAsia" w:ascii="仿宋" w:hAnsi="仿宋" w:eastAsia="仿宋" w:cs="仿宋"/>
          <w:color w:val="auto"/>
          <w:szCs w:val="21"/>
          <w:highlight w:val="none"/>
        </w:rPr>
      </w:pPr>
    </w:p>
    <w:p w14:paraId="0303627D">
      <w:pPr>
        <w:spacing w:line="50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44"/>
          <w:szCs w:val="44"/>
          <w:highlight w:val="none"/>
        </w:rPr>
        <w:t>授权委托书</w:t>
      </w:r>
    </w:p>
    <w:p w14:paraId="6870819C">
      <w:pPr>
        <w:spacing w:line="5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（联合体竞标格式）</w:t>
      </w:r>
    </w:p>
    <w:p w14:paraId="5B29E856">
      <w:pPr>
        <w:spacing w:line="500" w:lineRule="exact"/>
        <w:jc w:val="center"/>
        <w:rPr>
          <w:rFonts w:hint="eastAsia" w:ascii="仿宋" w:hAnsi="仿宋" w:eastAsia="仿宋" w:cs="仿宋"/>
          <w:color w:val="auto"/>
          <w:sz w:val="44"/>
          <w:szCs w:val="44"/>
          <w:highlight w:val="none"/>
        </w:rPr>
      </w:pPr>
      <w:r>
        <w:rPr>
          <w:rFonts w:hint="eastAsia" w:ascii="仿宋" w:hAnsi="仿宋" w:eastAsia="仿宋" w:cs="仿宋"/>
          <w:color w:val="auto"/>
          <w:sz w:val="32"/>
          <w:szCs w:val="32"/>
          <w:highlight w:val="none"/>
        </w:rPr>
        <w:t>（如有委托时）</w:t>
      </w:r>
    </w:p>
    <w:p w14:paraId="61FDF6F1">
      <w:pPr>
        <w:spacing w:line="500" w:lineRule="exact"/>
        <w:jc w:val="center"/>
        <w:rPr>
          <w:rFonts w:hint="eastAsia" w:ascii="仿宋" w:hAnsi="仿宋" w:eastAsia="仿宋" w:cs="仿宋"/>
          <w:color w:val="auto"/>
          <w:sz w:val="44"/>
          <w:szCs w:val="44"/>
          <w:highlight w:val="none"/>
        </w:rPr>
      </w:pPr>
    </w:p>
    <w:p w14:paraId="47FE506F">
      <w:pPr>
        <w:spacing w:line="500" w:lineRule="exact"/>
        <w:jc w:val="center"/>
        <w:rPr>
          <w:rFonts w:hint="eastAsia" w:ascii="仿宋" w:hAnsi="仿宋" w:eastAsia="仿宋" w:cs="仿宋"/>
          <w:color w:val="auto"/>
          <w:sz w:val="32"/>
          <w:szCs w:val="32"/>
          <w:highlight w:val="none"/>
        </w:rPr>
      </w:pPr>
    </w:p>
    <w:p w14:paraId="0AB5D86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33D8A6E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我方对委托代理人的签字或者电子签名事项负全部责任。</w:t>
      </w:r>
    </w:p>
    <w:p w14:paraId="3130EBB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本授权书自签署之日起生效，在撤销授权的书面通知以前，本授权书一直有效。委托代理人在授权书有效期内签署的所有文件不因授权的撤销而失效。</w:t>
      </w:r>
    </w:p>
    <w:p w14:paraId="4090B17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14:paraId="4C9F4440">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附：法定代表人身份证明书及委托代理人有效身份证正反面复印件</w:t>
      </w:r>
    </w:p>
    <w:p w14:paraId="619D9BE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牵头人法定代表人（签字或者盖章或者电子签名）：</w:t>
      </w:r>
    </w:p>
    <w:p w14:paraId="5F1433FC">
      <w:pPr>
        <w:spacing w:line="360" w:lineRule="auto"/>
        <w:ind w:firstLine="3120" w:firstLineChars="13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牵头人（电子签章）：</w:t>
      </w:r>
    </w:p>
    <w:p w14:paraId="0BBD4D4E">
      <w:pPr>
        <w:spacing w:line="360" w:lineRule="auto"/>
        <w:ind w:firstLine="3840" w:firstLineChars="16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日期：年月日</w:t>
      </w:r>
    </w:p>
    <w:p w14:paraId="60565D46">
      <w:pPr>
        <w:spacing w:line="360" w:lineRule="auto"/>
        <w:contextualSpacing/>
        <w:rPr>
          <w:rFonts w:hint="eastAsia" w:ascii="仿宋" w:hAnsi="仿宋" w:eastAsia="仿宋" w:cs="仿宋"/>
          <w:color w:val="auto"/>
          <w:sz w:val="24"/>
          <w:highlight w:val="none"/>
        </w:rPr>
      </w:pPr>
    </w:p>
    <w:p w14:paraId="0A4452DF">
      <w:pPr>
        <w:spacing w:line="360" w:lineRule="auto"/>
        <w:ind w:firstLine="3120" w:firstLineChars="13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被授权人（签字或者电子签名）：</w:t>
      </w:r>
    </w:p>
    <w:p w14:paraId="3B723881">
      <w:pPr>
        <w:spacing w:line="360" w:lineRule="auto"/>
        <w:ind w:firstLine="3840" w:firstLineChars="16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日期：年月日</w:t>
      </w:r>
    </w:p>
    <w:p w14:paraId="3AC88F99">
      <w:pPr>
        <w:spacing w:line="360" w:lineRule="auto"/>
        <w:contextualSpacing/>
        <w:rPr>
          <w:rFonts w:hint="eastAsia" w:ascii="仿宋" w:hAnsi="仿宋" w:eastAsia="仿宋" w:cs="仿宋"/>
          <w:color w:val="auto"/>
          <w:sz w:val="24"/>
          <w:highlight w:val="none"/>
        </w:rPr>
      </w:pPr>
    </w:p>
    <w:p w14:paraId="5EC7D049">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注：1. 法定代表人必须在授权委托书上签字或者盖章或者电子签名，委托代理人必须在授权委托书上签字或者电子签名，</w:t>
      </w:r>
      <w:r>
        <w:rPr>
          <w:rFonts w:hint="eastAsia" w:ascii="仿宋" w:hAnsi="仿宋" w:eastAsia="仿宋" w:cs="仿宋"/>
          <w:b/>
          <w:color w:val="auto"/>
          <w:sz w:val="24"/>
          <w:highlight w:val="none"/>
        </w:rPr>
        <w:t>否则其响应文件按无效响应处理。</w:t>
      </w:r>
    </w:p>
    <w:p w14:paraId="36C32467">
      <w:pPr>
        <w:spacing w:line="360" w:lineRule="auto"/>
        <w:ind w:firstLine="480" w:firstLineChars="200"/>
        <w:jc w:val="left"/>
        <w:rPr>
          <w:rFonts w:hint="eastAsia" w:ascii="仿宋" w:hAnsi="仿宋" w:eastAsia="仿宋" w:cs="仿宋"/>
          <w:color w:val="auto"/>
          <w:spacing w:val="-11"/>
          <w:sz w:val="24"/>
          <w:highlight w:val="none"/>
        </w:rPr>
      </w:pPr>
      <w:r>
        <w:rPr>
          <w:rFonts w:hint="eastAsia" w:ascii="仿宋" w:hAnsi="仿宋" w:eastAsia="仿宋" w:cs="仿宋"/>
          <w:color w:val="auto"/>
          <w:sz w:val="24"/>
          <w:highlight w:val="none"/>
        </w:rPr>
        <w:t>2.法人、其他组织竞标时“我方”是指“我单位”，自然人竞标时“我方”是指“本人”。</w:t>
      </w:r>
    </w:p>
    <w:bookmarkEnd w:id="81"/>
    <w:p w14:paraId="010C6CE7">
      <w:pPr>
        <w:spacing w:line="500" w:lineRule="exact"/>
        <w:jc w:val="center"/>
        <w:rPr>
          <w:rFonts w:hint="eastAsia" w:ascii="仿宋" w:hAnsi="仿宋" w:eastAsia="仿宋" w:cs="仿宋"/>
          <w:bCs/>
          <w:color w:val="auto"/>
          <w:sz w:val="44"/>
          <w:szCs w:val="44"/>
          <w:highlight w:val="none"/>
        </w:rPr>
      </w:pPr>
      <w:r>
        <w:rPr>
          <w:rFonts w:hint="eastAsia" w:ascii="仿宋" w:hAnsi="仿宋" w:eastAsia="仿宋" w:cs="仿宋"/>
          <w:color w:val="auto"/>
          <w:sz w:val="32"/>
          <w:szCs w:val="32"/>
          <w:highlight w:val="none"/>
        </w:rPr>
        <w:br w:type="page"/>
      </w:r>
      <w:r>
        <w:rPr>
          <w:rFonts w:hint="eastAsia" w:ascii="仿宋" w:hAnsi="仿宋" w:eastAsia="仿宋" w:cs="仿宋"/>
          <w:bCs/>
          <w:color w:val="auto"/>
          <w:sz w:val="44"/>
          <w:szCs w:val="44"/>
          <w:highlight w:val="none"/>
        </w:rPr>
        <w:t>商务要求偏离表</w:t>
      </w:r>
    </w:p>
    <w:p w14:paraId="6ED64078">
      <w:pPr>
        <w:spacing w:line="360" w:lineRule="auto"/>
        <w:contextualSpacing/>
        <w:jc w:val="left"/>
        <w:rPr>
          <w:rFonts w:hint="eastAsia" w:ascii="仿宋" w:hAnsi="仿宋" w:eastAsia="仿宋" w:cs="仿宋"/>
          <w:color w:val="auto"/>
          <w:sz w:val="24"/>
          <w:highlight w:val="none"/>
        </w:rPr>
      </w:pPr>
    </w:p>
    <w:p w14:paraId="580FB602">
      <w:pPr>
        <w:pStyle w:val="20"/>
        <w:spacing w:line="360" w:lineRule="auto"/>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所竞分标：</w:t>
      </w:r>
    </w:p>
    <w:p w14:paraId="787377E7">
      <w:pPr>
        <w:spacing w:line="360" w:lineRule="auto"/>
        <w:contextualSpacing/>
        <w:jc w:val="left"/>
        <w:rPr>
          <w:rFonts w:hint="eastAsia" w:ascii="仿宋" w:hAnsi="仿宋" w:eastAsia="仿宋" w:cs="仿宋"/>
          <w:color w:val="auto"/>
          <w:sz w:val="24"/>
          <w:highlight w:val="none"/>
          <w:u w:val="single"/>
        </w:rPr>
      </w:pPr>
    </w:p>
    <w:tbl>
      <w:tblPr>
        <w:tblStyle w:val="34"/>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1089"/>
        <w:gridCol w:w="2668"/>
        <w:gridCol w:w="2350"/>
        <w:gridCol w:w="2112"/>
      </w:tblGrid>
      <w:tr w14:paraId="5B7E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89" w:type="dxa"/>
            <w:tcBorders>
              <w:top w:val="single" w:color="auto" w:sz="4" w:space="0"/>
              <w:left w:val="single" w:color="auto" w:sz="4" w:space="0"/>
              <w:bottom w:val="single" w:color="auto" w:sz="4" w:space="0"/>
              <w:right w:val="single" w:color="auto" w:sz="4" w:space="0"/>
            </w:tcBorders>
            <w:vAlign w:val="center"/>
          </w:tcPr>
          <w:p w14:paraId="3A3F0E45">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089" w:type="dxa"/>
            <w:tcBorders>
              <w:top w:val="single" w:color="auto" w:sz="4" w:space="0"/>
              <w:left w:val="single" w:color="auto" w:sz="4" w:space="0"/>
              <w:bottom w:val="single" w:color="auto" w:sz="4" w:space="0"/>
              <w:right w:val="single" w:color="auto" w:sz="4" w:space="0"/>
            </w:tcBorders>
            <w:vAlign w:val="center"/>
          </w:tcPr>
          <w:p w14:paraId="0E4984C4">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7BD203DB">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2A4012F2">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7A0BC0D5">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58823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89" w:type="dxa"/>
            <w:tcBorders>
              <w:top w:val="single" w:color="auto" w:sz="4" w:space="0"/>
              <w:left w:val="single" w:color="auto" w:sz="4" w:space="0"/>
              <w:bottom w:val="single" w:color="auto" w:sz="4" w:space="0"/>
              <w:right w:val="single" w:color="auto" w:sz="4" w:space="0"/>
            </w:tcBorders>
            <w:vAlign w:val="center"/>
          </w:tcPr>
          <w:p w14:paraId="5AEC6855">
            <w:pPr>
              <w:jc w:val="center"/>
              <w:rPr>
                <w:rFonts w:hint="eastAsia" w:ascii="仿宋" w:hAnsi="仿宋" w:eastAsia="仿宋" w:cs="仿宋"/>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7D6102CE">
            <w:pPr>
              <w:jc w:val="center"/>
              <w:rPr>
                <w:rFonts w:hint="eastAsia"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51DF87FB">
            <w:pPr>
              <w:spacing w:line="360" w:lineRule="auto"/>
              <w:contextualSpacing/>
              <w:jc w:val="center"/>
              <w:rPr>
                <w:rFonts w:hint="eastAsia"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0CCFFA3">
            <w:pPr>
              <w:spacing w:line="360" w:lineRule="auto"/>
              <w:contextualSpacing/>
              <w:jc w:val="center"/>
              <w:rPr>
                <w:rFonts w:hint="eastAsia"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A4B83B5">
            <w:pPr>
              <w:spacing w:line="360" w:lineRule="auto"/>
              <w:contextualSpacing/>
              <w:jc w:val="center"/>
              <w:rPr>
                <w:rFonts w:hint="eastAsia" w:ascii="仿宋" w:hAnsi="仿宋" w:eastAsia="仿宋" w:cs="仿宋"/>
                <w:color w:val="auto"/>
                <w:sz w:val="24"/>
                <w:highlight w:val="none"/>
              </w:rPr>
            </w:pPr>
          </w:p>
        </w:tc>
      </w:tr>
      <w:tr w14:paraId="070A0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89" w:type="dxa"/>
            <w:tcBorders>
              <w:top w:val="single" w:color="auto" w:sz="4" w:space="0"/>
              <w:left w:val="single" w:color="auto" w:sz="4" w:space="0"/>
              <w:bottom w:val="single" w:color="auto" w:sz="4" w:space="0"/>
              <w:right w:val="single" w:color="auto" w:sz="4" w:space="0"/>
            </w:tcBorders>
            <w:vAlign w:val="center"/>
          </w:tcPr>
          <w:p w14:paraId="066832B9">
            <w:pPr>
              <w:jc w:val="center"/>
              <w:rPr>
                <w:rFonts w:hint="eastAsia" w:ascii="仿宋" w:hAnsi="仿宋" w:eastAsia="仿宋" w:cs="仿宋"/>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245CDB43">
            <w:pPr>
              <w:jc w:val="center"/>
              <w:rPr>
                <w:rFonts w:hint="eastAsia" w:ascii="仿宋" w:hAnsi="仿宋" w:eastAsia="仿宋" w:cs="仿宋"/>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6B0EE8AC">
            <w:pPr>
              <w:spacing w:line="360" w:lineRule="auto"/>
              <w:contextualSpacing/>
              <w:jc w:val="center"/>
              <w:rPr>
                <w:rFonts w:hint="eastAsia" w:ascii="仿宋" w:hAnsi="仿宋" w:eastAsia="仿宋" w:cs="仿宋"/>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1CA2E5A">
            <w:pPr>
              <w:spacing w:line="360" w:lineRule="auto"/>
              <w:ind w:left="43"/>
              <w:contextualSpacing/>
              <w:jc w:val="center"/>
              <w:rPr>
                <w:rFonts w:hint="eastAsia" w:ascii="仿宋" w:hAnsi="仿宋" w:eastAsia="仿宋" w:cs="仿宋"/>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1F25998">
            <w:pPr>
              <w:spacing w:line="360" w:lineRule="auto"/>
              <w:ind w:left="43"/>
              <w:contextualSpacing/>
              <w:jc w:val="center"/>
              <w:rPr>
                <w:rFonts w:hint="eastAsia" w:ascii="仿宋" w:hAnsi="仿宋" w:eastAsia="仿宋" w:cs="仿宋"/>
                <w:color w:val="auto"/>
                <w:sz w:val="24"/>
                <w:highlight w:val="none"/>
              </w:rPr>
            </w:pPr>
          </w:p>
        </w:tc>
      </w:tr>
      <w:tr w14:paraId="19621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vAlign w:val="center"/>
          </w:tcPr>
          <w:p w14:paraId="67535D54">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89" w:type="dxa"/>
            <w:tcBorders>
              <w:top w:val="single" w:color="auto" w:sz="4" w:space="0"/>
              <w:left w:val="single" w:color="auto" w:sz="4" w:space="0"/>
              <w:bottom w:val="single" w:color="auto" w:sz="4" w:space="0"/>
              <w:right w:val="single" w:color="auto" w:sz="4" w:space="0"/>
            </w:tcBorders>
            <w:vAlign w:val="center"/>
          </w:tcPr>
          <w:p w14:paraId="4C3F3BEB">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10C21D7D">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350" w:type="dxa"/>
            <w:tcBorders>
              <w:top w:val="single" w:color="auto" w:sz="4" w:space="0"/>
              <w:left w:val="single" w:color="auto" w:sz="4" w:space="0"/>
              <w:bottom w:val="single" w:color="auto" w:sz="4" w:space="0"/>
              <w:right w:val="single" w:color="auto" w:sz="4" w:space="0"/>
            </w:tcBorders>
            <w:vAlign w:val="center"/>
          </w:tcPr>
          <w:p w14:paraId="34CBB98D">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112" w:type="dxa"/>
            <w:tcBorders>
              <w:top w:val="single" w:color="auto" w:sz="4" w:space="0"/>
              <w:left w:val="single" w:color="auto" w:sz="4" w:space="0"/>
              <w:bottom w:val="single" w:color="auto" w:sz="4" w:space="0"/>
              <w:right w:val="single" w:color="auto" w:sz="4" w:space="0"/>
            </w:tcBorders>
            <w:vAlign w:val="center"/>
          </w:tcPr>
          <w:p w14:paraId="06DC76BD">
            <w:pPr>
              <w:spacing w:line="360" w:lineRule="auto"/>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0F201149">
      <w:pPr>
        <w:pStyle w:val="15"/>
        <w:spacing w:after="0" w:line="360" w:lineRule="auto"/>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15C06765">
      <w:pPr>
        <w:pStyle w:val="15"/>
        <w:spacing w:after="0" w:line="360" w:lineRule="auto"/>
        <w:contextualSpacing/>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说明：应对照磋商文件“第三章采购需求”中的商务条款逐条作出明确响应，并作出偏离说明。</w:t>
      </w:r>
    </w:p>
    <w:p w14:paraId="5D9AF68B">
      <w:pPr>
        <w:spacing w:line="360" w:lineRule="auto"/>
        <w:contextualSpacing/>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2.供应商应根据自身的承诺，对照磋商文件要求在“偏离说明”中注明“正偏离”、“负偏离”或者“无偏离”。既不属于“正偏离”也不属于“负偏离”即为“无偏离”。</w:t>
      </w:r>
    </w:p>
    <w:p w14:paraId="7F98FFCD">
      <w:pPr>
        <w:spacing w:line="360" w:lineRule="auto"/>
        <w:ind w:right="-817" w:rightChars="-389"/>
        <w:contextualSpacing/>
        <w:rPr>
          <w:rFonts w:hint="eastAsia" w:ascii="仿宋" w:hAnsi="仿宋" w:eastAsia="仿宋" w:cs="仿宋"/>
          <w:color w:val="auto"/>
          <w:sz w:val="24"/>
          <w:highlight w:val="none"/>
        </w:rPr>
      </w:pPr>
    </w:p>
    <w:p w14:paraId="28A7AB7F">
      <w:pPr>
        <w:spacing w:line="360" w:lineRule="auto"/>
        <w:ind w:right="-817" w:rightChars="-389"/>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法定代表人或者委托代理人（签字或者电子签名）：</w:t>
      </w:r>
    </w:p>
    <w:p w14:paraId="23CF062C">
      <w:pPr>
        <w:spacing w:line="360" w:lineRule="auto"/>
        <w:ind w:right="-817" w:rightChars="-389" w:firstLine="2640" w:firstLineChars="1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供应商（电子签章）：</w:t>
      </w:r>
    </w:p>
    <w:p w14:paraId="4FE4B561">
      <w:pPr>
        <w:spacing w:line="360" w:lineRule="auto"/>
        <w:ind w:right="-817" w:rightChars="-389" w:firstLine="4080" w:firstLineChars="1700"/>
        <w:contextualSpacing/>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日期：年月日</w:t>
      </w:r>
    </w:p>
    <w:p w14:paraId="327F0422">
      <w:pPr>
        <w:adjustRightInd w:val="0"/>
        <w:snapToGrid w:val="0"/>
        <w:spacing w:line="520" w:lineRule="exact"/>
        <w:ind w:firstLine="7040" w:firstLineChars="1600"/>
        <w:jc w:val="center"/>
        <w:rPr>
          <w:rFonts w:hint="eastAsia" w:ascii="仿宋" w:hAnsi="仿宋" w:eastAsia="仿宋" w:cs="仿宋"/>
          <w:bCs/>
          <w:color w:val="auto"/>
          <w:sz w:val="44"/>
          <w:szCs w:val="44"/>
          <w:highlight w:val="none"/>
        </w:rPr>
      </w:pPr>
    </w:p>
    <w:p w14:paraId="045B623E">
      <w:pPr>
        <w:adjustRightInd w:val="0"/>
        <w:snapToGrid w:val="0"/>
        <w:spacing w:line="520" w:lineRule="exact"/>
        <w:ind w:firstLine="7040" w:firstLineChars="1600"/>
        <w:jc w:val="center"/>
        <w:rPr>
          <w:rFonts w:hint="eastAsia" w:ascii="仿宋" w:hAnsi="仿宋" w:eastAsia="仿宋" w:cs="仿宋"/>
          <w:bCs/>
          <w:color w:val="auto"/>
          <w:sz w:val="44"/>
          <w:szCs w:val="44"/>
          <w:highlight w:val="none"/>
        </w:rPr>
      </w:pPr>
    </w:p>
    <w:p w14:paraId="4D94C029">
      <w:pPr>
        <w:adjustRightInd w:val="0"/>
        <w:snapToGrid w:val="0"/>
        <w:spacing w:line="520" w:lineRule="exact"/>
        <w:ind w:firstLine="7040" w:firstLineChars="1600"/>
        <w:jc w:val="center"/>
        <w:rPr>
          <w:rFonts w:hint="eastAsia" w:ascii="仿宋" w:hAnsi="仿宋" w:eastAsia="仿宋" w:cs="仿宋"/>
          <w:bCs/>
          <w:color w:val="auto"/>
          <w:sz w:val="44"/>
          <w:szCs w:val="44"/>
          <w:highlight w:val="none"/>
        </w:rPr>
      </w:pPr>
    </w:p>
    <w:p w14:paraId="1ADE04E4">
      <w:pPr>
        <w:adjustRightInd w:val="0"/>
        <w:snapToGrid w:val="0"/>
        <w:spacing w:line="520" w:lineRule="exact"/>
        <w:ind w:firstLine="7040" w:firstLineChars="1600"/>
        <w:jc w:val="center"/>
        <w:rPr>
          <w:rFonts w:hint="eastAsia" w:ascii="仿宋" w:hAnsi="仿宋" w:eastAsia="仿宋" w:cs="仿宋"/>
          <w:bCs/>
          <w:color w:val="auto"/>
          <w:sz w:val="44"/>
          <w:szCs w:val="44"/>
          <w:highlight w:val="none"/>
        </w:rPr>
      </w:pPr>
    </w:p>
    <w:p w14:paraId="60CDB6F6">
      <w:pPr>
        <w:adjustRightInd w:val="0"/>
        <w:snapToGrid w:val="0"/>
        <w:spacing w:line="520" w:lineRule="exact"/>
        <w:rPr>
          <w:rFonts w:hint="eastAsia" w:ascii="仿宋" w:hAnsi="仿宋" w:eastAsia="仿宋" w:cs="仿宋"/>
          <w:color w:val="auto"/>
          <w:szCs w:val="21"/>
          <w:highlight w:val="none"/>
          <w:u w:val="single"/>
        </w:rPr>
      </w:pPr>
    </w:p>
    <w:p w14:paraId="6AFE343A">
      <w:pPr>
        <w:adjustRightInd w:val="0"/>
        <w:snapToGrid w:val="0"/>
        <w:spacing w:line="300" w:lineRule="auto"/>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br w:type="page"/>
      </w:r>
      <w:r>
        <w:rPr>
          <w:rFonts w:hint="eastAsia" w:ascii="仿宋" w:hAnsi="仿宋" w:eastAsia="仿宋" w:cs="仿宋"/>
          <w:bCs/>
          <w:color w:val="auto"/>
          <w:sz w:val="44"/>
          <w:szCs w:val="44"/>
          <w:highlight w:val="none"/>
        </w:rPr>
        <w:t>技术要求偏离表</w:t>
      </w:r>
    </w:p>
    <w:p w14:paraId="01DFF17F">
      <w:pPr>
        <w:spacing w:line="520" w:lineRule="exact"/>
        <w:rPr>
          <w:rFonts w:hint="eastAsia" w:ascii="仿宋" w:hAnsi="仿宋" w:eastAsia="仿宋" w:cs="仿宋"/>
          <w:color w:val="auto"/>
          <w:sz w:val="32"/>
          <w:szCs w:val="32"/>
          <w:highlight w:val="none"/>
        </w:rPr>
      </w:pPr>
    </w:p>
    <w:p w14:paraId="54044FA7">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p>
    <w:p w14:paraId="7FC0D25C">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采购项目名称：</w:t>
      </w:r>
    </w:p>
    <w:p w14:paraId="1990032C">
      <w:pPr>
        <w:spacing w:line="360" w:lineRule="auto"/>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分标号：</w:t>
      </w:r>
    </w:p>
    <w:tbl>
      <w:tblPr>
        <w:tblStyle w:val="34"/>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31F229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09D2F97">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bookmarkStart w:id="84" w:name="_Toc173066401"/>
            <w:bookmarkStart w:id="85" w:name="_Toc295404981"/>
            <w:bookmarkStart w:id="86" w:name="_Toc254970588"/>
            <w:bookmarkStart w:id="87" w:name="_Toc254970729"/>
            <w:bookmarkStart w:id="88" w:name="_Toc301781611"/>
            <w:bookmarkStart w:id="89" w:name="_Toc373333689"/>
            <w:bookmarkStart w:id="90" w:name="_Toc383699906"/>
            <w:bookmarkStart w:id="91" w:name="_Toc297193185"/>
            <w:bookmarkStart w:id="92" w:name="_Toc173211900"/>
            <w:r>
              <w:rPr>
                <w:rFonts w:hint="eastAsia" w:ascii="仿宋" w:hAnsi="仿宋" w:eastAsia="仿宋" w:cs="仿宋"/>
                <w:color w:val="auto"/>
                <w:kern w:val="2"/>
                <w:sz w:val="24"/>
                <w:szCs w:val="24"/>
                <w:highlight w:val="none"/>
              </w:rPr>
              <w:t>序号</w:t>
            </w:r>
            <w:bookmarkEnd w:id="84"/>
            <w:bookmarkEnd w:id="85"/>
            <w:bookmarkEnd w:id="86"/>
            <w:bookmarkEnd w:id="87"/>
            <w:bookmarkEnd w:id="88"/>
            <w:bookmarkEnd w:id="89"/>
            <w:bookmarkEnd w:id="90"/>
            <w:bookmarkEnd w:id="91"/>
            <w:bookmarkEnd w:id="92"/>
          </w:p>
        </w:tc>
        <w:tc>
          <w:tcPr>
            <w:tcW w:w="915" w:type="dxa"/>
            <w:tcBorders>
              <w:right w:val="single" w:color="auto" w:sz="4" w:space="0"/>
            </w:tcBorders>
            <w:vAlign w:val="center"/>
          </w:tcPr>
          <w:p w14:paraId="3CD2C096">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名称</w:t>
            </w:r>
          </w:p>
        </w:tc>
        <w:tc>
          <w:tcPr>
            <w:tcW w:w="3038" w:type="dxa"/>
            <w:tcBorders>
              <w:left w:val="single" w:color="auto" w:sz="4" w:space="0"/>
            </w:tcBorders>
            <w:vAlign w:val="center"/>
          </w:tcPr>
          <w:p w14:paraId="042070AD">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磋商文件技术要求</w:t>
            </w:r>
          </w:p>
        </w:tc>
        <w:tc>
          <w:tcPr>
            <w:tcW w:w="2734" w:type="dxa"/>
            <w:vAlign w:val="center"/>
          </w:tcPr>
          <w:p w14:paraId="0478E4A4">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bookmarkStart w:id="93" w:name="_Toc383699908"/>
            <w:bookmarkStart w:id="94" w:name="_Toc301781613"/>
            <w:bookmarkStart w:id="95" w:name="_Toc173211902"/>
            <w:bookmarkStart w:id="96" w:name="_Toc297193187"/>
            <w:bookmarkStart w:id="97" w:name="_Toc254970590"/>
            <w:bookmarkStart w:id="98" w:name="_Toc173066403"/>
            <w:bookmarkStart w:id="99" w:name="_Toc373333691"/>
            <w:bookmarkStart w:id="100" w:name="_Toc295404983"/>
            <w:bookmarkStart w:id="101" w:name="_Toc254970731"/>
            <w:r>
              <w:rPr>
                <w:rFonts w:hint="eastAsia" w:ascii="仿宋" w:hAnsi="仿宋" w:eastAsia="仿宋" w:cs="仿宋"/>
                <w:color w:val="auto"/>
                <w:kern w:val="2"/>
                <w:sz w:val="24"/>
                <w:szCs w:val="24"/>
                <w:highlight w:val="none"/>
              </w:rPr>
              <w:t>竞标响应</w:t>
            </w:r>
            <w:bookmarkEnd w:id="93"/>
            <w:bookmarkEnd w:id="94"/>
            <w:bookmarkEnd w:id="95"/>
            <w:bookmarkEnd w:id="96"/>
            <w:bookmarkEnd w:id="97"/>
            <w:bookmarkEnd w:id="98"/>
            <w:bookmarkEnd w:id="99"/>
            <w:bookmarkEnd w:id="100"/>
            <w:bookmarkEnd w:id="101"/>
          </w:p>
        </w:tc>
        <w:tc>
          <w:tcPr>
            <w:tcW w:w="1492" w:type="dxa"/>
            <w:vAlign w:val="center"/>
          </w:tcPr>
          <w:p w14:paraId="6E705A23">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bookmarkStart w:id="102" w:name="_Toc173066404"/>
            <w:bookmarkStart w:id="103" w:name="_Toc173211903"/>
            <w:bookmarkStart w:id="104" w:name="_Toc297193188"/>
            <w:bookmarkStart w:id="105" w:name="_Toc254970732"/>
            <w:bookmarkStart w:id="106" w:name="_Toc295404984"/>
            <w:bookmarkStart w:id="107" w:name="_Toc301781614"/>
            <w:bookmarkStart w:id="108" w:name="_Toc373333692"/>
            <w:bookmarkStart w:id="109" w:name="_Toc383699909"/>
            <w:bookmarkStart w:id="110" w:name="_Toc254970591"/>
            <w:r>
              <w:rPr>
                <w:rFonts w:hint="eastAsia" w:ascii="仿宋" w:hAnsi="仿宋" w:eastAsia="仿宋" w:cs="仿宋"/>
                <w:color w:val="auto"/>
                <w:kern w:val="2"/>
                <w:sz w:val="24"/>
                <w:szCs w:val="24"/>
                <w:highlight w:val="none"/>
              </w:rPr>
              <w:t>偏离</w:t>
            </w:r>
            <w:bookmarkEnd w:id="102"/>
            <w:bookmarkEnd w:id="103"/>
            <w:bookmarkEnd w:id="104"/>
            <w:bookmarkEnd w:id="105"/>
            <w:bookmarkEnd w:id="106"/>
            <w:bookmarkEnd w:id="107"/>
            <w:bookmarkEnd w:id="108"/>
            <w:bookmarkEnd w:id="109"/>
            <w:bookmarkEnd w:id="110"/>
            <w:bookmarkStart w:id="111" w:name="_Toc295404985"/>
            <w:bookmarkStart w:id="112" w:name="_Toc254970733"/>
            <w:bookmarkStart w:id="113" w:name="_Toc173066405"/>
            <w:bookmarkStart w:id="114" w:name="_Toc373333693"/>
            <w:bookmarkStart w:id="115" w:name="_Toc173211904"/>
            <w:bookmarkStart w:id="116" w:name="_Toc254970592"/>
            <w:bookmarkStart w:id="117" w:name="_Toc301781615"/>
            <w:bookmarkStart w:id="118" w:name="_Toc383699910"/>
            <w:bookmarkStart w:id="119" w:name="_Toc297193189"/>
            <w:r>
              <w:rPr>
                <w:rFonts w:hint="eastAsia" w:ascii="仿宋" w:hAnsi="仿宋" w:eastAsia="仿宋" w:cs="仿宋"/>
                <w:color w:val="auto"/>
                <w:kern w:val="2"/>
                <w:sz w:val="24"/>
                <w:szCs w:val="24"/>
                <w:highlight w:val="none"/>
              </w:rPr>
              <w:t>说明</w:t>
            </w:r>
            <w:bookmarkEnd w:id="111"/>
            <w:bookmarkEnd w:id="112"/>
            <w:bookmarkEnd w:id="113"/>
            <w:bookmarkEnd w:id="114"/>
            <w:bookmarkEnd w:id="115"/>
            <w:bookmarkEnd w:id="116"/>
            <w:bookmarkEnd w:id="117"/>
            <w:bookmarkEnd w:id="118"/>
            <w:bookmarkEnd w:id="119"/>
          </w:p>
        </w:tc>
      </w:tr>
      <w:tr w14:paraId="4CC422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C47230D">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915" w:type="dxa"/>
            <w:tcBorders>
              <w:right w:val="single" w:color="auto" w:sz="4" w:space="0"/>
            </w:tcBorders>
            <w:vAlign w:val="center"/>
          </w:tcPr>
          <w:p w14:paraId="29CE0F33">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3038" w:type="dxa"/>
            <w:tcBorders>
              <w:left w:val="single" w:color="auto" w:sz="4" w:space="0"/>
            </w:tcBorders>
            <w:vAlign w:val="center"/>
          </w:tcPr>
          <w:p w14:paraId="1C787017">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2734" w:type="dxa"/>
            <w:vAlign w:val="center"/>
          </w:tcPr>
          <w:p w14:paraId="7D6BD5D4">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1492" w:type="dxa"/>
            <w:vAlign w:val="center"/>
          </w:tcPr>
          <w:p w14:paraId="7FFA4E99">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r>
      <w:tr w14:paraId="34D52F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6CD1670F">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915" w:type="dxa"/>
            <w:tcBorders>
              <w:right w:val="single" w:color="auto" w:sz="4" w:space="0"/>
            </w:tcBorders>
            <w:vAlign w:val="center"/>
          </w:tcPr>
          <w:p w14:paraId="776E768C">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3038" w:type="dxa"/>
            <w:tcBorders>
              <w:left w:val="single" w:color="auto" w:sz="4" w:space="0"/>
            </w:tcBorders>
            <w:vAlign w:val="center"/>
          </w:tcPr>
          <w:p w14:paraId="7AD2FE33">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2734" w:type="dxa"/>
            <w:vAlign w:val="center"/>
          </w:tcPr>
          <w:p w14:paraId="1D16CABF">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1492" w:type="dxa"/>
            <w:vAlign w:val="center"/>
          </w:tcPr>
          <w:p w14:paraId="2CAB8DD5">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r>
      <w:tr w14:paraId="3D00F2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20F50EC">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915" w:type="dxa"/>
            <w:tcBorders>
              <w:right w:val="single" w:color="auto" w:sz="4" w:space="0"/>
            </w:tcBorders>
            <w:vAlign w:val="center"/>
          </w:tcPr>
          <w:p w14:paraId="273C5203">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3038" w:type="dxa"/>
            <w:tcBorders>
              <w:left w:val="single" w:color="auto" w:sz="4" w:space="0"/>
            </w:tcBorders>
            <w:vAlign w:val="center"/>
          </w:tcPr>
          <w:p w14:paraId="0B4C0C54">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2734" w:type="dxa"/>
            <w:vAlign w:val="center"/>
          </w:tcPr>
          <w:p w14:paraId="30B389FE">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1492" w:type="dxa"/>
            <w:vAlign w:val="center"/>
          </w:tcPr>
          <w:p w14:paraId="49FB9189">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r>
      <w:tr w14:paraId="5C8867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6C01663">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915" w:type="dxa"/>
            <w:tcBorders>
              <w:right w:val="single" w:color="auto" w:sz="4" w:space="0"/>
            </w:tcBorders>
            <w:vAlign w:val="center"/>
          </w:tcPr>
          <w:p w14:paraId="3E92E3F0">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3038" w:type="dxa"/>
            <w:tcBorders>
              <w:left w:val="single" w:color="auto" w:sz="4" w:space="0"/>
            </w:tcBorders>
            <w:vAlign w:val="center"/>
          </w:tcPr>
          <w:p w14:paraId="4499E58A">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2734" w:type="dxa"/>
            <w:vAlign w:val="center"/>
          </w:tcPr>
          <w:p w14:paraId="5224EDC5">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1492" w:type="dxa"/>
            <w:vAlign w:val="center"/>
          </w:tcPr>
          <w:p w14:paraId="34EFA9AD">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r>
      <w:tr w14:paraId="1420B4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152DA11">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915" w:type="dxa"/>
            <w:tcBorders>
              <w:right w:val="single" w:color="auto" w:sz="4" w:space="0"/>
            </w:tcBorders>
            <w:vAlign w:val="center"/>
          </w:tcPr>
          <w:p w14:paraId="7EBC32D9">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3038" w:type="dxa"/>
            <w:tcBorders>
              <w:left w:val="single" w:color="auto" w:sz="4" w:space="0"/>
            </w:tcBorders>
            <w:vAlign w:val="center"/>
          </w:tcPr>
          <w:p w14:paraId="77FCCDCB">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2734" w:type="dxa"/>
            <w:vAlign w:val="center"/>
          </w:tcPr>
          <w:p w14:paraId="242E5974">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1492" w:type="dxa"/>
            <w:vAlign w:val="center"/>
          </w:tcPr>
          <w:p w14:paraId="59CFA7EF">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r>
      <w:tr w14:paraId="782FB7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120930E1">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bookmarkStart w:id="120" w:name="_Toc173066415"/>
            <w:bookmarkStart w:id="121" w:name="_Toc295404991"/>
            <w:bookmarkStart w:id="122" w:name="_Toc373333699"/>
            <w:bookmarkStart w:id="123" w:name="_Toc254970602"/>
            <w:bookmarkStart w:id="124" w:name="_Toc297193195"/>
            <w:bookmarkStart w:id="125" w:name="_Toc301781621"/>
            <w:bookmarkStart w:id="126" w:name="_Toc173211914"/>
            <w:bookmarkStart w:id="127" w:name="_Toc254970743"/>
            <w:bookmarkStart w:id="128" w:name="_Toc383699916"/>
            <w:r>
              <w:rPr>
                <w:rFonts w:hint="eastAsia" w:ascii="仿宋" w:hAnsi="仿宋" w:eastAsia="仿宋" w:cs="仿宋"/>
                <w:color w:val="auto"/>
                <w:kern w:val="2"/>
                <w:sz w:val="24"/>
                <w:szCs w:val="24"/>
                <w:highlight w:val="none"/>
              </w:rPr>
              <w:t>…</w:t>
            </w:r>
            <w:bookmarkEnd w:id="120"/>
            <w:bookmarkEnd w:id="121"/>
            <w:bookmarkEnd w:id="122"/>
            <w:bookmarkEnd w:id="123"/>
            <w:bookmarkEnd w:id="124"/>
            <w:bookmarkEnd w:id="125"/>
            <w:bookmarkEnd w:id="126"/>
            <w:bookmarkEnd w:id="127"/>
            <w:bookmarkEnd w:id="128"/>
          </w:p>
        </w:tc>
        <w:tc>
          <w:tcPr>
            <w:tcW w:w="915" w:type="dxa"/>
            <w:tcBorders>
              <w:right w:val="single" w:color="auto" w:sz="4" w:space="0"/>
            </w:tcBorders>
            <w:vAlign w:val="center"/>
          </w:tcPr>
          <w:p w14:paraId="030059FE">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3038" w:type="dxa"/>
            <w:tcBorders>
              <w:left w:val="single" w:color="auto" w:sz="4" w:space="0"/>
            </w:tcBorders>
            <w:vAlign w:val="center"/>
          </w:tcPr>
          <w:p w14:paraId="3450BD97">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2734" w:type="dxa"/>
            <w:vAlign w:val="center"/>
          </w:tcPr>
          <w:p w14:paraId="468CF57C">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c>
          <w:tcPr>
            <w:tcW w:w="1492" w:type="dxa"/>
            <w:tcBorders>
              <w:right w:val="single" w:color="auto" w:sz="4" w:space="0"/>
            </w:tcBorders>
            <w:vAlign w:val="center"/>
          </w:tcPr>
          <w:p w14:paraId="5DC2A1CD">
            <w:pPr>
              <w:pStyle w:val="17"/>
              <w:spacing w:line="360" w:lineRule="auto"/>
              <w:ind w:firstLine="0" w:firstLineChars="0"/>
              <w:contextualSpacing/>
              <w:jc w:val="center"/>
              <w:rPr>
                <w:rFonts w:hint="eastAsia" w:ascii="仿宋" w:hAnsi="仿宋" w:eastAsia="仿宋" w:cs="仿宋"/>
                <w:color w:val="auto"/>
                <w:kern w:val="2"/>
                <w:sz w:val="24"/>
                <w:szCs w:val="24"/>
                <w:highlight w:val="none"/>
              </w:rPr>
            </w:pPr>
          </w:p>
        </w:tc>
      </w:tr>
    </w:tbl>
    <w:p w14:paraId="152AA203">
      <w:pPr>
        <w:adjustRightInd w:val="0"/>
        <w:spacing w:line="360" w:lineRule="auto"/>
        <w:contextualSpacing/>
        <w:rPr>
          <w:rFonts w:hint="eastAsia" w:ascii="仿宋" w:hAnsi="仿宋" w:eastAsia="仿宋" w:cs="仿宋"/>
          <w:color w:val="auto"/>
          <w:sz w:val="24"/>
          <w:highlight w:val="none"/>
        </w:rPr>
      </w:pPr>
    </w:p>
    <w:p w14:paraId="78CEB7D6">
      <w:pPr>
        <w:pStyle w:val="17"/>
        <w:spacing w:line="360" w:lineRule="auto"/>
        <w:ind w:firstLine="0" w:firstLineChars="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2C609B94">
      <w:pPr>
        <w:pStyle w:val="17"/>
        <w:spacing w:line="360" w:lineRule="auto"/>
        <w:ind w:firstLine="0" w:firstLineChars="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说明：应对照磋商文件“第三章采购需求”中的技术要求逐条作出明确响应，并作出偏离说明。</w:t>
      </w:r>
    </w:p>
    <w:p w14:paraId="3A907F11">
      <w:pPr>
        <w:pStyle w:val="17"/>
        <w:spacing w:line="360" w:lineRule="auto"/>
        <w:ind w:firstLine="0" w:firstLineChars="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2.供应商应根据自身的承诺，对照磋商文件要求，在“偏离说明”中注明“正偏离”、“负偏离”或者“无偏离”。既不属于“正偏离”也不属于“负偏离”即为“无偏离”。</w:t>
      </w:r>
    </w:p>
    <w:p w14:paraId="34A3D09A">
      <w:pPr>
        <w:spacing w:line="360" w:lineRule="auto"/>
        <w:ind w:right="-817" w:rightChars="-389"/>
        <w:contextualSpacing/>
        <w:rPr>
          <w:rFonts w:hint="eastAsia" w:ascii="仿宋" w:hAnsi="仿宋" w:eastAsia="仿宋" w:cs="仿宋"/>
          <w:color w:val="auto"/>
          <w:sz w:val="24"/>
          <w:highlight w:val="none"/>
        </w:rPr>
      </w:pPr>
    </w:p>
    <w:p w14:paraId="777F71F4">
      <w:pPr>
        <w:spacing w:line="360" w:lineRule="auto"/>
        <w:ind w:right="-817" w:rightChars="-389"/>
        <w:contextualSpacing/>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法定代表人或者委托代理人（签字或者电子签名）：</w:t>
      </w:r>
    </w:p>
    <w:p w14:paraId="1A74DB34">
      <w:pPr>
        <w:spacing w:line="360" w:lineRule="auto"/>
        <w:ind w:right="-817" w:rightChars="-389" w:firstLine="2640" w:firstLineChars="1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供应商（电子签章）：</w:t>
      </w:r>
    </w:p>
    <w:p w14:paraId="4A813DAE">
      <w:pPr>
        <w:spacing w:line="360" w:lineRule="auto"/>
        <w:ind w:right="-817" w:rightChars="-389" w:firstLine="4080" w:firstLineChars="17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日期：年月日</w:t>
      </w:r>
    </w:p>
    <w:p w14:paraId="6CE7486E">
      <w:pPr>
        <w:snapToGrid w:val="0"/>
        <w:spacing w:before="156" w:beforeLines="50" w:after="50"/>
        <w:ind w:left="142"/>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项目实施人员一览表格式</w:t>
      </w:r>
    </w:p>
    <w:p w14:paraId="27E6C5F1">
      <w:pPr>
        <w:snapToGrid w:val="0"/>
        <w:spacing w:before="156" w:beforeLines="50" w:after="50"/>
        <w:ind w:left="142"/>
        <w:jc w:val="left"/>
        <w:rPr>
          <w:rFonts w:hint="eastAsia" w:ascii="仿宋" w:hAnsi="仿宋" w:eastAsia="仿宋" w:cs="仿宋"/>
          <w:b/>
          <w:color w:val="auto"/>
          <w:sz w:val="24"/>
          <w:highlight w:val="none"/>
        </w:rPr>
      </w:pPr>
    </w:p>
    <w:p w14:paraId="328F5189">
      <w:pPr>
        <w:spacing w:line="360" w:lineRule="auto"/>
        <w:ind w:left="142"/>
        <w:contextualSpacing/>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项目实施人员一览表</w:t>
      </w:r>
    </w:p>
    <w:tbl>
      <w:tblPr>
        <w:tblStyle w:val="34"/>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589"/>
        <w:gridCol w:w="1036"/>
        <w:gridCol w:w="1247"/>
        <w:gridCol w:w="1787"/>
        <w:gridCol w:w="3094"/>
        <w:gridCol w:w="1608"/>
      </w:tblGrid>
      <w:tr w14:paraId="097D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589" w:type="dxa"/>
            <w:vAlign w:val="center"/>
          </w:tcPr>
          <w:p w14:paraId="091F71D7">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序号</w:t>
            </w:r>
          </w:p>
        </w:tc>
        <w:tc>
          <w:tcPr>
            <w:tcW w:w="589" w:type="dxa"/>
            <w:vAlign w:val="center"/>
          </w:tcPr>
          <w:p w14:paraId="307BA9F3">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姓名</w:t>
            </w:r>
          </w:p>
        </w:tc>
        <w:tc>
          <w:tcPr>
            <w:tcW w:w="1036" w:type="dxa"/>
            <w:vAlign w:val="center"/>
          </w:tcPr>
          <w:p w14:paraId="7F69BD12">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职务</w:t>
            </w:r>
          </w:p>
        </w:tc>
        <w:tc>
          <w:tcPr>
            <w:tcW w:w="1247" w:type="dxa"/>
            <w:vAlign w:val="center"/>
          </w:tcPr>
          <w:p w14:paraId="6A49FF31">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学历</w:t>
            </w:r>
          </w:p>
        </w:tc>
        <w:tc>
          <w:tcPr>
            <w:tcW w:w="1787" w:type="dxa"/>
            <w:vAlign w:val="center"/>
          </w:tcPr>
          <w:p w14:paraId="3FFB8E1A">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相关工作经验年限</w:t>
            </w:r>
          </w:p>
        </w:tc>
        <w:tc>
          <w:tcPr>
            <w:tcW w:w="3094" w:type="dxa"/>
            <w:vAlign w:val="center"/>
          </w:tcPr>
          <w:p w14:paraId="3B673F9C">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专业技术资格（职称）或者职业资格或者执业资格证或者其他证书</w:t>
            </w:r>
          </w:p>
        </w:tc>
        <w:tc>
          <w:tcPr>
            <w:tcW w:w="1608" w:type="dxa"/>
            <w:vAlign w:val="center"/>
          </w:tcPr>
          <w:p w14:paraId="311609AC">
            <w:pPr>
              <w:spacing w:line="360" w:lineRule="auto"/>
              <w:contextualSpacing/>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证书编号</w:t>
            </w:r>
          </w:p>
        </w:tc>
      </w:tr>
      <w:tr w14:paraId="5E1C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589" w:type="dxa"/>
            <w:vAlign w:val="center"/>
          </w:tcPr>
          <w:p w14:paraId="125305C0">
            <w:pPr>
              <w:spacing w:line="360" w:lineRule="auto"/>
              <w:contextualSpacing/>
              <w:jc w:val="center"/>
              <w:rPr>
                <w:rFonts w:hint="eastAsia" w:ascii="仿宋" w:hAnsi="仿宋" w:eastAsia="仿宋" w:cs="仿宋"/>
                <w:color w:val="auto"/>
                <w:sz w:val="24"/>
                <w:szCs w:val="20"/>
                <w:highlight w:val="none"/>
              </w:rPr>
            </w:pPr>
          </w:p>
        </w:tc>
        <w:tc>
          <w:tcPr>
            <w:tcW w:w="589" w:type="dxa"/>
            <w:vAlign w:val="center"/>
          </w:tcPr>
          <w:p w14:paraId="74696007">
            <w:pPr>
              <w:spacing w:line="360" w:lineRule="auto"/>
              <w:contextualSpacing/>
              <w:jc w:val="center"/>
              <w:rPr>
                <w:rFonts w:hint="eastAsia" w:ascii="仿宋" w:hAnsi="仿宋" w:eastAsia="仿宋" w:cs="仿宋"/>
                <w:color w:val="auto"/>
                <w:sz w:val="24"/>
                <w:szCs w:val="20"/>
                <w:highlight w:val="none"/>
              </w:rPr>
            </w:pPr>
          </w:p>
        </w:tc>
        <w:tc>
          <w:tcPr>
            <w:tcW w:w="1036" w:type="dxa"/>
            <w:vAlign w:val="center"/>
          </w:tcPr>
          <w:p w14:paraId="3C712FA7">
            <w:pPr>
              <w:spacing w:line="360" w:lineRule="auto"/>
              <w:contextualSpacing/>
              <w:jc w:val="center"/>
              <w:rPr>
                <w:rFonts w:hint="eastAsia" w:ascii="仿宋" w:hAnsi="仿宋" w:eastAsia="仿宋" w:cs="仿宋"/>
                <w:color w:val="auto"/>
                <w:sz w:val="24"/>
                <w:szCs w:val="20"/>
                <w:highlight w:val="none"/>
              </w:rPr>
            </w:pPr>
          </w:p>
        </w:tc>
        <w:tc>
          <w:tcPr>
            <w:tcW w:w="1247" w:type="dxa"/>
            <w:vAlign w:val="center"/>
          </w:tcPr>
          <w:p w14:paraId="5A94A331">
            <w:pPr>
              <w:spacing w:line="360" w:lineRule="auto"/>
              <w:contextualSpacing/>
              <w:jc w:val="center"/>
              <w:rPr>
                <w:rFonts w:hint="eastAsia" w:ascii="仿宋" w:hAnsi="仿宋" w:eastAsia="仿宋" w:cs="仿宋"/>
                <w:color w:val="auto"/>
                <w:sz w:val="24"/>
                <w:szCs w:val="20"/>
                <w:highlight w:val="none"/>
              </w:rPr>
            </w:pPr>
          </w:p>
        </w:tc>
        <w:tc>
          <w:tcPr>
            <w:tcW w:w="1787" w:type="dxa"/>
            <w:vAlign w:val="center"/>
          </w:tcPr>
          <w:p w14:paraId="50FC05DB">
            <w:pPr>
              <w:spacing w:line="360" w:lineRule="auto"/>
              <w:contextualSpacing/>
              <w:jc w:val="center"/>
              <w:rPr>
                <w:rFonts w:hint="eastAsia" w:ascii="仿宋" w:hAnsi="仿宋" w:eastAsia="仿宋" w:cs="仿宋"/>
                <w:color w:val="auto"/>
                <w:sz w:val="24"/>
                <w:szCs w:val="20"/>
                <w:highlight w:val="none"/>
              </w:rPr>
            </w:pPr>
          </w:p>
        </w:tc>
        <w:tc>
          <w:tcPr>
            <w:tcW w:w="3094" w:type="dxa"/>
            <w:vAlign w:val="center"/>
          </w:tcPr>
          <w:p w14:paraId="78015E67">
            <w:pPr>
              <w:spacing w:line="360" w:lineRule="auto"/>
              <w:contextualSpacing/>
              <w:jc w:val="center"/>
              <w:rPr>
                <w:rFonts w:hint="eastAsia" w:ascii="仿宋" w:hAnsi="仿宋" w:eastAsia="仿宋" w:cs="仿宋"/>
                <w:color w:val="auto"/>
                <w:sz w:val="24"/>
                <w:szCs w:val="20"/>
                <w:highlight w:val="none"/>
              </w:rPr>
            </w:pPr>
          </w:p>
        </w:tc>
        <w:tc>
          <w:tcPr>
            <w:tcW w:w="1608" w:type="dxa"/>
            <w:vAlign w:val="center"/>
          </w:tcPr>
          <w:p w14:paraId="76309E1C">
            <w:pPr>
              <w:spacing w:line="360" w:lineRule="auto"/>
              <w:contextualSpacing/>
              <w:jc w:val="center"/>
              <w:rPr>
                <w:rFonts w:hint="eastAsia" w:ascii="仿宋" w:hAnsi="仿宋" w:eastAsia="仿宋" w:cs="仿宋"/>
                <w:color w:val="auto"/>
                <w:sz w:val="24"/>
                <w:szCs w:val="20"/>
                <w:highlight w:val="none"/>
              </w:rPr>
            </w:pPr>
          </w:p>
        </w:tc>
      </w:tr>
      <w:tr w14:paraId="78E0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89" w:type="dxa"/>
            <w:vAlign w:val="center"/>
          </w:tcPr>
          <w:p w14:paraId="713628D0">
            <w:pPr>
              <w:spacing w:line="360" w:lineRule="auto"/>
              <w:contextualSpacing/>
              <w:jc w:val="center"/>
              <w:rPr>
                <w:rFonts w:hint="eastAsia" w:ascii="仿宋" w:hAnsi="仿宋" w:eastAsia="仿宋" w:cs="仿宋"/>
                <w:color w:val="auto"/>
                <w:sz w:val="24"/>
                <w:szCs w:val="20"/>
                <w:highlight w:val="none"/>
              </w:rPr>
            </w:pPr>
          </w:p>
        </w:tc>
        <w:tc>
          <w:tcPr>
            <w:tcW w:w="589" w:type="dxa"/>
            <w:vAlign w:val="center"/>
          </w:tcPr>
          <w:p w14:paraId="70904200">
            <w:pPr>
              <w:spacing w:line="360" w:lineRule="auto"/>
              <w:contextualSpacing/>
              <w:jc w:val="center"/>
              <w:rPr>
                <w:rFonts w:hint="eastAsia" w:ascii="仿宋" w:hAnsi="仿宋" w:eastAsia="仿宋" w:cs="仿宋"/>
                <w:color w:val="auto"/>
                <w:sz w:val="24"/>
                <w:szCs w:val="20"/>
                <w:highlight w:val="none"/>
              </w:rPr>
            </w:pPr>
          </w:p>
        </w:tc>
        <w:tc>
          <w:tcPr>
            <w:tcW w:w="1036" w:type="dxa"/>
            <w:vAlign w:val="center"/>
          </w:tcPr>
          <w:p w14:paraId="24698A89">
            <w:pPr>
              <w:spacing w:line="360" w:lineRule="auto"/>
              <w:contextualSpacing/>
              <w:jc w:val="center"/>
              <w:rPr>
                <w:rFonts w:hint="eastAsia" w:ascii="仿宋" w:hAnsi="仿宋" w:eastAsia="仿宋" w:cs="仿宋"/>
                <w:color w:val="auto"/>
                <w:sz w:val="24"/>
                <w:szCs w:val="20"/>
                <w:highlight w:val="none"/>
              </w:rPr>
            </w:pPr>
          </w:p>
        </w:tc>
        <w:tc>
          <w:tcPr>
            <w:tcW w:w="1247" w:type="dxa"/>
            <w:vAlign w:val="center"/>
          </w:tcPr>
          <w:p w14:paraId="2316B67B">
            <w:pPr>
              <w:spacing w:line="360" w:lineRule="auto"/>
              <w:contextualSpacing/>
              <w:jc w:val="center"/>
              <w:rPr>
                <w:rFonts w:hint="eastAsia" w:ascii="仿宋" w:hAnsi="仿宋" w:eastAsia="仿宋" w:cs="仿宋"/>
                <w:color w:val="auto"/>
                <w:sz w:val="24"/>
                <w:szCs w:val="20"/>
                <w:highlight w:val="none"/>
              </w:rPr>
            </w:pPr>
          </w:p>
        </w:tc>
        <w:tc>
          <w:tcPr>
            <w:tcW w:w="1787" w:type="dxa"/>
            <w:vAlign w:val="center"/>
          </w:tcPr>
          <w:p w14:paraId="56729B93">
            <w:pPr>
              <w:spacing w:line="360" w:lineRule="auto"/>
              <w:contextualSpacing/>
              <w:jc w:val="center"/>
              <w:rPr>
                <w:rFonts w:hint="eastAsia" w:ascii="仿宋" w:hAnsi="仿宋" w:eastAsia="仿宋" w:cs="仿宋"/>
                <w:color w:val="auto"/>
                <w:sz w:val="24"/>
                <w:szCs w:val="20"/>
                <w:highlight w:val="none"/>
              </w:rPr>
            </w:pPr>
          </w:p>
        </w:tc>
        <w:tc>
          <w:tcPr>
            <w:tcW w:w="3094" w:type="dxa"/>
            <w:vAlign w:val="center"/>
          </w:tcPr>
          <w:p w14:paraId="09D45396">
            <w:pPr>
              <w:spacing w:line="360" w:lineRule="auto"/>
              <w:contextualSpacing/>
              <w:jc w:val="center"/>
              <w:rPr>
                <w:rFonts w:hint="eastAsia" w:ascii="仿宋" w:hAnsi="仿宋" w:eastAsia="仿宋" w:cs="仿宋"/>
                <w:color w:val="auto"/>
                <w:sz w:val="24"/>
                <w:szCs w:val="20"/>
                <w:highlight w:val="none"/>
              </w:rPr>
            </w:pPr>
          </w:p>
        </w:tc>
        <w:tc>
          <w:tcPr>
            <w:tcW w:w="1608" w:type="dxa"/>
            <w:vAlign w:val="center"/>
          </w:tcPr>
          <w:p w14:paraId="23BA9337">
            <w:pPr>
              <w:spacing w:line="360" w:lineRule="auto"/>
              <w:contextualSpacing/>
              <w:jc w:val="center"/>
              <w:rPr>
                <w:rFonts w:hint="eastAsia" w:ascii="仿宋" w:hAnsi="仿宋" w:eastAsia="仿宋" w:cs="仿宋"/>
                <w:color w:val="auto"/>
                <w:sz w:val="24"/>
                <w:szCs w:val="20"/>
                <w:highlight w:val="none"/>
              </w:rPr>
            </w:pPr>
          </w:p>
        </w:tc>
      </w:tr>
      <w:tr w14:paraId="3846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9" w:type="dxa"/>
            <w:vAlign w:val="center"/>
          </w:tcPr>
          <w:p w14:paraId="0946C8E3">
            <w:pPr>
              <w:spacing w:line="360" w:lineRule="auto"/>
              <w:contextualSpacing/>
              <w:jc w:val="center"/>
              <w:rPr>
                <w:rFonts w:hint="eastAsia" w:ascii="仿宋" w:hAnsi="仿宋" w:eastAsia="仿宋" w:cs="仿宋"/>
                <w:color w:val="auto"/>
                <w:sz w:val="24"/>
                <w:szCs w:val="20"/>
                <w:highlight w:val="none"/>
              </w:rPr>
            </w:pPr>
          </w:p>
        </w:tc>
        <w:tc>
          <w:tcPr>
            <w:tcW w:w="589" w:type="dxa"/>
            <w:vAlign w:val="center"/>
          </w:tcPr>
          <w:p w14:paraId="22D812F7">
            <w:pPr>
              <w:spacing w:line="360" w:lineRule="auto"/>
              <w:contextualSpacing/>
              <w:jc w:val="center"/>
              <w:rPr>
                <w:rFonts w:hint="eastAsia" w:ascii="仿宋" w:hAnsi="仿宋" w:eastAsia="仿宋" w:cs="仿宋"/>
                <w:color w:val="auto"/>
                <w:sz w:val="24"/>
                <w:szCs w:val="20"/>
                <w:highlight w:val="none"/>
              </w:rPr>
            </w:pPr>
          </w:p>
        </w:tc>
        <w:tc>
          <w:tcPr>
            <w:tcW w:w="1036" w:type="dxa"/>
            <w:vAlign w:val="center"/>
          </w:tcPr>
          <w:p w14:paraId="42AC199E">
            <w:pPr>
              <w:spacing w:line="360" w:lineRule="auto"/>
              <w:contextualSpacing/>
              <w:jc w:val="center"/>
              <w:rPr>
                <w:rFonts w:hint="eastAsia" w:ascii="仿宋" w:hAnsi="仿宋" w:eastAsia="仿宋" w:cs="仿宋"/>
                <w:color w:val="auto"/>
                <w:sz w:val="24"/>
                <w:szCs w:val="20"/>
                <w:highlight w:val="none"/>
              </w:rPr>
            </w:pPr>
          </w:p>
        </w:tc>
        <w:tc>
          <w:tcPr>
            <w:tcW w:w="1247" w:type="dxa"/>
            <w:vAlign w:val="center"/>
          </w:tcPr>
          <w:p w14:paraId="4782C46F">
            <w:pPr>
              <w:spacing w:line="360" w:lineRule="auto"/>
              <w:contextualSpacing/>
              <w:jc w:val="center"/>
              <w:rPr>
                <w:rFonts w:hint="eastAsia" w:ascii="仿宋" w:hAnsi="仿宋" w:eastAsia="仿宋" w:cs="仿宋"/>
                <w:color w:val="auto"/>
                <w:sz w:val="24"/>
                <w:szCs w:val="20"/>
                <w:highlight w:val="none"/>
              </w:rPr>
            </w:pPr>
          </w:p>
        </w:tc>
        <w:tc>
          <w:tcPr>
            <w:tcW w:w="1787" w:type="dxa"/>
            <w:vAlign w:val="center"/>
          </w:tcPr>
          <w:p w14:paraId="636CFADE">
            <w:pPr>
              <w:spacing w:line="360" w:lineRule="auto"/>
              <w:contextualSpacing/>
              <w:jc w:val="center"/>
              <w:rPr>
                <w:rFonts w:hint="eastAsia" w:ascii="仿宋" w:hAnsi="仿宋" w:eastAsia="仿宋" w:cs="仿宋"/>
                <w:color w:val="auto"/>
                <w:sz w:val="24"/>
                <w:szCs w:val="20"/>
                <w:highlight w:val="none"/>
              </w:rPr>
            </w:pPr>
          </w:p>
        </w:tc>
        <w:tc>
          <w:tcPr>
            <w:tcW w:w="3094" w:type="dxa"/>
            <w:vAlign w:val="center"/>
          </w:tcPr>
          <w:p w14:paraId="7A47FF12">
            <w:pPr>
              <w:spacing w:line="360" w:lineRule="auto"/>
              <w:contextualSpacing/>
              <w:jc w:val="center"/>
              <w:rPr>
                <w:rFonts w:hint="eastAsia" w:ascii="仿宋" w:hAnsi="仿宋" w:eastAsia="仿宋" w:cs="仿宋"/>
                <w:color w:val="auto"/>
                <w:sz w:val="24"/>
                <w:szCs w:val="20"/>
                <w:highlight w:val="none"/>
              </w:rPr>
            </w:pPr>
          </w:p>
        </w:tc>
        <w:tc>
          <w:tcPr>
            <w:tcW w:w="1608" w:type="dxa"/>
            <w:vAlign w:val="center"/>
          </w:tcPr>
          <w:p w14:paraId="066E2764">
            <w:pPr>
              <w:spacing w:line="360" w:lineRule="auto"/>
              <w:contextualSpacing/>
              <w:jc w:val="center"/>
              <w:rPr>
                <w:rFonts w:hint="eastAsia" w:ascii="仿宋" w:hAnsi="仿宋" w:eastAsia="仿宋" w:cs="仿宋"/>
                <w:color w:val="auto"/>
                <w:sz w:val="24"/>
                <w:szCs w:val="20"/>
                <w:highlight w:val="none"/>
              </w:rPr>
            </w:pPr>
          </w:p>
        </w:tc>
      </w:tr>
    </w:tbl>
    <w:p w14:paraId="1ED63FAE">
      <w:pPr>
        <w:spacing w:line="360" w:lineRule="auto"/>
        <w:contextualSpacing/>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注：1.在填写时，如本表格不适合供应商的实际情况，可根据本表格式自行制表填写。</w:t>
      </w:r>
    </w:p>
    <w:p w14:paraId="7C68581A">
      <w:pPr>
        <w:spacing w:line="360" w:lineRule="auto"/>
        <w:contextualSpacing/>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2.需提供相关证明材料</w:t>
      </w:r>
    </w:p>
    <w:p w14:paraId="479FA5E4">
      <w:pPr>
        <w:spacing w:line="360" w:lineRule="auto"/>
        <w:contextualSpacing/>
        <w:rPr>
          <w:rFonts w:hint="eastAsia" w:ascii="仿宋" w:hAnsi="仿宋" w:eastAsia="仿宋" w:cs="仿宋"/>
          <w:color w:val="auto"/>
          <w:sz w:val="24"/>
          <w:highlight w:val="none"/>
        </w:rPr>
      </w:pPr>
    </w:p>
    <w:p w14:paraId="6910A8F0">
      <w:pPr>
        <w:spacing w:line="360" w:lineRule="auto"/>
        <w:contextualSpacing/>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z w:val="24"/>
          <w:highlight w:val="none"/>
        </w:rPr>
        <w:t>法定代表人或者委托代理人</w:t>
      </w:r>
      <w:r>
        <w:rPr>
          <w:rFonts w:hint="eastAsia" w:ascii="仿宋" w:hAnsi="仿宋" w:eastAsia="仿宋" w:cs="仿宋"/>
          <w:color w:val="auto"/>
          <w:spacing w:val="20"/>
          <w:sz w:val="24"/>
          <w:highlight w:val="none"/>
        </w:rPr>
        <w:t>签字：</w:t>
      </w:r>
    </w:p>
    <w:p w14:paraId="2C81EB8F">
      <w:pPr>
        <w:spacing w:line="360" w:lineRule="auto"/>
        <w:contextualSpacing/>
        <w:jc w:val="lef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供应商（电子签章）：</w:t>
      </w:r>
    </w:p>
    <w:p w14:paraId="10F4A652">
      <w:pPr>
        <w:spacing w:line="360" w:lineRule="auto"/>
        <w:contextualSpacing/>
        <w:jc w:val="left"/>
        <w:rPr>
          <w:rFonts w:hint="eastAsia" w:ascii="仿宋" w:hAnsi="仿宋" w:eastAsia="仿宋" w:cs="仿宋"/>
          <w:color w:val="auto"/>
          <w:sz w:val="24"/>
          <w:szCs w:val="20"/>
          <w:highlight w:val="none"/>
        </w:rPr>
      </w:pPr>
      <w:r>
        <w:rPr>
          <w:rFonts w:hint="eastAsia" w:ascii="仿宋" w:hAnsi="仿宋" w:eastAsia="仿宋" w:cs="仿宋"/>
          <w:color w:val="auto"/>
          <w:spacing w:val="20"/>
          <w:sz w:val="24"/>
          <w:highlight w:val="none"/>
        </w:rPr>
        <w:t>日期：</w:t>
      </w:r>
    </w:p>
    <w:p w14:paraId="753391B1">
      <w:pPr>
        <w:snapToGrid w:val="0"/>
        <w:spacing w:before="50" w:after="50" w:line="360" w:lineRule="auto"/>
        <w:ind w:right="-817" w:rightChars="-389" w:firstLine="5461" w:firstLineChars="1700"/>
        <w:rPr>
          <w:rFonts w:hint="eastAsia" w:ascii="仿宋" w:hAnsi="仿宋" w:eastAsia="仿宋" w:cs="仿宋"/>
          <w:b/>
          <w:color w:val="auto"/>
          <w:sz w:val="32"/>
          <w:szCs w:val="32"/>
          <w:highlight w:val="none"/>
        </w:rPr>
      </w:pPr>
    </w:p>
    <w:p w14:paraId="58CA1942">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9DE9571">
      <w:pPr>
        <w:snapToGrid w:val="0"/>
        <w:spacing w:before="156" w:beforeLines="50" w:after="50"/>
        <w:ind w:left="14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供应商业绩证明材料</w:t>
      </w:r>
    </w:p>
    <w:p w14:paraId="4C86FA5E">
      <w:pPr>
        <w:pStyle w:val="26"/>
        <w:snapToGrid w:val="0"/>
        <w:ind w:left="480" w:hanging="480"/>
        <w:rPr>
          <w:rFonts w:hint="eastAsia" w:ascii="仿宋" w:hAnsi="仿宋" w:eastAsia="仿宋" w:cs="仿宋"/>
          <w:color w:val="auto"/>
          <w:sz w:val="24"/>
          <w:highlight w:val="none"/>
        </w:rPr>
      </w:pPr>
    </w:p>
    <w:p w14:paraId="7DECFFFC">
      <w:pPr>
        <w:spacing w:line="360" w:lineRule="auto"/>
        <w:ind w:left="142"/>
        <w:contextualSpacing/>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供应商业绩情况一览表 </w:t>
      </w:r>
    </w:p>
    <w:tbl>
      <w:tblPr>
        <w:tblStyle w:val="34"/>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2"/>
        <w:gridCol w:w="2067"/>
        <w:gridCol w:w="2067"/>
        <w:gridCol w:w="1668"/>
        <w:gridCol w:w="1668"/>
      </w:tblGrid>
      <w:tr w14:paraId="17675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3" w:hRule="atLeast"/>
        </w:trPr>
        <w:tc>
          <w:tcPr>
            <w:tcW w:w="2492" w:type="dxa"/>
            <w:tcBorders>
              <w:top w:val="single" w:color="auto" w:sz="4" w:space="0"/>
              <w:left w:val="single" w:color="auto" w:sz="4" w:space="0"/>
              <w:bottom w:val="single" w:color="auto" w:sz="4" w:space="0"/>
              <w:right w:val="single" w:color="auto" w:sz="4" w:space="0"/>
            </w:tcBorders>
            <w:vAlign w:val="center"/>
          </w:tcPr>
          <w:p w14:paraId="349023B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2067" w:type="dxa"/>
            <w:tcBorders>
              <w:top w:val="single" w:color="auto" w:sz="4" w:space="0"/>
              <w:left w:val="single" w:color="auto" w:sz="4" w:space="0"/>
              <w:bottom w:val="single" w:color="auto" w:sz="4" w:space="0"/>
              <w:right w:val="single" w:color="auto" w:sz="4" w:space="0"/>
            </w:tcBorders>
            <w:vAlign w:val="center"/>
          </w:tcPr>
          <w:p w14:paraId="0CA3181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067" w:type="dxa"/>
            <w:tcBorders>
              <w:top w:val="single" w:color="auto" w:sz="4" w:space="0"/>
              <w:left w:val="single" w:color="auto" w:sz="4" w:space="0"/>
              <w:bottom w:val="single" w:color="auto" w:sz="4" w:space="0"/>
              <w:right w:val="single" w:color="auto" w:sz="4" w:space="0"/>
            </w:tcBorders>
            <w:vAlign w:val="center"/>
          </w:tcPr>
          <w:p w14:paraId="72329428">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p w14:paraId="7C1DA54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668" w:type="dxa"/>
            <w:tcBorders>
              <w:top w:val="single" w:color="auto" w:sz="4" w:space="0"/>
              <w:left w:val="single" w:color="auto" w:sz="4" w:space="0"/>
              <w:right w:val="single" w:color="auto" w:sz="4" w:space="0"/>
            </w:tcBorders>
            <w:vAlign w:val="center"/>
          </w:tcPr>
          <w:p w14:paraId="4291FE2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采购人联系人及联系电话</w:t>
            </w:r>
          </w:p>
        </w:tc>
        <w:tc>
          <w:tcPr>
            <w:tcW w:w="1668" w:type="dxa"/>
            <w:tcBorders>
              <w:top w:val="single" w:color="auto" w:sz="4" w:space="0"/>
              <w:left w:val="single" w:color="auto" w:sz="4" w:space="0"/>
              <w:bottom w:val="single" w:color="auto" w:sz="4" w:space="0"/>
              <w:right w:val="single" w:color="auto" w:sz="4" w:space="0"/>
            </w:tcBorders>
            <w:vAlign w:val="center"/>
          </w:tcPr>
          <w:p w14:paraId="738A32F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中标（成交）通知书或合同签订日期</w:t>
            </w:r>
          </w:p>
        </w:tc>
      </w:tr>
      <w:tr w14:paraId="37E99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492" w:type="dxa"/>
            <w:tcBorders>
              <w:top w:val="single" w:color="auto" w:sz="4" w:space="0"/>
              <w:left w:val="single" w:color="auto" w:sz="4" w:space="0"/>
              <w:bottom w:val="single" w:color="auto" w:sz="4" w:space="0"/>
              <w:right w:val="single" w:color="auto" w:sz="4" w:space="0"/>
            </w:tcBorders>
          </w:tcPr>
          <w:p w14:paraId="0DFD9642">
            <w:pPr>
              <w:snapToGrid w:val="0"/>
              <w:jc w:val="left"/>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4" w:space="0"/>
            </w:tcBorders>
          </w:tcPr>
          <w:p w14:paraId="0249B272">
            <w:pPr>
              <w:snapToGrid w:val="0"/>
              <w:jc w:val="left"/>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4" w:space="0"/>
            </w:tcBorders>
          </w:tcPr>
          <w:p w14:paraId="126F2E6E">
            <w:pPr>
              <w:snapToGrid w:val="0"/>
              <w:jc w:val="left"/>
              <w:rPr>
                <w:rFonts w:hint="eastAsia" w:ascii="仿宋" w:hAnsi="仿宋" w:eastAsia="仿宋" w:cs="仿宋"/>
                <w:color w:val="auto"/>
                <w:sz w:val="24"/>
                <w:highlight w:val="none"/>
              </w:rPr>
            </w:pPr>
          </w:p>
        </w:tc>
        <w:tc>
          <w:tcPr>
            <w:tcW w:w="1668" w:type="dxa"/>
            <w:tcBorders>
              <w:top w:val="single" w:color="auto" w:sz="4" w:space="0"/>
              <w:left w:val="single" w:color="auto" w:sz="4" w:space="0"/>
              <w:bottom w:val="single" w:color="auto" w:sz="4" w:space="0"/>
              <w:right w:val="single" w:color="auto" w:sz="4" w:space="0"/>
            </w:tcBorders>
          </w:tcPr>
          <w:p w14:paraId="2A2099FA">
            <w:pPr>
              <w:snapToGrid w:val="0"/>
              <w:jc w:val="left"/>
              <w:rPr>
                <w:rFonts w:hint="eastAsia" w:ascii="仿宋" w:hAnsi="仿宋" w:eastAsia="仿宋" w:cs="仿宋"/>
                <w:color w:val="auto"/>
                <w:sz w:val="24"/>
                <w:highlight w:val="none"/>
              </w:rPr>
            </w:pPr>
          </w:p>
        </w:tc>
        <w:tc>
          <w:tcPr>
            <w:tcW w:w="1668" w:type="dxa"/>
            <w:tcBorders>
              <w:top w:val="single" w:color="auto" w:sz="4" w:space="0"/>
              <w:left w:val="single" w:color="auto" w:sz="4" w:space="0"/>
              <w:bottom w:val="single" w:color="auto" w:sz="4" w:space="0"/>
              <w:right w:val="single" w:color="auto" w:sz="4" w:space="0"/>
            </w:tcBorders>
          </w:tcPr>
          <w:p w14:paraId="0ECE448D">
            <w:pPr>
              <w:snapToGrid w:val="0"/>
              <w:jc w:val="left"/>
              <w:rPr>
                <w:rFonts w:hint="eastAsia" w:ascii="仿宋" w:hAnsi="仿宋" w:eastAsia="仿宋" w:cs="仿宋"/>
                <w:color w:val="auto"/>
                <w:sz w:val="24"/>
                <w:highlight w:val="none"/>
              </w:rPr>
            </w:pPr>
          </w:p>
        </w:tc>
      </w:tr>
      <w:tr w14:paraId="48135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14:paraId="3195B047">
            <w:pPr>
              <w:snapToGrid w:val="0"/>
              <w:spacing w:before="50" w:after="156" w:afterLines="50"/>
              <w:jc w:val="left"/>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4" w:space="0"/>
            </w:tcBorders>
          </w:tcPr>
          <w:p w14:paraId="76757D9C">
            <w:pPr>
              <w:snapToGrid w:val="0"/>
              <w:spacing w:before="50" w:after="156" w:afterLines="50"/>
              <w:jc w:val="left"/>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4" w:space="0"/>
            </w:tcBorders>
          </w:tcPr>
          <w:p w14:paraId="2F31CF6D">
            <w:pPr>
              <w:snapToGrid w:val="0"/>
              <w:spacing w:before="50" w:after="156" w:afterLines="50"/>
              <w:jc w:val="left"/>
              <w:rPr>
                <w:rFonts w:hint="eastAsia" w:ascii="仿宋" w:hAnsi="仿宋" w:eastAsia="仿宋" w:cs="仿宋"/>
                <w:color w:val="auto"/>
                <w:sz w:val="24"/>
                <w:highlight w:val="none"/>
              </w:rPr>
            </w:pPr>
          </w:p>
        </w:tc>
        <w:tc>
          <w:tcPr>
            <w:tcW w:w="1668" w:type="dxa"/>
            <w:tcBorders>
              <w:top w:val="single" w:color="auto" w:sz="4" w:space="0"/>
              <w:left w:val="single" w:color="auto" w:sz="4" w:space="0"/>
              <w:bottom w:val="single" w:color="auto" w:sz="4" w:space="0"/>
              <w:right w:val="single" w:color="auto" w:sz="4" w:space="0"/>
            </w:tcBorders>
          </w:tcPr>
          <w:p w14:paraId="0F5B4129">
            <w:pPr>
              <w:snapToGrid w:val="0"/>
              <w:spacing w:before="50" w:after="156" w:afterLines="50"/>
              <w:jc w:val="left"/>
              <w:rPr>
                <w:rFonts w:hint="eastAsia" w:ascii="仿宋" w:hAnsi="仿宋" w:eastAsia="仿宋" w:cs="仿宋"/>
                <w:color w:val="auto"/>
                <w:sz w:val="24"/>
                <w:highlight w:val="none"/>
              </w:rPr>
            </w:pPr>
          </w:p>
        </w:tc>
        <w:tc>
          <w:tcPr>
            <w:tcW w:w="1668" w:type="dxa"/>
            <w:tcBorders>
              <w:top w:val="single" w:color="auto" w:sz="4" w:space="0"/>
              <w:left w:val="single" w:color="auto" w:sz="4" w:space="0"/>
              <w:bottom w:val="single" w:color="auto" w:sz="4" w:space="0"/>
              <w:right w:val="single" w:color="auto" w:sz="4" w:space="0"/>
            </w:tcBorders>
          </w:tcPr>
          <w:p w14:paraId="1B8E3D22">
            <w:pPr>
              <w:snapToGrid w:val="0"/>
              <w:spacing w:before="50" w:after="156" w:afterLines="50"/>
              <w:jc w:val="left"/>
              <w:rPr>
                <w:rFonts w:hint="eastAsia" w:ascii="仿宋" w:hAnsi="仿宋" w:eastAsia="仿宋" w:cs="仿宋"/>
                <w:color w:val="auto"/>
                <w:sz w:val="24"/>
                <w:highlight w:val="none"/>
              </w:rPr>
            </w:pPr>
          </w:p>
        </w:tc>
      </w:tr>
      <w:tr w14:paraId="469EA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492" w:type="dxa"/>
            <w:tcBorders>
              <w:top w:val="single" w:color="auto" w:sz="4" w:space="0"/>
              <w:left w:val="single" w:color="auto" w:sz="4" w:space="0"/>
              <w:bottom w:val="single" w:color="auto" w:sz="4" w:space="0"/>
              <w:right w:val="single" w:color="auto" w:sz="4" w:space="0"/>
            </w:tcBorders>
          </w:tcPr>
          <w:p w14:paraId="6F598D7E">
            <w:pPr>
              <w:snapToGrid w:val="0"/>
              <w:spacing w:before="50" w:after="156" w:afterLines="50"/>
              <w:jc w:val="left"/>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4" w:space="0"/>
            </w:tcBorders>
          </w:tcPr>
          <w:p w14:paraId="22056AF2">
            <w:pPr>
              <w:snapToGrid w:val="0"/>
              <w:spacing w:before="50" w:after="156" w:afterLines="50"/>
              <w:jc w:val="left"/>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4" w:space="0"/>
            </w:tcBorders>
          </w:tcPr>
          <w:p w14:paraId="03A86658">
            <w:pPr>
              <w:snapToGrid w:val="0"/>
              <w:spacing w:before="50" w:after="156" w:afterLines="50"/>
              <w:jc w:val="left"/>
              <w:rPr>
                <w:rFonts w:hint="eastAsia" w:ascii="仿宋" w:hAnsi="仿宋" w:eastAsia="仿宋" w:cs="仿宋"/>
                <w:color w:val="auto"/>
                <w:sz w:val="24"/>
                <w:highlight w:val="none"/>
              </w:rPr>
            </w:pPr>
          </w:p>
        </w:tc>
        <w:tc>
          <w:tcPr>
            <w:tcW w:w="1668" w:type="dxa"/>
            <w:tcBorders>
              <w:top w:val="single" w:color="auto" w:sz="4" w:space="0"/>
              <w:left w:val="single" w:color="auto" w:sz="4" w:space="0"/>
              <w:bottom w:val="single" w:color="auto" w:sz="4" w:space="0"/>
              <w:right w:val="single" w:color="auto" w:sz="4" w:space="0"/>
            </w:tcBorders>
          </w:tcPr>
          <w:p w14:paraId="40003503">
            <w:pPr>
              <w:snapToGrid w:val="0"/>
              <w:spacing w:before="50" w:after="156" w:afterLines="50"/>
              <w:jc w:val="left"/>
              <w:rPr>
                <w:rFonts w:hint="eastAsia" w:ascii="仿宋" w:hAnsi="仿宋" w:eastAsia="仿宋" w:cs="仿宋"/>
                <w:color w:val="auto"/>
                <w:sz w:val="24"/>
                <w:highlight w:val="none"/>
              </w:rPr>
            </w:pPr>
          </w:p>
        </w:tc>
        <w:tc>
          <w:tcPr>
            <w:tcW w:w="1668" w:type="dxa"/>
            <w:tcBorders>
              <w:top w:val="single" w:color="auto" w:sz="4" w:space="0"/>
              <w:left w:val="single" w:color="auto" w:sz="4" w:space="0"/>
              <w:bottom w:val="single" w:color="auto" w:sz="4" w:space="0"/>
              <w:right w:val="single" w:color="auto" w:sz="4" w:space="0"/>
            </w:tcBorders>
          </w:tcPr>
          <w:p w14:paraId="23D38C78">
            <w:pPr>
              <w:snapToGrid w:val="0"/>
              <w:spacing w:before="50" w:after="156" w:afterLines="50"/>
              <w:jc w:val="left"/>
              <w:rPr>
                <w:rFonts w:hint="eastAsia" w:ascii="仿宋" w:hAnsi="仿宋" w:eastAsia="仿宋" w:cs="仿宋"/>
                <w:color w:val="auto"/>
                <w:sz w:val="24"/>
                <w:highlight w:val="none"/>
              </w:rPr>
            </w:pPr>
          </w:p>
        </w:tc>
      </w:tr>
      <w:tr w14:paraId="4583A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14:paraId="75B0462C">
            <w:pPr>
              <w:snapToGrid w:val="0"/>
              <w:spacing w:before="50" w:after="156" w:afterLines="50"/>
              <w:jc w:val="left"/>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4" w:space="0"/>
            </w:tcBorders>
          </w:tcPr>
          <w:p w14:paraId="121F3278">
            <w:pPr>
              <w:snapToGrid w:val="0"/>
              <w:spacing w:before="50" w:after="156" w:afterLines="50"/>
              <w:jc w:val="left"/>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4" w:space="0"/>
            </w:tcBorders>
          </w:tcPr>
          <w:p w14:paraId="2B3F5395">
            <w:pPr>
              <w:snapToGrid w:val="0"/>
              <w:spacing w:before="50" w:after="156" w:afterLines="50"/>
              <w:jc w:val="left"/>
              <w:rPr>
                <w:rFonts w:hint="eastAsia" w:ascii="仿宋" w:hAnsi="仿宋" w:eastAsia="仿宋" w:cs="仿宋"/>
                <w:color w:val="auto"/>
                <w:sz w:val="24"/>
                <w:highlight w:val="none"/>
              </w:rPr>
            </w:pPr>
          </w:p>
        </w:tc>
        <w:tc>
          <w:tcPr>
            <w:tcW w:w="1668" w:type="dxa"/>
            <w:tcBorders>
              <w:top w:val="single" w:color="auto" w:sz="4" w:space="0"/>
              <w:left w:val="single" w:color="auto" w:sz="4" w:space="0"/>
              <w:bottom w:val="single" w:color="auto" w:sz="4" w:space="0"/>
              <w:right w:val="single" w:color="auto" w:sz="4" w:space="0"/>
            </w:tcBorders>
          </w:tcPr>
          <w:p w14:paraId="7DEB1F4A">
            <w:pPr>
              <w:snapToGrid w:val="0"/>
              <w:spacing w:before="50" w:after="156" w:afterLines="50"/>
              <w:jc w:val="left"/>
              <w:rPr>
                <w:rFonts w:hint="eastAsia" w:ascii="仿宋" w:hAnsi="仿宋" w:eastAsia="仿宋" w:cs="仿宋"/>
                <w:color w:val="auto"/>
                <w:sz w:val="24"/>
                <w:highlight w:val="none"/>
              </w:rPr>
            </w:pPr>
          </w:p>
        </w:tc>
        <w:tc>
          <w:tcPr>
            <w:tcW w:w="1668" w:type="dxa"/>
            <w:tcBorders>
              <w:top w:val="single" w:color="auto" w:sz="4" w:space="0"/>
              <w:left w:val="single" w:color="auto" w:sz="4" w:space="0"/>
              <w:bottom w:val="single" w:color="auto" w:sz="4" w:space="0"/>
              <w:right w:val="single" w:color="auto" w:sz="4" w:space="0"/>
            </w:tcBorders>
          </w:tcPr>
          <w:p w14:paraId="41105831">
            <w:pPr>
              <w:snapToGrid w:val="0"/>
              <w:spacing w:before="50" w:after="156" w:afterLines="50"/>
              <w:jc w:val="left"/>
              <w:rPr>
                <w:rFonts w:hint="eastAsia" w:ascii="仿宋" w:hAnsi="仿宋" w:eastAsia="仿宋" w:cs="仿宋"/>
                <w:color w:val="auto"/>
                <w:sz w:val="24"/>
                <w:highlight w:val="none"/>
              </w:rPr>
            </w:pPr>
          </w:p>
        </w:tc>
      </w:tr>
      <w:tr w14:paraId="35F4A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14:paraId="2DB912E1">
            <w:pPr>
              <w:snapToGrid w:val="0"/>
              <w:spacing w:before="50" w:after="156" w:afterLines="50"/>
              <w:jc w:val="left"/>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4" w:space="0"/>
            </w:tcBorders>
          </w:tcPr>
          <w:p w14:paraId="400BBBFE">
            <w:pPr>
              <w:snapToGrid w:val="0"/>
              <w:spacing w:before="50" w:after="156" w:afterLines="50"/>
              <w:jc w:val="left"/>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4" w:space="0"/>
            </w:tcBorders>
          </w:tcPr>
          <w:p w14:paraId="1A7526EB">
            <w:pPr>
              <w:snapToGrid w:val="0"/>
              <w:spacing w:before="50" w:after="156" w:afterLines="50"/>
              <w:jc w:val="left"/>
              <w:rPr>
                <w:rFonts w:hint="eastAsia" w:ascii="仿宋" w:hAnsi="仿宋" w:eastAsia="仿宋" w:cs="仿宋"/>
                <w:color w:val="auto"/>
                <w:sz w:val="24"/>
                <w:highlight w:val="none"/>
              </w:rPr>
            </w:pPr>
          </w:p>
        </w:tc>
        <w:tc>
          <w:tcPr>
            <w:tcW w:w="1668" w:type="dxa"/>
            <w:tcBorders>
              <w:top w:val="single" w:color="auto" w:sz="4" w:space="0"/>
              <w:left w:val="single" w:color="auto" w:sz="4" w:space="0"/>
              <w:bottom w:val="single" w:color="auto" w:sz="4" w:space="0"/>
              <w:right w:val="single" w:color="auto" w:sz="4" w:space="0"/>
            </w:tcBorders>
          </w:tcPr>
          <w:p w14:paraId="78D067AD">
            <w:pPr>
              <w:snapToGrid w:val="0"/>
              <w:spacing w:before="50" w:after="156" w:afterLines="50"/>
              <w:jc w:val="left"/>
              <w:rPr>
                <w:rFonts w:hint="eastAsia" w:ascii="仿宋" w:hAnsi="仿宋" w:eastAsia="仿宋" w:cs="仿宋"/>
                <w:color w:val="auto"/>
                <w:sz w:val="24"/>
                <w:highlight w:val="none"/>
              </w:rPr>
            </w:pPr>
          </w:p>
        </w:tc>
        <w:tc>
          <w:tcPr>
            <w:tcW w:w="1668" w:type="dxa"/>
            <w:tcBorders>
              <w:top w:val="single" w:color="auto" w:sz="4" w:space="0"/>
              <w:left w:val="single" w:color="auto" w:sz="4" w:space="0"/>
              <w:bottom w:val="single" w:color="auto" w:sz="4" w:space="0"/>
              <w:right w:val="single" w:color="auto" w:sz="4" w:space="0"/>
            </w:tcBorders>
          </w:tcPr>
          <w:p w14:paraId="7AD19118">
            <w:pPr>
              <w:snapToGrid w:val="0"/>
              <w:spacing w:before="50" w:after="156" w:afterLines="50"/>
              <w:jc w:val="left"/>
              <w:rPr>
                <w:rFonts w:hint="eastAsia" w:ascii="仿宋" w:hAnsi="仿宋" w:eastAsia="仿宋" w:cs="仿宋"/>
                <w:color w:val="auto"/>
                <w:sz w:val="24"/>
                <w:highlight w:val="none"/>
              </w:rPr>
            </w:pPr>
          </w:p>
        </w:tc>
      </w:tr>
    </w:tbl>
    <w:p w14:paraId="7B2A3402">
      <w:pPr>
        <w:pStyle w:val="13"/>
        <w:contextualSpacing/>
        <w:rPr>
          <w:rFonts w:hint="eastAsia" w:ascii="仿宋" w:hAnsi="仿宋" w:eastAsia="仿宋" w:cs="仿宋"/>
          <w:color w:val="auto"/>
          <w:sz w:val="24"/>
          <w:szCs w:val="24"/>
          <w:highlight w:val="none"/>
        </w:rPr>
      </w:pPr>
    </w:p>
    <w:p w14:paraId="1AA09A7F">
      <w:pPr>
        <w:pStyle w:val="13"/>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highlight w:val="none"/>
        </w:rPr>
        <w:t>供应商根据评标标准具体要求附业绩证明材料。</w:t>
      </w:r>
    </w:p>
    <w:p w14:paraId="7A81870C">
      <w:pPr>
        <w:pStyle w:val="13"/>
        <w:contextualSpacing/>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法定代表人（负责人）或者委托代理人（签字或者电子签名）：</w:t>
      </w:r>
      <w:r>
        <w:rPr>
          <w:rFonts w:hint="eastAsia" w:ascii="仿宋" w:hAnsi="仿宋" w:eastAsia="仿宋" w:cs="仿宋"/>
          <w:color w:val="auto"/>
          <w:sz w:val="24"/>
          <w:szCs w:val="24"/>
          <w:highlight w:val="none"/>
          <w:u w:val="single"/>
        </w:rPr>
        <w:t>　　　　　</w:t>
      </w:r>
    </w:p>
    <w:p w14:paraId="7E1946EA">
      <w:pPr>
        <w:spacing w:line="360" w:lineRule="auto"/>
        <w:ind w:right="480"/>
        <w:contextualSpacing/>
        <w:jc w:val="lef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 xml:space="preserve">供应商名称（电子签章）：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    月    日</w:t>
      </w:r>
    </w:p>
    <w:p w14:paraId="5A50E7E0">
      <w:pPr>
        <w:spacing w:line="300" w:lineRule="auto"/>
        <w:rPr>
          <w:rFonts w:hint="eastAsia" w:ascii="仿宋" w:hAnsi="仿宋" w:eastAsia="仿宋" w:cs="仿宋"/>
          <w:color w:val="auto"/>
          <w:szCs w:val="21"/>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其他文书、文件格式</w:t>
      </w:r>
    </w:p>
    <w:p w14:paraId="68E907B1">
      <w:pPr>
        <w:spacing w:line="360" w:lineRule="auto"/>
        <w:jc w:val="center"/>
        <w:rPr>
          <w:rFonts w:hint="eastAsia" w:ascii="仿宋" w:hAnsi="仿宋" w:eastAsia="仿宋" w:cs="仿宋"/>
          <w:color w:val="auto"/>
          <w:sz w:val="24"/>
          <w:highlight w:val="none"/>
        </w:rPr>
      </w:pPr>
    </w:p>
    <w:p w14:paraId="4F59C7A6">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44"/>
          <w:szCs w:val="44"/>
          <w:highlight w:val="none"/>
        </w:rPr>
        <w:t>质疑函（格式）</w:t>
      </w:r>
    </w:p>
    <w:p w14:paraId="16EEC880">
      <w:pPr>
        <w:pStyle w:val="20"/>
        <w:spacing w:line="360" w:lineRule="auto"/>
        <w:ind w:firstLine="482" w:firstLineChars="2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一、质疑供应商基本信息：</w:t>
      </w:r>
    </w:p>
    <w:p w14:paraId="292D8194">
      <w:pPr>
        <w:pStyle w:val="20"/>
        <w:spacing w:line="360" w:lineRule="auto"/>
        <w:ind w:firstLine="480" w:firstLineChars="200"/>
        <w:contextualSpacing/>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质疑供应商：</w:t>
      </w:r>
    </w:p>
    <w:p w14:paraId="7C1277B9">
      <w:pPr>
        <w:pStyle w:val="20"/>
        <w:spacing w:line="360" w:lineRule="auto"/>
        <w:ind w:firstLine="480" w:firstLineChars="200"/>
        <w:contextualSpacing/>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地址：邮编：</w:t>
      </w:r>
    </w:p>
    <w:p w14:paraId="6235397D">
      <w:pPr>
        <w:pStyle w:val="20"/>
        <w:spacing w:line="360" w:lineRule="auto"/>
        <w:ind w:firstLine="480" w:firstLineChars="200"/>
        <w:contextualSpacing/>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联系人：联系电话：</w:t>
      </w:r>
    </w:p>
    <w:p w14:paraId="66A36206">
      <w:pPr>
        <w:pStyle w:val="20"/>
        <w:spacing w:line="360" w:lineRule="auto"/>
        <w:ind w:firstLine="480" w:firstLineChars="200"/>
        <w:contextualSpacing/>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授权代表：</w:t>
      </w:r>
    </w:p>
    <w:p w14:paraId="3DAEB33A">
      <w:pPr>
        <w:pStyle w:val="20"/>
        <w:spacing w:line="360" w:lineRule="auto"/>
        <w:ind w:firstLine="480" w:firstLineChars="200"/>
        <w:contextualSpacing/>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联系电话：</w:t>
      </w:r>
    </w:p>
    <w:p w14:paraId="50528E1E">
      <w:pPr>
        <w:pStyle w:val="20"/>
        <w:spacing w:line="360" w:lineRule="auto"/>
        <w:ind w:firstLine="480" w:firstLineChars="200"/>
        <w:contextualSpacing/>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地址：邮编：</w:t>
      </w:r>
    </w:p>
    <w:p w14:paraId="35D8AD2C">
      <w:pPr>
        <w:pStyle w:val="20"/>
        <w:spacing w:line="360" w:lineRule="auto"/>
        <w:ind w:firstLine="482" w:firstLineChars="2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二、质疑项目基本情况：</w:t>
      </w:r>
    </w:p>
    <w:p w14:paraId="7859FEF5">
      <w:pPr>
        <w:pStyle w:val="20"/>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项目的名称：</w:t>
      </w:r>
    </w:p>
    <w:p w14:paraId="687B6413">
      <w:pPr>
        <w:pStyle w:val="20"/>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质疑</w:t>
      </w:r>
      <w:r>
        <w:rPr>
          <w:rFonts w:hint="eastAsia" w:ascii="仿宋" w:hAnsi="仿宋" w:eastAsia="仿宋" w:cs="仿宋"/>
          <w:color w:val="auto"/>
          <w:sz w:val="24"/>
          <w:szCs w:val="24"/>
          <w:highlight w:val="none"/>
        </w:rPr>
        <w:t>项目的编号：</w:t>
      </w:r>
    </w:p>
    <w:p w14:paraId="3CB75209">
      <w:pPr>
        <w:pStyle w:val="20"/>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p>
    <w:p w14:paraId="6D9A2F74">
      <w:pPr>
        <w:pStyle w:val="20"/>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w:t>
      </w:r>
    </w:p>
    <w:p w14:paraId="2B212B66">
      <w:pPr>
        <w:pStyle w:val="20"/>
        <w:spacing w:line="360" w:lineRule="auto"/>
        <w:ind w:left="25" w:leftChars="12" w:firstLine="352" w:firstLineChars="14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□采购文件采购文件获取日期：</w:t>
      </w:r>
    </w:p>
    <w:p w14:paraId="3E5C0F02">
      <w:pPr>
        <w:pStyle w:val="20"/>
        <w:spacing w:line="360" w:lineRule="auto"/>
        <w:ind w:left="25" w:leftChars="12" w:firstLine="352" w:firstLineChars="14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□采购过程</w:t>
      </w:r>
    </w:p>
    <w:p w14:paraId="06749857">
      <w:pPr>
        <w:pStyle w:val="20"/>
        <w:spacing w:line="360" w:lineRule="auto"/>
        <w:ind w:left="25" w:leftChars="12" w:firstLine="352" w:firstLineChars="147"/>
        <w:contextualSpacing/>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□成交结果</w:t>
      </w:r>
    </w:p>
    <w:p w14:paraId="3224E5DF">
      <w:pPr>
        <w:pStyle w:val="20"/>
        <w:spacing w:line="360" w:lineRule="auto"/>
        <w:ind w:left="25" w:leftChars="12" w:firstLine="472" w:firstLineChars="196"/>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三、质疑事项具体内容</w:t>
      </w:r>
    </w:p>
    <w:p w14:paraId="4F392BF4">
      <w:pPr>
        <w:pStyle w:val="20"/>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质疑事项1：</w:t>
      </w:r>
    </w:p>
    <w:p w14:paraId="3FE632E0">
      <w:pPr>
        <w:pStyle w:val="20"/>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52BF2BB8">
      <w:pPr>
        <w:pStyle w:val="20"/>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法律依据：</w:t>
      </w:r>
    </w:p>
    <w:p w14:paraId="1D7AC871">
      <w:pPr>
        <w:pStyle w:val="20"/>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质疑事项2</w:t>
      </w:r>
    </w:p>
    <w:p w14:paraId="38C86C29">
      <w:pPr>
        <w:pStyle w:val="20"/>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7CD30A1">
      <w:pPr>
        <w:pStyle w:val="20"/>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四、与质疑事项相关的质疑请求：</w:t>
      </w:r>
    </w:p>
    <w:p w14:paraId="13B37815">
      <w:pPr>
        <w:pStyle w:val="20"/>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p>
    <w:p w14:paraId="1AEE263A">
      <w:pPr>
        <w:pStyle w:val="20"/>
        <w:spacing w:line="360" w:lineRule="auto"/>
        <w:ind w:left="25" w:leftChars="12" w:firstLine="352" w:firstLineChars="147"/>
        <w:contextualSpacing/>
        <w:rPr>
          <w:rFonts w:hint="eastAsia" w:ascii="仿宋" w:hAnsi="仿宋" w:eastAsia="仿宋" w:cs="仿宋"/>
          <w:color w:val="auto"/>
          <w:sz w:val="24"/>
          <w:szCs w:val="24"/>
          <w:highlight w:val="none"/>
        </w:rPr>
      </w:pPr>
    </w:p>
    <w:p w14:paraId="0417D403">
      <w:pPr>
        <w:pStyle w:val="20"/>
        <w:spacing w:line="360" w:lineRule="auto"/>
        <w:ind w:left="25" w:leftChars="12" w:firstLine="472" w:firstLineChars="197"/>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签字（签章）：公章：</w:t>
      </w:r>
    </w:p>
    <w:p w14:paraId="6B6DDE21">
      <w:pPr>
        <w:pStyle w:val="20"/>
        <w:spacing w:line="360" w:lineRule="auto"/>
        <w:ind w:firstLine="480" w:firstLineChars="2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日期：</w:t>
      </w:r>
    </w:p>
    <w:p w14:paraId="4A2CAF8C">
      <w:pPr>
        <w:pStyle w:val="20"/>
        <w:spacing w:line="360" w:lineRule="auto"/>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40EE7897">
      <w:pPr>
        <w:pStyle w:val="20"/>
        <w:spacing w:line="360" w:lineRule="auto"/>
        <w:ind w:left="25" w:leftChars="12" w:firstLine="354" w:firstLineChars="147"/>
        <w:contextualSpacing/>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1.供应商提出质疑时，应提交质疑函和必要的证明材料</w:t>
      </w:r>
      <w:r>
        <w:rPr>
          <w:rFonts w:hint="eastAsia" w:ascii="仿宋" w:hAnsi="仿宋" w:eastAsia="仿宋" w:cs="仿宋"/>
          <w:b/>
          <w:bCs/>
          <w:color w:val="auto"/>
          <w:sz w:val="24"/>
          <w:szCs w:val="24"/>
          <w:highlight w:val="none"/>
        </w:rPr>
        <w:t>。</w:t>
      </w:r>
    </w:p>
    <w:p w14:paraId="03928FF1">
      <w:pPr>
        <w:pStyle w:val="20"/>
        <w:spacing w:line="360" w:lineRule="auto"/>
        <w:ind w:left="25" w:leftChars="12" w:firstLine="354" w:firstLineChars="147"/>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546C519">
      <w:pPr>
        <w:pStyle w:val="20"/>
        <w:spacing w:line="360" w:lineRule="auto"/>
        <w:ind w:left="25" w:leftChars="12" w:firstLine="354" w:firstLineChars="147"/>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3.质疑函的质疑事项应具体、明确，并有必要的事实依据和法律依据。</w:t>
      </w:r>
    </w:p>
    <w:p w14:paraId="2F4EEE04">
      <w:pPr>
        <w:pStyle w:val="20"/>
        <w:spacing w:line="360" w:lineRule="auto"/>
        <w:ind w:left="25" w:leftChars="12" w:firstLine="354" w:firstLineChars="147"/>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4.质疑函的质疑请求应与质疑事项相关。</w:t>
      </w:r>
    </w:p>
    <w:p w14:paraId="70B7B60C">
      <w:pPr>
        <w:pStyle w:val="20"/>
        <w:spacing w:line="360" w:lineRule="auto"/>
        <w:ind w:left="25" w:leftChars="12" w:firstLine="354" w:firstLineChars="147"/>
        <w:contextualSpacing/>
        <w:rPr>
          <w:rFonts w:hint="eastAsia" w:ascii="仿宋" w:hAnsi="仿宋" w:eastAsia="仿宋" w:cs="仿宋"/>
          <w:b/>
          <w:color w:val="auto"/>
          <w:highlight w:val="none"/>
        </w:rPr>
      </w:pPr>
      <w:r>
        <w:rPr>
          <w:rFonts w:hint="eastAsia" w:ascii="仿宋" w:hAnsi="仿宋" w:eastAsia="仿宋" w:cs="仿宋"/>
          <w:b/>
          <w:color w:val="auto"/>
          <w:sz w:val="24"/>
          <w:szCs w:val="24"/>
          <w:highlight w:val="none"/>
        </w:rPr>
        <w:t>5.质疑供应商为法人或者其他组织的，质疑函应由法定代表人、主要负责人，或者其授权代表签字或者盖章，并加盖公章。</w:t>
      </w:r>
    </w:p>
    <w:p w14:paraId="613211A8">
      <w:pPr>
        <w:pStyle w:val="20"/>
        <w:snapToGrid w:val="0"/>
        <w:rPr>
          <w:rFonts w:hint="eastAsia" w:ascii="仿宋" w:hAnsi="仿宋" w:eastAsia="仿宋" w:cs="仿宋"/>
          <w:b/>
          <w:color w:val="auto"/>
          <w:sz w:val="24"/>
          <w:szCs w:val="24"/>
          <w:highlight w:val="none"/>
        </w:rPr>
      </w:pPr>
    </w:p>
    <w:p w14:paraId="0A6C83EA">
      <w:pPr>
        <w:rPr>
          <w:rFonts w:hint="eastAsia" w:ascii="仿宋" w:hAnsi="仿宋" w:eastAsia="仿宋" w:cs="仿宋"/>
          <w:color w:val="auto"/>
          <w:sz w:val="32"/>
          <w:szCs w:val="40"/>
          <w:highlight w:val="none"/>
        </w:rPr>
      </w:pPr>
    </w:p>
    <w:p w14:paraId="6BE1E283">
      <w:pPr>
        <w:rPr>
          <w:rFonts w:hint="eastAsia" w:ascii="仿宋" w:hAnsi="仿宋" w:eastAsia="仿宋" w:cs="仿宋"/>
          <w:color w:val="auto"/>
          <w:sz w:val="32"/>
          <w:szCs w:val="40"/>
          <w:highlight w:val="none"/>
        </w:rPr>
      </w:pPr>
    </w:p>
    <w:p w14:paraId="374FBB00">
      <w:pPr>
        <w:rPr>
          <w:rFonts w:hint="eastAsia" w:ascii="仿宋" w:hAnsi="仿宋" w:eastAsia="仿宋" w:cs="仿宋"/>
          <w:color w:val="auto"/>
          <w:sz w:val="32"/>
          <w:szCs w:val="40"/>
          <w:highlight w:val="none"/>
        </w:rPr>
      </w:pPr>
    </w:p>
    <w:p w14:paraId="76A33CC5">
      <w:pPr>
        <w:rPr>
          <w:rFonts w:hint="eastAsia" w:ascii="仿宋" w:hAnsi="仿宋" w:eastAsia="仿宋" w:cs="仿宋"/>
          <w:color w:val="auto"/>
          <w:sz w:val="32"/>
          <w:szCs w:val="40"/>
          <w:highlight w:val="none"/>
        </w:rPr>
      </w:pPr>
    </w:p>
    <w:p w14:paraId="04D4C96E">
      <w:pPr>
        <w:rPr>
          <w:rFonts w:hint="eastAsia" w:ascii="仿宋" w:hAnsi="仿宋" w:eastAsia="仿宋" w:cs="仿宋"/>
          <w:color w:val="auto"/>
          <w:sz w:val="32"/>
          <w:szCs w:val="40"/>
          <w:highlight w:val="none"/>
        </w:rPr>
      </w:pPr>
    </w:p>
    <w:p w14:paraId="30B69221">
      <w:pPr>
        <w:rPr>
          <w:rFonts w:hint="eastAsia" w:ascii="仿宋" w:hAnsi="仿宋" w:eastAsia="仿宋" w:cs="仿宋"/>
          <w:color w:val="auto"/>
          <w:sz w:val="32"/>
          <w:szCs w:val="40"/>
          <w:highlight w:val="none"/>
        </w:rPr>
      </w:pPr>
    </w:p>
    <w:p w14:paraId="18B7C7CD">
      <w:pPr>
        <w:rPr>
          <w:rFonts w:hint="eastAsia" w:ascii="仿宋" w:hAnsi="仿宋" w:eastAsia="仿宋" w:cs="仿宋"/>
          <w:color w:val="auto"/>
          <w:sz w:val="32"/>
          <w:szCs w:val="40"/>
          <w:highlight w:val="none"/>
        </w:rPr>
      </w:pPr>
    </w:p>
    <w:p w14:paraId="718B5ECC">
      <w:pPr>
        <w:rPr>
          <w:rFonts w:hint="eastAsia" w:ascii="仿宋" w:hAnsi="仿宋" w:eastAsia="仿宋" w:cs="仿宋"/>
          <w:color w:val="auto"/>
          <w:sz w:val="32"/>
          <w:szCs w:val="40"/>
          <w:highlight w:val="none"/>
        </w:rPr>
      </w:pPr>
    </w:p>
    <w:p w14:paraId="759826EF">
      <w:pPr>
        <w:rPr>
          <w:rFonts w:hint="eastAsia" w:ascii="仿宋" w:hAnsi="仿宋" w:eastAsia="仿宋" w:cs="仿宋"/>
          <w:color w:val="auto"/>
          <w:sz w:val="32"/>
          <w:szCs w:val="40"/>
          <w:highlight w:val="none"/>
        </w:rPr>
      </w:pPr>
    </w:p>
    <w:p w14:paraId="3AB9B5E8">
      <w:pPr>
        <w:rPr>
          <w:rFonts w:hint="eastAsia" w:ascii="仿宋" w:hAnsi="仿宋" w:eastAsia="仿宋" w:cs="仿宋"/>
          <w:color w:val="auto"/>
          <w:sz w:val="32"/>
          <w:szCs w:val="40"/>
          <w:highlight w:val="none"/>
        </w:rPr>
      </w:pPr>
    </w:p>
    <w:p w14:paraId="1A6CF6AC">
      <w:pPr>
        <w:rPr>
          <w:rFonts w:hint="eastAsia" w:ascii="仿宋" w:hAnsi="仿宋" w:eastAsia="仿宋" w:cs="仿宋"/>
          <w:color w:val="auto"/>
          <w:sz w:val="32"/>
          <w:szCs w:val="40"/>
          <w:highlight w:val="none"/>
        </w:rPr>
      </w:pPr>
    </w:p>
    <w:p w14:paraId="3D030777">
      <w:pPr>
        <w:rPr>
          <w:rFonts w:hint="eastAsia" w:ascii="仿宋" w:hAnsi="仿宋" w:eastAsia="仿宋" w:cs="仿宋"/>
          <w:color w:val="auto"/>
          <w:sz w:val="32"/>
          <w:szCs w:val="40"/>
          <w:highlight w:val="none"/>
        </w:rPr>
      </w:pPr>
    </w:p>
    <w:p w14:paraId="2D663346">
      <w:pPr>
        <w:rPr>
          <w:rFonts w:hint="eastAsia" w:ascii="仿宋" w:hAnsi="仿宋" w:eastAsia="仿宋" w:cs="仿宋"/>
          <w:color w:val="auto"/>
          <w:sz w:val="32"/>
          <w:szCs w:val="40"/>
          <w:highlight w:val="none"/>
        </w:rPr>
      </w:pPr>
    </w:p>
    <w:p w14:paraId="0F43816B">
      <w:pPr>
        <w:rPr>
          <w:rFonts w:hint="eastAsia" w:ascii="仿宋" w:hAnsi="仿宋" w:eastAsia="仿宋" w:cs="仿宋"/>
          <w:color w:val="auto"/>
          <w:sz w:val="32"/>
          <w:szCs w:val="40"/>
          <w:highlight w:val="none"/>
        </w:rPr>
      </w:pPr>
    </w:p>
    <w:p w14:paraId="4483CF9C">
      <w:pPr>
        <w:pStyle w:val="46"/>
        <w:ind w:firstLine="480"/>
        <w:rPr>
          <w:rFonts w:hint="eastAsia" w:ascii="仿宋" w:hAnsi="仿宋" w:eastAsia="仿宋" w:cs="仿宋"/>
          <w:color w:val="auto"/>
          <w:highlight w:val="none"/>
        </w:rPr>
      </w:pPr>
    </w:p>
    <w:p w14:paraId="1A617C0C">
      <w:pPr>
        <w:rPr>
          <w:rFonts w:hint="eastAsia" w:ascii="仿宋" w:hAnsi="仿宋" w:eastAsia="仿宋" w:cs="仿宋"/>
          <w:color w:val="auto"/>
          <w:highlight w:val="none"/>
        </w:rPr>
      </w:pPr>
    </w:p>
    <w:p w14:paraId="4709615D">
      <w:pPr>
        <w:spacing w:line="360" w:lineRule="auto"/>
        <w:jc w:val="center"/>
        <w:rPr>
          <w:rFonts w:hint="eastAsia" w:ascii="仿宋" w:hAnsi="仿宋" w:eastAsia="仿宋" w:cs="仿宋"/>
          <w:color w:val="auto"/>
          <w:sz w:val="44"/>
          <w:szCs w:val="44"/>
          <w:highlight w:val="none"/>
        </w:rPr>
      </w:pPr>
    </w:p>
    <w:p w14:paraId="6A885FA7">
      <w:pPr>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投诉书（格式）</w:t>
      </w:r>
    </w:p>
    <w:p w14:paraId="5D335667">
      <w:pPr>
        <w:pStyle w:val="2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一、投诉相关主体基本情况：</w:t>
      </w:r>
    </w:p>
    <w:p w14:paraId="3A34CAD2">
      <w:pPr>
        <w:pStyle w:val="20"/>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供应商：</w:t>
      </w:r>
    </w:p>
    <w:p w14:paraId="7D6893D9">
      <w:pPr>
        <w:pStyle w:val="2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地址：邮编：</w:t>
      </w:r>
    </w:p>
    <w:p w14:paraId="101E3EA3">
      <w:pPr>
        <w:pStyle w:val="20"/>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法定代表人/主要负责人：</w:t>
      </w:r>
    </w:p>
    <w:p w14:paraId="535766FD">
      <w:pPr>
        <w:pStyle w:val="2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联系电话：</w:t>
      </w:r>
    </w:p>
    <w:p w14:paraId="6316C921">
      <w:pPr>
        <w:pStyle w:val="20"/>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授权代表：联系电话：</w:t>
      </w:r>
    </w:p>
    <w:p w14:paraId="31A8CDFE">
      <w:pPr>
        <w:pStyle w:val="20"/>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p>
    <w:p w14:paraId="0A5E760C">
      <w:pPr>
        <w:pStyle w:val="2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p>
    <w:p w14:paraId="200C5335">
      <w:pPr>
        <w:pStyle w:val="2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被投诉人1：</w:t>
      </w:r>
    </w:p>
    <w:p w14:paraId="25E9DAE7">
      <w:pPr>
        <w:pStyle w:val="20"/>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w:t>
      </w:r>
    </w:p>
    <w:p w14:paraId="6C13AD51">
      <w:pPr>
        <w:pStyle w:val="2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w:t>
      </w:r>
    </w:p>
    <w:p w14:paraId="71A5C1C8">
      <w:pPr>
        <w:pStyle w:val="20"/>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联系人：联系电话：</w:t>
      </w:r>
    </w:p>
    <w:p w14:paraId="669ED7FA">
      <w:pPr>
        <w:pStyle w:val="2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被投诉人2：</w:t>
      </w:r>
    </w:p>
    <w:p w14:paraId="5394C7BA">
      <w:pPr>
        <w:pStyle w:val="2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2EFC6358">
      <w:pPr>
        <w:pStyle w:val="20"/>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相关供应商：</w:t>
      </w:r>
    </w:p>
    <w:p w14:paraId="7AC0F8C4">
      <w:pPr>
        <w:pStyle w:val="20"/>
        <w:snapToGrid w:val="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地址：邮编：</w:t>
      </w:r>
    </w:p>
    <w:p w14:paraId="7342BA9F">
      <w:pPr>
        <w:pStyle w:val="2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联系人：联系电话：</w:t>
      </w:r>
    </w:p>
    <w:p w14:paraId="4085BB5E">
      <w:pPr>
        <w:pStyle w:val="2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二、投诉项目基本情况：</w:t>
      </w:r>
    </w:p>
    <w:p w14:paraId="74B8B8D0">
      <w:pPr>
        <w:pStyle w:val="20"/>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项目的名称：</w:t>
      </w:r>
    </w:p>
    <w:p w14:paraId="678D906A">
      <w:pPr>
        <w:pStyle w:val="20"/>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采购</w:t>
      </w:r>
      <w:r>
        <w:rPr>
          <w:rFonts w:hint="eastAsia" w:ascii="仿宋" w:hAnsi="仿宋" w:eastAsia="仿宋" w:cs="仿宋"/>
          <w:color w:val="auto"/>
          <w:sz w:val="24"/>
          <w:szCs w:val="24"/>
          <w:highlight w:val="none"/>
        </w:rPr>
        <w:t>项目的编号：</w:t>
      </w:r>
    </w:p>
    <w:p w14:paraId="27215FC6">
      <w:pPr>
        <w:pStyle w:val="20"/>
        <w:spacing w:line="360" w:lineRule="auto"/>
        <w:ind w:left="25" w:leftChars="12" w:firstLine="472" w:firstLineChars="197"/>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采购人名称：</w:t>
      </w:r>
    </w:p>
    <w:p w14:paraId="0647DE41">
      <w:pPr>
        <w:pStyle w:val="20"/>
        <w:spacing w:line="360" w:lineRule="auto"/>
        <w:ind w:left="25" w:leftChars="12" w:firstLine="472" w:firstLineChars="197"/>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代理机构名称：</w:t>
      </w:r>
    </w:p>
    <w:p w14:paraId="7732EB06">
      <w:pPr>
        <w:pStyle w:val="20"/>
        <w:spacing w:line="360" w:lineRule="auto"/>
        <w:ind w:left="25" w:leftChars="12" w:firstLine="472" w:firstLineChars="197"/>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采购文件公告：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p>
    <w:p w14:paraId="096CDC97">
      <w:pPr>
        <w:pStyle w:val="20"/>
        <w:spacing w:line="360" w:lineRule="auto"/>
        <w:ind w:left="25" w:leftChars="12" w:firstLine="472" w:firstLineChars="197"/>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采购结果公告：</w:t>
      </w:r>
      <w:r>
        <w:rPr>
          <w:rFonts w:hint="eastAsia" w:ascii="仿宋" w:hAnsi="仿宋" w:eastAsia="仿宋" w:cs="仿宋"/>
          <w:bCs/>
          <w:color w:val="auto"/>
          <w:sz w:val="24"/>
          <w:szCs w:val="24"/>
          <w:highlight w:val="none"/>
          <w:u w:val="single"/>
        </w:rPr>
        <w:t>是/否</w:t>
      </w:r>
      <w:r>
        <w:rPr>
          <w:rFonts w:hint="eastAsia" w:ascii="仿宋" w:hAnsi="仿宋" w:eastAsia="仿宋" w:cs="仿宋"/>
          <w:bCs/>
          <w:color w:val="auto"/>
          <w:sz w:val="24"/>
          <w:szCs w:val="24"/>
          <w:highlight w:val="none"/>
        </w:rPr>
        <w:t>公告期限：</w:t>
      </w:r>
    </w:p>
    <w:p w14:paraId="68375780">
      <w:pPr>
        <w:pStyle w:val="20"/>
        <w:spacing w:line="360" w:lineRule="auto"/>
        <w:ind w:left="25" w:leftChars="12"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三、质疑基本情况</w:t>
      </w:r>
    </w:p>
    <w:p w14:paraId="44A96249">
      <w:pPr>
        <w:pStyle w:val="2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投诉人于年月日，向提出质疑，质疑事项为：</w:t>
      </w:r>
    </w:p>
    <w:p w14:paraId="33A7C517">
      <w:pPr>
        <w:pStyle w:val="20"/>
        <w:spacing w:line="360" w:lineRule="auto"/>
        <w:ind w:firstLine="241"/>
        <w:rPr>
          <w:rFonts w:hint="eastAsia" w:ascii="仿宋" w:hAnsi="仿宋" w:eastAsia="仿宋" w:cs="仿宋"/>
          <w:bCs/>
          <w:color w:val="auto"/>
          <w:sz w:val="24"/>
          <w:szCs w:val="24"/>
          <w:highlight w:val="none"/>
          <w:u w:val="single"/>
        </w:rPr>
      </w:pPr>
    </w:p>
    <w:p w14:paraId="7471D8A9">
      <w:pPr>
        <w:pStyle w:val="20"/>
        <w:spacing w:line="360" w:lineRule="auto"/>
        <w:ind w:firstLine="241"/>
        <w:rPr>
          <w:rFonts w:hint="eastAsia" w:ascii="仿宋" w:hAnsi="仿宋" w:eastAsia="仿宋" w:cs="仿宋"/>
          <w:bCs/>
          <w:color w:val="auto"/>
          <w:sz w:val="24"/>
          <w:szCs w:val="24"/>
          <w:highlight w:val="none"/>
          <w:u w:val="single"/>
        </w:rPr>
      </w:pPr>
    </w:p>
    <w:p w14:paraId="43DD6825">
      <w:pPr>
        <w:pStyle w:val="2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rPr>
        <w:t>采购人/代理机构</w:t>
      </w:r>
      <w:r>
        <w:rPr>
          <w:rFonts w:hint="eastAsia" w:ascii="仿宋" w:hAnsi="仿宋" w:eastAsia="仿宋" w:cs="仿宋"/>
          <w:bCs/>
          <w:color w:val="auto"/>
          <w:sz w:val="24"/>
          <w:szCs w:val="24"/>
          <w:highlight w:val="none"/>
        </w:rPr>
        <w:t>于</w:t>
      </w:r>
      <w:r>
        <w:rPr>
          <w:rFonts w:hint="eastAsia" w:ascii="仿宋" w:hAnsi="仿宋" w:eastAsia="仿宋" w:cs="仿宋"/>
          <w:color w:val="auto"/>
          <w:sz w:val="24"/>
          <w:szCs w:val="24"/>
          <w:highlight w:val="none"/>
        </w:rPr>
        <w:t>年月日，</w:t>
      </w:r>
      <w:r>
        <w:rPr>
          <w:rFonts w:hint="eastAsia" w:ascii="仿宋" w:hAnsi="仿宋" w:eastAsia="仿宋" w:cs="仿宋"/>
          <w:bCs/>
          <w:color w:val="auto"/>
          <w:sz w:val="24"/>
          <w:szCs w:val="24"/>
          <w:highlight w:val="none"/>
        </w:rPr>
        <w:t>就质疑事项作出了答复/没有在法定期限内作出答复。</w:t>
      </w:r>
    </w:p>
    <w:p w14:paraId="2F885AFA">
      <w:pPr>
        <w:pStyle w:val="20"/>
        <w:spacing w:line="360" w:lineRule="auto"/>
        <w:ind w:left="25" w:leftChars="12"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四、投诉事项具体内容</w:t>
      </w:r>
    </w:p>
    <w:p w14:paraId="00952099">
      <w:pPr>
        <w:pStyle w:val="20"/>
        <w:spacing w:line="360" w:lineRule="auto"/>
        <w:ind w:left="25" w:leftChars="12" w:firstLine="472" w:firstLineChars="197"/>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投诉事项1：</w:t>
      </w:r>
    </w:p>
    <w:p w14:paraId="6A4EBBB0">
      <w:pPr>
        <w:pStyle w:val="2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事实依据：</w:t>
      </w:r>
    </w:p>
    <w:p w14:paraId="3B6EE33D">
      <w:pPr>
        <w:pStyle w:val="20"/>
        <w:spacing w:line="360" w:lineRule="auto"/>
        <w:ind w:left="25" w:leftChars="12" w:firstLine="472" w:firstLineChars="197"/>
        <w:rPr>
          <w:rFonts w:hint="eastAsia" w:ascii="仿宋" w:hAnsi="仿宋" w:eastAsia="仿宋" w:cs="仿宋"/>
          <w:color w:val="auto"/>
          <w:sz w:val="24"/>
          <w:szCs w:val="24"/>
          <w:highlight w:val="none"/>
        </w:rPr>
      </w:pPr>
    </w:p>
    <w:p w14:paraId="02AB2A23">
      <w:pPr>
        <w:pStyle w:val="20"/>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法律依据：</w:t>
      </w:r>
    </w:p>
    <w:p w14:paraId="34136D90">
      <w:pPr>
        <w:pStyle w:val="20"/>
        <w:spacing w:line="360" w:lineRule="auto"/>
        <w:ind w:left="25" w:leftChars="12" w:firstLine="352" w:firstLineChars="147"/>
        <w:rPr>
          <w:rFonts w:hint="eastAsia" w:ascii="仿宋" w:hAnsi="仿宋" w:eastAsia="仿宋" w:cs="仿宋"/>
          <w:bCs/>
          <w:color w:val="auto"/>
          <w:sz w:val="24"/>
          <w:szCs w:val="24"/>
          <w:highlight w:val="none"/>
          <w:u w:val="single"/>
        </w:rPr>
      </w:pPr>
    </w:p>
    <w:p w14:paraId="6646ED33">
      <w:pPr>
        <w:pStyle w:val="20"/>
        <w:spacing w:line="360" w:lineRule="auto"/>
        <w:ind w:left="25" w:leftChars="12" w:firstLine="472" w:firstLineChars="197"/>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投诉事项2  </w:t>
      </w:r>
    </w:p>
    <w:p w14:paraId="3C6D6A05">
      <w:pPr>
        <w:pStyle w:val="20"/>
        <w:spacing w:line="360" w:lineRule="auto"/>
        <w:ind w:left="25" w:leftChars="12" w:firstLine="472" w:firstLineChars="19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p w14:paraId="638D4AEC">
      <w:pPr>
        <w:pStyle w:val="20"/>
        <w:spacing w:line="360" w:lineRule="auto"/>
        <w:ind w:left="25" w:leftChars="12"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五、与投诉事项相关的投诉请求：</w:t>
      </w:r>
    </w:p>
    <w:p w14:paraId="2AE6BAF8">
      <w:pPr>
        <w:pStyle w:val="20"/>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p>
    <w:p w14:paraId="0748985B">
      <w:pPr>
        <w:pStyle w:val="20"/>
        <w:spacing w:line="360" w:lineRule="auto"/>
        <w:ind w:left="25" w:leftChars="12" w:firstLine="352" w:firstLineChars="147"/>
        <w:rPr>
          <w:rFonts w:hint="eastAsia" w:ascii="仿宋" w:hAnsi="仿宋" w:eastAsia="仿宋" w:cs="仿宋"/>
          <w:color w:val="auto"/>
          <w:sz w:val="24"/>
          <w:szCs w:val="24"/>
          <w:highlight w:val="none"/>
        </w:rPr>
      </w:pPr>
    </w:p>
    <w:p w14:paraId="3C7D752C">
      <w:pPr>
        <w:pStyle w:val="20"/>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签字（签章）：公章：</w:t>
      </w:r>
    </w:p>
    <w:p w14:paraId="2EA1322B">
      <w:pPr>
        <w:pStyle w:val="20"/>
        <w:spacing w:line="360" w:lineRule="auto"/>
        <w:ind w:left="25" w:leftChars="12" w:firstLine="352" w:firstLineChars="147"/>
        <w:rPr>
          <w:rFonts w:hint="eastAsia" w:ascii="仿宋" w:hAnsi="仿宋" w:eastAsia="仿宋" w:cs="仿宋"/>
          <w:color w:val="auto"/>
          <w:sz w:val="24"/>
          <w:szCs w:val="24"/>
          <w:highlight w:val="none"/>
        </w:rPr>
      </w:pPr>
    </w:p>
    <w:p w14:paraId="582F05A7">
      <w:pPr>
        <w:pStyle w:val="20"/>
        <w:spacing w:line="360" w:lineRule="auto"/>
        <w:ind w:left="25" w:leftChars="12" w:firstLine="472" w:firstLineChars="19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6D2B9F8F">
      <w:pPr>
        <w:pStyle w:val="20"/>
        <w:spacing w:line="360" w:lineRule="auto"/>
        <w:ind w:left="25" w:leftChars="12" w:firstLine="475" w:firstLineChars="197"/>
        <w:rPr>
          <w:rFonts w:hint="eastAsia" w:ascii="仿宋" w:hAnsi="仿宋" w:eastAsia="仿宋" w:cs="仿宋"/>
          <w:b/>
          <w:color w:val="auto"/>
          <w:sz w:val="24"/>
          <w:szCs w:val="24"/>
          <w:highlight w:val="none"/>
        </w:rPr>
      </w:pPr>
    </w:p>
    <w:p w14:paraId="69345EAF">
      <w:pPr>
        <w:pStyle w:val="2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w:t>
      </w:r>
    </w:p>
    <w:p w14:paraId="173746F8">
      <w:pPr>
        <w:pStyle w:val="20"/>
        <w:spacing w:line="360" w:lineRule="auto"/>
        <w:ind w:left="25" w:leftChars="12" w:firstLine="354" w:firstLineChars="147"/>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4"/>
          <w:szCs w:val="24"/>
          <w:highlight w:val="none"/>
        </w:rPr>
        <w:t>。</w:t>
      </w:r>
    </w:p>
    <w:p w14:paraId="73F74BC5">
      <w:pPr>
        <w:pStyle w:val="20"/>
        <w:spacing w:line="360" w:lineRule="auto"/>
        <w:ind w:left="25" w:leftChars="12"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1D533D2">
      <w:pPr>
        <w:pStyle w:val="20"/>
        <w:spacing w:line="360" w:lineRule="auto"/>
        <w:ind w:left="25" w:leftChars="12"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3.投诉书应简要列明质疑事项，质疑函、质疑答复等作为附件材料提供。</w:t>
      </w:r>
    </w:p>
    <w:p w14:paraId="5B918E73">
      <w:pPr>
        <w:pStyle w:val="20"/>
        <w:spacing w:line="360" w:lineRule="auto"/>
        <w:ind w:left="25" w:leftChars="12"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4.投诉书的投诉事项应具体、明确，并有必要的事实依据和法律依据。</w:t>
      </w:r>
    </w:p>
    <w:p w14:paraId="66624D73">
      <w:pPr>
        <w:pStyle w:val="20"/>
        <w:spacing w:line="360" w:lineRule="auto"/>
        <w:ind w:left="25" w:leftChars="12" w:firstLine="354"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5.投诉书的投诉请求应与投诉事项相关。</w:t>
      </w:r>
    </w:p>
    <w:p w14:paraId="0FB2C544">
      <w:pPr>
        <w:pStyle w:val="20"/>
        <w:spacing w:line="360" w:lineRule="auto"/>
        <w:ind w:left="25" w:leftChars="12" w:firstLine="354" w:firstLineChars="147"/>
        <w:rPr>
          <w:rFonts w:hint="eastAsia" w:ascii="仿宋" w:hAnsi="仿宋" w:eastAsia="仿宋" w:cs="仿宋"/>
          <w:b/>
          <w:color w:val="auto"/>
          <w:highlight w:val="none"/>
        </w:rPr>
      </w:pPr>
      <w:r>
        <w:rPr>
          <w:rFonts w:hint="eastAsia" w:ascii="仿宋" w:hAnsi="仿宋" w:eastAsia="仿宋" w:cs="仿宋"/>
          <w:b/>
          <w:color w:val="auto"/>
          <w:sz w:val="24"/>
          <w:szCs w:val="24"/>
          <w:highlight w:val="none"/>
        </w:rPr>
        <w:t>6.投诉人为法人或者其他组织的，投诉书应由法定代表人、主要负责人，或者其授权代表签字或者盖章，并加盖公章。</w:t>
      </w:r>
    </w:p>
    <w:p w14:paraId="7536AA09">
      <w:pPr>
        <w:pStyle w:val="2"/>
        <w:jc w:val="center"/>
        <w:rPr>
          <w:rFonts w:hint="eastAsia" w:ascii="仿宋" w:hAnsi="仿宋" w:eastAsia="仿宋" w:cs="仿宋"/>
          <w:color w:val="auto"/>
          <w:highlight w:val="none"/>
        </w:rPr>
      </w:pPr>
      <w:bookmarkStart w:id="129" w:name="_Toc151675541"/>
    </w:p>
    <w:p w14:paraId="47411CBB">
      <w:pPr>
        <w:pStyle w:val="2"/>
        <w:jc w:val="center"/>
        <w:rPr>
          <w:rFonts w:hint="eastAsia" w:ascii="仿宋" w:hAnsi="仿宋" w:eastAsia="仿宋" w:cs="仿宋"/>
          <w:color w:val="auto"/>
          <w:highlight w:val="none"/>
        </w:rPr>
      </w:pPr>
      <w:r>
        <w:rPr>
          <w:rFonts w:hint="eastAsia" w:ascii="仿宋" w:hAnsi="仿宋" w:eastAsia="仿宋" w:cs="仿宋"/>
          <w:color w:val="auto"/>
          <w:highlight w:val="none"/>
        </w:rPr>
        <w:t>第六章  合同文本</w:t>
      </w:r>
      <w:bookmarkEnd w:id="129"/>
    </w:p>
    <w:p w14:paraId="1A399908">
      <w:pPr>
        <w:spacing w:line="520" w:lineRule="exact"/>
        <w:rPr>
          <w:rFonts w:hint="eastAsia" w:ascii="仿宋" w:hAnsi="仿宋" w:eastAsia="仿宋" w:cs="仿宋"/>
          <w:b/>
          <w:color w:val="auto"/>
          <w:sz w:val="32"/>
          <w:szCs w:val="32"/>
          <w:highlight w:val="none"/>
        </w:rPr>
      </w:pPr>
    </w:p>
    <w:p w14:paraId="5BC7DFB7">
      <w:pPr>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《广西壮族自治区政府采购合同》</w:t>
      </w:r>
    </w:p>
    <w:p w14:paraId="1C2E8616">
      <w:pPr>
        <w:spacing w:line="520" w:lineRule="exact"/>
        <w:rPr>
          <w:rFonts w:hint="eastAsia" w:ascii="仿宋" w:hAnsi="仿宋" w:eastAsia="仿宋" w:cs="仿宋"/>
          <w:b/>
          <w:color w:val="auto"/>
          <w:sz w:val="32"/>
          <w:szCs w:val="32"/>
          <w:highlight w:val="none"/>
        </w:rPr>
      </w:pPr>
    </w:p>
    <w:p w14:paraId="5A9DAF58">
      <w:pPr>
        <w:snapToGrid w:val="0"/>
        <w:spacing w:line="360" w:lineRule="exact"/>
        <w:ind w:right="480"/>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 xml:space="preserve">合同编号：                                           </w:t>
      </w:r>
    </w:p>
    <w:p w14:paraId="6EB26C9C">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采购单位（甲方）：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C08C05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 应 商（乙方）：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81E1661">
      <w:pPr>
        <w:snapToGrid w:val="0"/>
        <w:spacing w:line="44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pacing w:val="-20"/>
          <w:sz w:val="24"/>
          <w:highlight w:val="none"/>
        </w:rPr>
        <w:t>采购计划号：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w:t>
      </w:r>
      <w:r>
        <w:rPr>
          <w:rFonts w:hint="eastAsia" w:ascii="仿宋" w:hAnsi="仿宋" w:eastAsia="仿宋" w:cs="仿宋"/>
          <w:color w:val="auto"/>
          <w:spacing w:val="-20"/>
          <w:sz w:val="24"/>
          <w:highlight w:val="none"/>
        </w:rPr>
        <w:t>编号：</w:t>
      </w:r>
      <w:r>
        <w:rPr>
          <w:rFonts w:hint="eastAsia" w:ascii="仿宋" w:hAnsi="仿宋" w:eastAsia="仿宋" w:cs="仿宋"/>
          <w:color w:val="auto"/>
          <w:sz w:val="24"/>
          <w:highlight w:val="none"/>
          <w:u w:val="single"/>
        </w:rPr>
        <w:t xml:space="preserve">                       </w:t>
      </w:r>
    </w:p>
    <w:p w14:paraId="1E259A2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5C56909">
      <w:pPr>
        <w:snapToGrid w:val="0"/>
        <w:spacing w:line="36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签订时间：</w:t>
      </w:r>
      <w:r>
        <w:rPr>
          <w:rFonts w:hint="eastAsia" w:ascii="仿宋" w:hAnsi="仿宋" w:eastAsia="仿宋" w:cs="仿宋"/>
          <w:color w:val="auto"/>
          <w:sz w:val="24"/>
          <w:highlight w:val="none"/>
          <w:u w:val="single"/>
        </w:rPr>
        <w:t xml:space="preserve">       年   月  日 </w:t>
      </w:r>
    </w:p>
    <w:p w14:paraId="407CA400">
      <w:pPr>
        <w:snapToGrid w:val="0"/>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A0AC80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根据《中华人民共和国政府采购法》、《政府采购货物和服务招标投标管理办法》、《中华人民共和国民法典》等法律、法规规定，按照采购文件规定和乙方响应文件及其承诺，甲乙双方签订本合同。</w:t>
      </w:r>
    </w:p>
    <w:p w14:paraId="73039D1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第一条 合同标的</w:t>
      </w:r>
    </w:p>
    <w:p w14:paraId="07A99E67">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1.服务内容一览表</w:t>
      </w:r>
    </w:p>
    <w:p w14:paraId="24BB076B">
      <w:pPr>
        <w:snapToGrid w:val="0"/>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1分标：</w:t>
      </w:r>
    </w:p>
    <w:tbl>
      <w:tblPr>
        <w:tblStyle w:val="3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60"/>
        <w:gridCol w:w="1233"/>
        <w:gridCol w:w="1095"/>
        <w:gridCol w:w="975"/>
        <w:gridCol w:w="3185"/>
      </w:tblGrid>
      <w:tr w14:paraId="2B48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09" w:type="dxa"/>
            <w:vAlign w:val="center"/>
          </w:tcPr>
          <w:p w14:paraId="5EDA2444">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60" w:type="dxa"/>
            <w:vAlign w:val="center"/>
          </w:tcPr>
          <w:p w14:paraId="21E06BA7">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233" w:type="dxa"/>
            <w:vAlign w:val="center"/>
          </w:tcPr>
          <w:p w14:paraId="0B98839B">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服务内容</w:t>
            </w:r>
          </w:p>
        </w:tc>
        <w:tc>
          <w:tcPr>
            <w:tcW w:w="1095" w:type="dxa"/>
            <w:vAlign w:val="center"/>
          </w:tcPr>
          <w:p w14:paraId="7D7522F4">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75" w:type="dxa"/>
            <w:vAlign w:val="center"/>
          </w:tcPr>
          <w:p w14:paraId="44A02DC8">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3185" w:type="dxa"/>
            <w:vAlign w:val="center"/>
          </w:tcPr>
          <w:p w14:paraId="3F7AE99E">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折扣率</w:t>
            </w:r>
          </w:p>
        </w:tc>
      </w:tr>
      <w:tr w14:paraId="5AF0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9" w:type="dxa"/>
            <w:vAlign w:val="center"/>
          </w:tcPr>
          <w:p w14:paraId="2495B23F">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60" w:type="dxa"/>
            <w:vAlign w:val="center"/>
          </w:tcPr>
          <w:p w14:paraId="4612B7BB">
            <w:pPr>
              <w:snapToGrid w:val="0"/>
              <w:spacing w:line="400" w:lineRule="exact"/>
              <w:jc w:val="center"/>
              <w:rPr>
                <w:rFonts w:hint="eastAsia" w:ascii="仿宋" w:hAnsi="仿宋" w:eastAsia="仿宋" w:cs="仿宋"/>
                <w:color w:val="auto"/>
                <w:sz w:val="24"/>
                <w:highlight w:val="none"/>
              </w:rPr>
            </w:pPr>
          </w:p>
        </w:tc>
        <w:tc>
          <w:tcPr>
            <w:tcW w:w="1233" w:type="dxa"/>
            <w:vAlign w:val="center"/>
          </w:tcPr>
          <w:p w14:paraId="16DE0BF4">
            <w:pPr>
              <w:snapToGrid w:val="0"/>
              <w:spacing w:line="400" w:lineRule="exact"/>
              <w:jc w:val="center"/>
              <w:rPr>
                <w:rFonts w:hint="eastAsia" w:ascii="仿宋" w:hAnsi="仿宋" w:eastAsia="仿宋" w:cs="仿宋"/>
                <w:color w:val="auto"/>
                <w:sz w:val="24"/>
                <w:highlight w:val="none"/>
              </w:rPr>
            </w:pPr>
          </w:p>
        </w:tc>
        <w:tc>
          <w:tcPr>
            <w:tcW w:w="1095" w:type="dxa"/>
            <w:vAlign w:val="center"/>
          </w:tcPr>
          <w:p w14:paraId="24194922">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75" w:type="dxa"/>
            <w:vAlign w:val="center"/>
          </w:tcPr>
          <w:p w14:paraId="795BC2FF">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3185" w:type="dxa"/>
            <w:vAlign w:val="center"/>
          </w:tcPr>
          <w:p w14:paraId="390B13D2">
            <w:pPr>
              <w:snapToGrid w:val="0"/>
              <w:spacing w:line="400" w:lineRule="exact"/>
              <w:jc w:val="center"/>
              <w:rPr>
                <w:rFonts w:hint="eastAsia" w:ascii="仿宋" w:hAnsi="仿宋" w:eastAsia="仿宋" w:cs="仿宋"/>
                <w:color w:val="auto"/>
                <w:sz w:val="24"/>
                <w:highlight w:val="none"/>
              </w:rPr>
            </w:pPr>
          </w:p>
        </w:tc>
      </w:tr>
    </w:tbl>
    <w:p w14:paraId="0B86960C">
      <w:pPr>
        <w:pStyle w:val="20"/>
        <w:spacing w:line="440" w:lineRule="exact"/>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2分标：</w:t>
      </w:r>
    </w:p>
    <w:tbl>
      <w:tblPr>
        <w:tblStyle w:val="3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597"/>
        <w:gridCol w:w="1218"/>
        <w:gridCol w:w="1129"/>
        <w:gridCol w:w="988"/>
        <w:gridCol w:w="1513"/>
        <w:gridCol w:w="1608"/>
      </w:tblGrid>
      <w:tr w14:paraId="1081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23" w:type="dxa"/>
            <w:vAlign w:val="center"/>
          </w:tcPr>
          <w:p w14:paraId="1B6069A4">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97" w:type="dxa"/>
            <w:vAlign w:val="center"/>
          </w:tcPr>
          <w:p w14:paraId="346940B3">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218" w:type="dxa"/>
            <w:vAlign w:val="center"/>
          </w:tcPr>
          <w:p w14:paraId="65AC8BBD">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服务内容</w:t>
            </w:r>
          </w:p>
        </w:tc>
        <w:tc>
          <w:tcPr>
            <w:tcW w:w="1129" w:type="dxa"/>
            <w:vAlign w:val="center"/>
          </w:tcPr>
          <w:p w14:paraId="54483E0A">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88" w:type="dxa"/>
            <w:vAlign w:val="center"/>
          </w:tcPr>
          <w:p w14:paraId="011A44B4">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1513" w:type="dxa"/>
            <w:vAlign w:val="center"/>
          </w:tcPr>
          <w:p w14:paraId="657D0A98">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1608" w:type="dxa"/>
            <w:vAlign w:val="center"/>
          </w:tcPr>
          <w:p w14:paraId="65217A42">
            <w:pPr>
              <w:snapToGrid w:val="0"/>
              <w:spacing w:line="400" w:lineRule="exact"/>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总价</w:t>
            </w:r>
          </w:p>
        </w:tc>
      </w:tr>
      <w:tr w14:paraId="4BDC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23" w:type="dxa"/>
            <w:vAlign w:val="center"/>
          </w:tcPr>
          <w:p w14:paraId="6135C23F">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97" w:type="dxa"/>
            <w:vAlign w:val="center"/>
          </w:tcPr>
          <w:p w14:paraId="7B11B9DA">
            <w:pPr>
              <w:snapToGrid w:val="0"/>
              <w:spacing w:line="400" w:lineRule="exact"/>
              <w:jc w:val="center"/>
              <w:rPr>
                <w:rFonts w:hint="eastAsia" w:ascii="仿宋" w:hAnsi="仿宋" w:eastAsia="仿宋" w:cs="仿宋"/>
                <w:color w:val="auto"/>
                <w:sz w:val="24"/>
                <w:highlight w:val="none"/>
              </w:rPr>
            </w:pPr>
          </w:p>
        </w:tc>
        <w:tc>
          <w:tcPr>
            <w:tcW w:w="1218" w:type="dxa"/>
            <w:vAlign w:val="center"/>
          </w:tcPr>
          <w:p w14:paraId="271ED256">
            <w:pPr>
              <w:snapToGrid w:val="0"/>
              <w:spacing w:line="400" w:lineRule="exact"/>
              <w:jc w:val="center"/>
              <w:rPr>
                <w:rFonts w:hint="eastAsia" w:ascii="仿宋" w:hAnsi="仿宋" w:eastAsia="仿宋" w:cs="仿宋"/>
                <w:color w:val="auto"/>
                <w:sz w:val="24"/>
                <w:highlight w:val="none"/>
              </w:rPr>
            </w:pPr>
          </w:p>
        </w:tc>
        <w:tc>
          <w:tcPr>
            <w:tcW w:w="1129" w:type="dxa"/>
            <w:vAlign w:val="center"/>
          </w:tcPr>
          <w:p w14:paraId="030F4D53">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88" w:type="dxa"/>
            <w:vAlign w:val="center"/>
          </w:tcPr>
          <w:p w14:paraId="568C6CA4">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w:t>
            </w:r>
          </w:p>
        </w:tc>
        <w:tc>
          <w:tcPr>
            <w:tcW w:w="1513" w:type="dxa"/>
            <w:vAlign w:val="center"/>
          </w:tcPr>
          <w:p w14:paraId="61CA416D">
            <w:pPr>
              <w:snapToGrid w:val="0"/>
              <w:spacing w:line="400" w:lineRule="exact"/>
              <w:jc w:val="center"/>
              <w:rPr>
                <w:rFonts w:hint="eastAsia" w:ascii="仿宋" w:hAnsi="仿宋" w:eastAsia="仿宋" w:cs="仿宋"/>
                <w:color w:val="auto"/>
                <w:sz w:val="24"/>
                <w:highlight w:val="none"/>
              </w:rPr>
            </w:pPr>
          </w:p>
        </w:tc>
        <w:tc>
          <w:tcPr>
            <w:tcW w:w="1608" w:type="dxa"/>
            <w:vAlign w:val="center"/>
          </w:tcPr>
          <w:p w14:paraId="0662C520">
            <w:pPr>
              <w:snapToGrid w:val="0"/>
              <w:spacing w:line="400" w:lineRule="exact"/>
              <w:jc w:val="center"/>
              <w:rPr>
                <w:rFonts w:hint="eastAsia" w:ascii="仿宋" w:hAnsi="仿宋" w:eastAsia="仿宋" w:cs="仿宋"/>
                <w:color w:val="auto"/>
                <w:sz w:val="24"/>
                <w:highlight w:val="none"/>
              </w:rPr>
            </w:pPr>
          </w:p>
        </w:tc>
      </w:tr>
    </w:tbl>
    <w:p w14:paraId="7F526124">
      <w:pPr>
        <w:pStyle w:val="20"/>
        <w:spacing w:line="44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2.合同合计金额包括服务、备件、专用工具、安装调试、检验、技术培训、技术资料、包装、运输、税金等类似服务内容的全部费用。如采购文件对其另有规定的，从其规定。 </w:t>
      </w:r>
    </w:p>
    <w:p w14:paraId="5FDB731F">
      <w:pPr>
        <w:snapToGrid w:val="0"/>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第二条  质量保证</w:t>
      </w:r>
    </w:p>
    <w:p w14:paraId="50275C7B">
      <w:pPr>
        <w:pStyle w:val="2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1.乙方所提供的服务内容必须与采购文件、投标（响应）文件及其承诺相一致且符合相应的服务规范及标准。</w:t>
      </w:r>
    </w:p>
    <w:p w14:paraId="794F108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2.乙方提供不符合采购文件、投标（响应）文件及其承诺和本合同规定的服务内容，甲方有权拒绝接受。</w:t>
      </w:r>
    </w:p>
    <w:p w14:paraId="497D8053">
      <w:pPr>
        <w:snapToGrid w:val="0"/>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第三条  权利保证</w:t>
      </w:r>
    </w:p>
    <w:p w14:paraId="6F38F9FA">
      <w:pPr>
        <w:pStyle w:val="2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1.乙方应保证所提供的服务在使用时不会侵犯任何第三方的专利权、商标权、工业设计权或其他权利。</w:t>
      </w:r>
    </w:p>
    <w:p w14:paraId="2591899F">
      <w:pPr>
        <w:pStyle w:val="2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2.乙方应按采购文件规定的时间向甲方提供服务的有关技术资料。</w:t>
      </w:r>
    </w:p>
    <w:p w14:paraId="20D2DE2B">
      <w:pPr>
        <w:pStyle w:val="2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有泄漏，乙方需承担相应的法律责任。</w:t>
      </w:r>
    </w:p>
    <w:p w14:paraId="2758CFB3">
      <w:pPr>
        <w:pStyle w:val="2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4.如采购项目涉及采购标的的知识产权归属的，产权归属为：</w:t>
      </w:r>
      <w:r>
        <w:rPr>
          <w:rFonts w:hint="eastAsia" w:ascii="仿宋" w:hAnsi="仿宋" w:eastAsia="仿宋" w:cs="仿宋"/>
          <w:color w:val="auto"/>
          <w:sz w:val="24"/>
          <w:szCs w:val="24"/>
          <w:highlight w:val="none"/>
          <w:u w:val="single"/>
        </w:rPr>
        <w:t>甲方所有</w:t>
      </w:r>
      <w:r>
        <w:rPr>
          <w:rFonts w:hint="eastAsia" w:ascii="仿宋" w:hAnsi="仿宋" w:eastAsia="仿宋" w:cs="仿宋"/>
          <w:color w:val="auto"/>
          <w:sz w:val="24"/>
          <w:szCs w:val="24"/>
          <w:highlight w:val="none"/>
        </w:rPr>
        <w:t>。</w:t>
      </w:r>
    </w:p>
    <w:p w14:paraId="0A1FFF91">
      <w:pPr>
        <w:pStyle w:val="2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5.如果甲方在使用乙方提供的服务时，受到第三方提出的侵犯其知识产权的起诉，给甲方造成经济损失的，乙方应当赔偿甲方的经济损失。</w:t>
      </w:r>
    </w:p>
    <w:p w14:paraId="61AA8740">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第四条  服务期限、服务内容和验收</w:t>
      </w:r>
    </w:p>
    <w:p w14:paraId="5B22D55D">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1.服务期限：</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。服务地点：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14:paraId="68AD2660">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2.乙方应按投标（响应）文件的承诺向甲方提供相应的服务，并提供所服务内容的相关技术资料。</w:t>
      </w:r>
    </w:p>
    <w:p w14:paraId="739CE98B">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3.乙方提供不符合投标（响应）文件和本合同规定的服务成果，甲方有权拒绝接受。</w:t>
      </w:r>
    </w:p>
    <w:p w14:paraId="59955293">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4.乙方完成服务后应及时书面通知甲方进行验收，验收合格后由甲乙双方签署验收单并加盖采购人公章，甲乙双方各执一份。</w:t>
      </w:r>
    </w:p>
    <w:p w14:paraId="6BF34433">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5.甲乙双方应按照《广西壮族自治区政府采购项目履约验收管理办法》、采购文件、双方政府采购合同、投标（响应）文件验收。</w:t>
      </w:r>
    </w:p>
    <w:p w14:paraId="4AE044E1">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3D5A5FAC">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7.甲方在初步验收或者最终验收过程中如发现乙方提供的服务成果不满足响应文件及本合同规定的，可暂缓向乙方付款，直到乙方及时完善并提交相应的服务成果且经甲方验收合格后，方可办理付款。</w:t>
      </w:r>
    </w:p>
    <w:p w14:paraId="54E84907">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8.甲方验收时以书面形式提出异议的，乙方应自收到甲方书面异议后五个工作日内及时予以解决，否则甲方有权不出具服务验收合格单。</w:t>
      </w:r>
    </w:p>
    <w:p w14:paraId="32CDC30F">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第五条  履约保证金   </w:t>
      </w:r>
    </w:p>
    <w:p w14:paraId="0B43297D">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本合同履约保证金金额：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B73B4CB">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第六条  税费</w:t>
      </w:r>
    </w:p>
    <w:p w14:paraId="61BDF31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14:paraId="4189527F">
      <w:pPr>
        <w:snapToGrid w:val="0"/>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第七条  付款方式</w:t>
      </w:r>
    </w:p>
    <w:p w14:paraId="7E4049D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1.资金性质：</w:t>
      </w:r>
      <w:r>
        <w:rPr>
          <w:rFonts w:hint="eastAsia" w:ascii="仿宋" w:hAnsi="仿宋" w:eastAsia="仿宋" w:cs="仿宋"/>
          <w:color w:val="auto"/>
          <w:sz w:val="24"/>
          <w:highlight w:val="none"/>
          <w:u w:val="single"/>
        </w:rPr>
        <w:t>财政性资金</w:t>
      </w:r>
      <w:r>
        <w:rPr>
          <w:rFonts w:hint="eastAsia" w:ascii="仿宋" w:hAnsi="仿宋" w:eastAsia="仿宋" w:cs="仿宋"/>
          <w:color w:val="auto"/>
          <w:sz w:val="24"/>
          <w:highlight w:val="none"/>
        </w:rPr>
        <w:t>。</w:t>
      </w:r>
    </w:p>
    <w:p w14:paraId="60F7E27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2.付款方式：</w:t>
      </w:r>
    </w:p>
    <w:p w14:paraId="4D751113">
      <w:pPr>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1分标：</w:t>
      </w:r>
    </w:p>
    <w:p w14:paraId="2FA4A461">
      <w:pPr>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（1）合同签订后10 个工作日内采购人向成交供应商支付预算金额的30%预付款；</w:t>
      </w:r>
    </w:p>
    <w:p w14:paraId="6D1F867D">
      <w:pPr>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（2）项目成果交付且验收合格后10工作日内，采购人向成交供应商支付剩余评审服务费。</w:t>
      </w:r>
    </w:p>
    <w:p w14:paraId="6E9F7363">
      <w:pPr>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（3）评审服务费=[送审价*1‰+核减（增）*3.5%]*0.75*折扣率，评审服务费不得超出预算控制价（92.58万元）上限。</w:t>
      </w:r>
    </w:p>
    <w:p w14:paraId="529383F7">
      <w:pPr>
        <w:snapToGrid w:val="0"/>
        <w:spacing w:line="44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注：成交供应商在申请款项的同时提供正式、合法的发票，采购人在收到发票后10个工作日内将资金支付到合同约定的供应商账户。</w:t>
      </w:r>
    </w:p>
    <w:p w14:paraId="307B2213">
      <w:pPr>
        <w:snapToGrid w:val="0"/>
        <w:spacing w:line="44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2分标：</w:t>
      </w:r>
    </w:p>
    <w:p w14:paraId="494F128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合同签订后，成交供应商开具发票 10 个工作日内采购人向成交供应商支付合同价款的</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0%预付款：</w:t>
      </w:r>
    </w:p>
    <w:p w14:paraId="2F653FF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项目成果交付且验收合格后10工作日内，采购人向成交供应商支付合同总金额</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0%的项目尾款。</w:t>
      </w:r>
    </w:p>
    <w:p w14:paraId="0900F99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注：成交供应商在申请款项的同时提供正式、合法的发票，采购人在收到发票后10个工作日内将资金支付到合同约定的供应商账户。</w:t>
      </w:r>
    </w:p>
    <w:p w14:paraId="174CF51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3.货款支付形式为：</w:t>
      </w:r>
      <w:r>
        <w:rPr>
          <w:rFonts w:hint="eastAsia" w:ascii="仿宋" w:hAnsi="仿宋" w:eastAsia="仿宋" w:cs="仿宋"/>
          <w:color w:val="auto"/>
          <w:sz w:val="24"/>
          <w:highlight w:val="none"/>
          <w:u w:val="single"/>
        </w:rPr>
        <w:t>转账</w:t>
      </w:r>
      <w:r>
        <w:rPr>
          <w:rFonts w:hint="eastAsia" w:ascii="仿宋" w:hAnsi="仿宋" w:eastAsia="仿宋" w:cs="仿宋"/>
          <w:color w:val="auto"/>
          <w:sz w:val="24"/>
          <w:highlight w:val="none"/>
        </w:rPr>
        <w:t>。</w:t>
      </w:r>
    </w:p>
    <w:p w14:paraId="42D10799">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第八条  违约责任</w:t>
      </w:r>
    </w:p>
    <w:p w14:paraId="28FAAE09">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1.乙方提供的服务如侵犯了第三方合法权益而引发的任何纠纷或诉讼，均由乙方负责交涉并承担全部责任。</w:t>
      </w:r>
    </w:p>
    <w:p w14:paraId="13F99DD7">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2.乙方未按本合同和投标（响应）文件中规定的服务承诺提供服务或所提供的服务质量不合格的，乙方应按本合同合计金额 5% 向甲方支付违约金并赔偿甲方经济损失。</w:t>
      </w:r>
    </w:p>
    <w:p w14:paraId="16788A96">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有其它违约行为的，每发生一次按违约货款额5%收取违约金。乙方因违约给甲方造成的损失的，应向甲方赔偿全部经济损失（包括但不限于委托人的直接损失、预期利益损失、为索赔支出的费用、律师费、诉讼费、公证费、鉴定费等）。</w:t>
      </w:r>
    </w:p>
    <w:p w14:paraId="4DA9FBBF">
      <w:pPr>
        <w:snapToGrid w:val="0"/>
        <w:spacing w:line="44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4.未经甲方书面同意，乙方不得转让其应履行的合同义务。若乙方违反该条约定，甲方有权解除合同。甲方因此解除合同的，有权不予支付任何款项给乙方，已经支付的，乙方应当自甲方要求返还之日起5日内予以返还，此外乙方还应支付合同总价15%的违约金给甲方并赔偿甲方经济损失。若甲方没有因此解除合同，甲方有权要求乙方支付合同总价15%的违约金给甲方并赔偿甲方经济损失，并要求乙方继续履行合同约定的义务。</w:t>
      </w:r>
    </w:p>
    <w:p w14:paraId="69513115">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第九条  不可抗力事件处理</w:t>
      </w:r>
    </w:p>
    <w:p w14:paraId="73C2CD8D">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1.在合同有效期内，任何一方因不可抗力事件导致不能履行合同，则合同履行期可延长，其延长期与不可抗力影响期相同。</w:t>
      </w:r>
    </w:p>
    <w:p w14:paraId="27504F51">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2.不可抗力事件发生后，应立即书面通知对方，并寄送有关权威机构出具的证明。</w:t>
      </w:r>
    </w:p>
    <w:p w14:paraId="0A3B247C">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3.不可抗力事件延续一百二十天以上，双方应通过友好协商，确定是否继续履行合同。</w:t>
      </w:r>
    </w:p>
    <w:p w14:paraId="31F2B68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第十条  合同争议解决</w:t>
      </w:r>
    </w:p>
    <w:p w14:paraId="3C8772D4">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1.因履行本合同引起的或与本合同有关的争议，甲乙双方应首先通过友好协商解决，如果协商不能解决，可向甲方所在地人民法院提起诉讼。</w:t>
      </w:r>
    </w:p>
    <w:p w14:paraId="37526ACC">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2.诉讼期间，本合同继续履行。</w:t>
      </w:r>
    </w:p>
    <w:p w14:paraId="27B695A8">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第十一条  合同生效及其它</w:t>
      </w:r>
    </w:p>
    <w:p w14:paraId="0FF86315">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1．合同经双方法定代表人或授权代表签字并加盖单位公章后生效。</w:t>
      </w:r>
    </w:p>
    <w:p w14:paraId="26C414B3">
      <w:pPr>
        <w:snapToGrid w:val="0"/>
        <w:spacing w:line="440" w:lineRule="exact"/>
        <w:ind w:firstLine="480" w:firstLineChars="200"/>
        <w:jc w:val="left"/>
        <w:rPr>
          <w:rFonts w:hint="eastAsia" w:ascii="仿宋" w:hAnsi="仿宋" w:eastAsia="仿宋" w:cs="仿宋"/>
          <w:bCs/>
          <w:color w:val="auto"/>
          <w:kern w:val="21"/>
          <w:sz w:val="24"/>
          <w:highlight w:val="none"/>
        </w:rPr>
      </w:pPr>
      <w:r>
        <w:rPr>
          <w:rFonts w:hint="eastAsia" w:ascii="仿宋" w:hAnsi="仿宋" w:eastAsia="仿宋" w:cs="仿宋"/>
          <w:bCs/>
          <w:color w:val="auto"/>
          <w:kern w:val="21"/>
          <w:sz w:val="24"/>
          <w:highlight w:val="none"/>
        </w:rPr>
        <w:t>2．合同执行中涉及采购资金和采购内容修改或补充的，须经财政部门审批，并签书面补充协议报财政部门备案，方可作为主合同不可分割的一部分。</w:t>
      </w:r>
    </w:p>
    <w:p w14:paraId="1D49F699">
      <w:pPr>
        <w:snapToGrid w:val="0"/>
        <w:spacing w:line="440" w:lineRule="exact"/>
        <w:ind w:firstLine="480" w:firstLineChars="200"/>
        <w:jc w:val="left"/>
        <w:rPr>
          <w:rFonts w:hint="eastAsia" w:ascii="仿宋" w:hAnsi="仿宋" w:eastAsia="仿宋" w:cs="仿宋"/>
          <w:b/>
          <w:color w:val="auto"/>
          <w:kern w:val="21"/>
          <w:sz w:val="24"/>
          <w:highlight w:val="none"/>
        </w:rPr>
      </w:pPr>
      <w:r>
        <w:rPr>
          <w:rFonts w:hint="eastAsia" w:ascii="仿宋" w:hAnsi="仿宋" w:eastAsia="仿宋" w:cs="仿宋"/>
          <w:bCs/>
          <w:color w:val="auto"/>
          <w:kern w:val="21"/>
          <w:sz w:val="24"/>
          <w:highlight w:val="none"/>
        </w:rPr>
        <w:t>3．本合同未尽事宜，由双方协商，签订补充协议。</w:t>
      </w:r>
    </w:p>
    <w:p w14:paraId="59976BC7">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第十二条  签订本合同依据</w:t>
      </w:r>
    </w:p>
    <w:p w14:paraId="46439D16">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1.采购文件；</w:t>
      </w:r>
    </w:p>
    <w:p w14:paraId="42926BD0">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2.乙方提供的投标</w:t>
      </w:r>
      <w:r>
        <w:rPr>
          <w:rFonts w:hint="eastAsia" w:ascii="仿宋" w:hAnsi="仿宋" w:eastAsia="仿宋" w:cs="仿宋"/>
          <w:color w:val="auto"/>
          <w:sz w:val="24"/>
          <w:highlight w:val="none"/>
        </w:rPr>
        <w:t>（响应）</w:t>
      </w:r>
      <w:r>
        <w:rPr>
          <w:rFonts w:hint="eastAsia" w:ascii="仿宋" w:hAnsi="仿宋" w:eastAsia="仿宋" w:cs="仿宋"/>
          <w:bCs/>
          <w:color w:val="auto"/>
          <w:sz w:val="24"/>
          <w:highlight w:val="none"/>
        </w:rPr>
        <w:t>文件；</w:t>
      </w:r>
    </w:p>
    <w:p w14:paraId="16DE9997">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3.投标资格声明函（竞标声明函）；</w:t>
      </w:r>
    </w:p>
    <w:p w14:paraId="3771656D">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4.中标（成交）通知书。</w:t>
      </w:r>
    </w:p>
    <w:p w14:paraId="7E3E99C6">
      <w:pPr>
        <w:snapToGrid w:val="0"/>
        <w:spacing w:line="440" w:lineRule="exact"/>
        <w:ind w:firstLine="482" w:firstLineChars="200"/>
        <w:jc w:val="left"/>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 xml:space="preserve">第十三条 </w:t>
      </w:r>
      <w:r>
        <w:rPr>
          <w:rFonts w:hint="eastAsia" w:ascii="仿宋" w:hAnsi="仿宋" w:eastAsia="仿宋" w:cs="仿宋"/>
          <w:bCs/>
          <w:color w:val="auto"/>
          <w:sz w:val="24"/>
          <w:highlight w:val="none"/>
        </w:rPr>
        <w:t>本合同一式六份，具有同等法律效力。政府采购监督管理部门、采购代理机构各一份，甲方二份，乙方二份。</w:t>
      </w:r>
    </w:p>
    <w:tbl>
      <w:tblPr>
        <w:tblStyle w:val="34"/>
        <w:tblpPr w:leftFromText="180" w:rightFromText="180" w:vertAnchor="text" w:horzAnchor="page" w:tblpX="1522" w:tblpY="656"/>
        <w:tblOverlap w:val="never"/>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38B1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437" w:type="dxa"/>
            <w:tcBorders>
              <w:top w:val="single" w:color="auto" w:sz="4" w:space="0"/>
              <w:left w:val="single" w:color="auto" w:sz="4" w:space="0"/>
              <w:bottom w:val="single" w:color="auto" w:sz="4" w:space="0"/>
              <w:right w:val="single" w:color="auto" w:sz="4" w:space="0"/>
            </w:tcBorders>
            <w:vAlign w:val="center"/>
          </w:tcPr>
          <w:p w14:paraId="2BB915E9">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甲方（章）           </w:t>
            </w:r>
          </w:p>
        </w:tc>
        <w:tc>
          <w:tcPr>
            <w:tcW w:w="4688" w:type="dxa"/>
            <w:tcBorders>
              <w:top w:val="single" w:color="auto" w:sz="4" w:space="0"/>
              <w:left w:val="nil"/>
              <w:bottom w:val="single" w:color="auto" w:sz="4" w:space="0"/>
              <w:right w:val="single" w:color="auto" w:sz="4" w:space="0"/>
            </w:tcBorders>
            <w:vAlign w:val="center"/>
          </w:tcPr>
          <w:p w14:paraId="1D49FBE6">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乙方（章）              </w:t>
            </w:r>
          </w:p>
        </w:tc>
      </w:tr>
      <w:tr w14:paraId="78B0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tcBorders>
              <w:top w:val="single" w:color="auto" w:sz="4" w:space="0"/>
              <w:left w:val="single" w:color="auto" w:sz="4" w:space="0"/>
              <w:bottom w:val="single" w:color="auto" w:sz="4" w:space="0"/>
              <w:right w:val="single" w:color="auto" w:sz="4" w:space="0"/>
            </w:tcBorders>
            <w:vAlign w:val="center"/>
          </w:tcPr>
          <w:p w14:paraId="7A5E20E9">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单位地址：</w:t>
            </w:r>
          </w:p>
        </w:tc>
        <w:tc>
          <w:tcPr>
            <w:tcW w:w="4688" w:type="dxa"/>
            <w:tcBorders>
              <w:top w:val="single" w:color="auto" w:sz="4" w:space="0"/>
              <w:left w:val="nil"/>
              <w:bottom w:val="single" w:color="auto" w:sz="4" w:space="0"/>
              <w:right w:val="single" w:color="auto" w:sz="4" w:space="0"/>
            </w:tcBorders>
            <w:vAlign w:val="center"/>
          </w:tcPr>
          <w:p w14:paraId="260E75A8">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单位地址：</w:t>
            </w:r>
          </w:p>
        </w:tc>
      </w:tr>
      <w:tr w14:paraId="7E4D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tcBorders>
              <w:top w:val="single" w:color="auto" w:sz="4" w:space="0"/>
              <w:left w:val="single" w:color="auto" w:sz="4" w:space="0"/>
              <w:bottom w:val="single" w:color="auto" w:sz="4" w:space="0"/>
              <w:right w:val="single" w:color="auto" w:sz="4" w:space="0"/>
            </w:tcBorders>
            <w:vAlign w:val="center"/>
          </w:tcPr>
          <w:p w14:paraId="580E6FF7">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4688" w:type="dxa"/>
            <w:tcBorders>
              <w:top w:val="single" w:color="auto" w:sz="4" w:space="0"/>
              <w:left w:val="nil"/>
              <w:bottom w:val="single" w:color="auto" w:sz="4" w:space="0"/>
              <w:right w:val="single" w:color="auto" w:sz="4" w:space="0"/>
            </w:tcBorders>
            <w:vAlign w:val="center"/>
          </w:tcPr>
          <w:p w14:paraId="5A031BED">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r>
      <w:tr w14:paraId="098F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tcBorders>
              <w:top w:val="single" w:color="auto" w:sz="4" w:space="0"/>
              <w:left w:val="single" w:color="auto" w:sz="4" w:space="0"/>
              <w:bottom w:val="single" w:color="auto" w:sz="4" w:space="0"/>
              <w:right w:val="single" w:color="auto" w:sz="4" w:space="0"/>
            </w:tcBorders>
            <w:vAlign w:val="center"/>
          </w:tcPr>
          <w:p w14:paraId="4E656959">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p>
        </w:tc>
        <w:tc>
          <w:tcPr>
            <w:tcW w:w="4688" w:type="dxa"/>
            <w:tcBorders>
              <w:top w:val="single" w:color="auto" w:sz="4" w:space="0"/>
              <w:left w:val="nil"/>
              <w:bottom w:val="single" w:color="auto" w:sz="4" w:space="0"/>
              <w:right w:val="single" w:color="auto" w:sz="4" w:space="0"/>
            </w:tcBorders>
            <w:vAlign w:val="center"/>
          </w:tcPr>
          <w:p w14:paraId="1D3D48DB">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p>
        </w:tc>
      </w:tr>
      <w:tr w14:paraId="44A3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tcBorders>
              <w:top w:val="single" w:color="auto" w:sz="4" w:space="0"/>
              <w:left w:val="single" w:color="auto" w:sz="4" w:space="0"/>
              <w:bottom w:val="single" w:color="auto" w:sz="4" w:space="0"/>
              <w:right w:val="single" w:color="auto" w:sz="4" w:space="0"/>
            </w:tcBorders>
            <w:vAlign w:val="center"/>
          </w:tcPr>
          <w:p w14:paraId="2E0551F5">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88" w:type="dxa"/>
            <w:tcBorders>
              <w:top w:val="single" w:color="auto" w:sz="4" w:space="0"/>
              <w:left w:val="nil"/>
              <w:bottom w:val="single" w:color="auto" w:sz="4" w:space="0"/>
              <w:right w:val="single" w:color="auto" w:sz="4" w:space="0"/>
            </w:tcBorders>
            <w:vAlign w:val="center"/>
          </w:tcPr>
          <w:p w14:paraId="370F93C3">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04A6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tcBorders>
              <w:top w:val="single" w:color="auto" w:sz="4" w:space="0"/>
              <w:left w:val="single" w:color="auto" w:sz="4" w:space="0"/>
              <w:bottom w:val="single" w:color="auto" w:sz="4" w:space="0"/>
              <w:right w:val="single" w:color="auto" w:sz="4" w:space="0"/>
            </w:tcBorders>
            <w:vAlign w:val="center"/>
          </w:tcPr>
          <w:p w14:paraId="7C6EDDF3">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4688" w:type="dxa"/>
            <w:tcBorders>
              <w:top w:val="single" w:color="auto" w:sz="4" w:space="0"/>
              <w:left w:val="nil"/>
              <w:bottom w:val="single" w:color="auto" w:sz="4" w:space="0"/>
              <w:right w:val="single" w:color="auto" w:sz="4" w:space="0"/>
            </w:tcBorders>
            <w:vAlign w:val="center"/>
          </w:tcPr>
          <w:p w14:paraId="1CE38FAB">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14:paraId="1577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tcBorders>
              <w:top w:val="single" w:color="auto" w:sz="4" w:space="0"/>
              <w:left w:val="single" w:color="auto" w:sz="4" w:space="0"/>
              <w:bottom w:val="single" w:color="auto" w:sz="4" w:space="0"/>
              <w:right w:val="single" w:color="auto" w:sz="4" w:space="0"/>
            </w:tcBorders>
            <w:vAlign w:val="center"/>
          </w:tcPr>
          <w:p w14:paraId="6B448DC6">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88" w:type="dxa"/>
            <w:tcBorders>
              <w:top w:val="single" w:color="auto" w:sz="4" w:space="0"/>
              <w:left w:val="nil"/>
              <w:bottom w:val="single" w:color="auto" w:sz="4" w:space="0"/>
              <w:right w:val="single" w:color="auto" w:sz="4" w:space="0"/>
            </w:tcBorders>
            <w:vAlign w:val="center"/>
          </w:tcPr>
          <w:p w14:paraId="0360C3F8">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1EDF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tcBorders>
              <w:top w:val="single" w:color="auto" w:sz="4" w:space="0"/>
              <w:left w:val="single" w:color="auto" w:sz="4" w:space="0"/>
              <w:bottom w:val="single" w:color="auto" w:sz="4" w:space="0"/>
              <w:right w:val="single" w:color="auto" w:sz="4" w:space="0"/>
            </w:tcBorders>
            <w:vAlign w:val="center"/>
          </w:tcPr>
          <w:p w14:paraId="1F3ADFF5">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4688" w:type="dxa"/>
            <w:tcBorders>
              <w:top w:val="single" w:color="auto" w:sz="4" w:space="0"/>
              <w:left w:val="nil"/>
              <w:bottom w:val="single" w:color="auto" w:sz="4" w:space="0"/>
              <w:right w:val="single" w:color="auto" w:sz="4" w:space="0"/>
            </w:tcBorders>
            <w:vAlign w:val="center"/>
          </w:tcPr>
          <w:p w14:paraId="025385DA">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p>
        </w:tc>
      </w:tr>
      <w:tr w14:paraId="415F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tcBorders>
              <w:top w:val="single" w:color="auto" w:sz="4" w:space="0"/>
              <w:left w:val="single" w:color="auto" w:sz="4" w:space="0"/>
              <w:bottom w:val="single" w:color="auto" w:sz="4" w:space="0"/>
              <w:right w:val="single" w:color="auto" w:sz="4" w:space="0"/>
            </w:tcBorders>
            <w:vAlign w:val="center"/>
          </w:tcPr>
          <w:p w14:paraId="168EA2CD">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4688" w:type="dxa"/>
            <w:tcBorders>
              <w:top w:val="single" w:color="auto" w:sz="4" w:space="0"/>
              <w:left w:val="nil"/>
              <w:bottom w:val="single" w:color="auto" w:sz="4" w:space="0"/>
              <w:right w:val="single" w:color="auto" w:sz="4" w:space="0"/>
            </w:tcBorders>
            <w:vAlign w:val="center"/>
          </w:tcPr>
          <w:p w14:paraId="73ACEEB3">
            <w:pPr>
              <w:snapToGrid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r>
      <w:tr w14:paraId="53EE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25" w:type="dxa"/>
            <w:gridSpan w:val="2"/>
            <w:tcBorders>
              <w:top w:val="single" w:color="auto" w:sz="4" w:space="0"/>
              <w:left w:val="single" w:color="auto" w:sz="4" w:space="0"/>
              <w:bottom w:val="single" w:color="auto" w:sz="4" w:space="0"/>
              <w:right w:val="single" w:color="auto" w:sz="4" w:space="0"/>
            </w:tcBorders>
          </w:tcPr>
          <w:p w14:paraId="7C602937">
            <w:pPr>
              <w:snapToGrid w:val="0"/>
              <w:spacing w:line="360" w:lineRule="exact"/>
              <w:ind w:firstLine="720" w:firstLineChars="3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签订日期：    年    月    日</w:t>
            </w:r>
          </w:p>
        </w:tc>
      </w:tr>
    </w:tbl>
    <w:p w14:paraId="6A449038">
      <w:pPr>
        <w:snapToGrid w:val="0"/>
        <w:spacing w:line="44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本合同经甲乙双方法定代表人或授权代表签字并加盖单位公章后生效。</w:t>
      </w:r>
    </w:p>
    <w:p w14:paraId="04595C12">
      <w:pPr>
        <w:snapToGrid w:val="0"/>
        <w:spacing w:line="400" w:lineRule="exact"/>
        <w:rPr>
          <w:rFonts w:hint="eastAsia" w:ascii="仿宋" w:hAnsi="仿宋" w:eastAsia="仿宋" w:cs="仿宋"/>
          <w:color w:val="auto"/>
          <w:sz w:val="6"/>
          <w:szCs w:val="6"/>
          <w:highlight w:val="none"/>
        </w:rPr>
      </w:pPr>
    </w:p>
    <w:sectPr>
      <w:pgSz w:w="11906" w:h="16838"/>
      <w:pgMar w:top="1134" w:right="1080" w:bottom="1134"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3EAF343-EEAD-4575-A283-79AD8838D487}"/>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76F4DB8E-B35D-46B1-AB76-F43F57A9141F}"/>
  </w:font>
  <w:font w:name="Helvetica">
    <w:panose1 w:val="020B0504020202030204"/>
    <w:charset w:val="00"/>
    <w:family w:val="swiss"/>
    <w:pitch w:val="default"/>
    <w:sig w:usb0="00000007" w:usb1="00000000" w:usb2="00000000" w:usb3="00000000" w:csb0="00000093" w:csb1="00000000"/>
  </w:font>
  <w:font w:name="Wingdings 2">
    <w:panose1 w:val="05020102010507070707"/>
    <w:charset w:val="02"/>
    <w:family w:val="roman"/>
    <w:pitch w:val="default"/>
    <w:sig w:usb0="00000000" w:usb1="00000000" w:usb2="00000000" w:usb3="00000000" w:csb0="80000000" w:csb1="00000000"/>
    <w:embedRegular r:id="rId3" w:fontKey="{E5776F36-42BF-4CA1-8AD8-EE3B15C94C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DC6D">
    <w:pPr>
      <w:pStyle w:val="23"/>
      <w:tabs>
        <w:tab w:val="center" w:pos="4439"/>
        <w:tab w:val="clear" w:pos="4153"/>
      </w:tabs>
      <w:jc w:val="both"/>
    </w:pPr>
  </w:p>
  <w:p w14:paraId="38EC03D1">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E51E">
    <w:pPr>
      <w:pStyle w:val="23"/>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291FF0FA"/>
                      </w:txbxContent>
                    </wps:txbx>
                    <wps:bodyPr wrap="none" lIns="0" tIns="0" rIns="0" bIns="0" anchor="t" anchorCtr="0">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BU+a0AAAAAMBAAAPAAAAAAAAAAEAIAAA&#10;ACIAAABkcnMvZG93bnJldi54bWxQSwECFAAUAAAACACHTuJAWTzIctsBAAC1AwAADgAAAAAAAAAB&#10;ACAAAAAfAQAAZHJzL2Uyb0RvYy54bWxQSwUGAAAAAAYABgBZAQAAbAUAAAAA&#10;">
              <v:fill on="f" focussize="0,0"/>
              <v:stroke on="f"/>
              <v:imagedata o:title=""/>
              <o:lock v:ext="edit" aspectratio="f"/>
              <v:textbox inset="0mm,0mm,0mm,0mm" style="mso-fit-shape-to-text:t;">
                <w:txbxContent>
                  <w:p w14:paraId="291FF0F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7FA34">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BA7A9">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3BBA7A9">
                    <w:pPr>
                      <w:pStyle w:val="23"/>
                    </w:pPr>
                    <w:r>
                      <w:fldChar w:fldCharType="begin"/>
                    </w:r>
                    <w:r>
                      <w:instrText xml:space="preserve"> PAGE  \* MERGEFORMAT </w:instrText>
                    </w:r>
                    <w:r>
                      <w:fldChar w:fldCharType="separate"/>
                    </w:r>
                    <w:r>
                      <w:t>2</w:t>
                    </w:r>
                    <w:r>
                      <w:fldChar w:fldCharType="end"/>
                    </w:r>
                  </w:p>
                </w:txbxContent>
              </v:textbox>
            </v:shape>
          </w:pict>
        </mc:Fallback>
      </mc:AlternateContent>
    </w:r>
  </w:p>
  <w:p w14:paraId="08B867C5">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48E60">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C056D">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67C056D">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38282">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6E8D">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9AC0E"/>
    <w:multiLevelType w:val="singleLevel"/>
    <w:tmpl w:val="8619AC0E"/>
    <w:lvl w:ilvl="0" w:tentative="0">
      <w:start w:val="1"/>
      <w:numFmt w:val="chineseCounting"/>
      <w:suff w:val="space"/>
      <w:lvlText w:val="第%1章"/>
      <w:lvlJc w:val="left"/>
      <w:rPr>
        <w:rFonts w:hint="eastAsia"/>
      </w:rPr>
    </w:lvl>
  </w:abstractNum>
  <w:abstractNum w:abstractNumId="1">
    <w:nsid w:val="2A232D5D"/>
    <w:multiLevelType w:val="multilevel"/>
    <w:tmpl w:val="2A232D5D"/>
    <w:lvl w:ilvl="0" w:tentative="0">
      <w:start w:val="1"/>
      <w:numFmt w:val="decimal"/>
      <w:pStyle w:val="109"/>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39A5395"/>
    <w:multiLevelType w:val="multilevel"/>
    <w:tmpl w:val="339A5395"/>
    <w:lvl w:ilvl="0" w:tentative="0">
      <w:start w:val="1"/>
      <w:numFmt w:val="decimal"/>
      <w:pStyle w:val="108"/>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E270AE3"/>
    <w:multiLevelType w:val="singleLevel"/>
    <w:tmpl w:val="4E270AE3"/>
    <w:lvl w:ilvl="0" w:tentative="0">
      <w:start w:val="2"/>
      <w:numFmt w:val="chineseCounting"/>
      <w:suff w:val="nothing"/>
      <w:lvlText w:val="%1、"/>
      <w:lvlJc w:val="left"/>
      <w:rPr>
        <w:rFonts w:hint="eastAsia"/>
      </w:rPr>
    </w:lvl>
  </w:abstractNum>
  <w:abstractNum w:abstractNumId="4">
    <w:nsid w:val="5D5557BB"/>
    <w:multiLevelType w:val="multilevel"/>
    <w:tmpl w:val="5D5557BB"/>
    <w:lvl w:ilvl="0" w:tentative="0">
      <w:start w:val="1"/>
      <w:numFmt w:val="decimal"/>
      <w:pStyle w:val="106"/>
      <w:lvlText w:val="%1."/>
      <w:lvlJc w:val="left"/>
      <w:pPr>
        <w:ind w:left="0" w:firstLine="0"/>
      </w:p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
    <w:nsid w:val="69233C06"/>
    <w:multiLevelType w:val="multilevel"/>
    <w:tmpl w:val="69233C06"/>
    <w:lvl w:ilvl="0" w:tentative="0">
      <w:start w:val="1"/>
      <w:numFmt w:val="bullet"/>
      <w:pStyle w:val="107"/>
      <w:lvlText w:val=""/>
      <w:lvlJc w:val="left"/>
      <w:pPr>
        <w:ind w:left="0" w:firstLine="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6B3173AD"/>
    <w:multiLevelType w:val="multilevel"/>
    <w:tmpl w:val="6B3173AD"/>
    <w:lvl w:ilvl="0" w:tentative="0">
      <w:start w:val="1"/>
      <w:numFmt w:val="decimal"/>
      <w:pStyle w:val="110"/>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1EF22EB"/>
    <w:multiLevelType w:val="multilevel"/>
    <w:tmpl w:val="71EF22EB"/>
    <w:lvl w:ilvl="0" w:tentative="0">
      <w:start w:val="1"/>
      <w:numFmt w:val="bullet"/>
      <w:pStyle w:val="111"/>
      <w:lvlText w:val=""/>
      <w:lvlJc w:val="left"/>
      <w:pPr>
        <w:ind w:left="0" w:firstLine="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4"/>
  </w:num>
  <w:num w:numId="2">
    <w:abstractNumId w:val="5"/>
  </w:num>
  <w:num w:numId="3">
    <w:abstractNumId w:val="2"/>
  </w:num>
  <w:num w:numId="4">
    <w:abstractNumId w:val="1"/>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zZDdiZjBhMGI2YWVlMTI1MzViNzI2OTJhYjlmOTAifQ=="/>
  </w:docVars>
  <w:rsids>
    <w:rsidRoot w:val="00F34B14"/>
    <w:rsid w:val="000002E0"/>
    <w:rsid w:val="00000672"/>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053"/>
    <w:rsid w:val="00012854"/>
    <w:rsid w:val="00012C21"/>
    <w:rsid w:val="00012EA6"/>
    <w:rsid w:val="00013359"/>
    <w:rsid w:val="000139CF"/>
    <w:rsid w:val="00013AA4"/>
    <w:rsid w:val="00013DFE"/>
    <w:rsid w:val="000141EA"/>
    <w:rsid w:val="0001469F"/>
    <w:rsid w:val="00016ABC"/>
    <w:rsid w:val="000177DB"/>
    <w:rsid w:val="000179C9"/>
    <w:rsid w:val="00017CCC"/>
    <w:rsid w:val="00020227"/>
    <w:rsid w:val="00020263"/>
    <w:rsid w:val="000203B7"/>
    <w:rsid w:val="00020455"/>
    <w:rsid w:val="00020813"/>
    <w:rsid w:val="000215D0"/>
    <w:rsid w:val="00021813"/>
    <w:rsid w:val="000220B2"/>
    <w:rsid w:val="0002264C"/>
    <w:rsid w:val="00022731"/>
    <w:rsid w:val="00022792"/>
    <w:rsid w:val="00023E38"/>
    <w:rsid w:val="00024463"/>
    <w:rsid w:val="00025461"/>
    <w:rsid w:val="00025636"/>
    <w:rsid w:val="00025E36"/>
    <w:rsid w:val="00026855"/>
    <w:rsid w:val="00026886"/>
    <w:rsid w:val="0002785D"/>
    <w:rsid w:val="000279D2"/>
    <w:rsid w:val="000307BE"/>
    <w:rsid w:val="000329E0"/>
    <w:rsid w:val="000352E9"/>
    <w:rsid w:val="00035494"/>
    <w:rsid w:val="00035DD6"/>
    <w:rsid w:val="00036125"/>
    <w:rsid w:val="00036A07"/>
    <w:rsid w:val="0003780B"/>
    <w:rsid w:val="00040571"/>
    <w:rsid w:val="00040973"/>
    <w:rsid w:val="0004156E"/>
    <w:rsid w:val="00041713"/>
    <w:rsid w:val="00042B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6C2B"/>
    <w:rsid w:val="000673E2"/>
    <w:rsid w:val="000677E3"/>
    <w:rsid w:val="00067EF1"/>
    <w:rsid w:val="0007063F"/>
    <w:rsid w:val="000707FD"/>
    <w:rsid w:val="00070949"/>
    <w:rsid w:val="000711E4"/>
    <w:rsid w:val="00071E9B"/>
    <w:rsid w:val="000720A1"/>
    <w:rsid w:val="000724D9"/>
    <w:rsid w:val="00072AED"/>
    <w:rsid w:val="00073F47"/>
    <w:rsid w:val="00074604"/>
    <w:rsid w:val="0007492F"/>
    <w:rsid w:val="00074ED8"/>
    <w:rsid w:val="00075B7E"/>
    <w:rsid w:val="00077ACA"/>
    <w:rsid w:val="00077C70"/>
    <w:rsid w:val="000802FA"/>
    <w:rsid w:val="00080468"/>
    <w:rsid w:val="00080FD3"/>
    <w:rsid w:val="000813B5"/>
    <w:rsid w:val="0008191E"/>
    <w:rsid w:val="00081AFA"/>
    <w:rsid w:val="00081BA3"/>
    <w:rsid w:val="00081D2E"/>
    <w:rsid w:val="00081F89"/>
    <w:rsid w:val="00082619"/>
    <w:rsid w:val="00082D02"/>
    <w:rsid w:val="0008381A"/>
    <w:rsid w:val="00083871"/>
    <w:rsid w:val="00083AD2"/>
    <w:rsid w:val="00083B91"/>
    <w:rsid w:val="00084104"/>
    <w:rsid w:val="0008473C"/>
    <w:rsid w:val="00084BB3"/>
    <w:rsid w:val="0008520B"/>
    <w:rsid w:val="000857DE"/>
    <w:rsid w:val="000860BD"/>
    <w:rsid w:val="00086286"/>
    <w:rsid w:val="000871B8"/>
    <w:rsid w:val="00087B0A"/>
    <w:rsid w:val="000916DA"/>
    <w:rsid w:val="00091AAB"/>
    <w:rsid w:val="00092442"/>
    <w:rsid w:val="000929EF"/>
    <w:rsid w:val="00092C26"/>
    <w:rsid w:val="000933BE"/>
    <w:rsid w:val="00093B37"/>
    <w:rsid w:val="0009560F"/>
    <w:rsid w:val="0009588E"/>
    <w:rsid w:val="000959EE"/>
    <w:rsid w:val="00096DB9"/>
    <w:rsid w:val="00097183"/>
    <w:rsid w:val="000972CB"/>
    <w:rsid w:val="00097608"/>
    <w:rsid w:val="000A0E76"/>
    <w:rsid w:val="000A0F35"/>
    <w:rsid w:val="000A1175"/>
    <w:rsid w:val="000A13F3"/>
    <w:rsid w:val="000A23B1"/>
    <w:rsid w:val="000A2B0E"/>
    <w:rsid w:val="000A398F"/>
    <w:rsid w:val="000A448C"/>
    <w:rsid w:val="000A509C"/>
    <w:rsid w:val="000A54A7"/>
    <w:rsid w:val="000A5A17"/>
    <w:rsid w:val="000A5DF3"/>
    <w:rsid w:val="000A6007"/>
    <w:rsid w:val="000A65A6"/>
    <w:rsid w:val="000A70E3"/>
    <w:rsid w:val="000A7275"/>
    <w:rsid w:val="000A7A12"/>
    <w:rsid w:val="000A7A72"/>
    <w:rsid w:val="000A7DAC"/>
    <w:rsid w:val="000A7F5C"/>
    <w:rsid w:val="000B1202"/>
    <w:rsid w:val="000B1801"/>
    <w:rsid w:val="000B1D0C"/>
    <w:rsid w:val="000B2273"/>
    <w:rsid w:val="000B2BC6"/>
    <w:rsid w:val="000B2D03"/>
    <w:rsid w:val="000B37F2"/>
    <w:rsid w:val="000B3815"/>
    <w:rsid w:val="000B3C7B"/>
    <w:rsid w:val="000B3E68"/>
    <w:rsid w:val="000B4321"/>
    <w:rsid w:val="000B4AC4"/>
    <w:rsid w:val="000B6A6B"/>
    <w:rsid w:val="000B6C95"/>
    <w:rsid w:val="000B79FC"/>
    <w:rsid w:val="000C1679"/>
    <w:rsid w:val="000C1DAF"/>
    <w:rsid w:val="000C1EE3"/>
    <w:rsid w:val="000C3AE7"/>
    <w:rsid w:val="000C3CC9"/>
    <w:rsid w:val="000C446C"/>
    <w:rsid w:val="000C59C6"/>
    <w:rsid w:val="000C59FD"/>
    <w:rsid w:val="000C6DE4"/>
    <w:rsid w:val="000C7202"/>
    <w:rsid w:val="000D0A89"/>
    <w:rsid w:val="000D1389"/>
    <w:rsid w:val="000D1798"/>
    <w:rsid w:val="000D2626"/>
    <w:rsid w:val="000D411D"/>
    <w:rsid w:val="000D4589"/>
    <w:rsid w:val="000D4809"/>
    <w:rsid w:val="000D73DD"/>
    <w:rsid w:val="000E1C51"/>
    <w:rsid w:val="000E28AB"/>
    <w:rsid w:val="000E2E3E"/>
    <w:rsid w:val="000E3583"/>
    <w:rsid w:val="000E3AF0"/>
    <w:rsid w:val="000E4E04"/>
    <w:rsid w:val="000E5C8B"/>
    <w:rsid w:val="000E693B"/>
    <w:rsid w:val="000E6D5C"/>
    <w:rsid w:val="000E6EC9"/>
    <w:rsid w:val="000E70B4"/>
    <w:rsid w:val="000E725F"/>
    <w:rsid w:val="000E7B62"/>
    <w:rsid w:val="000F0E1E"/>
    <w:rsid w:val="000F1A1B"/>
    <w:rsid w:val="000F2A95"/>
    <w:rsid w:val="000F3281"/>
    <w:rsid w:val="000F32FD"/>
    <w:rsid w:val="000F3733"/>
    <w:rsid w:val="000F5F8B"/>
    <w:rsid w:val="000F6153"/>
    <w:rsid w:val="000F64AA"/>
    <w:rsid w:val="000F74C6"/>
    <w:rsid w:val="000F7AF4"/>
    <w:rsid w:val="000F7C33"/>
    <w:rsid w:val="000F7F0C"/>
    <w:rsid w:val="001004D6"/>
    <w:rsid w:val="00101D1B"/>
    <w:rsid w:val="00102676"/>
    <w:rsid w:val="00103646"/>
    <w:rsid w:val="00103918"/>
    <w:rsid w:val="00104185"/>
    <w:rsid w:val="00104897"/>
    <w:rsid w:val="00104EDE"/>
    <w:rsid w:val="00104F54"/>
    <w:rsid w:val="00105CDA"/>
    <w:rsid w:val="00106BEE"/>
    <w:rsid w:val="001070E4"/>
    <w:rsid w:val="0010711C"/>
    <w:rsid w:val="00107368"/>
    <w:rsid w:val="00107BDF"/>
    <w:rsid w:val="00107C74"/>
    <w:rsid w:val="001104B2"/>
    <w:rsid w:val="0011091C"/>
    <w:rsid w:val="00111266"/>
    <w:rsid w:val="001112EB"/>
    <w:rsid w:val="0011247D"/>
    <w:rsid w:val="00112C88"/>
    <w:rsid w:val="0011352D"/>
    <w:rsid w:val="00113678"/>
    <w:rsid w:val="00113A7D"/>
    <w:rsid w:val="00113C3E"/>
    <w:rsid w:val="00114202"/>
    <w:rsid w:val="00114254"/>
    <w:rsid w:val="0011465D"/>
    <w:rsid w:val="00115E11"/>
    <w:rsid w:val="00115EEE"/>
    <w:rsid w:val="00115F56"/>
    <w:rsid w:val="00116CA9"/>
    <w:rsid w:val="00116F38"/>
    <w:rsid w:val="001170A4"/>
    <w:rsid w:val="00117AE7"/>
    <w:rsid w:val="00117B85"/>
    <w:rsid w:val="00117CBD"/>
    <w:rsid w:val="0012006A"/>
    <w:rsid w:val="001203BD"/>
    <w:rsid w:val="00121979"/>
    <w:rsid w:val="00122064"/>
    <w:rsid w:val="001223BF"/>
    <w:rsid w:val="00123CCB"/>
    <w:rsid w:val="00124341"/>
    <w:rsid w:val="00124492"/>
    <w:rsid w:val="00124B12"/>
    <w:rsid w:val="001250A0"/>
    <w:rsid w:val="001263B8"/>
    <w:rsid w:val="001268D1"/>
    <w:rsid w:val="00127F8A"/>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3A"/>
    <w:rsid w:val="00141C9C"/>
    <w:rsid w:val="00142344"/>
    <w:rsid w:val="00142351"/>
    <w:rsid w:val="0014277F"/>
    <w:rsid w:val="001434BE"/>
    <w:rsid w:val="00143AAD"/>
    <w:rsid w:val="00144050"/>
    <w:rsid w:val="00144369"/>
    <w:rsid w:val="0014479F"/>
    <w:rsid w:val="001452B4"/>
    <w:rsid w:val="00145320"/>
    <w:rsid w:val="001476D3"/>
    <w:rsid w:val="0014786A"/>
    <w:rsid w:val="001509CF"/>
    <w:rsid w:val="00150D1D"/>
    <w:rsid w:val="001525AA"/>
    <w:rsid w:val="00152A87"/>
    <w:rsid w:val="00152AC1"/>
    <w:rsid w:val="00153BB5"/>
    <w:rsid w:val="00154396"/>
    <w:rsid w:val="00154518"/>
    <w:rsid w:val="00156359"/>
    <w:rsid w:val="00156DD6"/>
    <w:rsid w:val="0016086E"/>
    <w:rsid w:val="001609B9"/>
    <w:rsid w:val="00160D0C"/>
    <w:rsid w:val="00160DD1"/>
    <w:rsid w:val="00161172"/>
    <w:rsid w:val="0016186C"/>
    <w:rsid w:val="00161998"/>
    <w:rsid w:val="00161E65"/>
    <w:rsid w:val="00162597"/>
    <w:rsid w:val="001629AF"/>
    <w:rsid w:val="001629FD"/>
    <w:rsid w:val="0016428A"/>
    <w:rsid w:val="001647C9"/>
    <w:rsid w:val="00165627"/>
    <w:rsid w:val="00166033"/>
    <w:rsid w:val="001661A3"/>
    <w:rsid w:val="00166F19"/>
    <w:rsid w:val="00167226"/>
    <w:rsid w:val="0016782B"/>
    <w:rsid w:val="0016784D"/>
    <w:rsid w:val="00167853"/>
    <w:rsid w:val="00167887"/>
    <w:rsid w:val="00172CA8"/>
    <w:rsid w:val="00173256"/>
    <w:rsid w:val="001737B9"/>
    <w:rsid w:val="00173B0E"/>
    <w:rsid w:val="00173E03"/>
    <w:rsid w:val="0017512C"/>
    <w:rsid w:val="001756AF"/>
    <w:rsid w:val="0017586A"/>
    <w:rsid w:val="00175BA6"/>
    <w:rsid w:val="00176CA7"/>
    <w:rsid w:val="00176D0C"/>
    <w:rsid w:val="00176F8E"/>
    <w:rsid w:val="001778C5"/>
    <w:rsid w:val="00177E56"/>
    <w:rsid w:val="00177F0A"/>
    <w:rsid w:val="00180DA0"/>
    <w:rsid w:val="00181014"/>
    <w:rsid w:val="00181EAD"/>
    <w:rsid w:val="00182862"/>
    <w:rsid w:val="00184F57"/>
    <w:rsid w:val="00185091"/>
    <w:rsid w:val="00185544"/>
    <w:rsid w:val="00185617"/>
    <w:rsid w:val="00186FE1"/>
    <w:rsid w:val="00187A14"/>
    <w:rsid w:val="0019171E"/>
    <w:rsid w:val="00192368"/>
    <w:rsid w:val="001923A0"/>
    <w:rsid w:val="001928B1"/>
    <w:rsid w:val="00192AE9"/>
    <w:rsid w:val="00193537"/>
    <w:rsid w:val="00193846"/>
    <w:rsid w:val="00195379"/>
    <w:rsid w:val="00195424"/>
    <w:rsid w:val="001955FF"/>
    <w:rsid w:val="00197EDD"/>
    <w:rsid w:val="001A02B3"/>
    <w:rsid w:val="001A04BB"/>
    <w:rsid w:val="001A08D0"/>
    <w:rsid w:val="001A194B"/>
    <w:rsid w:val="001A1B39"/>
    <w:rsid w:val="001A2120"/>
    <w:rsid w:val="001A28C6"/>
    <w:rsid w:val="001A2E69"/>
    <w:rsid w:val="001A3C34"/>
    <w:rsid w:val="001A3EDE"/>
    <w:rsid w:val="001A4222"/>
    <w:rsid w:val="001A50EA"/>
    <w:rsid w:val="001A5E24"/>
    <w:rsid w:val="001A661D"/>
    <w:rsid w:val="001A6795"/>
    <w:rsid w:val="001A681D"/>
    <w:rsid w:val="001A6B27"/>
    <w:rsid w:val="001A6D8B"/>
    <w:rsid w:val="001A6DAA"/>
    <w:rsid w:val="001A7717"/>
    <w:rsid w:val="001A793A"/>
    <w:rsid w:val="001B125A"/>
    <w:rsid w:val="001B1EBA"/>
    <w:rsid w:val="001B2142"/>
    <w:rsid w:val="001B2F2B"/>
    <w:rsid w:val="001B327A"/>
    <w:rsid w:val="001B35DE"/>
    <w:rsid w:val="001B3A13"/>
    <w:rsid w:val="001B3F5C"/>
    <w:rsid w:val="001B49C7"/>
    <w:rsid w:val="001B57C9"/>
    <w:rsid w:val="001B59FF"/>
    <w:rsid w:val="001B6512"/>
    <w:rsid w:val="001B65D7"/>
    <w:rsid w:val="001B6752"/>
    <w:rsid w:val="001B6768"/>
    <w:rsid w:val="001B6F1F"/>
    <w:rsid w:val="001B7ECC"/>
    <w:rsid w:val="001C025B"/>
    <w:rsid w:val="001C115F"/>
    <w:rsid w:val="001C1EAB"/>
    <w:rsid w:val="001C25A7"/>
    <w:rsid w:val="001C2775"/>
    <w:rsid w:val="001C318C"/>
    <w:rsid w:val="001C35C4"/>
    <w:rsid w:val="001C3613"/>
    <w:rsid w:val="001C4287"/>
    <w:rsid w:val="001C4479"/>
    <w:rsid w:val="001C5190"/>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1C7C"/>
    <w:rsid w:val="001E3B63"/>
    <w:rsid w:val="001E544E"/>
    <w:rsid w:val="001E55ED"/>
    <w:rsid w:val="001E5607"/>
    <w:rsid w:val="001E5A94"/>
    <w:rsid w:val="001E66C7"/>
    <w:rsid w:val="001E7D7E"/>
    <w:rsid w:val="001F1107"/>
    <w:rsid w:val="001F13FD"/>
    <w:rsid w:val="001F18F9"/>
    <w:rsid w:val="001F24F3"/>
    <w:rsid w:val="001F2A2E"/>
    <w:rsid w:val="001F3356"/>
    <w:rsid w:val="001F3A05"/>
    <w:rsid w:val="001F3C63"/>
    <w:rsid w:val="001F4460"/>
    <w:rsid w:val="001F68CB"/>
    <w:rsid w:val="001F6C96"/>
    <w:rsid w:val="001F711A"/>
    <w:rsid w:val="001F75B0"/>
    <w:rsid w:val="0020057C"/>
    <w:rsid w:val="0020083C"/>
    <w:rsid w:val="00200CE5"/>
    <w:rsid w:val="00200F7C"/>
    <w:rsid w:val="002014DB"/>
    <w:rsid w:val="0020150B"/>
    <w:rsid w:val="00201E12"/>
    <w:rsid w:val="00202295"/>
    <w:rsid w:val="00203122"/>
    <w:rsid w:val="002033B5"/>
    <w:rsid w:val="0020382C"/>
    <w:rsid w:val="0020437A"/>
    <w:rsid w:val="0020454C"/>
    <w:rsid w:val="00204740"/>
    <w:rsid w:val="002048C7"/>
    <w:rsid w:val="00205129"/>
    <w:rsid w:val="0020521F"/>
    <w:rsid w:val="0020532C"/>
    <w:rsid w:val="002062C1"/>
    <w:rsid w:val="002114C7"/>
    <w:rsid w:val="0021302C"/>
    <w:rsid w:val="00213B1C"/>
    <w:rsid w:val="00213F1E"/>
    <w:rsid w:val="00214202"/>
    <w:rsid w:val="002148E3"/>
    <w:rsid w:val="0021492A"/>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1E9"/>
    <w:rsid w:val="0022663D"/>
    <w:rsid w:val="00226A46"/>
    <w:rsid w:val="00226CB3"/>
    <w:rsid w:val="00227C56"/>
    <w:rsid w:val="00227F2D"/>
    <w:rsid w:val="00231851"/>
    <w:rsid w:val="0023186A"/>
    <w:rsid w:val="002319FB"/>
    <w:rsid w:val="00231B89"/>
    <w:rsid w:val="00231F11"/>
    <w:rsid w:val="00231F5E"/>
    <w:rsid w:val="00232FF3"/>
    <w:rsid w:val="002346B4"/>
    <w:rsid w:val="00234F6E"/>
    <w:rsid w:val="002355BE"/>
    <w:rsid w:val="002358EA"/>
    <w:rsid w:val="00236578"/>
    <w:rsid w:val="00236DE9"/>
    <w:rsid w:val="00237342"/>
    <w:rsid w:val="002377AE"/>
    <w:rsid w:val="00237810"/>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E5A"/>
    <w:rsid w:val="00251043"/>
    <w:rsid w:val="00251423"/>
    <w:rsid w:val="00251C4A"/>
    <w:rsid w:val="0025271C"/>
    <w:rsid w:val="0025277A"/>
    <w:rsid w:val="002530AC"/>
    <w:rsid w:val="002533CD"/>
    <w:rsid w:val="002535EA"/>
    <w:rsid w:val="00254AF9"/>
    <w:rsid w:val="00254EAB"/>
    <w:rsid w:val="002557AF"/>
    <w:rsid w:val="0025589C"/>
    <w:rsid w:val="00255B62"/>
    <w:rsid w:val="002566B1"/>
    <w:rsid w:val="00256D0F"/>
    <w:rsid w:val="002575E3"/>
    <w:rsid w:val="00257A74"/>
    <w:rsid w:val="00257C5D"/>
    <w:rsid w:val="002603C1"/>
    <w:rsid w:val="002609A1"/>
    <w:rsid w:val="002612B1"/>
    <w:rsid w:val="00262416"/>
    <w:rsid w:val="00265A12"/>
    <w:rsid w:val="00265C2F"/>
    <w:rsid w:val="00266165"/>
    <w:rsid w:val="00266F2C"/>
    <w:rsid w:val="0027125E"/>
    <w:rsid w:val="00271767"/>
    <w:rsid w:val="00272293"/>
    <w:rsid w:val="002723B3"/>
    <w:rsid w:val="002723C8"/>
    <w:rsid w:val="00273C2A"/>
    <w:rsid w:val="00273CBE"/>
    <w:rsid w:val="002746B1"/>
    <w:rsid w:val="00274BAD"/>
    <w:rsid w:val="002750C2"/>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C86"/>
    <w:rsid w:val="00294F10"/>
    <w:rsid w:val="002952B1"/>
    <w:rsid w:val="00295D11"/>
    <w:rsid w:val="00296FB6"/>
    <w:rsid w:val="002971D8"/>
    <w:rsid w:val="002A0001"/>
    <w:rsid w:val="002A0BD9"/>
    <w:rsid w:val="002A0C3A"/>
    <w:rsid w:val="002A0DF8"/>
    <w:rsid w:val="002A0F1C"/>
    <w:rsid w:val="002A1130"/>
    <w:rsid w:val="002A1880"/>
    <w:rsid w:val="002A23B7"/>
    <w:rsid w:val="002A2763"/>
    <w:rsid w:val="002A3A57"/>
    <w:rsid w:val="002A4B4F"/>
    <w:rsid w:val="002A57A8"/>
    <w:rsid w:val="002A6DEF"/>
    <w:rsid w:val="002A770B"/>
    <w:rsid w:val="002A7F9C"/>
    <w:rsid w:val="002B013E"/>
    <w:rsid w:val="002B058D"/>
    <w:rsid w:val="002B0C16"/>
    <w:rsid w:val="002B2456"/>
    <w:rsid w:val="002B2799"/>
    <w:rsid w:val="002B2891"/>
    <w:rsid w:val="002B2AC5"/>
    <w:rsid w:val="002B32ED"/>
    <w:rsid w:val="002B3528"/>
    <w:rsid w:val="002B3539"/>
    <w:rsid w:val="002B4395"/>
    <w:rsid w:val="002B4532"/>
    <w:rsid w:val="002B4DD9"/>
    <w:rsid w:val="002B5042"/>
    <w:rsid w:val="002B69CC"/>
    <w:rsid w:val="002B6D71"/>
    <w:rsid w:val="002C03AE"/>
    <w:rsid w:val="002C0C1C"/>
    <w:rsid w:val="002C16AE"/>
    <w:rsid w:val="002C362C"/>
    <w:rsid w:val="002C41BF"/>
    <w:rsid w:val="002C54C2"/>
    <w:rsid w:val="002C5D34"/>
    <w:rsid w:val="002C60BB"/>
    <w:rsid w:val="002C6131"/>
    <w:rsid w:val="002C661A"/>
    <w:rsid w:val="002D0D6F"/>
    <w:rsid w:val="002D1796"/>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E6E76"/>
    <w:rsid w:val="002F016E"/>
    <w:rsid w:val="002F051C"/>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0F23"/>
    <w:rsid w:val="00302AFC"/>
    <w:rsid w:val="00302EFC"/>
    <w:rsid w:val="00303243"/>
    <w:rsid w:val="00303BCC"/>
    <w:rsid w:val="00303F2B"/>
    <w:rsid w:val="00303F8D"/>
    <w:rsid w:val="003047EB"/>
    <w:rsid w:val="0030572D"/>
    <w:rsid w:val="0030586A"/>
    <w:rsid w:val="0030622D"/>
    <w:rsid w:val="00306811"/>
    <w:rsid w:val="00306F32"/>
    <w:rsid w:val="003074C5"/>
    <w:rsid w:val="00307A3C"/>
    <w:rsid w:val="00307FA4"/>
    <w:rsid w:val="00310290"/>
    <w:rsid w:val="00310CC1"/>
    <w:rsid w:val="003119D1"/>
    <w:rsid w:val="00312504"/>
    <w:rsid w:val="00312B89"/>
    <w:rsid w:val="00313026"/>
    <w:rsid w:val="00313913"/>
    <w:rsid w:val="0031421F"/>
    <w:rsid w:val="00314B31"/>
    <w:rsid w:val="00315A65"/>
    <w:rsid w:val="003165D7"/>
    <w:rsid w:val="0031666B"/>
    <w:rsid w:val="00316ABE"/>
    <w:rsid w:val="00317247"/>
    <w:rsid w:val="00317A77"/>
    <w:rsid w:val="00317BA7"/>
    <w:rsid w:val="003202F6"/>
    <w:rsid w:val="00320BE2"/>
    <w:rsid w:val="00321886"/>
    <w:rsid w:val="00321EDC"/>
    <w:rsid w:val="00322ACB"/>
    <w:rsid w:val="00322D02"/>
    <w:rsid w:val="00323694"/>
    <w:rsid w:val="00323BE7"/>
    <w:rsid w:val="00324C3A"/>
    <w:rsid w:val="00324D63"/>
    <w:rsid w:val="003255AF"/>
    <w:rsid w:val="003256EB"/>
    <w:rsid w:val="003259DB"/>
    <w:rsid w:val="0032795B"/>
    <w:rsid w:val="0033025D"/>
    <w:rsid w:val="003303CD"/>
    <w:rsid w:val="003314D9"/>
    <w:rsid w:val="00331653"/>
    <w:rsid w:val="00331939"/>
    <w:rsid w:val="00331A48"/>
    <w:rsid w:val="00331BCC"/>
    <w:rsid w:val="00331C2F"/>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737"/>
    <w:rsid w:val="00354AE9"/>
    <w:rsid w:val="00355C0D"/>
    <w:rsid w:val="003566A9"/>
    <w:rsid w:val="00356988"/>
    <w:rsid w:val="003569D3"/>
    <w:rsid w:val="00356CE9"/>
    <w:rsid w:val="003570BB"/>
    <w:rsid w:val="00357128"/>
    <w:rsid w:val="003573D1"/>
    <w:rsid w:val="0035755E"/>
    <w:rsid w:val="00357A80"/>
    <w:rsid w:val="003608ED"/>
    <w:rsid w:val="00361441"/>
    <w:rsid w:val="00361B8B"/>
    <w:rsid w:val="00363F39"/>
    <w:rsid w:val="003640FC"/>
    <w:rsid w:val="0036445C"/>
    <w:rsid w:val="00364627"/>
    <w:rsid w:val="00364AB0"/>
    <w:rsid w:val="00364D71"/>
    <w:rsid w:val="003667B0"/>
    <w:rsid w:val="003667DD"/>
    <w:rsid w:val="00366B48"/>
    <w:rsid w:val="0036766E"/>
    <w:rsid w:val="00367764"/>
    <w:rsid w:val="00370316"/>
    <w:rsid w:val="00370DC7"/>
    <w:rsid w:val="00371CBD"/>
    <w:rsid w:val="00371F20"/>
    <w:rsid w:val="003721E3"/>
    <w:rsid w:val="00372B98"/>
    <w:rsid w:val="003737B7"/>
    <w:rsid w:val="003740CC"/>
    <w:rsid w:val="00374163"/>
    <w:rsid w:val="003745F4"/>
    <w:rsid w:val="0037491A"/>
    <w:rsid w:val="00374E79"/>
    <w:rsid w:val="0037529A"/>
    <w:rsid w:val="00375388"/>
    <w:rsid w:val="00375559"/>
    <w:rsid w:val="00375FB9"/>
    <w:rsid w:val="00376170"/>
    <w:rsid w:val="003761B2"/>
    <w:rsid w:val="00376851"/>
    <w:rsid w:val="00376FA2"/>
    <w:rsid w:val="00377133"/>
    <w:rsid w:val="00377A3B"/>
    <w:rsid w:val="00377E3C"/>
    <w:rsid w:val="00380874"/>
    <w:rsid w:val="00380BBE"/>
    <w:rsid w:val="00381BF4"/>
    <w:rsid w:val="00381D70"/>
    <w:rsid w:val="0038235E"/>
    <w:rsid w:val="003829D0"/>
    <w:rsid w:val="0038326A"/>
    <w:rsid w:val="00383D5E"/>
    <w:rsid w:val="0038444F"/>
    <w:rsid w:val="003861F0"/>
    <w:rsid w:val="00387051"/>
    <w:rsid w:val="003870BF"/>
    <w:rsid w:val="00387ECF"/>
    <w:rsid w:val="00390133"/>
    <w:rsid w:val="0039021B"/>
    <w:rsid w:val="00390429"/>
    <w:rsid w:val="003906A0"/>
    <w:rsid w:val="00391682"/>
    <w:rsid w:val="003923D5"/>
    <w:rsid w:val="003931AF"/>
    <w:rsid w:val="0039366C"/>
    <w:rsid w:val="00393EC8"/>
    <w:rsid w:val="003943CC"/>
    <w:rsid w:val="00394E3C"/>
    <w:rsid w:val="00395C11"/>
    <w:rsid w:val="00395E42"/>
    <w:rsid w:val="0039621E"/>
    <w:rsid w:val="00396409"/>
    <w:rsid w:val="00396A2D"/>
    <w:rsid w:val="00396FC3"/>
    <w:rsid w:val="003A1431"/>
    <w:rsid w:val="003A1A94"/>
    <w:rsid w:val="003A204E"/>
    <w:rsid w:val="003A2D25"/>
    <w:rsid w:val="003A5101"/>
    <w:rsid w:val="003A5728"/>
    <w:rsid w:val="003A60E7"/>
    <w:rsid w:val="003A66A3"/>
    <w:rsid w:val="003A7092"/>
    <w:rsid w:val="003A72A1"/>
    <w:rsid w:val="003A7611"/>
    <w:rsid w:val="003A7D1F"/>
    <w:rsid w:val="003B0B6A"/>
    <w:rsid w:val="003B10E3"/>
    <w:rsid w:val="003B22F7"/>
    <w:rsid w:val="003B29CF"/>
    <w:rsid w:val="003B3A90"/>
    <w:rsid w:val="003B3D01"/>
    <w:rsid w:val="003B534F"/>
    <w:rsid w:val="003B7A79"/>
    <w:rsid w:val="003B7D00"/>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268"/>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E52"/>
    <w:rsid w:val="003F0F6B"/>
    <w:rsid w:val="003F1331"/>
    <w:rsid w:val="003F1FC6"/>
    <w:rsid w:val="003F1FE3"/>
    <w:rsid w:val="003F2359"/>
    <w:rsid w:val="003F3232"/>
    <w:rsid w:val="003F335D"/>
    <w:rsid w:val="003F3865"/>
    <w:rsid w:val="003F38AC"/>
    <w:rsid w:val="003F3D55"/>
    <w:rsid w:val="003F44E2"/>
    <w:rsid w:val="003F4632"/>
    <w:rsid w:val="003F47BA"/>
    <w:rsid w:val="003F4FE6"/>
    <w:rsid w:val="003F5638"/>
    <w:rsid w:val="003F6617"/>
    <w:rsid w:val="003F7F03"/>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503"/>
    <w:rsid w:val="0041582F"/>
    <w:rsid w:val="00416112"/>
    <w:rsid w:val="00417296"/>
    <w:rsid w:val="00417A18"/>
    <w:rsid w:val="00417AE0"/>
    <w:rsid w:val="00417BAA"/>
    <w:rsid w:val="00417EF4"/>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10F2"/>
    <w:rsid w:val="004322D6"/>
    <w:rsid w:val="00432589"/>
    <w:rsid w:val="00432A94"/>
    <w:rsid w:val="00432C95"/>
    <w:rsid w:val="00432F1D"/>
    <w:rsid w:val="00433827"/>
    <w:rsid w:val="00433A40"/>
    <w:rsid w:val="00434B70"/>
    <w:rsid w:val="004360C8"/>
    <w:rsid w:val="004365DF"/>
    <w:rsid w:val="00436823"/>
    <w:rsid w:val="004371D5"/>
    <w:rsid w:val="0044006B"/>
    <w:rsid w:val="0044033F"/>
    <w:rsid w:val="00440630"/>
    <w:rsid w:val="004417EC"/>
    <w:rsid w:val="00441F0F"/>
    <w:rsid w:val="00442965"/>
    <w:rsid w:val="004432B6"/>
    <w:rsid w:val="00444157"/>
    <w:rsid w:val="0044417C"/>
    <w:rsid w:val="00444DB3"/>
    <w:rsid w:val="00445023"/>
    <w:rsid w:val="00445617"/>
    <w:rsid w:val="00445A2F"/>
    <w:rsid w:val="004462D6"/>
    <w:rsid w:val="0044684E"/>
    <w:rsid w:val="00446F22"/>
    <w:rsid w:val="00447E4E"/>
    <w:rsid w:val="0045019F"/>
    <w:rsid w:val="004503A4"/>
    <w:rsid w:val="004504E4"/>
    <w:rsid w:val="00450555"/>
    <w:rsid w:val="004506FA"/>
    <w:rsid w:val="00450B54"/>
    <w:rsid w:val="00450DC6"/>
    <w:rsid w:val="004516A5"/>
    <w:rsid w:val="00451E9C"/>
    <w:rsid w:val="0045280F"/>
    <w:rsid w:val="004535AE"/>
    <w:rsid w:val="0045422B"/>
    <w:rsid w:val="0045444D"/>
    <w:rsid w:val="0045463A"/>
    <w:rsid w:val="00454AC9"/>
    <w:rsid w:val="00455050"/>
    <w:rsid w:val="004554A3"/>
    <w:rsid w:val="00455A6E"/>
    <w:rsid w:val="00455EAD"/>
    <w:rsid w:val="004561E1"/>
    <w:rsid w:val="004578EB"/>
    <w:rsid w:val="004604D5"/>
    <w:rsid w:val="00460697"/>
    <w:rsid w:val="0046117B"/>
    <w:rsid w:val="00461FC2"/>
    <w:rsid w:val="00464AB7"/>
    <w:rsid w:val="00464BE6"/>
    <w:rsid w:val="00464EA0"/>
    <w:rsid w:val="00465DE5"/>
    <w:rsid w:val="00466EE8"/>
    <w:rsid w:val="00467EF8"/>
    <w:rsid w:val="00470385"/>
    <w:rsid w:val="00471AC3"/>
    <w:rsid w:val="00472429"/>
    <w:rsid w:val="004725E5"/>
    <w:rsid w:val="00472751"/>
    <w:rsid w:val="00473128"/>
    <w:rsid w:val="00475078"/>
    <w:rsid w:val="00475767"/>
    <w:rsid w:val="004779A0"/>
    <w:rsid w:val="00480857"/>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3CA"/>
    <w:rsid w:val="00486D60"/>
    <w:rsid w:val="00491FA1"/>
    <w:rsid w:val="00492A25"/>
    <w:rsid w:val="004938A3"/>
    <w:rsid w:val="0049392E"/>
    <w:rsid w:val="0049558B"/>
    <w:rsid w:val="00496350"/>
    <w:rsid w:val="0049797C"/>
    <w:rsid w:val="004A0D52"/>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398"/>
    <w:rsid w:val="004A7EDE"/>
    <w:rsid w:val="004B0D93"/>
    <w:rsid w:val="004B1FA4"/>
    <w:rsid w:val="004B29AC"/>
    <w:rsid w:val="004B2B0B"/>
    <w:rsid w:val="004B35DF"/>
    <w:rsid w:val="004B3627"/>
    <w:rsid w:val="004B4922"/>
    <w:rsid w:val="004B4BFE"/>
    <w:rsid w:val="004B57DF"/>
    <w:rsid w:val="004B5976"/>
    <w:rsid w:val="004B722E"/>
    <w:rsid w:val="004B72E8"/>
    <w:rsid w:val="004B7E4F"/>
    <w:rsid w:val="004C01A5"/>
    <w:rsid w:val="004C0412"/>
    <w:rsid w:val="004C2138"/>
    <w:rsid w:val="004C3940"/>
    <w:rsid w:val="004C51FD"/>
    <w:rsid w:val="004C65A8"/>
    <w:rsid w:val="004C6689"/>
    <w:rsid w:val="004D0196"/>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279"/>
    <w:rsid w:val="004E3930"/>
    <w:rsid w:val="004E3ED9"/>
    <w:rsid w:val="004E5866"/>
    <w:rsid w:val="004E6097"/>
    <w:rsid w:val="004E61EF"/>
    <w:rsid w:val="004E63C6"/>
    <w:rsid w:val="004E76A7"/>
    <w:rsid w:val="004E7B03"/>
    <w:rsid w:val="004F0064"/>
    <w:rsid w:val="004F06AC"/>
    <w:rsid w:val="004F0B05"/>
    <w:rsid w:val="004F0E50"/>
    <w:rsid w:val="004F1D2A"/>
    <w:rsid w:val="004F243F"/>
    <w:rsid w:val="004F252C"/>
    <w:rsid w:val="004F36A3"/>
    <w:rsid w:val="004F3E0C"/>
    <w:rsid w:val="004F4308"/>
    <w:rsid w:val="004F49E3"/>
    <w:rsid w:val="004F7160"/>
    <w:rsid w:val="004F7DD0"/>
    <w:rsid w:val="00500258"/>
    <w:rsid w:val="00500B2D"/>
    <w:rsid w:val="00501A99"/>
    <w:rsid w:val="005026DA"/>
    <w:rsid w:val="00503180"/>
    <w:rsid w:val="005038A4"/>
    <w:rsid w:val="005048D1"/>
    <w:rsid w:val="00504CD4"/>
    <w:rsid w:val="0050524B"/>
    <w:rsid w:val="00505450"/>
    <w:rsid w:val="00505FC6"/>
    <w:rsid w:val="00506449"/>
    <w:rsid w:val="00506C5E"/>
    <w:rsid w:val="00507C85"/>
    <w:rsid w:val="005100B7"/>
    <w:rsid w:val="005105DE"/>
    <w:rsid w:val="005113C9"/>
    <w:rsid w:val="00511D0F"/>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2B3"/>
    <w:rsid w:val="0052239D"/>
    <w:rsid w:val="005224EE"/>
    <w:rsid w:val="00522879"/>
    <w:rsid w:val="00523BB1"/>
    <w:rsid w:val="00524B23"/>
    <w:rsid w:val="0052570E"/>
    <w:rsid w:val="005260CD"/>
    <w:rsid w:val="00526265"/>
    <w:rsid w:val="0052655D"/>
    <w:rsid w:val="005265E0"/>
    <w:rsid w:val="00526BC3"/>
    <w:rsid w:val="00526FA3"/>
    <w:rsid w:val="00530064"/>
    <w:rsid w:val="00531761"/>
    <w:rsid w:val="0053248F"/>
    <w:rsid w:val="005327AB"/>
    <w:rsid w:val="00533307"/>
    <w:rsid w:val="0053332A"/>
    <w:rsid w:val="0053358A"/>
    <w:rsid w:val="00534668"/>
    <w:rsid w:val="00534DDD"/>
    <w:rsid w:val="00534F6B"/>
    <w:rsid w:val="00535291"/>
    <w:rsid w:val="00535A94"/>
    <w:rsid w:val="00537874"/>
    <w:rsid w:val="0053795F"/>
    <w:rsid w:val="00537D3D"/>
    <w:rsid w:val="00540112"/>
    <w:rsid w:val="00540511"/>
    <w:rsid w:val="00540578"/>
    <w:rsid w:val="00540808"/>
    <w:rsid w:val="0054080E"/>
    <w:rsid w:val="00540D1A"/>
    <w:rsid w:val="00540DE5"/>
    <w:rsid w:val="00540EA1"/>
    <w:rsid w:val="00541E5A"/>
    <w:rsid w:val="0054358E"/>
    <w:rsid w:val="00543AF4"/>
    <w:rsid w:val="00543F53"/>
    <w:rsid w:val="00544191"/>
    <w:rsid w:val="0054440C"/>
    <w:rsid w:val="00544838"/>
    <w:rsid w:val="005448EC"/>
    <w:rsid w:val="00544C0A"/>
    <w:rsid w:val="00544F39"/>
    <w:rsid w:val="005457FB"/>
    <w:rsid w:val="00545891"/>
    <w:rsid w:val="00546B96"/>
    <w:rsid w:val="00546F90"/>
    <w:rsid w:val="00547EFB"/>
    <w:rsid w:val="00550192"/>
    <w:rsid w:val="005522F2"/>
    <w:rsid w:val="00552D0F"/>
    <w:rsid w:val="005531DF"/>
    <w:rsid w:val="00553874"/>
    <w:rsid w:val="00553DCE"/>
    <w:rsid w:val="00554577"/>
    <w:rsid w:val="00554AD8"/>
    <w:rsid w:val="00554F78"/>
    <w:rsid w:val="00555DA1"/>
    <w:rsid w:val="00556BF7"/>
    <w:rsid w:val="00556E53"/>
    <w:rsid w:val="00556F1B"/>
    <w:rsid w:val="00557F60"/>
    <w:rsid w:val="00560244"/>
    <w:rsid w:val="00560E2E"/>
    <w:rsid w:val="00561730"/>
    <w:rsid w:val="00561B97"/>
    <w:rsid w:val="00562149"/>
    <w:rsid w:val="005640EB"/>
    <w:rsid w:val="005666A4"/>
    <w:rsid w:val="00566791"/>
    <w:rsid w:val="00567B5D"/>
    <w:rsid w:val="00570757"/>
    <w:rsid w:val="00573733"/>
    <w:rsid w:val="00573F8B"/>
    <w:rsid w:val="00574554"/>
    <w:rsid w:val="00574E06"/>
    <w:rsid w:val="005751BB"/>
    <w:rsid w:val="005751CF"/>
    <w:rsid w:val="00576089"/>
    <w:rsid w:val="005764B1"/>
    <w:rsid w:val="00576852"/>
    <w:rsid w:val="005769E3"/>
    <w:rsid w:val="00576D06"/>
    <w:rsid w:val="005779E4"/>
    <w:rsid w:val="00580EC7"/>
    <w:rsid w:val="0058289C"/>
    <w:rsid w:val="005836C7"/>
    <w:rsid w:val="0058408E"/>
    <w:rsid w:val="005844C3"/>
    <w:rsid w:val="00585374"/>
    <w:rsid w:val="005854CA"/>
    <w:rsid w:val="00585FAB"/>
    <w:rsid w:val="00586E74"/>
    <w:rsid w:val="00587916"/>
    <w:rsid w:val="00590B77"/>
    <w:rsid w:val="00590D9A"/>
    <w:rsid w:val="005913A3"/>
    <w:rsid w:val="00591A5A"/>
    <w:rsid w:val="005940D4"/>
    <w:rsid w:val="00594A7B"/>
    <w:rsid w:val="0059580E"/>
    <w:rsid w:val="00595D90"/>
    <w:rsid w:val="00596A6F"/>
    <w:rsid w:val="00596FCE"/>
    <w:rsid w:val="00597771"/>
    <w:rsid w:val="005A11BC"/>
    <w:rsid w:val="005A1525"/>
    <w:rsid w:val="005A1E17"/>
    <w:rsid w:val="005A2254"/>
    <w:rsid w:val="005A252B"/>
    <w:rsid w:val="005A2A8F"/>
    <w:rsid w:val="005A3008"/>
    <w:rsid w:val="005A3204"/>
    <w:rsid w:val="005A3341"/>
    <w:rsid w:val="005A3C3D"/>
    <w:rsid w:val="005A46EC"/>
    <w:rsid w:val="005A5EAE"/>
    <w:rsid w:val="005A6407"/>
    <w:rsid w:val="005A726C"/>
    <w:rsid w:val="005A7ED7"/>
    <w:rsid w:val="005B0458"/>
    <w:rsid w:val="005B07EC"/>
    <w:rsid w:val="005B2285"/>
    <w:rsid w:val="005B2B11"/>
    <w:rsid w:val="005B32A4"/>
    <w:rsid w:val="005B3371"/>
    <w:rsid w:val="005B338D"/>
    <w:rsid w:val="005B33A1"/>
    <w:rsid w:val="005B3852"/>
    <w:rsid w:val="005B3BAF"/>
    <w:rsid w:val="005B4DA3"/>
    <w:rsid w:val="005B5BEE"/>
    <w:rsid w:val="005B77D2"/>
    <w:rsid w:val="005C0195"/>
    <w:rsid w:val="005C019B"/>
    <w:rsid w:val="005C08D0"/>
    <w:rsid w:val="005C1603"/>
    <w:rsid w:val="005C1AED"/>
    <w:rsid w:val="005C2136"/>
    <w:rsid w:val="005C30F5"/>
    <w:rsid w:val="005C3840"/>
    <w:rsid w:val="005C51A5"/>
    <w:rsid w:val="005C557A"/>
    <w:rsid w:val="005C566F"/>
    <w:rsid w:val="005C5C47"/>
    <w:rsid w:val="005C61DD"/>
    <w:rsid w:val="005C6438"/>
    <w:rsid w:val="005C6B8B"/>
    <w:rsid w:val="005C727F"/>
    <w:rsid w:val="005C76FB"/>
    <w:rsid w:val="005D02E3"/>
    <w:rsid w:val="005D1F34"/>
    <w:rsid w:val="005D2C1F"/>
    <w:rsid w:val="005D34B2"/>
    <w:rsid w:val="005D3B54"/>
    <w:rsid w:val="005D40CD"/>
    <w:rsid w:val="005D4979"/>
    <w:rsid w:val="005D6B59"/>
    <w:rsid w:val="005D784B"/>
    <w:rsid w:val="005E03E4"/>
    <w:rsid w:val="005E0454"/>
    <w:rsid w:val="005E05F6"/>
    <w:rsid w:val="005E1B9D"/>
    <w:rsid w:val="005E1BDA"/>
    <w:rsid w:val="005E2442"/>
    <w:rsid w:val="005E3111"/>
    <w:rsid w:val="005E3CA0"/>
    <w:rsid w:val="005E3F85"/>
    <w:rsid w:val="005E472F"/>
    <w:rsid w:val="005E4A5F"/>
    <w:rsid w:val="005E516A"/>
    <w:rsid w:val="005E57B0"/>
    <w:rsid w:val="005E5B01"/>
    <w:rsid w:val="005E6D3B"/>
    <w:rsid w:val="005E7538"/>
    <w:rsid w:val="005E7D97"/>
    <w:rsid w:val="005F009E"/>
    <w:rsid w:val="005F0DF1"/>
    <w:rsid w:val="005F1516"/>
    <w:rsid w:val="005F1A6F"/>
    <w:rsid w:val="005F229E"/>
    <w:rsid w:val="005F2564"/>
    <w:rsid w:val="005F3822"/>
    <w:rsid w:val="005F4635"/>
    <w:rsid w:val="005F4900"/>
    <w:rsid w:val="005F4E52"/>
    <w:rsid w:val="005F5D0C"/>
    <w:rsid w:val="005F6D58"/>
    <w:rsid w:val="005F7383"/>
    <w:rsid w:val="0060058E"/>
    <w:rsid w:val="006009F6"/>
    <w:rsid w:val="00600C9D"/>
    <w:rsid w:val="00602A3C"/>
    <w:rsid w:val="00603CBD"/>
    <w:rsid w:val="00603EFD"/>
    <w:rsid w:val="0060475B"/>
    <w:rsid w:val="00604BED"/>
    <w:rsid w:val="00604FB6"/>
    <w:rsid w:val="006052E4"/>
    <w:rsid w:val="00605387"/>
    <w:rsid w:val="00605E40"/>
    <w:rsid w:val="00606302"/>
    <w:rsid w:val="00606C59"/>
    <w:rsid w:val="006076FD"/>
    <w:rsid w:val="00610357"/>
    <w:rsid w:val="0061077B"/>
    <w:rsid w:val="00610811"/>
    <w:rsid w:val="0061143F"/>
    <w:rsid w:val="006114D8"/>
    <w:rsid w:val="00612F5F"/>
    <w:rsid w:val="00613553"/>
    <w:rsid w:val="00613601"/>
    <w:rsid w:val="00613791"/>
    <w:rsid w:val="006150D6"/>
    <w:rsid w:val="00615245"/>
    <w:rsid w:val="0061590D"/>
    <w:rsid w:val="00615AAB"/>
    <w:rsid w:val="00617EEE"/>
    <w:rsid w:val="00620A1F"/>
    <w:rsid w:val="0062114B"/>
    <w:rsid w:val="0062169D"/>
    <w:rsid w:val="0062181E"/>
    <w:rsid w:val="006218DD"/>
    <w:rsid w:val="0062211B"/>
    <w:rsid w:val="00622BB7"/>
    <w:rsid w:val="00622C1E"/>
    <w:rsid w:val="00623389"/>
    <w:rsid w:val="00623DAA"/>
    <w:rsid w:val="00623FAF"/>
    <w:rsid w:val="006265C4"/>
    <w:rsid w:val="0062678A"/>
    <w:rsid w:val="006270AF"/>
    <w:rsid w:val="00632950"/>
    <w:rsid w:val="00634367"/>
    <w:rsid w:val="00635C0A"/>
    <w:rsid w:val="00636CE3"/>
    <w:rsid w:val="00640082"/>
    <w:rsid w:val="00640291"/>
    <w:rsid w:val="00640CE0"/>
    <w:rsid w:val="00640EFE"/>
    <w:rsid w:val="00641573"/>
    <w:rsid w:val="00641D6D"/>
    <w:rsid w:val="00641FAC"/>
    <w:rsid w:val="00642B2C"/>
    <w:rsid w:val="00643664"/>
    <w:rsid w:val="00643CAA"/>
    <w:rsid w:val="00644740"/>
    <w:rsid w:val="00644F16"/>
    <w:rsid w:val="006455EB"/>
    <w:rsid w:val="006456C2"/>
    <w:rsid w:val="00645A65"/>
    <w:rsid w:val="00646959"/>
    <w:rsid w:val="00646A71"/>
    <w:rsid w:val="006477F0"/>
    <w:rsid w:val="006478E4"/>
    <w:rsid w:val="00650475"/>
    <w:rsid w:val="0065171A"/>
    <w:rsid w:val="00652680"/>
    <w:rsid w:val="00653CDE"/>
    <w:rsid w:val="00654585"/>
    <w:rsid w:val="0065566E"/>
    <w:rsid w:val="00655A89"/>
    <w:rsid w:val="00655AB6"/>
    <w:rsid w:val="00655EFA"/>
    <w:rsid w:val="00656061"/>
    <w:rsid w:val="00656281"/>
    <w:rsid w:val="0065636A"/>
    <w:rsid w:val="00657003"/>
    <w:rsid w:val="00660238"/>
    <w:rsid w:val="006602EF"/>
    <w:rsid w:val="00660B0C"/>
    <w:rsid w:val="00661277"/>
    <w:rsid w:val="006619E0"/>
    <w:rsid w:val="00663FEA"/>
    <w:rsid w:val="00664803"/>
    <w:rsid w:val="006657C5"/>
    <w:rsid w:val="006661A4"/>
    <w:rsid w:val="00666AC0"/>
    <w:rsid w:val="00666C51"/>
    <w:rsid w:val="006670E0"/>
    <w:rsid w:val="006671B8"/>
    <w:rsid w:val="00667275"/>
    <w:rsid w:val="00667532"/>
    <w:rsid w:val="0066783E"/>
    <w:rsid w:val="00667E53"/>
    <w:rsid w:val="006706C3"/>
    <w:rsid w:val="006711C4"/>
    <w:rsid w:val="006713AB"/>
    <w:rsid w:val="00672CA5"/>
    <w:rsid w:val="00673711"/>
    <w:rsid w:val="00673F82"/>
    <w:rsid w:val="00674F74"/>
    <w:rsid w:val="0067508F"/>
    <w:rsid w:val="00677576"/>
    <w:rsid w:val="0068051E"/>
    <w:rsid w:val="00680B9D"/>
    <w:rsid w:val="00681F13"/>
    <w:rsid w:val="0068231C"/>
    <w:rsid w:val="00682332"/>
    <w:rsid w:val="00682344"/>
    <w:rsid w:val="00682F28"/>
    <w:rsid w:val="00683515"/>
    <w:rsid w:val="00683804"/>
    <w:rsid w:val="00684842"/>
    <w:rsid w:val="006854D9"/>
    <w:rsid w:val="006859AA"/>
    <w:rsid w:val="00685BD6"/>
    <w:rsid w:val="00687116"/>
    <w:rsid w:val="006878A6"/>
    <w:rsid w:val="00687D5F"/>
    <w:rsid w:val="00690437"/>
    <w:rsid w:val="00690830"/>
    <w:rsid w:val="00690DC3"/>
    <w:rsid w:val="00690E65"/>
    <w:rsid w:val="006911B7"/>
    <w:rsid w:val="00691387"/>
    <w:rsid w:val="0069188E"/>
    <w:rsid w:val="00691974"/>
    <w:rsid w:val="00692BF6"/>
    <w:rsid w:val="00692CE6"/>
    <w:rsid w:val="00693186"/>
    <w:rsid w:val="00693381"/>
    <w:rsid w:val="00693B6C"/>
    <w:rsid w:val="006942AE"/>
    <w:rsid w:val="00694C82"/>
    <w:rsid w:val="00695421"/>
    <w:rsid w:val="0069744B"/>
    <w:rsid w:val="00697626"/>
    <w:rsid w:val="00697BD3"/>
    <w:rsid w:val="00697DFA"/>
    <w:rsid w:val="006A16D5"/>
    <w:rsid w:val="006A1772"/>
    <w:rsid w:val="006A1780"/>
    <w:rsid w:val="006A21DD"/>
    <w:rsid w:val="006A26C6"/>
    <w:rsid w:val="006A3302"/>
    <w:rsid w:val="006A3B28"/>
    <w:rsid w:val="006A4FEE"/>
    <w:rsid w:val="006A5549"/>
    <w:rsid w:val="006A703E"/>
    <w:rsid w:val="006A7721"/>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0A8"/>
    <w:rsid w:val="006C16C3"/>
    <w:rsid w:val="006C2187"/>
    <w:rsid w:val="006C27D9"/>
    <w:rsid w:val="006C32F4"/>
    <w:rsid w:val="006C3C54"/>
    <w:rsid w:val="006C4657"/>
    <w:rsid w:val="006C4B6B"/>
    <w:rsid w:val="006C4CE1"/>
    <w:rsid w:val="006C4F9F"/>
    <w:rsid w:val="006C5FE5"/>
    <w:rsid w:val="006C71A2"/>
    <w:rsid w:val="006C73EC"/>
    <w:rsid w:val="006D0C1D"/>
    <w:rsid w:val="006D28F3"/>
    <w:rsid w:val="006D2E9D"/>
    <w:rsid w:val="006D4A4E"/>
    <w:rsid w:val="006D4C42"/>
    <w:rsid w:val="006D4F79"/>
    <w:rsid w:val="006D5389"/>
    <w:rsid w:val="006D53A2"/>
    <w:rsid w:val="006D5809"/>
    <w:rsid w:val="006D607E"/>
    <w:rsid w:val="006D6E12"/>
    <w:rsid w:val="006D70CB"/>
    <w:rsid w:val="006D715C"/>
    <w:rsid w:val="006D7363"/>
    <w:rsid w:val="006D774E"/>
    <w:rsid w:val="006E04A1"/>
    <w:rsid w:val="006E0754"/>
    <w:rsid w:val="006E2668"/>
    <w:rsid w:val="006E2D39"/>
    <w:rsid w:val="006E2FE9"/>
    <w:rsid w:val="006E32B0"/>
    <w:rsid w:val="006E348E"/>
    <w:rsid w:val="006E396A"/>
    <w:rsid w:val="006E3D63"/>
    <w:rsid w:val="006E42EC"/>
    <w:rsid w:val="006E58BF"/>
    <w:rsid w:val="006E5DD8"/>
    <w:rsid w:val="006E5EA1"/>
    <w:rsid w:val="006E6DEE"/>
    <w:rsid w:val="006E7D4B"/>
    <w:rsid w:val="006F018A"/>
    <w:rsid w:val="006F0760"/>
    <w:rsid w:val="006F11E2"/>
    <w:rsid w:val="006F168D"/>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676B"/>
    <w:rsid w:val="0070796C"/>
    <w:rsid w:val="007106C8"/>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3F12"/>
    <w:rsid w:val="00724044"/>
    <w:rsid w:val="007248D3"/>
    <w:rsid w:val="00724DF8"/>
    <w:rsid w:val="00725137"/>
    <w:rsid w:val="007252DA"/>
    <w:rsid w:val="00725378"/>
    <w:rsid w:val="00727A43"/>
    <w:rsid w:val="00727FF2"/>
    <w:rsid w:val="00730550"/>
    <w:rsid w:val="00730C2A"/>
    <w:rsid w:val="00731434"/>
    <w:rsid w:val="00731E59"/>
    <w:rsid w:val="00732022"/>
    <w:rsid w:val="00732337"/>
    <w:rsid w:val="007323E0"/>
    <w:rsid w:val="00732911"/>
    <w:rsid w:val="00733721"/>
    <w:rsid w:val="00733DE2"/>
    <w:rsid w:val="00734142"/>
    <w:rsid w:val="007352EA"/>
    <w:rsid w:val="00737267"/>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56A"/>
    <w:rsid w:val="00756AB7"/>
    <w:rsid w:val="0076106D"/>
    <w:rsid w:val="00761863"/>
    <w:rsid w:val="007623FB"/>
    <w:rsid w:val="00762517"/>
    <w:rsid w:val="00763240"/>
    <w:rsid w:val="0076376A"/>
    <w:rsid w:val="007648AD"/>
    <w:rsid w:val="0076504E"/>
    <w:rsid w:val="00765437"/>
    <w:rsid w:val="007656D8"/>
    <w:rsid w:val="00767BFD"/>
    <w:rsid w:val="00767EA0"/>
    <w:rsid w:val="0077068F"/>
    <w:rsid w:val="00771439"/>
    <w:rsid w:val="00771EDF"/>
    <w:rsid w:val="00772A90"/>
    <w:rsid w:val="00772F8D"/>
    <w:rsid w:val="0077408D"/>
    <w:rsid w:val="00774270"/>
    <w:rsid w:val="007743F6"/>
    <w:rsid w:val="0077478A"/>
    <w:rsid w:val="00775679"/>
    <w:rsid w:val="0077574F"/>
    <w:rsid w:val="00775823"/>
    <w:rsid w:val="00777153"/>
    <w:rsid w:val="007777CC"/>
    <w:rsid w:val="00777B32"/>
    <w:rsid w:val="0078051E"/>
    <w:rsid w:val="00781089"/>
    <w:rsid w:val="00782B59"/>
    <w:rsid w:val="007838F3"/>
    <w:rsid w:val="007856FE"/>
    <w:rsid w:val="00785F46"/>
    <w:rsid w:val="007865F4"/>
    <w:rsid w:val="00786D5C"/>
    <w:rsid w:val="00786E96"/>
    <w:rsid w:val="00787BB6"/>
    <w:rsid w:val="00787BEB"/>
    <w:rsid w:val="00787DFF"/>
    <w:rsid w:val="00787F93"/>
    <w:rsid w:val="00791E6D"/>
    <w:rsid w:val="00791EB5"/>
    <w:rsid w:val="0079343F"/>
    <w:rsid w:val="00793696"/>
    <w:rsid w:val="007955DA"/>
    <w:rsid w:val="00796CDD"/>
    <w:rsid w:val="00796DDF"/>
    <w:rsid w:val="00796F65"/>
    <w:rsid w:val="007A11C2"/>
    <w:rsid w:val="007A18BB"/>
    <w:rsid w:val="007A2714"/>
    <w:rsid w:val="007A27DD"/>
    <w:rsid w:val="007A338C"/>
    <w:rsid w:val="007A41BF"/>
    <w:rsid w:val="007A490A"/>
    <w:rsid w:val="007A7B95"/>
    <w:rsid w:val="007B0297"/>
    <w:rsid w:val="007B02FA"/>
    <w:rsid w:val="007B0F53"/>
    <w:rsid w:val="007B21AE"/>
    <w:rsid w:val="007B2570"/>
    <w:rsid w:val="007B3113"/>
    <w:rsid w:val="007B3304"/>
    <w:rsid w:val="007B3BF0"/>
    <w:rsid w:val="007B5FE6"/>
    <w:rsid w:val="007B7490"/>
    <w:rsid w:val="007C007F"/>
    <w:rsid w:val="007C03B6"/>
    <w:rsid w:val="007C0525"/>
    <w:rsid w:val="007C13F7"/>
    <w:rsid w:val="007C1D77"/>
    <w:rsid w:val="007C218D"/>
    <w:rsid w:val="007C2D28"/>
    <w:rsid w:val="007C3E22"/>
    <w:rsid w:val="007C4801"/>
    <w:rsid w:val="007C58C1"/>
    <w:rsid w:val="007C6218"/>
    <w:rsid w:val="007C6484"/>
    <w:rsid w:val="007C67C6"/>
    <w:rsid w:val="007C76F4"/>
    <w:rsid w:val="007C78BE"/>
    <w:rsid w:val="007C7A5D"/>
    <w:rsid w:val="007C7E59"/>
    <w:rsid w:val="007D0476"/>
    <w:rsid w:val="007D0B91"/>
    <w:rsid w:val="007D0FE7"/>
    <w:rsid w:val="007D1452"/>
    <w:rsid w:val="007D1563"/>
    <w:rsid w:val="007D1FC5"/>
    <w:rsid w:val="007D3DCB"/>
    <w:rsid w:val="007D460C"/>
    <w:rsid w:val="007D4996"/>
    <w:rsid w:val="007D4AD3"/>
    <w:rsid w:val="007D5D19"/>
    <w:rsid w:val="007D5FDC"/>
    <w:rsid w:val="007D6176"/>
    <w:rsid w:val="007D69CD"/>
    <w:rsid w:val="007D6C3F"/>
    <w:rsid w:val="007D6D68"/>
    <w:rsid w:val="007E1015"/>
    <w:rsid w:val="007E194F"/>
    <w:rsid w:val="007E32DA"/>
    <w:rsid w:val="007E4998"/>
    <w:rsid w:val="007E4A9C"/>
    <w:rsid w:val="007E567C"/>
    <w:rsid w:val="007E6914"/>
    <w:rsid w:val="007E7A0F"/>
    <w:rsid w:val="007E7F78"/>
    <w:rsid w:val="007F0179"/>
    <w:rsid w:val="007F01BC"/>
    <w:rsid w:val="007F1326"/>
    <w:rsid w:val="007F17AF"/>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472"/>
    <w:rsid w:val="00810BB6"/>
    <w:rsid w:val="00810E8E"/>
    <w:rsid w:val="00812C44"/>
    <w:rsid w:val="008135E1"/>
    <w:rsid w:val="00813779"/>
    <w:rsid w:val="00813E26"/>
    <w:rsid w:val="0081481D"/>
    <w:rsid w:val="00814BE8"/>
    <w:rsid w:val="00814F6E"/>
    <w:rsid w:val="00815ADF"/>
    <w:rsid w:val="00815B84"/>
    <w:rsid w:val="00816342"/>
    <w:rsid w:val="008166F6"/>
    <w:rsid w:val="00816BE9"/>
    <w:rsid w:val="00817113"/>
    <w:rsid w:val="00817D10"/>
    <w:rsid w:val="00822518"/>
    <w:rsid w:val="008226F5"/>
    <w:rsid w:val="00823FC6"/>
    <w:rsid w:val="00824189"/>
    <w:rsid w:val="00824306"/>
    <w:rsid w:val="0082465B"/>
    <w:rsid w:val="00825C74"/>
    <w:rsid w:val="00825CFA"/>
    <w:rsid w:val="00826AB9"/>
    <w:rsid w:val="00826E0E"/>
    <w:rsid w:val="00827D11"/>
    <w:rsid w:val="00827E0F"/>
    <w:rsid w:val="00827F6E"/>
    <w:rsid w:val="00830DD8"/>
    <w:rsid w:val="00831758"/>
    <w:rsid w:val="008317D9"/>
    <w:rsid w:val="00831AEC"/>
    <w:rsid w:val="0083279F"/>
    <w:rsid w:val="00832CE9"/>
    <w:rsid w:val="008334DB"/>
    <w:rsid w:val="00833B7F"/>
    <w:rsid w:val="00833E8E"/>
    <w:rsid w:val="00834906"/>
    <w:rsid w:val="00836075"/>
    <w:rsid w:val="00836417"/>
    <w:rsid w:val="00837526"/>
    <w:rsid w:val="008407A7"/>
    <w:rsid w:val="0084322B"/>
    <w:rsid w:val="00843F81"/>
    <w:rsid w:val="00844087"/>
    <w:rsid w:val="008444DE"/>
    <w:rsid w:val="008448F1"/>
    <w:rsid w:val="0084519E"/>
    <w:rsid w:val="00845CAE"/>
    <w:rsid w:val="008462C5"/>
    <w:rsid w:val="008462FA"/>
    <w:rsid w:val="00846370"/>
    <w:rsid w:val="00846873"/>
    <w:rsid w:val="008477E7"/>
    <w:rsid w:val="00847C2B"/>
    <w:rsid w:val="00850272"/>
    <w:rsid w:val="008506B9"/>
    <w:rsid w:val="0085086F"/>
    <w:rsid w:val="00851822"/>
    <w:rsid w:val="008518D6"/>
    <w:rsid w:val="00851C16"/>
    <w:rsid w:val="00851D27"/>
    <w:rsid w:val="008532BF"/>
    <w:rsid w:val="008539B2"/>
    <w:rsid w:val="00853BF4"/>
    <w:rsid w:val="00854294"/>
    <w:rsid w:val="00854295"/>
    <w:rsid w:val="0085572E"/>
    <w:rsid w:val="0085788B"/>
    <w:rsid w:val="00857A9E"/>
    <w:rsid w:val="00857DE2"/>
    <w:rsid w:val="0086003D"/>
    <w:rsid w:val="00861521"/>
    <w:rsid w:val="008631A2"/>
    <w:rsid w:val="00863A8E"/>
    <w:rsid w:val="0086407F"/>
    <w:rsid w:val="008645E3"/>
    <w:rsid w:val="00864E79"/>
    <w:rsid w:val="0086572B"/>
    <w:rsid w:val="00866615"/>
    <w:rsid w:val="0086661F"/>
    <w:rsid w:val="00866A0D"/>
    <w:rsid w:val="00866DB5"/>
    <w:rsid w:val="0086701D"/>
    <w:rsid w:val="0086702B"/>
    <w:rsid w:val="008672E2"/>
    <w:rsid w:val="0086784E"/>
    <w:rsid w:val="00867FFD"/>
    <w:rsid w:val="008709D1"/>
    <w:rsid w:val="0087121C"/>
    <w:rsid w:val="00871FD2"/>
    <w:rsid w:val="00872084"/>
    <w:rsid w:val="00872827"/>
    <w:rsid w:val="00872A32"/>
    <w:rsid w:val="0087377C"/>
    <w:rsid w:val="008743E3"/>
    <w:rsid w:val="00874911"/>
    <w:rsid w:val="008754E4"/>
    <w:rsid w:val="00876EAE"/>
    <w:rsid w:val="00880106"/>
    <w:rsid w:val="00880F95"/>
    <w:rsid w:val="00882B44"/>
    <w:rsid w:val="008838AD"/>
    <w:rsid w:val="00885BC9"/>
    <w:rsid w:val="008864B3"/>
    <w:rsid w:val="008865E5"/>
    <w:rsid w:val="008871B0"/>
    <w:rsid w:val="00890B57"/>
    <w:rsid w:val="008916BA"/>
    <w:rsid w:val="00891A93"/>
    <w:rsid w:val="00891F64"/>
    <w:rsid w:val="0089217C"/>
    <w:rsid w:val="00892790"/>
    <w:rsid w:val="00893261"/>
    <w:rsid w:val="00893671"/>
    <w:rsid w:val="00895838"/>
    <w:rsid w:val="00895A1E"/>
    <w:rsid w:val="00895A72"/>
    <w:rsid w:val="00895CDF"/>
    <w:rsid w:val="00895DF6"/>
    <w:rsid w:val="00896679"/>
    <w:rsid w:val="00896D8C"/>
    <w:rsid w:val="008973B2"/>
    <w:rsid w:val="008A0FC9"/>
    <w:rsid w:val="008A1956"/>
    <w:rsid w:val="008A1A7C"/>
    <w:rsid w:val="008A248A"/>
    <w:rsid w:val="008A2CE2"/>
    <w:rsid w:val="008A392F"/>
    <w:rsid w:val="008A3BEC"/>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214"/>
    <w:rsid w:val="008C6341"/>
    <w:rsid w:val="008C653D"/>
    <w:rsid w:val="008C731F"/>
    <w:rsid w:val="008C74D9"/>
    <w:rsid w:val="008D19DA"/>
    <w:rsid w:val="008D2050"/>
    <w:rsid w:val="008D3B2D"/>
    <w:rsid w:val="008D4819"/>
    <w:rsid w:val="008D58D9"/>
    <w:rsid w:val="008D5AD4"/>
    <w:rsid w:val="008D5E24"/>
    <w:rsid w:val="008D695E"/>
    <w:rsid w:val="008D6DD5"/>
    <w:rsid w:val="008D6E59"/>
    <w:rsid w:val="008D7155"/>
    <w:rsid w:val="008D76E0"/>
    <w:rsid w:val="008D7A3C"/>
    <w:rsid w:val="008E08F5"/>
    <w:rsid w:val="008E0B29"/>
    <w:rsid w:val="008E141A"/>
    <w:rsid w:val="008E1A44"/>
    <w:rsid w:val="008E28E6"/>
    <w:rsid w:val="008E3232"/>
    <w:rsid w:val="008E3674"/>
    <w:rsid w:val="008E3B6C"/>
    <w:rsid w:val="008E3DE7"/>
    <w:rsid w:val="008E5227"/>
    <w:rsid w:val="008E562C"/>
    <w:rsid w:val="008E6540"/>
    <w:rsid w:val="008E77D4"/>
    <w:rsid w:val="008E7ADD"/>
    <w:rsid w:val="008F091F"/>
    <w:rsid w:val="008F17B2"/>
    <w:rsid w:val="008F22B3"/>
    <w:rsid w:val="008F357B"/>
    <w:rsid w:val="008F44CA"/>
    <w:rsid w:val="008F49D3"/>
    <w:rsid w:val="008F5921"/>
    <w:rsid w:val="008F6519"/>
    <w:rsid w:val="008F7012"/>
    <w:rsid w:val="008F7ADA"/>
    <w:rsid w:val="008F7B17"/>
    <w:rsid w:val="00900042"/>
    <w:rsid w:val="0090034B"/>
    <w:rsid w:val="0090087C"/>
    <w:rsid w:val="00901121"/>
    <w:rsid w:val="00901547"/>
    <w:rsid w:val="00902623"/>
    <w:rsid w:val="00902A67"/>
    <w:rsid w:val="00902C5E"/>
    <w:rsid w:val="00904BE4"/>
    <w:rsid w:val="0090504A"/>
    <w:rsid w:val="009051F5"/>
    <w:rsid w:val="00905221"/>
    <w:rsid w:val="00905664"/>
    <w:rsid w:val="0090596F"/>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6E66"/>
    <w:rsid w:val="00927028"/>
    <w:rsid w:val="0092756F"/>
    <w:rsid w:val="00927763"/>
    <w:rsid w:val="00927A2D"/>
    <w:rsid w:val="00927B37"/>
    <w:rsid w:val="009321B1"/>
    <w:rsid w:val="009327F0"/>
    <w:rsid w:val="00932ED7"/>
    <w:rsid w:val="0093422D"/>
    <w:rsid w:val="0093483B"/>
    <w:rsid w:val="00934CF9"/>
    <w:rsid w:val="00934DD7"/>
    <w:rsid w:val="0093555C"/>
    <w:rsid w:val="00935CB2"/>
    <w:rsid w:val="009369A9"/>
    <w:rsid w:val="00936CF7"/>
    <w:rsid w:val="00937783"/>
    <w:rsid w:val="00937EAD"/>
    <w:rsid w:val="00937F28"/>
    <w:rsid w:val="00940FE1"/>
    <w:rsid w:val="00941474"/>
    <w:rsid w:val="00942306"/>
    <w:rsid w:val="009424B8"/>
    <w:rsid w:val="009432E2"/>
    <w:rsid w:val="00944668"/>
    <w:rsid w:val="00944DC6"/>
    <w:rsid w:val="0094545B"/>
    <w:rsid w:val="00945644"/>
    <w:rsid w:val="0094579F"/>
    <w:rsid w:val="009458B0"/>
    <w:rsid w:val="00945B52"/>
    <w:rsid w:val="00945B7A"/>
    <w:rsid w:val="00945F05"/>
    <w:rsid w:val="00946348"/>
    <w:rsid w:val="00946D8A"/>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5789E"/>
    <w:rsid w:val="009608E6"/>
    <w:rsid w:val="00960F57"/>
    <w:rsid w:val="00961C90"/>
    <w:rsid w:val="00965443"/>
    <w:rsid w:val="00965954"/>
    <w:rsid w:val="00965A21"/>
    <w:rsid w:val="00965E55"/>
    <w:rsid w:val="0096608E"/>
    <w:rsid w:val="00966522"/>
    <w:rsid w:val="00966C33"/>
    <w:rsid w:val="00970F18"/>
    <w:rsid w:val="00971CF1"/>
    <w:rsid w:val="00971F5D"/>
    <w:rsid w:val="0097206B"/>
    <w:rsid w:val="009721E9"/>
    <w:rsid w:val="00973772"/>
    <w:rsid w:val="009739F8"/>
    <w:rsid w:val="00974C8A"/>
    <w:rsid w:val="0097560A"/>
    <w:rsid w:val="00975D66"/>
    <w:rsid w:val="00975E1E"/>
    <w:rsid w:val="00975E70"/>
    <w:rsid w:val="009761DE"/>
    <w:rsid w:val="009766FA"/>
    <w:rsid w:val="009779D8"/>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1A4"/>
    <w:rsid w:val="00995D67"/>
    <w:rsid w:val="00997613"/>
    <w:rsid w:val="009A013B"/>
    <w:rsid w:val="009A02F4"/>
    <w:rsid w:val="009A06BF"/>
    <w:rsid w:val="009A0D17"/>
    <w:rsid w:val="009A1FD8"/>
    <w:rsid w:val="009A2494"/>
    <w:rsid w:val="009A32B1"/>
    <w:rsid w:val="009A33A3"/>
    <w:rsid w:val="009A36F2"/>
    <w:rsid w:val="009A383D"/>
    <w:rsid w:val="009A3BCA"/>
    <w:rsid w:val="009A3C81"/>
    <w:rsid w:val="009A40C3"/>
    <w:rsid w:val="009A40D5"/>
    <w:rsid w:val="009A5268"/>
    <w:rsid w:val="009A56B1"/>
    <w:rsid w:val="009A57D0"/>
    <w:rsid w:val="009A6559"/>
    <w:rsid w:val="009A68FC"/>
    <w:rsid w:val="009A6CE4"/>
    <w:rsid w:val="009A7514"/>
    <w:rsid w:val="009A7E7A"/>
    <w:rsid w:val="009B0925"/>
    <w:rsid w:val="009B1584"/>
    <w:rsid w:val="009B18F0"/>
    <w:rsid w:val="009B1F4C"/>
    <w:rsid w:val="009B2471"/>
    <w:rsid w:val="009B2515"/>
    <w:rsid w:val="009B2A25"/>
    <w:rsid w:val="009B314F"/>
    <w:rsid w:val="009B439C"/>
    <w:rsid w:val="009B49A1"/>
    <w:rsid w:val="009B4A6C"/>
    <w:rsid w:val="009B4B06"/>
    <w:rsid w:val="009B4DA8"/>
    <w:rsid w:val="009B519A"/>
    <w:rsid w:val="009B620C"/>
    <w:rsid w:val="009B6753"/>
    <w:rsid w:val="009B676C"/>
    <w:rsid w:val="009B6A26"/>
    <w:rsid w:val="009B6B20"/>
    <w:rsid w:val="009B6BD0"/>
    <w:rsid w:val="009B73B6"/>
    <w:rsid w:val="009C079D"/>
    <w:rsid w:val="009C0D70"/>
    <w:rsid w:val="009C13D1"/>
    <w:rsid w:val="009C2913"/>
    <w:rsid w:val="009C2BD4"/>
    <w:rsid w:val="009C3001"/>
    <w:rsid w:val="009C5AFE"/>
    <w:rsid w:val="009C6606"/>
    <w:rsid w:val="009C6CE5"/>
    <w:rsid w:val="009C6D50"/>
    <w:rsid w:val="009C7547"/>
    <w:rsid w:val="009D05EC"/>
    <w:rsid w:val="009D18D4"/>
    <w:rsid w:val="009D1FCF"/>
    <w:rsid w:val="009D2F60"/>
    <w:rsid w:val="009D3485"/>
    <w:rsid w:val="009D3A2E"/>
    <w:rsid w:val="009D5ADE"/>
    <w:rsid w:val="009D5BAC"/>
    <w:rsid w:val="009D5C56"/>
    <w:rsid w:val="009D6265"/>
    <w:rsid w:val="009D64BD"/>
    <w:rsid w:val="009D6CB1"/>
    <w:rsid w:val="009E0286"/>
    <w:rsid w:val="009E153F"/>
    <w:rsid w:val="009E18C5"/>
    <w:rsid w:val="009E277F"/>
    <w:rsid w:val="009E322A"/>
    <w:rsid w:val="009E393E"/>
    <w:rsid w:val="009E444E"/>
    <w:rsid w:val="009E4968"/>
    <w:rsid w:val="009E663C"/>
    <w:rsid w:val="009E684A"/>
    <w:rsid w:val="009E6BB1"/>
    <w:rsid w:val="009E6DB2"/>
    <w:rsid w:val="009E6E14"/>
    <w:rsid w:val="009E71FF"/>
    <w:rsid w:val="009E794A"/>
    <w:rsid w:val="009E7C14"/>
    <w:rsid w:val="009F0494"/>
    <w:rsid w:val="009F0CD9"/>
    <w:rsid w:val="009F1A79"/>
    <w:rsid w:val="009F1F57"/>
    <w:rsid w:val="009F2DDD"/>
    <w:rsid w:val="009F2F84"/>
    <w:rsid w:val="009F3447"/>
    <w:rsid w:val="009F4D20"/>
    <w:rsid w:val="009F65F4"/>
    <w:rsid w:val="009F676B"/>
    <w:rsid w:val="009F6D2D"/>
    <w:rsid w:val="009F6D54"/>
    <w:rsid w:val="009F7758"/>
    <w:rsid w:val="009F7F7D"/>
    <w:rsid w:val="00A004DF"/>
    <w:rsid w:val="00A00FD5"/>
    <w:rsid w:val="00A012C0"/>
    <w:rsid w:val="00A019A8"/>
    <w:rsid w:val="00A01B03"/>
    <w:rsid w:val="00A01B89"/>
    <w:rsid w:val="00A022EE"/>
    <w:rsid w:val="00A02C66"/>
    <w:rsid w:val="00A02C84"/>
    <w:rsid w:val="00A0464C"/>
    <w:rsid w:val="00A050BB"/>
    <w:rsid w:val="00A0521B"/>
    <w:rsid w:val="00A054E0"/>
    <w:rsid w:val="00A05D91"/>
    <w:rsid w:val="00A0740B"/>
    <w:rsid w:val="00A07ED3"/>
    <w:rsid w:val="00A1067B"/>
    <w:rsid w:val="00A10CA8"/>
    <w:rsid w:val="00A11042"/>
    <w:rsid w:val="00A12260"/>
    <w:rsid w:val="00A12579"/>
    <w:rsid w:val="00A12CDC"/>
    <w:rsid w:val="00A133D8"/>
    <w:rsid w:val="00A15655"/>
    <w:rsid w:val="00A160B0"/>
    <w:rsid w:val="00A1740C"/>
    <w:rsid w:val="00A17904"/>
    <w:rsid w:val="00A20069"/>
    <w:rsid w:val="00A21787"/>
    <w:rsid w:val="00A2244D"/>
    <w:rsid w:val="00A2253D"/>
    <w:rsid w:val="00A2267F"/>
    <w:rsid w:val="00A22CDB"/>
    <w:rsid w:val="00A247B8"/>
    <w:rsid w:val="00A2495A"/>
    <w:rsid w:val="00A24C7A"/>
    <w:rsid w:val="00A24D85"/>
    <w:rsid w:val="00A24D8F"/>
    <w:rsid w:val="00A25B8B"/>
    <w:rsid w:val="00A2689F"/>
    <w:rsid w:val="00A26ECA"/>
    <w:rsid w:val="00A27461"/>
    <w:rsid w:val="00A27D67"/>
    <w:rsid w:val="00A30ABC"/>
    <w:rsid w:val="00A32760"/>
    <w:rsid w:val="00A3297E"/>
    <w:rsid w:val="00A33B74"/>
    <w:rsid w:val="00A3467F"/>
    <w:rsid w:val="00A34B4C"/>
    <w:rsid w:val="00A35030"/>
    <w:rsid w:val="00A3551A"/>
    <w:rsid w:val="00A35F6F"/>
    <w:rsid w:val="00A366A0"/>
    <w:rsid w:val="00A37209"/>
    <w:rsid w:val="00A37584"/>
    <w:rsid w:val="00A376E8"/>
    <w:rsid w:val="00A37EE0"/>
    <w:rsid w:val="00A37F8E"/>
    <w:rsid w:val="00A41537"/>
    <w:rsid w:val="00A41737"/>
    <w:rsid w:val="00A42B8F"/>
    <w:rsid w:val="00A42D15"/>
    <w:rsid w:val="00A42D8E"/>
    <w:rsid w:val="00A43254"/>
    <w:rsid w:val="00A43896"/>
    <w:rsid w:val="00A43951"/>
    <w:rsid w:val="00A43A26"/>
    <w:rsid w:val="00A447A0"/>
    <w:rsid w:val="00A459F5"/>
    <w:rsid w:val="00A45FC0"/>
    <w:rsid w:val="00A46B74"/>
    <w:rsid w:val="00A47BF7"/>
    <w:rsid w:val="00A47ECC"/>
    <w:rsid w:val="00A50171"/>
    <w:rsid w:val="00A50444"/>
    <w:rsid w:val="00A504FA"/>
    <w:rsid w:val="00A5102E"/>
    <w:rsid w:val="00A5132E"/>
    <w:rsid w:val="00A51375"/>
    <w:rsid w:val="00A51533"/>
    <w:rsid w:val="00A531D4"/>
    <w:rsid w:val="00A54572"/>
    <w:rsid w:val="00A569A4"/>
    <w:rsid w:val="00A571A5"/>
    <w:rsid w:val="00A575B8"/>
    <w:rsid w:val="00A619BB"/>
    <w:rsid w:val="00A61BC6"/>
    <w:rsid w:val="00A61C60"/>
    <w:rsid w:val="00A61E78"/>
    <w:rsid w:val="00A61ECB"/>
    <w:rsid w:val="00A6410C"/>
    <w:rsid w:val="00A64604"/>
    <w:rsid w:val="00A647B1"/>
    <w:rsid w:val="00A64DEF"/>
    <w:rsid w:val="00A654D2"/>
    <w:rsid w:val="00A654F3"/>
    <w:rsid w:val="00A665DF"/>
    <w:rsid w:val="00A66767"/>
    <w:rsid w:val="00A67CB9"/>
    <w:rsid w:val="00A67FCC"/>
    <w:rsid w:val="00A70AA5"/>
    <w:rsid w:val="00A70C03"/>
    <w:rsid w:val="00A71256"/>
    <w:rsid w:val="00A7217B"/>
    <w:rsid w:val="00A722D7"/>
    <w:rsid w:val="00A723A3"/>
    <w:rsid w:val="00A73861"/>
    <w:rsid w:val="00A739A6"/>
    <w:rsid w:val="00A740ED"/>
    <w:rsid w:val="00A749A9"/>
    <w:rsid w:val="00A74C29"/>
    <w:rsid w:val="00A74C62"/>
    <w:rsid w:val="00A75EF9"/>
    <w:rsid w:val="00A7657C"/>
    <w:rsid w:val="00A8311C"/>
    <w:rsid w:val="00A835D0"/>
    <w:rsid w:val="00A83754"/>
    <w:rsid w:val="00A849A0"/>
    <w:rsid w:val="00A84C5F"/>
    <w:rsid w:val="00A84CFA"/>
    <w:rsid w:val="00A85930"/>
    <w:rsid w:val="00A861BE"/>
    <w:rsid w:val="00A863F7"/>
    <w:rsid w:val="00A86604"/>
    <w:rsid w:val="00A87519"/>
    <w:rsid w:val="00A9246D"/>
    <w:rsid w:val="00A92B11"/>
    <w:rsid w:val="00A92CCA"/>
    <w:rsid w:val="00A93BD0"/>
    <w:rsid w:val="00A93CC2"/>
    <w:rsid w:val="00A94D4B"/>
    <w:rsid w:val="00A9509F"/>
    <w:rsid w:val="00A95F11"/>
    <w:rsid w:val="00A974CC"/>
    <w:rsid w:val="00AA1738"/>
    <w:rsid w:val="00AA1D03"/>
    <w:rsid w:val="00AA2001"/>
    <w:rsid w:val="00AA2B5C"/>
    <w:rsid w:val="00AA32D2"/>
    <w:rsid w:val="00AA3B8B"/>
    <w:rsid w:val="00AA4016"/>
    <w:rsid w:val="00AA4C1F"/>
    <w:rsid w:val="00AA5328"/>
    <w:rsid w:val="00AA536E"/>
    <w:rsid w:val="00AA5393"/>
    <w:rsid w:val="00AA63D4"/>
    <w:rsid w:val="00AB01C2"/>
    <w:rsid w:val="00AB03FD"/>
    <w:rsid w:val="00AB2000"/>
    <w:rsid w:val="00AB38CB"/>
    <w:rsid w:val="00AB3BEC"/>
    <w:rsid w:val="00AB44E4"/>
    <w:rsid w:val="00AB4AEB"/>
    <w:rsid w:val="00AB4E5F"/>
    <w:rsid w:val="00AB5352"/>
    <w:rsid w:val="00AB56AE"/>
    <w:rsid w:val="00AB62D5"/>
    <w:rsid w:val="00AB65B5"/>
    <w:rsid w:val="00AB68D5"/>
    <w:rsid w:val="00AB6DCD"/>
    <w:rsid w:val="00AB6EE0"/>
    <w:rsid w:val="00AC166D"/>
    <w:rsid w:val="00AC17A2"/>
    <w:rsid w:val="00AC272D"/>
    <w:rsid w:val="00AC40B7"/>
    <w:rsid w:val="00AC531F"/>
    <w:rsid w:val="00AC58DF"/>
    <w:rsid w:val="00AC5B36"/>
    <w:rsid w:val="00AC6104"/>
    <w:rsid w:val="00AC6377"/>
    <w:rsid w:val="00AC66A4"/>
    <w:rsid w:val="00AC6CB1"/>
    <w:rsid w:val="00AC6D38"/>
    <w:rsid w:val="00AC75E9"/>
    <w:rsid w:val="00AC7D6D"/>
    <w:rsid w:val="00AD0091"/>
    <w:rsid w:val="00AD23EF"/>
    <w:rsid w:val="00AD2662"/>
    <w:rsid w:val="00AD307B"/>
    <w:rsid w:val="00AD4014"/>
    <w:rsid w:val="00AD41B3"/>
    <w:rsid w:val="00AD5721"/>
    <w:rsid w:val="00AD69F0"/>
    <w:rsid w:val="00AD7127"/>
    <w:rsid w:val="00AD730C"/>
    <w:rsid w:val="00AE0FC2"/>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2F"/>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B8"/>
    <w:rsid w:val="00B03B58"/>
    <w:rsid w:val="00B04721"/>
    <w:rsid w:val="00B04935"/>
    <w:rsid w:val="00B04B15"/>
    <w:rsid w:val="00B04B46"/>
    <w:rsid w:val="00B0523D"/>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014"/>
    <w:rsid w:val="00B20F18"/>
    <w:rsid w:val="00B21516"/>
    <w:rsid w:val="00B21A37"/>
    <w:rsid w:val="00B21D23"/>
    <w:rsid w:val="00B21F62"/>
    <w:rsid w:val="00B22418"/>
    <w:rsid w:val="00B22CE0"/>
    <w:rsid w:val="00B23738"/>
    <w:rsid w:val="00B23BEF"/>
    <w:rsid w:val="00B247BB"/>
    <w:rsid w:val="00B2504A"/>
    <w:rsid w:val="00B2519B"/>
    <w:rsid w:val="00B25EE6"/>
    <w:rsid w:val="00B307D6"/>
    <w:rsid w:val="00B3115A"/>
    <w:rsid w:val="00B3178B"/>
    <w:rsid w:val="00B31825"/>
    <w:rsid w:val="00B31A5C"/>
    <w:rsid w:val="00B32265"/>
    <w:rsid w:val="00B3276D"/>
    <w:rsid w:val="00B3344B"/>
    <w:rsid w:val="00B33B06"/>
    <w:rsid w:val="00B33C19"/>
    <w:rsid w:val="00B34608"/>
    <w:rsid w:val="00B35684"/>
    <w:rsid w:val="00B35A15"/>
    <w:rsid w:val="00B35B45"/>
    <w:rsid w:val="00B35CA6"/>
    <w:rsid w:val="00B36165"/>
    <w:rsid w:val="00B36A99"/>
    <w:rsid w:val="00B42264"/>
    <w:rsid w:val="00B42DDF"/>
    <w:rsid w:val="00B434B2"/>
    <w:rsid w:val="00B43D45"/>
    <w:rsid w:val="00B459AF"/>
    <w:rsid w:val="00B468F2"/>
    <w:rsid w:val="00B469DE"/>
    <w:rsid w:val="00B47286"/>
    <w:rsid w:val="00B47EB4"/>
    <w:rsid w:val="00B50234"/>
    <w:rsid w:val="00B51BF4"/>
    <w:rsid w:val="00B52C68"/>
    <w:rsid w:val="00B5372B"/>
    <w:rsid w:val="00B5384B"/>
    <w:rsid w:val="00B542FE"/>
    <w:rsid w:val="00B55A1B"/>
    <w:rsid w:val="00B561DB"/>
    <w:rsid w:val="00B56DF9"/>
    <w:rsid w:val="00B56E80"/>
    <w:rsid w:val="00B571F1"/>
    <w:rsid w:val="00B600BD"/>
    <w:rsid w:val="00B604A2"/>
    <w:rsid w:val="00B60E4E"/>
    <w:rsid w:val="00B61274"/>
    <w:rsid w:val="00B61DCE"/>
    <w:rsid w:val="00B62188"/>
    <w:rsid w:val="00B62F79"/>
    <w:rsid w:val="00B62F82"/>
    <w:rsid w:val="00B6306A"/>
    <w:rsid w:val="00B633AB"/>
    <w:rsid w:val="00B635E3"/>
    <w:rsid w:val="00B6567B"/>
    <w:rsid w:val="00B662FF"/>
    <w:rsid w:val="00B66679"/>
    <w:rsid w:val="00B70145"/>
    <w:rsid w:val="00B701D1"/>
    <w:rsid w:val="00B71293"/>
    <w:rsid w:val="00B71A92"/>
    <w:rsid w:val="00B721D8"/>
    <w:rsid w:val="00B730CA"/>
    <w:rsid w:val="00B732EA"/>
    <w:rsid w:val="00B73747"/>
    <w:rsid w:val="00B747C5"/>
    <w:rsid w:val="00B74F2F"/>
    <w:rsid w:val="00B753ED"/>
    <w:rsid w:val="00B758E7"/>
    <w:rsid w:val="00B7665F"/>
    <w:rsid w:val="00B769BC"/>
    <w:rsid w:val="00B770F7"/>
    <w:rsid w:val="00B77349"/>
    <w:rsid w:val="00B7761E"/>
    <w:rsid w:val="00B77953"/>
    <w:rsid w:val="00B80A3D"/>
    <w:rsid w:val="00B80B04"/>
    <w:rsid w:val="00B81103"/>
    <w:rsid w:val="00B821E4"/>
    <w:rsid w:val="00B823E0"/>
    <w:rsid w:val="00B8260D"/>
    <w:rsid w:val="00B82B78"/>
    <w:rsid w:val="00B82DE9"/>
    <w:rsid w:val="00B838FD"/>
    <w:rsid w:val="00B845B4"/>
    <w:rsid w:val="00B84662"/>
    <w:rsid w:val="00B84C74"/>
    <w:rsid w:val="00B84CE9"/>
    <w:rsid w:val="00B85191"/>
    <w:rsid w:val="00B858A1"/>
    <w:rsid w:val="00B85FEC"/>
    <w:rsid w:val="00B864A3"/>
    <w:rsid w:val="00B86728"/>
    <w:rsid w:val="00B86C2A"/>
    <w:rsid w:val="00B8759A"/>
    <w:rsid w:val="00B902A5"/>
    <w:rsid w:val="00B90420"/>
    <w:rsid w:val="00B90848"/>
    <w:rsid w:val="00B91146"/>
    <w:rsid w:val="00B913E4"/>
    <w:rsid w:val="00B91DB9"/>
    <w:rsid w:val="00B91FF3"/>
    <w:rsid w:val="00B925F8"/>
    <w:rsid w:val="00B93EFE"/>
    <w:rsid w:val="00B944B9"/>
    <w:rsid w:val="00B94956"/>
    <w:rsid w:val="00B949EB"/>
    <w:rsid w:val="00B94C7F"/>
    <w:rsid w:val="00B94E93"/>
    <w:rsid w:val="00B956B5"/>
    <w:rsid w:val="00B95956"/>
    <w:rsid w:val="00B96DF2"/>
    <w:rsid w:val="00B96E18"/>
    <w:rsid w:val="00B96F5A"/>
    <w:rsid w:val="00B970CA"/>
    <w:rsid w:val="00BA0B39"/>
    <w:rsid w:val="00BA0CB2"/>
    <w:rsid w:val="00BA0E26"/>
    <w:rsid w:val="00BA138B"/>
    <w:rsid w:val="00BA305B"/>
    <w:rsid w:val="00BA31BF"/>
    <w:rsid w:val="00BA3C0F"/>
    <w:rsid w:val="00BA3FC7"/>
    <w:rsid w:val="00BA478B"/>
    <w:rsid w:val="00BA4ABD"/>
    <w:rsid w:val="00BA4BB4"/>
    <w:rsid w:val="00BA5224"/>
    <w:rsid w:val="00BA575E"/>
    <w:rsid w:val="00BA76B7"/>
    <w:rsid w:val="00BA7E3B"/>
    <w:rsid w:val="00BB078D"/>
    <w:rsid w:val="00BB079C"/>
    <w:rsid w:val="00BB0D7A"/>
    <w:rsid w:val="00BB10E1"/>
    <w:rsid w:val="00BB2471"/>
    <w:rsid w:val="00BB3035"/>
    <w:rsid w:val="00BB366E"/>
    <w:rsid w:val="00BB39C1"/>
    <w:rsid w:val="00BB3DF5"/>
    <w:rsid w:val="00BB3EA7"/>
    <w:rsid w:val="00BB5D16"/>
    <w:rsid w:val="00BB6180"/>
    <w:rsid w:val="00BB64CA"/>
    <w:rsid w:val="00BB69E6"/>
    <w:rsid w:val="00BB6DC3"/>
    <w:rsid w:val="00BB7323"/>
    <w:rsid w:val="00BB7BE5"/>
    <w:rsid w:val="00BC07C8"/>
    <w:rsid w:val="00BC08BD"/>
    <w:rsid w:val="00BC11E8"/>
    <w:rsid w:val="00BC1B7A"/>
    <w:rsid w:val="00BC2C17"/>
    <w:rsid w:val="00BC3ACD"/>
    <w:rsid w:val="00BC3B20"/>
    <w:rsid w:val="00BC3EE4"/>
    <w:rsid w:val="00BC4577"/>
    <w:rsid w:val="00BC588C"/>
    <w:rsid w:val="00BC6E73"/>
    <w:rsid w:val="00BC74D3"/>
    <w:rsid w:val="00BD0014"/>
    <w:rsid w:val="00BD01D8"/>
    <w:rsid w:val="00BD255F"/>
    <w:rsid w:val="00BD2895"/>
    <w:rsid w:val="00BD4236"/>
    <w:rsid w:val="00BD483B"/>
    <w:rsid w:val="00BD51F9"/>
    <w:rsid w:val="00BD5977"/>
    <w:rsid w:val="00BD5CD4"/>
    <w:rsid w:val="00BD5D1D"/>
    <w:rsid w:val="00BD65D9"/>
    <w:rsid w:val="00BD6DF3"/>
    <w:rsid w:val="00BD6E09"/>
    <w:rsid w:val="00BD6EF9"/>
    <w:rsid w:val="00BE0ACB"/>
    <w:rsid w:val="00BE1C07"/>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3AFD"/>
    <w:rsid w:val="00BF4342"/>
    <w:rsid w:val="00BF4704"/>
    <w:rsid w:val="00BF4A1A"/>
    <w:rsid w:val="00BF4FFC"/>
    <w:rsid w:val="00BF5050"/>
    <w:rsid w:val="00BF50D1"/>
    <w:rsid w:val="00BF5422"/>
    <w:rsid w:val="00BF59B1"/>
    <w:rsid w:val="00BF606A"/>
    <w:rsid w:val="00BF6163"/>
    <w:rsid w:val="00BF6625"/>
    <w:rsid w:val="00BF6A78"/>
    <w:rsid w:val="00BF7114"/>
    <w:rsid w:val="00BF7695"/>
    <w:rsid w:val="00BF79B4"/>
    <w:rsid w:val="00BF7C61"/>
    <w:rsid w:val="00C01427"/>
    <w:rsid w:val="00C014C7"/>
    <w:rsid w:val="00C01CD4"/>
    <w:rsid w:val="00C031CF"/>
    <w:rsid w:val="00C047AB"/>
    <w:rsid w:val="00C04895"/>
    <w:rsid w:val="00C058AF"/>
    <w:rsid w:val="00C075B6"/>
    <w:rsid w:val="00C1066D"/>
    <w:rsid w:val="00C124C1"/>
    <w:rsid w:val="00C128AE"/>
    <w:rsid w:val="00C12BA8"/>
    <w:rsid w:val="00C13094"/>
    <w:rsid w:val="00C136D6"/>
    <w:rsid w:val="00C13D5B"/>
    <w:rsid w:val="00C141D7"/>
    <w:rsid w:val="00C14329"/>
    <w:rsid w:val="00C1711B"/>
    <w:rsid w:val="00C17AE2"/>
    <w:rsid w:val="00C20140"/>
    <w:rsid w:val="00C20537"/>
    <w:rsid w:val="00C20E7C"/>
    <w:rsid w:val="00C20F27"/>
    <w:rsid w:val="00C215CF"/>
    <w:rsid w:val="00C2244B"/>
    <w:rsid w:val="00C22711"/>
    <w:rsid w:val="00C2280A"/>
    <w:rsid w:val="00C22B0D"/>
    <w:rsid w:val="00C22BFF"/>
    <w:rsid w:val="00C23522"/>
    <w:rsid w:val="00C240C1"/>
    <w:rsid w:val="00C244A1"/>
    <w:rsid w:val="00C24AED"/>
    <w:rsid w:val="00C250D0"/>
    <w:rsid w:val="00C252AC"/>
    <w:rsid w:val="00C25B30"/>
    <w:rsid w:val="00C25C0F"/>
    <w:rsid w:val="00C26567"/>
    <w:rsid w:val="00C26923"/>
    <w:rsid w:val="00C27214"/>
    <w:rsid w:val="00C27597"/>
    <w:rsid w:val="00C27E5E"/>
    <w:rsid w:val="00C30382"/>
    <w:rsid w:val="00C30772"/>
    <w:rsid w:val="00C30D6F"/>
    <w:rsid w:val="00C31063"/>
    <w:rsid w:val="00C31B7E"/>
    <w:rsid w:val="00C32024"/>
    <w:rsid w:val="00C322D1"/>
    <w:rsid w:val="00C3242A"/>
    <w:rsid w:val="00C33201"/>
    <w:rsid w:val="00C33A39"/>
    <w:rsid w:val="00C341D1"/>
    <w:rsid w:val="00C34619"/>
    <w:rsid w:val="00C348D9"/>
    <w:rsid w:val="00C35D01"/>
    <w:rsid w:val="00C360B3"/>
    <w:rsid w:val="00C368FB"/>
    <w:rsid w:val="00C37027"/>
    <w:rsid w:val="00C373BF"/>
    <w:rsid w:val="00C37B19"/>
    <w:rsid w:val="00C4031E"/>
    <w:rsid w:val="00C40993"/>
    <w:rsid w:val="00C41349"/>
    <w:rsid w:val="00C413CB"/>
    <w:rsid w:val="00C42752"/>
    <w:rsid w:val="00C42973"/>
    <w:rsid w:val="00C46B95"/>
    <w:rsid w:val="00C4712A"/>
    <w:rsid w:val="00C5034F"/>
    <w:rsid w:val="00C50830"/>
    <w:rsid w:val="00C52479"/>
    <w:rsid w:val="00C5266E"/>
    <w:rsid w:val="00C52C59"/>
    <w:rsid w:val="00C533F8"/>
    <w:rsid w:val="00C5349E"/>
    <w:rsid w:val="00C539FF"/>
    <w:rsid w:val="00C544BD"/>
    <w:rsid w:val="00C54D3D"/>
    <w:rsid w:val="00C55127"/>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83"/>
    <w:rsid w:val="00C707B8"/>
    <w:rsid w:val="00C712AC"/>
    <w:rsid w:val="00C71C15"/>
    <w:rsid w:val="00C71F3D"/>
    <w:rsid w:val="00C72F53"/>
    <w:rsid w:val="00C74035"/>
    <w:rsid w:val="00C748EA"/>
    <w:rsid w:val="00C75F32"/>
    <w:rsid w:val="00C77818"/>
    <w:rsid w:val="00C778A2"/>
    <w:rsid w:val="00C8063F"/>
    <w:rsid w:val="00C81282"/>
    <w:rsid w:val="00C827B4"/>
    <w:rsid w:val="00C83214"/>
    <w:rsid w:val="00C8329F"/>
    <w:rsid w:val="00C84F8A"/>
    <w:rsid w:val="00C85BA4"/>
    <w:rsid w:val="00C8618F"/>
    <w:rsid w:val="00C8625D"/>
    <w:rsid w:val="00C8744E"/>
    <w:rsid w:val="00C90372"/>
    <w:rsid w:val="00C9041F"/>
    <w:rsid w:val="00C9166B"/>
    <w:rsid w:val="00C91945"/>
    <w:rsid w:val="00C91A45"/>
    <w:rsid w:val="00C91FB4"/>
    <w:rsid w:val="00C92150"/>
    <w:rsid w:val="00C92328"/>
    <w:rsid w:val="00C92D42"/>
    <w:rsid w:val="00C92F22"/>
    <w:rsid w:val="00C938C2"/>
    <w:rsid w:val="00C93F8A"/>
    <w:rsid w:val="00C94EA1"/>
    <w:rsid w:val="00C95745"/>
    <w:rsid w:val="00C95902"/>
    <w:rsid w:val="00C962E3"/>
    <w:rsid w:val="00C978E2"/>
    <w:rsid w:val="00C97997"/>
    <w:rsid w:val="00CA0284"/>
    <w:rsid w:val="00CA10A2"/>
    <w:rsid w:val="00CA1D83"/>
    <w:rsid w:val="00CA1ED3"/>
    <w:rsid w:val="00CA25C0"/>
    <w:rsid w:val="00CA3451"/>
    <w:rsid w:val="00CA35C6"/>
    <w:rsid w:val="00CA4948"/>
    <w:rsid w:val="00CA52F9"/>
    <w:rsid w:val="00CA5368"/>
    <w:rsid w:val="00CA568B"/>
    <w:rsid w:val="00CA573A"/>
    <w:rsid w:val="00CA5C58"/>
    <w:rsid w:val="00CB19D7"/>
    <w:rsid w:val="00CB19FE"/>
    <w:rsid w:val="00CB1C3F"/>
    <w:rsid w:val="00CB2364"/>
    <w:rsid w:val="00CB2580"/>
    <w:rsid w:val="00CB304C"/>
    <w:rsid w:val="00CB3933"/>
    <w:rsid w:val="00CB5010"/>
    <w:rsid w:val="00CB53E8"/>
    <w:rsid w:val="00CB594A"/>
    <w:rsid w:val="00CB5CB2"/>
    <w:rsid w:val="00CB6979"/>
    <w:rsid w:val="00CB722D"/>
    <w:rsid w:val="00CB7DDE"/>
    <w:rsid w:val="00CC0A3D"/>
    <w:rsid w:val="00CC1F5E"/>
    <w:rsid w:val="00CC2840"/>
    <w:rsid w:val="00CC2A24"/>
    <w:rsid w:val="00CC2FF0"/>
    <w:rsid w:val="00CC3C53"/>
    <w:rsid w:val="00CC3D24"/>
    <w:rsid w:val="00CC3F91"/>
    <w:rsid w:val="00CC47EE"/>
    <w:rsid w:val="00CC4ACD"/>
    <w:rsid w:val="00CC4B0A"/>
    <w:rsid w:val="00CC4ED8"/>
    <w:rsid w:val="00CC544A"/>
    <w:rsid w:val="00CC57EA"/>
    <w:rsid w:val="00CC5954"/>
    <w:rsid w:val="00CC5965"/>
    <w:rsid w:val="00CC629B"/>
    <w:rsid w:val="00CC6C4E"/>
    <w:rsid w:val="00CD009D"/>
    <w:rsid w:val="00CD05A2"/>
    <w:rsid w:val="00CD29D4"/>
    <w:rsid w:val="00CD2B5C"/>
    <w:rsid w:val="00CD2FF3"/>
    <w:rsid w:val="00CD3323"/>
    <w:rsid w:val="00CD38F5"/>
    <w:rsid w:val="00CD3BF2"/>
    <w:rsid w:val="00CD437E"/>
    <w:rsid w:val="00CD4AAC"/>
    <w:rsid w:val="00CD5DAD"/>
    <w:rsid w:val="00CD72C5"/>
    <w:rsid w:val="00CD79A7"/>
    <w:rsid w:val="00CD7FAD"/>
    <w:rsid w:val="00CE0789"/>
    <w:rsid w:val="00CE0E8D"/>
    <w:rsid w:val="00CE1A03"/>
    <w:rsid w:val="00CE2346"/>
    <w:rsid w:val="00CE25B2"/>
    <w:rsid w:val="00CE3529"/>
    <w:rsid w:val="00CE35C8"/>
    <w:rsid w:val="00CE3962"/>
    <w:rsid w:val="00CE3C3D"/>
    <w:rsid w:val="00CE4D0A"/>
    <w:rsid w:val="00CE4D1A"/>
    <w:rsid w:val="00CE4E8A"/>
    <w:rsid w:val="00CE5105"/>
    <w:rsid w:val="00CE56BD"/>
    <w:rsid w:val="00CE5EC0"/>
    <w:rsid w:val="00CE68AD"/>
    <w:rsid w:val="00CE6F9B"/>
    <w:rsid w:val="00CE6F9F"/>
    <w:rsid w:val="00CE781A"/>
    <w:rsid w:val="00CE7B08"/>
    <w:rsid w:val="00CE7D52"/>
    <w:rsid w:val="00CF0AB7"/>
    <w:rsid w:val="00CF1D74"/>
    <w:rsid w:val="00CF2BE2"/>
    <w:rsid w:val="00CF3DEB"/>
    <w:rsid w:val="00CF55F9"/>
    <w:rsid w:val="00CF7074"/>
    <w:rsid w:val="00CF7495"/>
    <w:rsid w:val="00CF7D8D"/>
    <w:rsid w:val="00D01CF9"/>
    <w:rsid w:val="00D0334D"/>
    <w:rsid w:val="00D0374D"/>
    <w:rsid w:val="00D06D7B"/>
    <w:rsid w:val="00D06DA5"/>
    <w:rsid w:val="00D07191"/>
    <w:rsid w:val="00D07F1D"/>
    <w:rsid w:val="00D10558"/>
    <w:rsid w:val="00D10E7D"/>
    <w:rsid w:val="00D11D4D"/>
    <w:rsid w:val="00D11DB1"/>
    <w:rsid w:val="00D126DC"/>
    <w:rsid w:val="00D12B03"/>
    <w:rsid w:val="00D13E70"/>
    <w:rsid w:val="00D13EE7"/>
    <w:rsid w:val="00D15FCD"/>
    <w:rsid w:val="00D16C58"/>
    <w:rsid w:val="00D17019"/>
    <w:rsid w:val="00D17FC8"/>
    <w:rsid w:val="00D2015B"/>
    <w:rsid w:val="00D20B44"/>
    <w:rsid w:val="00D21168"/>
    <w:rsid w:val="00D2438C"/>
    <w:rsid w:val="00D2585A"/>
    <w:rsid w:val="00D259B0"/>
    <w:rsid w:val="00D259C2"/>
    <w:rsid w:val="00D25C88"/>
    <w:rsid w:val="00D26471"/>
    <w:rsid w:val="00D26C3F"/>
    <w:rsid w:val="00D27185"/>
    <w:rsid w:val="00D3028A"/>
    <w:rsid w:val="00D30AC5"/>
    <w:rsid w:val="00D31618"/>
    <w:rsid w:val="00D33488"/>
    <w:rsid w:val="00D33AB3"/>
    <w:rsid w:val="00D33F24"/>
    <w:rsid w:val="00D34160"/>
    <w:rsid w:val="00D346B8"/>
    <w:rsid w:val="00D34DCA"/>
    <w:rsid w:val="00D35AC8"/>
    <w:rsid w:val="00D35E80"/>
    <w:rsid w:val="00D36165"/>
    <w:rsid w:val="00D36F87"/>
    <w:rsid w:val="00D37E4E"/>
    <w:rsid w:val="00D411EC"/>
    <w:rsid w:val="00D417D8"/>
    <w:rsid w:val="00D41CAB"/>
    <w:rsid w:val="00D41F78"/>
    <w:rsid w:val="00D42E6C"/>
    <w:rsid w:val="00D4351C"/>
    <w:rsid w:val="00D43B80"/>
    <w:rsid w:val="00D440FE"/>
    <w:rsid w:val="00D44988"/>
    <w:rsid w:val="00D45B4C"/>
    <w:rsid w:val="00D45BA4"/>
    <w:rsid w:val="00D471AF"/>
    <w:rsid w:val="00D471E2"/>
    <w:rsid w:val="00D4724F"/>
    <w:rsid w:val="00D50519"/>
    <w:rsid w:val="00D50779"/>
    <w:rsid w:val="00D51601"/>
    <w:rsid w:val="00D51ECB"/>
    <w:rsid w:val="00D5264C"/>
    <w:rsid w:val="00D52BBC"/>
    <w:rsid w:val="00D537FE"/>
    <w:rsid w:val="00D53BE5"/>
    <w:rsid w:val="00D53CC9"/>
    <w:rsid w:val="00D54A6A"/>
    <w:rsid w:val="00D54B8F"/>
    <w:rsid w:val="00D55848"/>
    <w:rsid w:val="00D55951"/>
    <w:rsid w:val="00D559F0"/>
    <w:rsid w:val="00D55BCC"/>
    <w:rsid w:val="00D5650F"/>
    <w:rsid w:val="00D57EB6"/>
    <w:rsid w:val="00D608C0"/>
    <w:rsid w:val="00D60BC2"/>
    <w:rsid w:val="00D60D6D"/>
    <w:rsid w:val="00D6128C"/>
    <w:rsid w:val="00D63B22"/>
    <w:rsid w:val="00D63C98"/>
    <w:rsid w:val="00D63EA5"/>
    <w:rsid w:val="00D66D8B"/>
    <w:rsid w:val="00D70849"/>
    <w:rsid w:val="00D71B08"/>
    <w:rsid w:val="00D72297"/>
    <w:rsid w:val="00D726FF"/>
    <w:rsid w:val="00D72A1C"/>
    <w:rsid w:val="00D7308F"/>
    <w:rsid w:val="00D7313E"/>
    <w:rsid w:val="00D73580"/>
    <w:rsid w:val="00D73802"/>
    <w:rsid w:val="00D73C2C"/>
    <w:rsid w:val="00D73D52"/>
    <w:rsid w:val="00D745E7"/>
    <w:rsid w:val="00D75758"/>
    <w:rsid w:val="00D75FDA"/>
    <w:rsid w:val="00D774ED"/>
    <w:rsid w:val="00D777C3"/>
    <w:rsid w:val="00D7797C"/>
    <w:rsid w:val="00D77C44"/>
    <w:rsid w:val="00D77F88"/>
    <w:rsid w:val="00D81AFA"/>
    <w:rsid w:val="00D81EAA"/>
    <w:rsid w:val="00D81F04"/>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A52"/>
    <w:rsid w:val="00D86C88"/>
    <w:rsid w:val="00D86D47"/>
    <w:rsid w:val="00D8710C"/>
    <w:rsid w:val="00D873C6"/>
    <w:rsid w:val="00D9074A"/>
    <w:rsid w:val="00D9099E"/>
    <w:rsid w:val="00D9193A"/>
    <w:rsid w:val="00D91DED"/>
    <w:rsid w:val="00D923B2"/>
    <w:rsid w:val="00D92463"/>
    <w:rsid w:val="00D936B5"/>
    <w:rsid w:val="00D93E64"/>
    <w:rsid w:val="00D93F64"/>
    <w:rsid w:val="00D94CA4"/>
    <w:rsid w:val="00D95E99"/>
    <w:rsid w:val="00D965D5"/>
    <w:rsid w:val="00D96D7E"/>
    <w:rsid w:val="00D97DA2"/>
    <w:rsid w:val="00DA0485"/>
    <w:rsid w:val="00DA1A3A"/>
    <w:rsid w:val="00DA2351"/>
    <w:rsid w:val="00DA249E"/>
    <w:rsid w:val="00DA2D3D"/>
    <w:rsid w:val="00DA3855"/>
    <w:rsid w:val="00DA39BA"/>
    <w:rsid w:val="00DA3FBF"/>
    <w:rsid w:val="00DA4C30"/>
    <w:rsid w:val="00DA641B"/>
    <w:rsid w:val="00DA6A44"/>
    <w:rsid w:val="00DA6EF0"/>
    <w:rsid w:val="00DA7A3C"/>
    <w:rsid w:val="00DB069C"/>
    <w:rsid w:val="00DB145E"/>
    <w:rsid w:val="00DB1966"/>
    <w:rsid w:val="00DB19CB"/>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1445"/>
    <w:rsid w:val="00DC21D8"/>
    <w:rsid w:val="00DC282A"/>
    <w:rsid w:val="00DC2DE8"/>
    <w:rsid w:val="00DC34DC"/>
    <w:rsid w:val="00DC3780"/>
    <w:rsid w:val="00DC3ADA"/>
    <w:rsid w:val="00DC3CC6"/>
    <w:rsid w:val="00DC3F55"/>
    <w:rsid w:val="00DC468B"/>
    <w:rsid w:val="00DC4782"/>
    <w:rsid w:val="00DC488D"/>
    <w:rsid w:val="00DC514A"/>
    <w:rsid w:val="00DC67B1"/>
    <w:rsid w:val="00DC7FBC"/>
    <w:rsid w:val="00DD0019"/>
    <w:rsid w:val="00DD132B"/>
    <w:rsid w:val="00DD1725"/>
    <w:rsid w:val="00DD2159"/>
    <w:rsid w:val="00DD218B"/>
    <w:rsid w:val="00DD2A18"/>
    <w:rsid w:val="00DD3044"/>
    <w:rsid w:val="00DD3737"/>
    <w:rsid w:val="00DD3985"/>
    <w:rsid w:val="00DD3FEE"/>
    <w:rsid w:val="00DD4676"/>
    <w:rsid w:val="00DD61E8"/>
    <w:rsid w:val="00DD62C0"/>
    <w:rsid w:val="00DD64DE"/>
    <w:rsid w:val="00DD66DE"/>
    <w:rsid w:val="00DD7859"/>
    <w:rsid w:val="00DD7B41"/>
    <w:rsid w:val="00DE0784"/>
    <w:rsid w:val="00DE0A1D"/>
    <w:rsid w:val="00DE15B2"/>
    <w:rsid w:val="00DE1A9A"/>
    <w:rsid w:val="00DE2108"/>
    <w:rsid w:val="00DE2800"/>
    <w:rsid w:val="00DE3D2C"/>
    <w:rsid w:val="00DE4513"/>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A8B"/>
    <w:rsid w:val="00E01C9C"/>
    <w:rsid w:val="00E0219D"/>
    <w:rsid w:val="00E03662"/>
    <w:rsid w:val="00E04B0B"/>
    <w:rsid w:val="00E04BF4"/>
    <w:rsid w:val="00E04C0F"/>
    <w:rsid w:val="00E0570B"/>
    <w:rsid w:val="00E069C5"/>
    <w:rsid w:val="00E10913"/>
    <w:rsid w:val="00E10B87"/>
    <w:rsid w:val="00E121CE"/>
    <w:rsid w:val="00E12209"/>
    <w:rsid w:val="00E1478B"/>
    <w:rsid w:val="00E14FAC"/>
    <w:rsid w:val="00E15007"/>
    <w:rsid w:val="00E16277"/>
    <w:rsid w:val="00E16EC7"/>
    <w:rsid w:val="00E17DCC"/>
    <w:rsid w:val="00E21832"/>
    <w:rsid w:val="00E219CE"/>
    <w:rsid w:val="00E21D93"/>
    <w:rsid w:val="00E22D2A"/>
    <w:rsid w:val="00E24071"/>
    <w:rsid w:val="00E24DCA"/>
    <w:rsid w:val="00E24EBC"/>
    <w:rsid w:val="00E2522C"/>
    <w:rsid w:val="00E2552F"/>
    <w:rsid w:val="00E2599B"/>
    <w:rsid w:val="00E2710C"/>
    <w:rsid w:val="00E272BD"/>
    <w:rsid w:val="00E27428"/>
    <w:rsid w:val="00E305B4"/>
    <w:rsid w:val="00E3132E"/>
    <w:rsid w:val="00E31AFA"/>
    <w:rsid w:val="00E31CB7"/>
    <w:rsid w:val="00E324EE"/>
    <w:rsid w:val="00E34DB1"/>
    <w:rsid w:val="00E35931"/>
    <w:rsid w:val="00E359FF"/>
    <w:rsid w:val="00E3699A"/>
    <w:rsid w:val="00E402C5"/>
    <w:rsid w:val="00E402F4"/>
    <w:rsid w:val="00E405F1"/>
    <w:rsid w:val="00E40F9A"/>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5DD1"/>
    <w:rsid w:val="00E57577"/>
    <w:rsid w:val="00E57593"/>
    <w:rsid w:val="00E619AA"/>
    <w:rsid w:val="00E62043"/>
    <w:rsid w:val="00E626B9"/>
    <w:rsid w:val="00E627C9"/>
    <w:rsid w:val="00E62EB6"/>
    <w:rsid w:val="00E630F3"/>
    <w:rsid w:val="00E6330F"/>
    <w:rsid w:val="00E6332F"/>
    <w:rsid w:val="00E637C9"/>
    <w:rsid w:val="00E6402D"/>
    <w:rsid w:val="00E6680A"/>
    <w:rsid w:val="00E66F0D"/>
    <w:rsid w:val="00E67747"/>
    <w:rsid w:val="00E70615"/>
    <w:rsid w:val="00E7161E"/>
    <w:rsid w:val="00E7207B"/>
    <w:rsid w:val="00E721A3"/>
    <w:rsid w:val="00E7347A"/>
    <w:rsid w:val="00E7507A"/>
    <w:rsid w:val="00E75A47"/>
    <w:rsid w:val="00E75BB6"/>
    <w:rsid w:val="00E75D8C"/>
    <w:rsid w:val="00E777F2"/>
    <w:rsid w:val="00E802C9"/>
    <w:rsid w:val="00E804B4"/>
    <w:rsid w:val="00E80BFB"/>
    <w:rsid w:val="00E80EC2"/>
    <w:rsid w:val="00E80F0A"/>
    <w:rsid w:val="00E814F9"/>
    <w:rsid w:val="00E815D4"/>
    <w:rsid w:val="00E8291B"/>
    <w:rsid w:val="00E82E70"/>
    <w:rsid w:val="00E82F92"/>
    <w:rsid w:val="00E830C6"/>
    <w:rsid w:val="00E8395F"/>
    <w:rsid w:val="00E8410F"/>
    <w:rsid w:val="00E849D7"/>
    <w:rsid w:val="00E85E41"/>
    <w:rsid w:val="00E85E95"/>
    <w:rsid w:val="00E85EA1"/>
    <w:rsid w:val="00E86703"/>
    <w:rsid w:val="00E900DA"/>
    <w:rsid w:val="00E91044"/>
    <w:rsid w:val="00E910D3"/>
    <w:rsid w:val="00E92097"/>
    <w:rsid w:val="00E92154"/>
    <w:rsid w:val="00E923CF"/>
    <w:rsid w:val="00E93685"/>
    <w:rsid w:val="00E93B65"/>
    <w:rsid w:val="00E93C8C"/>
    <w:rsid w:val="00E95111"/>
    <w:rsid w:val="00E95FDF"/>
    <w:rsid w:val="00E96ED8"/>
    <w:rsid w:val="00E97B69"/>
    <w:rsid w:val="00EA14C8"/>
    <w:rsid w:val="00EA2110"/>
    <w:rsid w:val="00EA283A"/>
    <w:rsid w:val="00EA2AE0"/>
    <w:rsid w:val="00EA2C90"/>
    <w:rsid w:val="00EA2E07"/>
    <w:rsid w:val="00EA383B"/>
    <w:rsid w:val="00EA48F3"/>
    <w:rsid w:val="00EA60BF"/>
    <w:rsid w:val="00EA7365"/>
    <w:rsid w:val="00EA763F"/>
    <w:rsid w:val="00EA77E9"/>
    <w:rsid w:val="00EB05D0"/>
    <w:rsid w:val="00EB1151"/>
    <w:rsid w:val="00EB11DF"/>
    <w:rsid w:val="00EB1D49"/>
    <w:rsid w:val="00EB23D9"/>
    <w:rsid w:val="00EB39A0"/>
    <w:rsid w:val="00EB430A"/>
    <w:rsid w:val="00EB5447"/>
    <w:rsid w:val="00EB559F"/>
    <w:rsid w:val="00EB566C"/>
    <w:rsid w:val="00EB5A18"/>
    <w:rsid w:val="00EB5DDB"/>
    <w:rsid w:val="00EB5F3D"/>
    <w:rsid w:val="00EB6A88"/>
    <w:rsid w:val="00EB6C97"/>
    <w:rsid w:val="00EB778A"/>
    <w:rsid w:val="00EC1CEB"/>
    <w:rsid w:val="00EC1DC0"/>
    <w:rsid w:val="00EC1DC2"/>
    <w:rsid w:val="00EC1E09"/>
    <w:rsid w:val="00EC210E"/>
    <w:rsid w:val="00EC21EC"/>
    <w:rsid w:val="00EC24B8"/>
    <w:rsid w:val="00EC268C"/>
    <w:rsid w:val="00EC2CCB"/>
    <w:rsid w:val="00EC3692"/>
    <w:rsid w:val="00EC3753"/>
    <w:rsid w:val="00EC4E71"/>
    <w:rsid w:val="00EC5F1C"/>
    <w:rsid w:val="00EC740C"/>
    <w:rsid w:val="00EC7F06"/>
    <w:rsid w:val="00ED0365"/>
    <w:rsid w:val="00ED0865"/>
    <w:rsid w:val="00ED0C1C"/>
    <w:rsid w:val="00ED0D3F"/>
    <w:rsid w:val="00ED1C60"/>
    <w:rsid w:val="00ED2EB9"/>
    <w:rsid w:val="00ED3722"/>
    <w:rsid w:val="00ED3A31"/>
    <w:rsid w:val="00ED4469"/>
    <w:rsid w:val="00ED5424"/>
    <w:rsid w:val="00ED5B5C"/>
    <w:rsid w:val="00ED5F23"/>
    <w:rsid w:val="00ED6A17"/>
    <w:rsid w:val="00ED6DC0"/>
    <w:rsid w:val="00ED73D6"/>
    <w:rsid w:val="00ED7A7A"/>
    <w:rsid w:val="00EE0327"/>
    <w:rsid w:val="00EE038C"/>
    <w:rsid w:val="00EE0A71"/>
    <w:rsid w:val="00EE10A9"/>
    <w:rsid w:val="00EE15B3"/>
    <w:rsid w:val="00EE1985"/>
    <w:rsid w:val="00EE28C5"/>
    <w:rsid w:val="00EE2F09"/>
    <w:rsid w:val="00EE47C5"/>
    <w:rsid w:val="00EE490C"/>
    <w:rsid w:val="00EE4E57"/>
    <w:rsid w:val="00EE5738"/>
    <w:rsid w:val="00EE58BD"/>
    <w:rsid w:val="00EE5E59"/>
    <w:rsid w:val="00EE73D0"/>
    <w:rsid w:val="00EE76AC"/>
    <w:rsid w:val="00EE7CB0"/>
    <w:rsid w:val="00EF08A8"/>
    <w:rsid w:val="00EF167B"/>
    <w:rsid w:val="00EF186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A99"/>
    <w:rsid w:val="00F12C04"/>
    <w:rsid w:val="00F13599"/>
    <w:rsid w:val="00F13B28"/>
    <w:rsid w:val="00F14C13"/>
    <w:rsid w:val="00F156A0"/>
    <w:rsid w:val="00F15730"/>
    <w:rsid w:val="00F176A6"/>
    <w:rsid w:val="00F202C2"/>
    <w:rsid w:val="00F212F6"/>
    <w:rsid w:val="00F2260B"/>
    <w:rsid w:val="00F22756"/>
    <w:rsid w:val="00F2282D"/>
    <w:rsid w:val="00F23248"/>
    <w:rsid w:val="00F23890"/>
    <w:rsid w:val="00F2504D"/>
    <w:rsid w:val="00F2637F"/>
    <w:rsid w:val="00F268F7"/>
    <w:rsid w:val="00F30043"/>
    <w:rsid w:val="00F30B83"/>
    <w:rsid w:val="00F30BDB"/>
    <w:rsid w:val="00F30CF8"/>
    <w:rsid w:val="00F31EDF"/>
    <w:rsid w:val="00F32CDE"/>
    <w:rsid w:val="00F32D4C"/>
    <w:rsid w:val="00F3327E"/>
    <w:rsid w:val="00F338C3"/>
    <w:rsid w:val="00F34B14"/>
    <w:rsid w:val="00F34F58"/>
    <w:rsid w:val="00F35DA7"/>
    <w:rsid w:val="00F36619"/>
    <w:rsid w:val="00F36A6A"/>
    <w:rsid w:val="00F40101"/>
    <w:rsid w:val="00F404F7"/>
    <w:rsid w:val="00F40CCA"/>
    <w:rsid w:val="00F42D97"/>
    <w:rsid w:val="00F42FCF"/>
    <w:rsid w:val="00F436B2"/>
    <w:rsid w:val="00F43813"/>
    <w:rsid w:val="00F43FEE"/>
    <w:rsid w:val="00F4492F"/>
    <w:rsid w:val="00F44DFD"/>
    <w:rsid w:val="00F45A72"/>
    <w:rsid w:val="00F46723"/>
    <w:rsid w:val="00F4706D"/>
    <w:rsid w:val="00F476E1"/>
    <w:rsid w:val="00F47D1D"/>
    <w:rsid w:val="00F47F29"/>
    <w:rsid w:val="00F50016"/>
    <w:rsid w:val="00F5118A"/>
    <w:rsid w:val="00F51A21"/>
    <w:rsid w:val="00F52614"/>
    <w:rsid w:val="00F52742"/>
    <w:rsid w:val="00F5276E"/>
    <w:rsid w:val="00F52E9F"/>
    <w:rsid w:val="00F53304"/>
    <w:rsid w:val="00F53B81"/>
    <w:rsid w:val="00F540FE"/>
    <w:rsid w:val="00F5459A"/>
    <w:rsid w:val="00F556FF"/>
    <w:rsid w:val="00F55D12"/>
    <w:rsid w:val="00F5687F"/>
    <w:rsid w:val="00F56A6D"/>
    <w:rsid w:val="00F56D3F"/>
    <w:rsid w:val="00F575C7"/>
    <w:rsid w:val="00F57FD0"/>
    <w:rsid w:val="00F60305"/>
    <w:rsid w:val="00F61725"/>
    <w:rsid w:val="00F61B12"/>
    <w:rsid w:val="00F61C70"/>
    <w:rsid w:val="00F63264"/>
    <w:rsid w:val="00F634E4"/>
    <w:rsid w:val="00F6379E"/>
    <w:rsid w:val="00F64047"/>
    <w:rsid w:val="00F65171"/>
    <w:rsid w:val="00F6560D"/>
    <w:rsid w:val="00F67844"/>
    <w:rsid w:val="00F67AFD"/>
    <w:rsid w:val="00F70799"/>
    <w:rsid w:val="00F70A8B"/>
    <w:rsid w:val="00F70B8D"/>
    <w:rsid w:val="00F712A2"/>
    <w:rsid w:val="00F7138B"/>
    <w:rsid w:val="00F7162F"/>
    <w:rsid w:val="00F71936"/>
    <w:rsid w:val="00F724FB"/>
    <w:rsid w:val="00F726B8"/>
    <w:rsid w:val="00F72A26"/>
    <w:rsid w:val="00F733C3"/>
    <w:rsid w:val="00F738BE"/>
    <w:rsid w:val="00F746A1"/>
    <w:rsid w:val="00F74820"/>
    <w:rsid w:val="00F756DD"/>
    <w:rsid w:val="00F77F4E"/>
    <w:rsid w:val="00F80047"/>
    <w:rsid w:val="00F800C7"/>
    <w:rsid w:val="00F80AA9"/>
    <w:rsid w:val="00F8104D"/>
    <w:rsid w:val="00F8153F"/>
    <w:rsid w:val="00F81587"/>
    <w:rsid w:val="00F8288F"/>
    <w:rsid w:val="00F8376E"/>
    <w:rsid w:val="00F83C52"/>
    <w:rsid w:val="00F84802"/>
    <w:rsid w:val="00F84BF9"/>
    <w:rsid w:val="00F85B72"/>
    <w:rsid w:val="00F86540"/>
    <w:rsid w:val="00F865CE"/>
    <w:rsid w:val="00F8766F"/>
    <w:rsid w:val="00F87D5C"/>
    <w:rsid w:val="00F90282"/>
    <w:rsid w:val="00F91082"/>
    <w:rsid w:val="00F9116D"/>
    <w:rsid w:val="00F91342"/>
    <w:rsid w:val="00F9194D"/>
    <w:rsid w:val="00F91A9A"/>
    <w:rsid w:val="00F92634"/>
    <w:rsid w:val="00F926D6"/>
    <w:rsid w:val="00F933F3"/>
    <w:rsid w:val="00F93ABB"/>
    <w:rsid w:val="00F94213"/>
    <w:rsid w:val="00F94D79"/>
    <w:rsid w:val="00F9658C"/>
    <w:rsid w:val="00F96EEB"/>
    <w:rsid w:val="00F97A7F"/>
    <w:rsid w:val="00F97CD0"/>
    <w:rsid w:val="00FA0889"/>
    <w:rsid w:val="00FA16E7"/>
    <w:rsid w:val="00FA31C7"/>
    <w:rsid w:val="00FA42E4"/>
    <w:rsid w:val="00FA472D"/>
    <w:rsid w:val="00FA681F"/>
    <w:rsid w:val="00FA6CBC"/>
    <w:rsid w:val="00FB05D9"/>
    <w:rsid w:val="00FB0CBF"/>
    <w:rsid w:val="00FB18F6"/>
    <w:rsid w:val="00FB286A"/>
    <w:rsid w:val="00FB2A52"/>
    <w:rsid w:val="00FB3F92"/>
    <w:rsid w:val="00FB52C7"/>
    <w:rsid w:val="00FB57DC"/>
    <w:rsid w:val="00FB6E19"/>
    <w:rsid w:val="00FB71F6"/>
    <w:rsid w:val="00FC07AF"/>
    <w:rsid w:val="00FC0AF8"/>
    <w:rsid w:val="00FC0B69"/>
    <w:rsid w:val="00FC1483"/>
    <w:rsid w:val="00FC1C47"/>
    <w:rsid w:val="00FC3102"/>
    <w:rsid w:val="00FC39ED"/>
    <w:rsid w:val="00FC4195"/>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3B00"/>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9D2"/>
    <w:rsid w:val="00FF1C9B"/>
    <w:rsid w:val="00FF1D49"/>
    <w:rsid w:val="00FF203B"/>
    <w:rsid w:val="00FF2562"/>
    <w:rsid w:val="00FF3A41"/>
    <w:rsid w:val="00FF3E5B"/>
    <w:rsid w:val="00FF57E4"/>
    <w:rsid w:val="00FF78E5"/>
    <w:rsid w:val="012C5FAF"/>
    <w:rsid w:val="01AF3D99"/>
    <w:rsid w:val="01CA63E4"/>
    <w:rsid w:val="02511F9D"/>
    <w:rsid w:val="02DB0793"/>
    <w:rsid w:val="02E90D84"/>
    <w:rsid w:val="02F0530D"/>
    <w:rsid w:val="02F519EC"/>
    <w:rsid w:val="039739BA"/>
    <w:rsid w:val="03A314B8"/>
    <w:rsid w:val="03A5079A"/>
    <w:rsid w:val="03D82B98"/>
    <w:rsid w:val="03F83E8B"/>
    <w:rsid w:val="03FC36B3"/>
    <w:rsid w:val="04297968"/>
    <w:rsid w:val="04BC2297"/>
    <w:rsid w:val="04CB5FDF"/>
    <w:rsid w:val="04ED0B8D"/>
    <w:rsid w:val="05C56868"/>
    <w:rsid w:val="05EE0568"/>
    <w:rsid w:val="0677683B"/>
    <w:rsid w:val="06C11320"/>
    <w:rsid w:val="07054BF2"/>
    <w:rsid w:val="073360BD"/>
    <w:rsid w:val="073C7886"/>
    <w:rsid w:val="0749768F"/>
    <w:rsid w:val="07A539BD"/>
    <w:rsid w:val="07A97B94"/>
    <w:rsid w:val="07B602B4"/>
    <w:rsid w:val="07B72767"/>
    <w:rsid w:val="08077E72"/>
    <w:rsid w:val="084C38DA"/>
    <w:rsid w:val="0881693C"/>
    <w:rsid w:val="08882DD0"/>
    <w:rsid w:val="08D3640D"/>
    <w:rsid w:val="09224C05"/>
    <w:rsid w:val="09390F9C"/>
    <w:rsid w:val="09862E1C"/>
    <w:rsid w:val="09BD43D0"/>
    <w:rsid w:val="09CC2AAC"/>
    <w:rsid w:val="0A3B016C"/>
    <w:rsid w:val="0A652D3E"/>
    <w:rsid w:val="0AB964B3"/>
    <w:rsid w:val="0B2014EC"/>
    <w:rsid w:val="0B326F2A"/>
    <w:rsid w:val="0B640F3B"/>
    <w:rsid w:val="0B7B218C"/>
    <w:rsid w:val="0B7C1642"/>
    <w:rsid w:val="0BAB2C6B"/>
    <w:rsid w:val="0BD47E6F"/>
    <w:rsid w:val="0BEA7692"/>
    <w:rsid w:val="0C0E6533"/>
    <w:rsid w:val="0C1E2888"/>
    <w:rsid w:val="0C92213C"/>
    <w:rsid w:val="0CC2027E"/>
    <w:rsid w:val="0CDB05AD"/>
    <w:rsid w:val="0CEC743A"/>
    <w:rsid w:val="0D15073F"/>
    <w:rsid w:val="0D626DEB"/>
    <w:rsid w:val="0D84032B"/>
    <w:rsid w:val="0D847672"/>
    <w:rsid w:val="0EBE6BB4"/>
    <w:rsid w:val="0ED131F4"/>
    <w:rsid w:val="0F2A74C4"/>
    <w:rsid w:val="0F401BB1"/>
    <w:rsid w:val="0F684FDE"/>
    <w:rsid w:val="0F9D2C6D"/>
    <w:rsid w:val="0FD22917"/>
    <w:rsid w:val="101166A5"/>
    <w:rsid w:val="10377635"/>
    <w:rsid w:val="106E2403"/>
    <w:rsid w:val="1090632E"/>
    <w:rsid w:val="10A27F31"/>
    <w:rsid w:val="11050ACA"/>
    <w:rsid w:val="113F6753"/>
    <w:rsid w:val="11927058"/>
    <w:rsid w:val="11F640E5"/>
    <w:rsid w:val="120E171E"/>
    <w:rsid w:val="121511E1"/>
    <w:rsid w:val="1226715F"/>
    <w:rsid w:val="12273735"/>
    <w:rsid w:val="122E76FE"/>
    <w:rsid w:val="12E82452"/>
    <w:rsid w:val="1350083E"/>
    <w:rsid w:val="135B70C7"/>
    <w:rsid w:val="13AF4F03"/>
    <w:rsid w:val="13C369CB"/>
    <w:rsid w:val="13C95DDF"/>
    <w:rsid w:val="14535BB2"/>
    <w:rsid w:val="14571F49"/>
    <w:rsid w:val="14736E66"/>
    <w:rsid w:val="147F458F"/>
    <w:rsid w:val="14AB6523"/>
    <w:rsid w:val="14B46A8F"/>
    <w:rsid w:val="14BA0683"/>
    <w:rsid w:val="150D2643"/>
    <w:rsid w:val="1534169A"/>
    <w:rsid w:val="156606F9"/>
    <w:rsid w:val="159D3F5E"/>
    <w:rsid w:val="15AE02D4"/>
    <w:rsid w:val="15C03E03"/>
    <w:rsid w:val="160161FA"/>
    <w:rsid w:val="160573B4"/>
    <w:rsid w:val="1611513B"/>
    <w:rsid w:val="162A25EB"/>
    <w:rsid w:val="16503754"/>
    <w:rsid w:val="16735895"/>
    <w:rsid w:val="168416B6"/>
    <w:rsid w:val="169D5FDA"/>
    <w:rsid w:val="16D60144"/>
    <w:rsid w:val="16FD2A55"/>
    <w:rsid w:val="17067C1A"/>
    <w:rsid w:val="171C091C"/>
    <w:rsid w:val="17366761"/>
    <w:rsid w:val="177C01F0"/>
    <w:rsid w:val="179E3EFA"/>
    <w:rsid w:val="17CE6630"/>
    <w:rsid w:val="17D74C08"/>
    <w:rsid w:val="17E31F91"/>
    <w:rsid w:val="18763A29"/>
    <w:rsid w:val="18886AE9"/>
    <w:rsid w:val="188B7BF3"/>
    <w:rsid w:val="189866C8"/>
    <w:rsid w:val="18A047F4"/>
    <w:rsid w:val="18D97E3B"/>
    <w:rsid w:val="192D3ABC"/>
    <w:rsid w:val="1934600E"/>
    <w:rsid w:val="197645E7"/>
    <w:rsid w:val="19E22711"/>
    <w:rsid w:val="19F3015E"/>
    <w:rsid w:val="1A024DB2"/>
    <w:rsid w:val="1A331062"/>
    <w:rsid w:val="1A3E7D0A"/>
    <w:rsid w:val="1A662C94"/>
    <w:rsid w:val="1AFF0AFE"/>
    <w:rsid w:val="1B48113B"/>
    <w:rsid w:val="1B4F19F8"/>
    <w:rsid w:val="1C085913"/>
    <w:rsid w:val="1C1F5EE0"/>
    <w:rsid w:val="1C507BEB"/>
    <w:rsid w:val="1CE0416D"/>
    <w:rsid w:val="1CF10155"/>
    <w:rsid w:val="1D293D92"/>
    <w:rsid w:val="1D3F6E25"/>
    <w:rsid w:val="1D58102D"/>
    <w:rsid w:val="1D7274E7"/>
    <w:rsid w:val="1DB01DBE"/>
    <w:rsid w:val="1DC5EDA9"/>
    <w:rsid w:val="1DF441FD"/>
    <w:rsid w:val="1E38517A"/>
    <w:rsid w:val="1E766870"/>
    <w:rsid w:val="1E8E6311"/>
    <w:rsid w:val="1ECC44FA"/>
    <w:rsid w:val="1EF108E0"/>
    <w:rsid w:val="1F063325"/>
    <w:rsid w:val="1FBC5DF5"/>
    <w:rsid w:val="1FF90588"/>
    <w:rsid w:val="20664CD7"/>
    <w:rsid w:val="206C78B8"/>
    <w:rsid w:val="20C3623F"/>
    <w:rsid w:val="20CD4FA8"/>
    <w:rsid w:val="211D2030"/>
    <w:rsid w:val="21206B6D"/>
    <w:rsid w:val="21667DBF"/>
    <w:rsid w:val="21781212"/>
    <w:rsid w:val="21B83F86"/>
    <w:rsid w:val="21C75F7F"/>
    <w:rsid w:val="21DD4C3A"/>
    <w:rsid w:val="221178A8"/>
    <w:rsid w:val="221213CF"/>
    <w:rsid w:val="22327A92"/>
    <w:rsid w:val="22DD5403"/>
    <w:rsid w:val="231D53A2"/>
    <w:rsid w:val="233169A6"/>
    <w:rsid w:val="233A0AA7"/>
    <w:rsid w:val="234E7E47"/>
    <w:rsid w:val="236D5383"/>
    <w:rsid w:val="23B7504C"/>
    <w:rsid w:val="24205E37"/>
    <w:rsid w:val="24571307"/>
    <w:rsid w:val="25110A2A"/>
    <w:rsid w:val="256C0944"/>
    <w:rsid w:val="2584600A"/>
    <w:rsid w:val="25BD151C"/>
    <w:rsid w:val="26446DE3"/>
    <w:rsid w:val="26877DFE"/>
    <w:rsid w:val="268D5392"/>
    <w:rsid w:val="269669E7"/>
    <w:rsid w:val="26A270C1"/>
    <w:rsid w:val="26B24DF9"/>
    <w:rsid w:val="26D7699F"/>
    <w:rsid w:val="273A5E93"/>
    <w:rsid w:val="27F52125"/>
    <w:rsid w:val="27F71EE5"/>
    <w:rsid w:val="28E92E68"/>
    <w:rsid w:val="291C739B"/>
    <w:rsid w:val="29BC2001"/>
    <w:rsid w:val="29C015DB"/>
    <w:rsid w:val="29D75F7F"/>
    <w:rsid w:val="2A73489F"/>
    <w:rsid w:val="2A8B3E7B"/>
    <w:rsid w:val="2A930F91"/>
    <w:rsid w:val="2AF635AB"/>
    <w:rsid w:val="2B071BAE"/>
    <w:rsid w:val="2B254AB2"/>
    <w:rsid w:val="2B59261C"/>
    <w:rsid w:val="2B7133D1"/>
    <w:rsid w:val="2B774624"/>
    <w:rsid w:val="2B992020"/>
    <w:rsid w:val="2C6C77F8"/>
    <w:rsid w:val="2C7A72BE"/>
    <w:rsid w:val="2C9805ED"/>
    <w:rsid w:val="2C9A7D75"/>
    <w:rsid w:val="2CC17412"/>
    <w:rsid w:val="2D003A0D"/>
    <w:rsid w:val="2D7352E2"/>
    <w:rsid w:val="2D7C1E99"/>
    <w:rsid w:val="2DB42E85"/>
    <w:rsid w:val="2DDC4C81"/>
    <w:rsid w:val="2E1A575D"/>
    <w:rsid w:val="2E9976CE"/>
    <w:rsid w:val="2EE132A5"/>
    <w:rsid w:val="2EEE1493"/>
    <w:rsid w:val="2EF01DEE"/>
    <w:rsid w:val="2F401D3C"/>
    <w:rsid w:val="2F5B24E1"/>
    <w:rsid w:val="2F74526F"/>
    <w:rsid w:val="2FA95C88"/>
    <w:rsid w:val="2FAD51C6"/>
    <w:rsid w:val="2FC22101"/>
    <w:rsid w:val="2FE542C2"/>
    <w:rsid w:val="3041370F"/>
    <w:rsid w:val="30965447"/>
    <w:rsid w:val="30B87FED"/>
    <w:rsid w:val="30D1056E"/>
    <w:rsid w:val="312B50A3"/>
    <w:rsid w:val="31894FD2"/>
    <w:rsid w:val="31F12C79"/>
    <w:rsid w:val="32453A27"/>
    <w:rsid w:val="32586D8C"/>
    <w:rsid w:val="325B7096"/>
    <w:rsid w:val="3263064A"/>
    <w:rsid w:val="32A43132"/>
    <w:rsid w:val="32AC0C06"/>
    <w:rsid w:val="32D163DA"/>
    <w:rsid w:val="332457B9"/>
    <w:rsid w:val="33266952"/>
    <w:rsid w:val="33344EF5"/>
    <w:rsid w:val="333539E1"/>
    <w:rsid w:val="33C7652A"/>
    <w:rsid w:val="3537750C"/>
    <w:rsid w:val="3537798C"/>
    <w:rsid w:val="35A87AF3"/>
    <w:rsid w:val="35C13FC9"/>
    <w:rsid w:val="35CB2A79"/>
    <w:rsid w:val="36372B05"/>
    <w:rsid w:val="364257B6"/>
    <w:rsid w:val="36905CF8"/>
    <w:rsid w:val="369211E9"/>
    <w:rsid w:val="37054F3D"/>
    <w:rsid w:val="371655CD"/>
    <w:rsid w:val="375551FE"/>
    <w:rsid w:val="3786388E"/>
    <w:rsid w:val="37C354C8"/>
    <w:rsid w:val="37EA5922"/>
    <w:rsid w:val="37FF4918"/>
    <w:rsid w:val="38276B93"/>
    <w:rsid w:val="382E58B8"/>
    <w:rsid w:val="384168A5"/>
    <w:rsid w:val="386542F3"/>
    <w:rsid w:val="386E1496"/>
    <w:rsid w:val="38AB7BD0"/>
    <w:rsid w:val="38AC3431"/>
    <w:rsid w:val="38E946AA"/>
    <w:rsid w:val="38F35768"/>
    <w:rsid w:val="38F66DC7"/>
    <w:rsid w:val="39026FB2"/>
    <w:rsid w:val="390A728E"/>
    <w:rsid w:val="39227BBC"/>
    <w:rsid w:val="392F2E16"/>
    <w:rsid w:val="395D4B3E"/>
    <w:rsid w:val="39AA09C7"/>
    <w:rsid w:val="39B03534"/>
    <w:rsid w:val="39E00529"/>
    <w:rsid w:val="3A0B64A7"/>
    <w:rsid w:val="3A574DDA"/>
    <w:rsid w:val="3ABB5E89"/>
    <w:rsid w:val="3AD3075A"/>
    <w:rsid w:val="3AE61031"/>
    <w:rsid w:val="3AF74C02"/>
    <w:rsid w:val="3BE61649"/>
    <w:rsid w:val="3BF7D70D"/>
    <w:rsid w:val="3C0059A5"/>
    <w:rsid w:val="3C134E78"/>
    <w:rsid w:val="3C3F2833"/>
    <w:rsid w:val="3C925059"/>
    <w:rsid w:val="3CB20523"/>
    <w:rsid w:val="3D3003AC"/>
    <w:rsid w:val="3D55DB30"/>
    <w:rsid w:val="3D5D76A3"/>
    <w:rsid w:val="3D924493"/>
    <w:rsid w:val="3DA71EF4"/>
    <w:rsid w:val="3DC24C44"/>
    <w:rsid w:val="3DF6345D"/>
    <w:rsid w:val="3E1804B4"/>
    <w:rsid w:val="3E2A771F"/>
    <w:rsid w:val="3E2B5515"/>
    <w:rsid w:val="3E4D4F28"/>
    <w:rsid w:val="3E93461E"/>
    <w:rsid w:val="3EB66C42"/>
    <w:rsid w:val="3ED92EC4"/>
    <w:rsid w:val="3EE13701"/>
    <w:rsid w:val="3EE6168C"/>
    <w:rsid w:val="3F1A4BB3"/>
    <w:rsid w:val="3F23643C"/>
    <w:rsid w:val="3F332D53"/>
    <w:rsid w:val="3F632CDC"/>
    <w:rsid w:val="3F9116F6"/>
    <w:rsid w:val="3F964D6C"/>
    <w:rsid w:val="3FBF6807"/>
    <w:rsid w:val="3FEE2A60"/>
    <w:rsid w:val="400A4B1A"/>
    <w:rsid w:val="40192BA6"/>
    <w:rsid w:val="40572841"/>
    <w:rsid w:val="40A01E79"/>
    <w:rsid w:val="40D459C1"/>
    <w:rsid w:val="40E1539F"/>
    <w:rsid w:val="40F83E05"/>
    <w:rsid w:val="414859BC"/>
    <w:rsid w:val="416C57BC"/>
    <w:rsid w:val="41766EA9"/>
    <w:rsid w:val="41F1637D"/>
    <w:rsid w:val="42550A18"/>
    <w:rsid w:val="429D496A"/>
    <w:rsid w:val="42F473A1"/>
    <w:rsid w:val="432924BB"/>
    <w:rsid w:val="432D5ABE"/>
    <w:rsid w:val="437217EA"/>
    <w:rsid w:val="43AB7156"/>
    <w:rsid w:val="43B35F95"/>
    <w:rsid w:val="43D32954"/>
    <w:rsid w:val="441E62C0"/>
    <w:rsid w:val="442567B2"/>
    <w:rsid w:val="44735DBE"/>
    <w:rsid w:val="44911413"/>
    <w:rsid w:val="449235DA"/>
    <w:rsid w:val="44AB3F56"/>
    <w:rsid w:val="44BF09B5"/>
    <w:rsid w:val="44D51F86"/>
    <w:rsid w:val="45325D14"/>
    <w:rsid w:val="45343151"/>
    <w:rsid w:val="45811C7C"/>
    <w:rsid w:val="45906116"/>
    <w:rsid w:val="45931B8C"/>
    <w:rsid w:val="45AF648D"/>
    <w:rsid w:val="45D36B7A"/>
    <w:rsid w:val="45DC3E93"/>
    <w:rsid w:val="45EF2552"/>
    <w:rsid w:val="466D7AE1"/>
    <w:rsid w:val="468B3EFB"/>
    <w:rsid w:val="470A6193"/>
    <w:rsid w:val="471524DB"/>
    <w:rsid w:val="47385210"/>
    <w:rsid w:val="47431D76"/>
    <w:rsid w:val="474B49F8"/>
    <w:rsid w:val="475510F8"/>
    <w:rsid w:val="4764092B"/>
    <w:rsid w:val="47940848"/>
    <w:rsid w:val="47DC4F5C"/>
    <w:rsid w:val="480D0DB2"/>
    <w:rsid w:val="482577C1"/>
    <w:rsid w:val="48376DBE"/>
    <w:rsid w:val="484B5E2B"/>
    <w:rsid w:val="488D26D1"/>
    <w:rsid w:val="48B40671"/>
    <w:rsid w:val="48D0541D"/>
    <w:rsid w:val="48E35283"/>
    <w:rsid w:val="49793828"/>
    <w:rsid w:val="497E14BA"/>
    <w:rsid w:val="499B5738"/>
    <w:rsid w:val="499F244D"/>
    <w:rsid w:val="4A076B07"/>
    <w:rsid w:val="4A0D193D"/>
    <w:rsid w:val="4A473705"/>
    <w:rsid w:val="4A523067"/>
    <w:rsid w:val="4A973F3F"/>
    <w:rsid w:val="4AEB59AA"/>
    <w:rsid w:val="4AF07B1A"/>
    <w:rsid w:val="4AF96BC7"/>
    <w:rsid w:val="4B0B6702"/>
    <w:rsid w:val="4B0E7FA0"/>
    <w:rsid w:val="4B136131"/>
    <w:rsid w:val="4B1B446B"/>
    <w:rsid w:val="4B264527"/>
    <w:rsid w:val="4B5C0D0B"/>
    <w:rsid w:val="4B731E2B"/>
    <w:rsid w:val="4B862A85"/>
    <w:rsid w:val="4B865A12"/>
    <w:rsid w:val="4B8F37A5"/>
    <w:rsid w:val="4C676FF2"/>
    <w:rsid w:val="4C6E1FCA"/>
    <w:rsid w:val="4C952A0B"/>
    <w:rsid w:val="4CEF36E2"/>
    <w:rsid w:val="4CEF4DC5"/>
    <w:rsid w:val="4D4E1818"/>
    <w:rsid w:val="4E257655"/>
    <w:rsid w:val="4F0C47F7"/>
    <w:rsid w:val="4F372380"/>
    <w:rsid w:val="4F372FFB"/>
    <w:rsid w:val="4F6B2677"/>
    <w:rsid w:val="4F982BE8"/>
    <w:rsid w:val="5023004A"/>
    <w:rsid w:val="5025116D"/>
    <w:rsid w:val="504B3A3A"/>
    <w:rsid w:val="50511EF8"/>
    <w:rsid w:val="505748CA"/>
    <w:rsid w:val="511F56AD"/>
    <w:rsid w:val="515775A5"/>
    <w:rsid w:val="51FC0EF6"/>
    <w:rsid w:val="523227C6"/>
    <w:rsid w:val="52395ECD"/>
    <w:rsid w:val="527A0585"/>
    <w:rsid w:val="52972F71"/>
    <w:rsid w:val="52C10D75"/>
    <w:rsid w:val="52C654DE"/>
    <w:rsid w:val="52E02222"/>
    <w:rsid w:val="52F43F1F"/>
    <w:rsid w:val="533E33EC"/>
    <w:rsid w:val="53813CD1"/>
    <w:rsid w:val="53C17F20"/>
    <w:rsid w:val="53C27FF8"/>
    <w:rsid w:val="54074D86"/>
    <w:rsid w:val="54085ED4"/>
    <w:rsid w:val="54693094"/>
    <w:rsid w:val="54806794"/>
    <w:rsid w:val="549E1A80"/>
    <w:rsid w:val="54AC796B"/>
    <w:rsid w:val="54C658F4"/>
    <w:rsid w:val="550C4BD7"/>
    <w:rsid w:val="554C1D56"/>
    <w:rsid w:val="55572986"/>
    <w:rsid w:val="558F4824"/>
    <w:rsid w:val="561A1EEF"/>
    <w:rsid w:val="56403B91"/>
    <w:rsid w:val="565340FA"/>
    <w:rsid w:val="56AC0BBA"/>
    <w:rsid w:val="56AD2D63"/>
    <w:rsid w:val="56AD5F59"/>
    <w:rsid w:val="56C60774"/>
    <w:rsid w:val="57041B21"/>
    <w:rsid w:val="5785783C"/>
    <w:rsid w:val="578710DA"/>
    <w:rsid w:val="57B12A52"/>
    <w:rsid w:val="57FE765E"/>
    <w:rsid w:val="58185D08"/>
    <w:rsid w:val="582502AE"/>
    <w:rsid w:val="58462D6F"/>
    <w:rsid w:val="58494A08"/>
    <w:rsid w:val="59873CF5"/>
    <w:rsid w:val="598A6CBB"/>
    <w:rsid w:val="59E94924"/>
    <w:rsid w:val="5A125413"/>
    <w:rsid w:val="5A2F2CC8"/>
    <w:rsid w:val="5A64198B"/>
    <w:rsid w:val="5A6C17A9"/>
    <w:rsid w:val="5AA61A39"/>
    <w:rsid w:val="5B143D77"/>
    <w:rsid w:val="5BF2638F"/>
    <w:rsid w:val="5C10702D"/>
    <w:rsid w:val="5C152601"/>
    <w:rsid w:val="5C591F03"/>
    <w:rsid w:val="5C8A1B2F"/>
    <w:rsid w:val="5CE17AD2"/>
    <w:rsid w:val="5D2F32EF"/>
    <w:rsid w:val="5D717703"/>
    <w:rsid w:val="5D835406"/>
    <w:rsid w:val="5E580BAB"/>
    <w:rsid w:val="5EA37071"/>
    <w:rsid w:val="5ECA51B2"/>
    <w:rsid w:val="5F561B72"/>
    <w:rsid w:val="5F70492E"/>
    <w:rsid w:val="5F7268F8"/>
    <w:rsid w:val="5F8A1BF4"/>
    <w:rsid w:val="60166ED1"/>
    <w:rsid w:val="606007BB"/>
    <w:rsid w:val="6067606B"/>
    <w:rsid w:val="60AC7F66"/>
    <w:rsid w:val="60DA7449"/>
    <w:rsid w:val="611020A4"/>
    <w:rsid w:val="61104F18"/>
    <w:rsid w:val="61525E11"/>
    <w:rsid w:val="61BF10D9"/>
    <w:rsid w:val="623A031E"/>
    <w:rsid w:val="6260512D"/>
    <w:rsid w:val="62782477"/>
    <w:rsid w:val="62AC22DC"/>
    <w:rsid w:val="62B9483E"/>
    <w:rsid w:val="631B787A"/>
    <w:rsid w:val="63A22BFD"/>
    <w:rsid w:val="63A44570"/>
    <w:rsid w:val="63FC0C50"/>
    <w:rsid w:val="644D7933"/>
    <w:rsid w:val="647F358F"/>
    <w:rsid w:val="64BF140F"/>
    <w:rsid w:val="64DF305F"/>
    <w:rsid w:val="64E45EF7"/>
    <w:rsid w:val="64F74FD4"/>
    <w:rsid w:val="654E77B3"/>
    <w:rsid w:val="6553458D"/>
    <w:rsid w:val="659C12E2"/>
    <w:rsid w:val="660145E4"/>
    <w:rsid w:val="666814C0"/>
    <w:rsid w:val="6691014E"/>
    <w:rsid w:val="66955BDE"/>
    <w:rsid w:val="66C87CCE"/>
    <w:rsid w:val="670A7D41"/>
    <w:rsid w:val="672470EA"/>
    <w:rsid w:val="677435B2"/>
    <w:rsid w:val="67753E1B"/>
    <w:rsid w:val="67955138"/>
    <w:rsid w:val="67B66297"/>
    <w:rsid w:val="67EF75F1"/>
    <w:rsid w:val="680D207D"/>
    <w:rsid w:val="681D23C6"/>
    <w:rsid w:val="68375939"/>
    <w:rsid w:val="684F4F11"/>
    <w:rsid w:val="6908033F"/>
    <w:rsid w:val="69124F16"/>
    <w:rsid w:val="69180510"/>
    <w:rsid w:val="69730F58"/>
    <w:rsid w:val="699566AD"/>
    <w:rsid w:val="69CD5C14"/>
    <w:rsid w:val="69CF0D33"/>
    <w:rsid w:val="69FB26A2"/>
    <w:rsid w:val="6A1324E4"/>
    <w:rsid w:val="6A3E2228"/>
    <w:rsid w:val="6A6E1A38"/>
    <w:rsid w:val="6AAE27AE"/>
    <w:rsid w:val="6AD054F4"/>
    <w:rsid w:val="6B9946B3"/>
    <w:rsid w:val="6BB61D4A"/>
    <w:rsid w:val="6BE518DA"/>
    <w:rsid w:val="6C276F3A"/>
    <w:rsid w:val="6C440237"/>
    <w:rsid w:val="6C7007C7"/>
    <w:rsid w:val="6C701104"/>
    <w:rsid w:val="6C896FE9"/>
    <w:rsid w:val="6CD8472C"/>
    <w:rsid w:val="6D3A623C"/>
    <w:rsid w:val="6D462A4F"/>
    <w:rsid w:val="6DE76850"/>
    <w:rsid w:val="6E220F6C"/>
    <w:rsid w:val="6E281775"/>
    <w:rsid w:val="6E714157"/>
    <w:rsid w:val="6EC802E2"/>
    <w:rsid w:val="6EF966EE"/>
    <w:rsid w:val="6F090932"/>
    <w:rsid w:val="6FB20BD4"/>
    <w:rsid w:val="6FBA59BE"/>
    <w:rsid w:val="6FBD48A6"/>
    <w:rsid w:val="6FE6A766"/>
    <w:rsid w:val="6FFB5CAF"/>
    <w:rsid w:val="70296B3E"/>
    <w:rsid w:val="702E1F53"/>
    <w:rsid w:val="70611204"/>
    <w:rsid w:val="706A7177"/>
    <w:rsid w:val="70765A78"/>
    <w:rsid w:val="70C86B24"/>
    <w:rsid w:val="7165620F"/>
    <w:rsid w:val="717039F8"/>
    <w:rsid w:val="71854C71"/>
    <w:rsid w:val="719C15B2"/>
    <w:rsid w:val="71A41DC6"/>
    <w:rsid w:val="71F320E9"/>
    <w:rsid w:val="72417E26"/>
    <w:rsid w:val="72435ED2"/>
    <w:rsid w:val="724801DD"/>
    <w:rsid w:val="72A742F2"/>
    <w:rsid w:val="72B56F40"/>
    <w:rsid w:val="72BF0CD3"/>
    <w:rsid w:val="72D66D46"/>
    <w:rsid w:val="72DD1925"/>
    <w:rsid w:val="72E5035E"/>
    <w:rsid w:val="7315161C"/>
    <w:rsid w:val="735A6BC8"/>
    <w:rsid w:val="737541F2"/>
    <w:rsid w:val="738A14AE"/>
    <w:rsid w:val="73F676A0"/>
    <w:rsid w:val="740E2D8A"/>
    <w:rsid w:val="746226B4"/>
    <w:rsid w:val="74844CAB"/>
    <w:rsid w:val="74A40EAA"/>
    <w:rsid w:val="74D13AD5"/>
    <w:rsid w:val="74FA2C30"/>
    <w:rsid w:val="754D5C4B"/>
    <w:rsid w:val="75A629FF"/>
    <w:rsid w:val="760065B4"/>
    <w:rsid w:val="761622C0"/>
    <w:rsid w:val="764C17F9"/>
    <w:rsid w:val="76700D9C"/>
    <w:rsid w:val="767A7E6A"/>
    <w:rsid w:val="76827860"/>
    <w:rsid w:val="769D1266"/>
    <w:rsid w:val="76A50133"/>
    <w:rsid w:val="76AF247D"/>
    <w:rsid w:val="76C240A7"/>
    <w:rsid w:val="76C24F9C"/>
    <w:rsid w:val="76DA416A"/>
    <w:rsid w:val="775246B7"/>
    <w:rsid w:val="77A954CC"/>
    <w:rsid w:val="77B43AFA"/>
    <w:rsid w:val="77D65690"/>
    <w:rsid w:val="77EB5041"/>
    <w:rsid w:val="781E69D1"/>
    <w:rsid w:val="782F217D"/>
    <w:rsid w:val="78411105"/>
    <w:rsid w:val="784C72E1"/>
    <w:rsid w:val="785901FD"/>
    <w:rsid w:val="78CC09CF"/>
    <w:rsid w:val="78DB50B6"/>
    <w:rsid w:val="7901747F"/>
    <w:rsid w:val="79392CCD"/>
    <w:rsid w:val="795A247F"/>
    <w:rsid w:val="795B7FA5"/>
    <w:rsid w:val="79DB2155"/>
    <w:rsid w:val="7A263B6B"/>
    <w:rsid w:val="7A5B5D1F"/>
    <w:rsid w:val="7AA53BCD"/>
    <w:rsid w:val="7ADF0491"/>
    <w:rsid w:val="7AEE489F"/>
    <w:rsid w:val="7AF46346"/>
    <w:rsid w:val="7B02692A"/>
    <w:rsid w:val="7B0F5EBF"/>
    <w:rsid w:val="7B130FB9"/>
    <w:rsid w:val="7B18614D"/>
    <w:rsid w:val="7B3F72EA"/>
    <w:rsid w:val="7B9D0B8F"/>
    <w:rsid w:val="7BB60C97"/>
    <w:rsid w:val="7BD71E38"/>
    <w:rsid w:val="7BF64EDE"/>
    <w:rsid w:val="7C400C1E"/>
    <w:rsid w:val="7C420256"/>
    <w:rsid w:val="7C4265B5"/>
    <w:rsid w:val="7CE56503"/>
    <w:rsid w:val="7D1F9B15"/>
    <w:rsid w:val="7D5D078F"/>
    <w:rsid w:val="7DCC0512"/>
    <w:rsid w:val="7DD11708"/>
    <w:rsid w:val="7DE31FEF"/>
    <w:rsid w:val="7DEE4A4F"/>
    <w:rsid w:val="7DFA2715"/>
    <w:rsid w:val="7E6C6CF7"/>
    <w:rsid w:val="7EAE6230"/>
    <w:rsid w:val="7EBD579E"/>
    <w:rsid w:val="7EC167BD"/>
    <w:rsid w:val="7ED95BF4"/>
    <w:rsid w:val="7EEF4B84"/>
    <w:rsid w:val="7EF35613"/>
    <w:rsid w:val="7EF5C355"/>
    <w:rsid w:val="7F272D9E"/>
    <w:rsid w:val="7F71407E"/>
    <w:rsid w:val="7F9B10FB"/>
    <w:rsid w:val="7FC900BF"/>
    <w:rsid w:val="B3EC9A3F"/>
    <w:rsid w:val="B93F27DE"/>
    <w:rsid w:val="BAFE33D7"/>
    <w:rsid w:val="D3EC9DBF"/>
    <w:rsid w:val="D6F71C33"/>
    <w:rsid w:val="D7FF16CB"/>
    <w:rsid w:val="DEF6AC2E"/>
    <w:rsid w:val="E6CFF7DE"/>
    <w:rsid w:val="E7FE0352"/>
    <w:rsid w:val="EE6F0811"/>
    <w:rsid w:val="EFDD103F"/>
    <w:rsid w:val="F5DF0600"/>
    <w:rsid w:val="F5EEEF7F"/>
    <w:rsid w:val="F9ABFCB9"/>
    <w:rsid w:val="FD69E651"/>
    <w:rsid w:val="FEDB963E"/>
    <w:rsid w:val="FF9D1C6C"/>
    <w:rsid w:val="FFFF43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name="Body Text First Indent"/>
    <w:lsdException w:qFormat="1" w:uiPriority="99" w:semiHidden="0" w:name="Body Text First Indent 2"/>
    <w:lsdException w:uiPriority="99" w:name="Note Heading"/>
    <w:lsdException w:qFormat="1" w:uiPriority="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8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8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50"/>
    <w:qFormat/>
    <w:uiPriority w:val="9"/>
    <w:pPr>
      <w:keepNext/>
      <w:keepLines/>
      <w:spacing w:before="280" w:after="290" w:line="376" w:lineRule="auto"/>
      <w:outlineLvl w:val="4"/>
    </w:pPr>
    <w:rPr>
      <w:b/>
      <w:bCs/>
      <w:sz w:val="28"/>
      <w:szCs w:val="28"/>
    </w:rPr>
  </w:style>
  <w:style w:type="paragraph" w:styleId="8">
    <w:name w:val="heading 6"/>
    <w:basedOn w:val="1"/>
    <w:next w:val="1"/>
    <w:link w:val="91"/>
    <w:semiHidden/>
    <w:unhideWhenUsed/>
    <w:qFormat/>
    <w:uiPriority w:val="9"/>
    <w:pPr>
      <w:keepNext/>
      <w:keepLines/>
      <w:spacing w:before="240" w:after="64" w:line="316" w:lineRule="auto"/>
      <w:ind w:left="1151"/>
      <w:outlineLvl w:val="5"/>
    </w:pPr>
    <w:rPr>
      <w:rFonts w:ascii="Arial" w:hAnsi="Arial" w:eastAsia="黑体" w:cstheme="minorBidi"/>
      <w:b/>
      <w:sz w:val="24"/>
    </w:rPr>
  </w:style>
  <w:style w:type="paragraph" w:styleId="9">
    <w:name w:val="heading 7"/>
    <w:basedOn w:val="1"/>
    <w:next w:val="1"/>
    <w:link w:val="92"/>
    <w:semiHidden/>
    <w:unhideWhenUsed/>
    <w:qFormat/>
    <w:uiPriority w:val="9"/>
    <w:pPr>
      <w:keepNext/>
      <w:keepLines/>
      <w:spacing w:before="240" w:after="64" w:line="316" w:lineRule="auto"/>
      <w:ind w:left="1296"/>
      <w:outlineLvl w:val="6"/>
    </w:pPr>
    <w:rPr>
      <w:rFonts w:cstheme="minorBidi"/>
      <w:b/>
      <w:sz w:val="24"/>
    </w:rPr>
  </w:style>
  <w:style w:type="paragraph" w:styleId="10">
    <w:name w:val="heading 8"/>
    <w:basedOn w:val="1"/>
    <w:next w:val="1"/>
    <w:link w:val="51"/>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93"/>
    <w:semiHidden/>
    <w:unhideWhenUsed/>
    <w:qFormat/>
    <w:uiPriority w:val="9"/>
    <w:pPr>
      <w:keepNext/>
      <w:keepLines/>
      <w:spacing w:before="240" w:after="64" w:line="316" w:lineRule="auto"/>
      <w:ind w:left="1583"/>
      <w:outlineLvl w:val="8"/>
    </w:pPr>
    <w:rPr>
      <w:rFonts w:ascii="Arial" w:hAnsi="Arial" w:eastAsia="黑体" w:cstheme="minorBidi"/>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semiHidden/>
    <w:unhideWhenUsed/>
    <w:qFormat/>
    <w:uiPriority w:val="35"/>
    <w:pPr>
      <w:spacing w:line="360" w:lineRule="auto"/>
      <w:jc w:val="center"/>
    </w:pPr>
    <w:rPr>
      <w:rFonts w:eastAsia="黑体" w:asciiTheme="majorHAnsi" w:hAnsiTheme="majorHAnsi" w:cstheme="majorBidi"/>
      <w:sz w:val="20"/>
      <w:szCs w:val="20"/>
    </w:rPr>
  </w:style>
  <w:style w:type="paragraph" w:styleId="14">
    <w:name w:val="annotation text"/>
    <w:basedOn w:val="1"/>
    <w:link w:val="52"/>
    <w:qFormat/>
    <w:uiPriority w:val="0"/>
    <w:pPr>
      <w:jc w:val="left"/>
    </w:pPr>
  </w:style>
  <w:style w:type="paragraph" w:styleId="15">
    <w:name w:val="Body Text 3"/>
    <w:basedOn w:val="1"/>
    <w:link w:val="53"/>
    <w:unhideWhenUsed/>
    <w:qFormat/>
    <w:uiPriority w:val="99"/>
    <w:pPr>
      <w:spacing w:after="120"/>
    </w:pPr>
    <w:rPr>
      <w:sz w:val="16"/>
      <w:szCs w:val="16"/>
    </w:rPr>
  </w:style>
  <w:style w:type="paragraph" w:styleId="16">
    <w:name w:val="Body Text"/>
    <w:basedOn w:val="1"/>
    <w:next w:val="1"/>
    <w:link w:val="54"/>
    <w:unhideWhenUsed/>
    <w:qFormat/>
    <w:uiPriority w:val="0"/>
    <w:pPr>
      <w:spacing w:after="120"/>
    </w:pPr>
  </w:style>
  <w:style w:type="paragraph" w:styleId="17">
    <w:name w:val="Body Text Indent"/>
    <w:basedOn w:val="1"/>
    <w:link w:val="55"/>
    <w:qFormat/>
    <w:uiPriority w:val="0"/>
    <w:pPr>
      <w:ind w:firstLine="830" w:firstLineChars="352"/>
    </w:pPr>
    <w:rPr>
      <w:rFonts w:ascii="仿宋_GB2312" w:eastAsia="仿宋_GB2312"/>
      <w:kern w:val="0"/>
      <w:sz w:val="32"/>
      <w:szCs w:val="20"/>
    </w:rPr>
  </w:style>
  <w:style w:type="paragraph" w:styleId="18">
    <w:name w:val="List 2"/>
    <w:basedOn w:val="1"/>
    <w:unhideWhenUsed/>
    <w:qFormat/>
    <w:uiPriority w:val="99"/>
    <w:pPr>
      <w:ind w:left="100" w:leftChars="200" w:hanging="200" w:hangingChars="200"/>
      <w:contextualSpacing/>
    </w:pPr>
  </w:style>
  <w:style w:type="paragraph" w:styleId="19">
    <w:name w:val="toc 3"/>
    <w:basedOn w:val="1"/>
    <w:next w:val="1"/>
    <w:semiHidden/>
    <w:unhideWhenUsed/>
    <w:qFormat/>
    <w:uiPriority w:val="39"/>
    <w:pPr>
      <w:spacing w:line="360" w:lineRule="auto"/>
      <w:ind w:left="400" w:leftChars="400" w:firstLine="560" w:firstLineChars="200"/>
    </w:pPr>
    <w:rPr>
      <w:rFonts w:eastAsia="黑体" w:cstheme="minorBidi"/>
      <w:sz w:val="28"/>
    </w:rPr>
  </w:style>
  <w:style w:type="paragraph" w:styleId="20">
    <w:name w:val="Plain Text"/>
    <w:basedOn w:val="1"/>
    <w:link w:val="56"/>
    <w:qFormat/>
    <w:uiPriority w:val="0"/>
    <w:rPr>
      <w:rFonts w:ascii="宋体" w:hAnsi="Courier New"/>
      <w:kern w:val="0"/>
      <w:sz w:val="20"/>
      <w:szCs w:val="21"/>
    </w:rPr>
  </w:style>
  <w:style w:type="paragraph" w:styleId="21">
    <w:name w:val="Date"/>
    <w:basedOn w:val="1"/>
    <w:next w:val="1"/>
    <w:link w:val="57"/>
    <w:unhideWhenUsed/>
    <w:qFormat/>
    <w:uiPriority w:val="99"/>
    <w:pPr>
      <w:ind w:left="100" w:leftChars="2500"/>
    </w:pPr>
  </w:style>
  <w:style w:type="paragraph" w:styleId="22">
    <w:name w:val="Balloon Text"/>
    <w:basedOn w:val="1"/>
    <w:link w:val="97"/>
    <w:semiHidden/>
    <w:qFormat/>
    <w:uiPriority w:val="99"/>
    <w:rPr>
      <w:sz w:val="18"/>
      <w:szCs w:val="18"/>
    </w:rPr>
  </w:style>
  <w:style w:type="paragraph" w:styleId="23">
    <w:name w:val="footer"/>
    <w:basedOn w:val="1"/>
    <w:link w:val="58"/>
    <w:unhideWhenUsed/>
    <w:qFormat/>
    <w:uiPriority w:val="99"/>
    <w:pPr>
      <w:tabs>
        <w:tab w:val="center" w:pos="4153"/>
        <w:tab w:val="right" w:pos="8306"/>
      </w:tabs>
      <w:snapToGrid w:val="0"/>
      <w:jc w:val="left"/>
    </w:pPr>
    <w:rPr>
      <w:kern w:val="0"/>
      <w:sz w:val="18"/>
      <w:szCs w:val="18"/>
    </w:rPr>
  </w:style>
  <w:style w:type="paragraph" w:styleId="24">
    <w:name w:val="header"/>
    <w:basedOn w:val="1"/>
    <w:link w:val="5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style>
  <w:style w:type="paragraph" w:styleId="26">
    <w:name w:val="List"/>
    <w:basedOn w:val="1"/>
    <w:qFormat/>
    <w:uiPriority w:val="0"/>
    <w:pPr>
      <w:ind w:left="200" w:hanging="200" w:hangingChars="200"/>
    </w:pPr>
    <w:rPr>
      <w:sz w:val="28"/>
    </w:rPr>
  </w:style>
  <w:style w:type="paragraph" w:styleId="27">
    <w:name w:val="toc 2"/>
    <w:basedOn w:val="1"/>
    <w:next w:val="1"/>
    <w:unhideWhenUsed/>
    <w:qFormat/>
    <w:uiPriority w:val="39"/>
    <w:pPr>
      <w:tabs>
        <w:tab w:val="right" w:leader="dot" w:pos="8296"/>
      </w:tabs>
      <w:ind w:left="420" w:leftChars="200"/>
    </w:pPr>
  </w:style>
  <w:style w:type="paragraph" w:styleId="28">
    <w:name w:val="Body Text 2"/>
    <w:basedOn w:val="1"/>
    <w:link w:val="96"/>
    <w:semiHidden/>
    <w:unhideWhenUsed/>
    <w:qFormat/>
    <w:uiPriority w:val="0"/>
    <w:pPr>
      <w:spacing w:after="120" w:line="480" w:lineRule="auto"/>
      <w:ind w:firstLine="560" w:firstLineChars="200"/>
    </w:pPr>
    <w:rPr>
      <w:rFonts w:cstheme="minorBidi"/>
      <w:sz w:val="28"/>
    </w:rPr>
  </w:style>
  <w:style w:type="paragraph" w:styleId="29">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unhideWhenUsed/>
    <w:qFormat/>
    <w:uiPriority w:val="99"/>
    <w:rPr>
      <w:rFonts w:ascii="Calibri" w:hAnsi="Calibri"/>
      <w:kern w:val="0"/>
      <w:sz w:val="24"/>
    </w:rPr>
  </w:style>
  <w:style w:type="paragraph" w:styleId="31">
    <w:name w:val="annotation subject"/>
    <w:basedOn w:val="14"/>
    <w:next w:val="14"/>
    <w:link w:val="60"/>
    <w:qFormat/>
    <w:uiPriority w:val="99"/>
    <w:rPr>
      <w:b/>
      <w:bCs/>
    </w:rPr>
  </w:style>
  <w:style w:type="paragraph" w:styleId="32">
    <w:name w:val="Body Text First Indent"/>
    <w:basedOn w:val="16"/>
    <w:next w:val="1"/>
    <w:link w:val="95"/>
    <w:semiHidden/>
    <w:unhideWhenUsed/>
    <w:qFormat/>
    <w:uiPriority w:val="0"/>
    <w:pPr>
      <w:spacing w:line="360" w:lineRule="auto"/>
      <w:ind w:firstLine="420" w:firstLineChars="100"/>
    </w:pPr>
    <w:rPr>
      <w:rFonts w:cstheme="minorBidi"/>
      <w:sz w:val="28"/>
    </w:rPr>
  </w:style>
  <w:style w:type="paragraph" w:styleId="33">
    <w:name w:val="Body Text First Indent 2"/>
    <w:basedOn w:val="17"/>
    <w:next w:val="1"/>
    <w:unhideWhenUsed/>
    <w:qFormat/>
    <w:uiPriority w:val="99"/>
    <w:pPr>
      <w:spacing w:after="120"/>
      <w:ind w:left="420" w:leftChars="200" w:firstLine="420" w:firstLineChars="200"/>
    </w:pPr>
    <w:rPr>
      <w:rFonts w:ascii="Times New Roman" w:eastAsia="宋体"/>
      <w:kern w:val="2"/>
      <w:sz w:val="21"/>
      <w:szCs w:val="24"/>
    </w:rPr>
  </w:style>
  <w:style w:type="table" w:styleId="35">
    <w:name w:val="Table Grid"/>
    <w:basedOn w:val="3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22"/>
    <w:rPr>
      <w:b/>
    </w:rPr>
  </w:style>
  <w:style w:type="character" w:styleId="38">
    <w:name w:val="endnote reference"/>
    <w:unhideWhenUsed/>
    <w:qFormat/>
    <w:uiPriority w:val="99"/>
    <w:rPr>
      <w:vertAlign w:val="superscript"/>
    </w:rPr>
  </w:style>
  <w:style w:type="character" w:styleId="39">
    <w:name w:val="page number"/>
    <w:basedOn w:val="36"/>
    <w:semiHidden/>
    <w:unhideWhenUsed/>
    <w:qFormat/>
    <w:uiPriority w:val="99"/>
    <w:rPr>
      <w:rFonts w:hint="default" w:ascii="Times New Roman" w:hAnsi="Times New Roman" w:eastAsia="宋体" w:cs="Times New Roman"/>
      <w:color w:val="auto"/>
      <w:sz w:val="21"/>
    </w:rPr>
  </w:style>
  <w:style w:type="character" w:styleId="40">
    <w:name w:val="FollowedHyperlink"/>
    <w:basedOn w:val="36"/>
    <w:semiHidden/>
    <w:unhideWhenUsed/>
    <w:qFormat/>
    <w:uiPriority w:val="99"/>
    <w:rPr>
      <w:color w:val="800080" w:themeColor="followedHyperlink"/>
      <w:u w:val="single"/>
      <w14:textFill>
        <w14:solidFill>
          <w14:schemeClr w14:val="folHlink"/>
        </w14:solidFill>
      </w14:textFill>
    </w:rPr>
  </w:style>
  <w:style w:type="character" w:styleId="41">
    <w:name w:val="Hyperlink"/>
    <w:basedOn w:val="36"/>
    <w:unhideWhenUsed/>
    <w:qFormat/>
    <w:uiPriority w:val="99"/>
    <w:rPr>
      <w:color w:val="0000FF"/>
      <w:u w:val="single"/>
    </w:rPr>
  </w:style>
  <w:style w:type="character" w:styleId="42">
    <w:name w:val="annotation reference"/>
    <w:qFormat/>
    <w:uiPriority w:val="99"/>
    <w:rPr>
      <w:sz w:val="21"/>
      <w:szCs w:val="21"/>
    </w:rPr>
  </w:style>
  <w:style w:type="character" w:styleId="43">
    <w:name w:val="HTML Sample"/>
    <w:basedOn w:val="36"/>
    <w:semiHidden/>
    <w:unhideWhenUsed/>
    <w:qFormat/>
    <w:uiPriority w:val="99"/>
    <w:rPr>
      <w:rFonts w:ascii="Courier New" w:hAnsi="Courier New"/>
    </w:rPr>
  </w:style>
  <w:style w:type="paragraph" w:customStyle="1" w:styleId="44">
    <w:name w:val="Default"/>
    <w:next w:val="1"/>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45">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46">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47">
    <w:name w:val="标题 2 Char"/>
    <w:qFormat/>
    <w:uiPriority w:val="9"/>
    <w:rPr>
      <w:rFonts w:ascii="Cambria" w:hAnsi="Cambria" w:eastAsia="宋体" w:cs="Times New Roman"/>
      <w:b/>
      <w:bCs/>
      <w:kern w:val="2"/>
      <w:sz w:val="32"/>
      <w:szCs w:val="32"/>
    </w:rPr>
  </w:style>
  <w:style w:type="character" w:customStyle="1" w:styleId="48">
    <w:name w:val="标题 1 字符"/>
    <w:link w:val="2"/>
    <w:qFormat/>
    <w:uiPriority w:val="9"/>
    <w:rPr>
      <w:b/>
      <w:bCs/>
      <w:kern w:val="44"/>
      <w:sz w:val="44"/>
      <w:szCs w:val="44"/>
    </w:rPr>
  </w:style>
  <w:style w:type="character" w:customStyle="1" w:styleId="49">
    <w:name w:val="标题 2 字符"/>
    <w:link w:val="3"/>
    <w:qFormat/>
    <w:uiPriority w:val="9"/>
    <w:rPr>
      <w:rFonts w:ascii="Cambria" w:hAnsi="Cambria" w:eastAsia="宋体" w:cs="Times New Roman"/>
      <w:b/>
      <w:bCs/>
      <w:kern w:val="2"/>
      <w:sz w:val="32"/>
      <w:szCs w:val="32"/>
    </w:rPr>
  </w:style>
  <w:style w:type="character" w:customStyle="1" w:styleId="50">
    <w:name w:val="标题 5 字符"/>
    <w:link w:val="6"/>
    <w:semiHidden/>
    <w:qFormat/>
    <w:uiPriority w:val="9"/>
    <w:rPr>
      <w:rFonts w:ascii="Times New Roman" w:hAnsi="Times New Roman"/>
      <w:b/>
      <w:bCs/>
      <w:kern w:val="2"/>
      <w:sz w:val="28"/>
      <w:szCs w:val="28"/>
    </w:rPr>
  </w:style>
  <w:style w:type="character" w:customStyle="1" w:styleId="51">
    <w:name w:val="标题 8 字符"/>
    <w:link w:val="10"/>
    <w:semiHidden/>
    <w:qFormat/>
    <w:uiPriority w:val="9"/>
    <w:rPr>
      <w:rFonts w:ascii="等线 Light" w:hAnsi="等线 Light" w:eastAsia="等线 Light" w:cs="Times New Roman"/>
      <w:kern w:val="2"/>
      <w:sz w:val="24"/>
      <w:szCs w:val="24"/>
    </w:rPr>
  </w:style>
  <w:style w:type="character" w:customStyle="1" w:styleId="52">
    <w:name w:val="批注文字 字符2"/>
    <w:link w:val="14"/>
    <w:qFormat/>
    <w:uiPriority w:val="0"/>
    <w:rPr>
      <w:rFonts w:ascii="Times New Roman" w:hAnsi="Times New Roman"/>
      <w:kern w:val="2"/>
      <w:sz w:val="21"/>
      <w:szCs w:val="24"/>
    </w:rPr>
  </w:style>
  <w:style w:type="character" w:customStyle="1" w:styleId="53">
    <w:name w:val="正文文本 3 字符"/>
    <w:link w:val="15"/>
    <w:semiHidden/>
    <w:qFormat/>
    <w:uiPriority w:val="99"/>
    <w:rPr>
      <w:kern w:val="2"/>
      <w:sz w:val="16"/>
      <w:szCs w:val="16"/>
    </w:rPr>
  </w:style>
  <w:style w:type="character" w:customStyle="1" w:styleId="54">
    <w:name w:val="正文文本 字符1"/>
    <w:link w:val="16"/>
    <w:qFormat/>
    <w:uiPriority w:val="0"/>
    <w:rPr>
      <w:rFonts w:ascii="Times New Roman" w:hAnsi="Times New Roman"/>
      <w:kern w:val="2"/>
      <w:sz w:val="21"/>
      <w:szCs w:val="24"/>
    </w:rPr>
  </w:style>
  <w:style w:type="character" w:customStyle="1" w:styleId="55">
    <w:name w:val="正文文本缩进 字符"/>
    <w:link w:val="17"/>
    <w:qFormat/>
    <w:uiPriority w:val="0"/>
    <w:rPr>
      <w:rFonts w:ascii="仿宋_GB2312" w:hAnsi="Times New Roman" w:eastAsia="仿宋_GB2312" w:cs="Times New Roman"/>
      <w:sz w:val="32"/>
      <w:szCs w:val="20"/>
    </w:rPr>
  </w:style>
  <w:style w:type="character" w:customStyle="1" w:styleId="56">
    <w:name w:val="纯文本 字符3"/>
    <w:link w:val="20"/>
    <w:qFormat/>
    <w:uiPriority w:val="0"/>
    <w:rPr>
      <w:rFonts w:ascii="宋体" w:hAnsi="Courier New" w:eastAsia="宋体" w:cs="Courier New"/>
      <w:szCs w:val="21"/>
    </w:rPr>
  </w:style>
  <w:style w:type="character" w:customStyle="1" w:styleId="57">
    <w:name w:val="日期 字符"/>
    <w:link w:val="21"/>
    <w:semiHidden/>
    <w:qFormat/>
    <w:uiPriority w:val="99"/>
    <w:rPr>
      <w:rFonts w:ascii="Times New Roman" w:hAnsi="Times New Roman"/>
      <w:kern w:val="2"/>
      <w:sz w:val="21"/>
      <w:szCs w:val="24"/>
    </w:rPr>
  </w:style>
  <w:style w:type="character" w:customStyle="1" w:styleId="58">
    <w:name w:val="页脚 字符"/>
    <w:link w:val="23"/>
    <w:qFormat/>
    <w:uiPriority w:val="99"/>
    <w:rPr>
      <w:sz w:val="18"/>
      <w:szCs w:val="18"/>
    </w:rPr>
  </w:style>
  <w:style w:type="character" w:customStyle="1" w:styleId="59">
    <w:name w:val="页眉 字符"/>
    <w:link w:val="24"/>
    <w:qFormat/>
    <w:uiPriority w:val="99"/>
    <w:rPr>
      <w:sz w:val="18"/>
      <w:szCs w:val="18"/>
    </w:rPr>
  </w:style>
  <w:style w:type="character" w:customStyle="1" w:styleId="60">
    <w:name w:val="批注主题 字符"/>
    <w:link w:val="31"/>
    <w:qFormat/>
    <w:uiPriority w:val="99"/>
    <w:rPr>
      <w:rFonts w:ascii="Times New Roman" w:hAnsi="Times New Roman"/>
      <w:b/>
      <w:bCs/>
      <w:kern w:val="2"/>
      <w:sz w:val="21"/>
      <w:szCs w:val="24"/>
    </w:rPr>
  </w:style>
  <w:style w:type="character" w:customStyle="1" w:styleId="61">
    <w:name w:val="纯文本 字符2"/>
    <w:qFormat/>
    <w:uiPriority w:val="0"/>
    <w:rPr>
      <w:rFonts w:ascii="宋体" w:hAnsi="Courier New" w:eastAsia="宋体" w:cs="Courier New"/>
      <w:szCs w:val="21"/>
    </w:rPr>
  </w:style>
  <w:style w:type="character" w:customStyle="1" w:styleId="62">
    <w:name w:val="标题 1 字符1"/>
    <w:qFormat/>
    <w:uiPriority w:val="0"/>
    <w:rPr>
      <w:b/>
      <w:bCs/>
      <w:kern w:val="44"/>
      <w:sz w:val="44"/>
      <w:szCs w:val="44"/>
    </w:rPr>
  </w:style>
  <w:style w:type="character" w:customStyle="1" w:styleId="63">
    <w:name w:val="正文2 Char Char"/>
    <w:link w:val="64"/>
    <w:qFormat/>
    <w:uiPriority w:val="0"/>
    <w:rPr>
      <w:kern w:val="2"/>
      <w:sz w:val="24"/>
    </w:rPr>
  </w:style>
  <w:style w:type="paragraph" w:customStyle="1" w:styleId="64">
    <w:name w:val="正文2"/>
    <w:basedOn w:val="1"/>
    <w:link w:val="63"/>
    <w:qFormat/>
    <w:uiPriority w:val="0"/>
    <w:pPr>
      <w:adjustRightInd w:val="0"/>
      <w:spacing w:before="156" w:line="360" w:lineRule="auto"/>
      <w:ind w:firstLine="510" w:firstLineChars="200"/>
    </w:pPr>
    <w:rPr>
      <w:sz w:val="24"/>
      <w:szCs w:val="20"/>
    </w:rPr>
  </w:style>
  <w:style w:type="character" w:customStyle="1" w:styleId="65">
    <w:name w:val="纯文本 字符1"/>
    <w:qFormat/>
    <w:uiPriority w:val="99"/>
    <w:rPr>
      <w:rFonts w:ascii="宋体" w:hAnsi="Courier New"/>
    </w:rPr>
  </w:style>
  <w:style w:type="character" w:customStyle="1" w:styleId="66">
    <w:name w:val="批注文字 Char2"/>
    <w:qFormat/>
    <w:uiPriority w:val="0"/>
    <w:rPr>
      <w:rFonts w:ascii="Times New Roman" w:hAnsi="Times New Roman"/>
      <w:kern w:val="2"/>
      <w:sz w:val="21"/>
      <w:szCs w:val="24"/>
    </w:rPr>
  </w:style>
  <w:style w:type="character" w:customStyle="1" w:styleId="67">
    <w:name w:val="纯文本 字符"/>
    <w:qFormat/>
    <w:uiPriority w:val="0"/>
    <w:rPr>
      <w:rFonts w:ascii="宋体" w:hAnsi="Courier New" w:eastAsia="宋体" w:cs="Courier New"/>
      <w:szCs w:val="21"/>
    </w:rPr>
  </w:style>
  <w:style w:type="character" w:customStyle="1" w:styleId="68">
    <w:name w:val="textcontents"/>
    <w:qFormat/>
    <w:uiPriority w:val="0"/>
  </w:style>
  <w:style w:type="character" w:customStyle="1" w:styleId="69">
    <w:name w:val="apple-style-span"/>
    <w:qFormat/>
    <w:uiPriority w:val="0"/>
  </w:style>
  <w:style w:type="character" w:customStyle="1" w:styleId="70">
    <w:name w:val="批注文字 Char"/>
    <w:qFormat/>
    <w:uiPriority w:val="0"/>
    <w:rPr>
      <w:rFonts w:ascii="Times New Roman" w:hAnsi="Times New Roman"/>
      <w:kern w:val="2"/>
      <w:sz w:val="21"/>
      <w:szCs w:val="24"/>
    </w:rPr>
  </w:style>
  <w:style w:type="character" w:customStyle="1" w:styleId="71">
    <w:name w:val="正文文本 字符"/>
    <w:qFormat/>
    <w:uiPriority w:val="0"/>
    <w:rPr>
      <w:rFonts w:ascii="Times New Roman" w:hAnsi="Times New Roman"/>
      <w:kern w:val="2"/>
      <w:sz w:val="21"/>
      <w:szCs w:val="24"/>
    </w:rPr>
  </w:style>
  <w:style w:type="character" w:customStyle="1" w:styleId="7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3">
    <w:name w:val="纯文本 Char"/>
    <w:qFormat/>
    <w:uiPriority w:val="0"/>
    <w:rPr>
      <w:rFonts w:ascii="宋体" w:hAnsi="Courier New" w:eastAsia="宋体" w:cs="Courier New"/>
      <w:szCs w:val="21"/>
    </w:rPr>
  </w:style>
  <w:style w:type="character" w:customStyle="1" w:styleId="74">
    <w:name w:val="标题 8 Char"/>
    <w:qFormat/>
    <w:uiPriority w:val="0"/>
    <w:rPr>
      <w:rFonts w:ascii="Arial" w:hAnsi="Arial" w:eastAsia="黑体"/>
      <w:kern w:val="2"/>
      <w:sz w:val="24"/>
      <w:szCs w:val="24"/>
    </w:rPr>
  </w:style>
  <w:style w:type="character" w:customStyle="1" w:styleId="75">
    <w:name w:val="批注文字 字符"/>
    <w:qFormat/>
    <w:uiPriority w:val="99"/>
    <w:rPr>
      <w:rFonts w:ascii="Times New Roman" w:hAnsi="Times New Roman"/>
      <w:kern w:val="2"/>
      <w:sz w:val="21"/>
      <w:szCs w:val="24"/>
    </w:rPr>
  </w:style>
  <w:style w:type="character" w:customStyle="1" w:styleId="76">
    <w:name w:val="批注文字 字符1"/>
    <w:qFormat/>
    <w:uiPriority w:val="0"/>
    <w:rPr>
      <w:rFonts w:ascii="Times New Roman" w:hAnsi="Times New Roman"/>
      <w:kern w:val="2"/>
      <w:sz w:val="21"/>
      <w:szCs w:val="24"/>
    </w:rPr>
  </w:style>
  <w:style w:type="character" w:customStyle="1" w:styleId="77">
    <w:name w:val="正文文本 Char"/>
    <w:qFormat/>
    <w:uiPriority w:val="0"/>
    <w:rPr>
      <w:rFonts w:ascii="Times New Roman" w:hAnsi="Times New Roman"/>
      <w:kern w:val="2"/>
      <w:sz w:val="21"/>
      <w:szCs w:val="24"/>
    </w:rPr>
  </w:style>
  <w:style w:type="paragraph" w:customStyle="1" w:styleId="78">
    <w:name w:val="默认段落字体 Para Char Char Char Char Char Char Char Char Char1 Char Char Char Char"/>
    <w:basedOn w:val="1"/>
    <w:qFormat/>
    <w:uiPriority w:val="0"/>
    <w:rPr>
      <w:rFonts w:ascii="Tahoma" w:hAnsi="Tahoma"/>
      <w:sz w:val="24"/>
      <w:szCs w:val="20"/>
    </w:rPr>
  </w:style>
  <w:style w:type="paragraph" w:customStyle="1" w:styleId="79">
    <w:name w:val="Table Paragraph"/>
    <w:basedOn w:val="1"/>
    <w:qFormat/>
    <w:uiPriority w:val="1"/>
    <w:pPr>
      <w:jc w:val="left"/>
    </w:pPr>
    <w:rPr>
      <w:rFonts w:ascii="Calibri" w:hAnsi="Calibri"/>
      <w:kern w:val="0"/>
      <w:sz w:val="22"/>
      <w:szCs w:val="22"/>
      <w:lang w:eastAsia="en-US"/>
    </w:rPr>
  </w:style>
  <w:style w:type="paragraph" w:customStyle="1" w:styleId="8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1">
    <w:name w:val="列出段落1"/>
    <w:basedOn w:val="1"/>
    <w:qFormat/>
    <w:uiPriority w:val="34"/>
    <w:pPr>
      <w:ind w:firstLine="420" w:firstLineChars="200"/>
    </w:pPr>
  </w:style>
  <w:style w:type="paragraph" w:customStyle="1" w:styleId="82">
    <w:name w:val="列出段落2"/>
    <w:basedOn w:val="1"/>
    <w:qFormat/>
    <w:uiPriority w:val="34"/>
    <w:pPr>
      <w:ind w:firstLine="420" w:firstLineChars="200"/>
    </w:pPr>
    <w:rPr>
      <w:rFonts w:ascii="Calibri" w:hAnsi="Calibri"/>
    </w:rPr>
  </w:style>
  <w:style w:type="character" w:customStyle="1" w:styleId="83">
    <w:name w:val="标题 3 字符"/>
    <w:basedOn w:val="36"/>
    <w:link w:val="4"/>
    <w:semiHidden/>
    <w:qFormat/>
    <w:uiPriority w:val="9"/>
    <w:rPr>
      <w:b/>
      <w:bCs/>
      <w:kern w:val="2"/>
      <w:sz w:val="32"/>
      <w:szCs w:val="32"/>
    </w:rPr>
  </w:style>
  <w:style w:type="character" w:customStyle="1" w:styleId="84">
    <w:name w:val="标题 4 字符"/>
    <w:basedOn w:val="36"/>
    <w:link w:val="5"/>
    <w:semiHidden/>
    <w:qFormat/>
    <w:uiPriority w:val="9"/>
    <w:rPr>
      <w:rFonts w:asciiTheme="majorHAnsi" w:hAnsiTheme="majorHAnsi" w:eastAsiaTheme="majorEastAsia" w:cstheme="majorBidi"/>
      <w:b/>
      <w:bCs/>
      <w:kern w:val="2"/>
      <w:sz w:val="28"/>
      <w:szCs w:val="28"/>
    </w:rPr>
  </w:style>
  <w:style w:type="character" w:customStyle="1" w:styleId="85">
    <w:name w:val="*正文 Char Char"/>
    <w:link w:val="86"/>
    <w:qFormat/>
    <w:locked/>
    <w:uiPriority w:val="0"/>
    <w:rPr>
      <w:rFonts w:ascii="宋体" w:hAnsi="宋体" w:eastAsia="仿宋_GB2312"/>
      <w:sz w:val="28"/>
      <w:szCs w:val="24"/>
    </w:rPr>
  </w:style>
  <w:style w:type="paragraph" w:customStyle="1" w:styleId="86">
    <w:name w:val="*正文"/>
    <w:basedOn w:val="1"/>
    <w:link w:val="85"/>
    <w:qFormat/>
    <w:uiPriority w:val="0"/>
    <w:pPr>
      <w:widowControl/>
      <w:spacing w:line="360" w:lineRule="auto"/>
      <w:ind w:firstLine="200" w:firstLineChars="200"/>
      <w:jc w:val="left"/>
    </w:pPr>
    <w:rPr>
      <w:rFonts w:ascii="宋体" w:hAnsi="宋体" w:eastAsia="仿宋_GB2312"/>
      <w:kern w:val="0"/>
      <w:sz w:val="28"/>
    </w:rPr>
  </w:style>
  <w:style w:type="character" w:customStyle="1" w:styleId="87">
    <w:name w:val="正正正文 Char"/>
    <w:link w:val="88"/>
    <w:qFormat/>
    <w:locked/>
    <w:uiPriority w:val="0"/>
    <w:rPr>
      <w:rFonts w:ascii="仿宋" w:hAnsi="仿宋" w:eastAsia="仿宋"/>
      <w:sz w:val="28"/>
      <w:szCs w:val="28"/>
    </w:rPr>
  </w:style>
  <w:style w:type="paragraph" w:customStyle="1" w:styleId="88">
    <w:name w:val="正正正文"/>
    <w:basedOn w:val="1"/>
    <w:link w:val="87"/>
    <w:qFormat/>
    <w:uiPriority w:val="0"/>
    <w:pPr>
      <w:spacing w:line="560" w:lineRule="exact"/>
      <w:ind w:firstLine="200" w:firstLineChars="200"/>
    </w:pPr>
    <w:rPr>
      <w:rFonts w:ascii="仿宋" w:hAnsi="仿宋" w:eastAsia="仿宋"/>
      <w:kern w:val="0"/>
      <w:sz w:val="28"/>
      <w:szCs w:val="28"/>
    </w:rPr>
  </w:style>
  <w:style w:type="character" w:customStyle="1" w:styleId="89">
    <w:name w:val="列表段落 字符2"/>
    <w:link w:val="90"/>
    <w:qFormat/>
    <w:locked/>
    <w:uiPriority w:val="0"/>
    <w:rPr>
      <w:rFonts w:ascii="Calibri" w:hAnsi="Calibri" w:cs="Calibri"/>
      <w:kern w:val="2"/>
      <w:sz w:val="21"/>
      <w:szCs w:val="22"/>
    </w:rPr>
  </w:style>
  <w:style w:type="paragraph" w:customStyle="1" w:styleId="90">
    <w:name w:val="列表段落1"/>
    <w:basedOn w:val="1"/>
    <w:link w:val="89"/>
    <w:qFormat/>
    <w:uiPriority w:val="0"/>
    <w:pPr>
      <w:widowControl/>
      <w:ind w:firstLine="420" w:firstLineChars="200"/>
      <w:jc w:val="left"/>
    </w:pPr>
    <w:rPr>
      <w:rFonts w:ascii="Calibri" w:hAnsi="Calibri" w:cs="Calibri"/>
      <w:szCs w:val="22"/>
    </w:rPr>
  </w:style>
  <w:style w:type="character" w:customStyle="1" w:styleId="91">
    <w:name w:val="标题 6 字符"/>
    <w:basedOn w:val="36"/>
    <w:link w:val="8"/>
    <w:semiHidden/>
    <w:qFormat/>
    <w:uiPriority w:val="9"/>
    <w:rPr>
      <w:rFonts w:ascii="Arial" w:hAnsi="Arial" w:eastAsia="黑体" w:cstheme="minorBidi"/>
      <w:b/>
      <w:kern w:val="2"/>
      <w:sz w:val="24"/>
      <w:szCs w:val="24"/>
    </w:rPr>
  </w:style>
  <w:style w:type="character" w:customStyle="1" w:styleId="92">
    <w:name w:val="标题 7 字符"/>
    <w:basedOn w:val="36"/>
    <w:link w:val="9"/>
    <w:semiHidden/>
    <w:qFormat/>
    <w:uiPriority w:val="9"/>
    <w:rPr>
      <w:rFonts w:cstheme="minorBidi"/>
      <w:b/>
      <w:kern w:val="2"/>
      <w:sz w:val="24"/>
      <w:szCs w:val="24"/>
    </w:rPr>
  </w:style>
  <w:style w:type="character" w:customStyle="1" w:styleId="93">
    <w:name w:val="标题 9 字符"/>
    <w:basedOn w:val="36"/>
    <w:link w:val="11"/>
    <w:semiHidden/>
    <w:qFormat/>
    <w:uiPriority w:val="9"/>
    <w:rPr>
      <w:rFonts w:ascii="Arial" w:hAnsi="Arial" w:eastAsia="黑体" w:cstheme="minorBidi"/>
      <w:kern w:val="2"/>
      <w:sz w:val="21"/>
      <w:szCs w:val="24"/>
    </w:rPr>
  </w:style>
  <w:style w:type="paragraph" w:customStyle="1" w:styleId="94">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95">
    <w:name w:val="正文文本首行缩进 字符"/>
    <w:basedOn w:val="54"/>
    <w:link w:val="32"/>
    <w:semiHidden/>
    <w:qFormat/>
    <w:uiPriority w:val="0"/>
    <w:rPr>
      <w:rFonts w:ascii="Times New Roman" w:hAnsi="Times New Roman" w:cstheme="minorBidi"/>
      <w:kern w:val="2"/>
      <w:sz w:val="28"/>
      <w:szCs w:val="24"/>
    </w:rPr>
  </w:style>
  <w:style w:type="character" w:customStyle="1" w:styleId="96">
    <w:name w:val="正文文本 2 字符"/>
    <w:basedOn w:val="36"/>
    <w:link w:val="28"/>
    <w:semiHidden/>
    <w:qFormat/>
    <w:uiPriority w:val="0"/>
    <w:rPr>
      <w:rFonts w:cstheme="minorBidi"/>
      <w:kern w:val="2"/>
      <w:sz w:val="28"/>
      <w:szCs w:val="24"/>
    </w:rPr>
  </w:style>
  <w:style w:type="character" w:customStyle="1" w:styleId="97">
    <w:name w:val="批注框文本 字符"/>
    <w:basedOn w:val="36"/>
    <w:link w:val="22"/>
    <w:semiHidden/>
    <w:qFormat/>
    <w:uiPriority w:val="99"/>
    <w:rPr>
      <w:kern w:val="2"/>
      <w:sz w:val="18"/>
      <w:szCs w:val="18"/>
    </w:rPr>
  </w:style>
  <w:style w:type="paragraph" w:customStyle="1" w:styleId="98">
    <w:name w:val="01-项目名称"/>
    <w:basedOn w:val="1"/>
    <w:next w:val="1"/>
    <w:qFormat/>
    <w:uiPriority w:val="0"/>
    <w:pPr>
      <w:snapToGrid w:val="0"/>
      <w:spacing w:line="360" w:lineRule="auto"/>
      <w:ind w:firstLine="560" w:firstLineChars="200"/>
      <w:jc w:val="center"/>
    </w:pPr>
    <w:rPr>
      <w:rFonts w:cstheme="minorBidi"/>
      <w:b/>
      <w:sz w:val="44"/>
    </w:rPr>
  </w:style>
  <w:style w:type="paragraph" w:customStyle="1" w:styleId="99">
    <w:name w:val="02-公司名称时间"/>
    <w:basedOn w:val="1"/>
    <w:next w:val="1"/>
    <w:qFormat/>
    <w:uiPriority w:val="0"/>
    <w:pPr>
      <w:snapToGrid w:val="0"/>
      <w:spacing w:line="360" w:lineRule="auto"/>
      <w:ind w:firstLine="560" w:firstLineChars="200"/>
      <w:jc w:val="center"/>
    </w:pPr>
    <w:rPr>
      <w:rFonts w:cstheme="minorBidi"/>
      <w:b/>
      <w:sz w:val="32"/>
    </w:rPr>
  </w:style>
  <w:style w:type="paragraph" w:customStyle="1" w:styleId="100">
    <w:name w:val="03-目录两字"/>
    <w:basedOn w:val="1"/>
    <w:next w:val="1"/>
    <w:qFormat/>
    <w:uiPriority w:val="0"/>
    <w:pPr>
      <w:snapToGrid w:val="0"/>
      <w:spacing w:line="360" w:lineRule="auto"/>
      <w:ind w:firstLine="560" w:firstLineChars="200"/>
      <w:jc w:val="center"/>
    </w:pPr>
    <w:rPr>
      <w:rFonts w:cstheme="minorBidi"/>
      <w:b/>
      <w:sz w:val="28"/>
    </w:rPr>
  </w:style>
  <w:style w:type="paragraph" w:customStyle="1" w:styleId="101">
    <w:name w:val="12-图片"/>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2">
    <w:name w:val="13-表格整体"/>
    <w:basedOn w:val="1"/>
    <w:qFormat/>
    <w:uiPriority w:val="0"/>
    <w:pPr>
      <w:snapToGrid w:val="0"/>
      <w:spacing w:beforeLines="50" w:afterLines="50" w:line="360" w:lineRule="auto"/>
      <w:ind w:firstLine="560" w:firstLineChars="200"/>
    </w:pPr>
    <w:rPr>
      <w:rFonts w:cstheme="minorBidi"/>
      <w:sz w:val="28"/>
    </w:rPr>
  </w:style>
  <w:style w:type="paragraph" w:customStyle="1" w:styleId="103">
    <w:name w:val="15-图片题注"/>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4">
    <w:name w:val="14-表格首行"/>
    <w:basedOn w:val="102"/>
    <w:next w:val="102"/>
    <w:qFormat/>
    <w:uiPriority w:val="0"/>
    <w:pPr>
      <w:jc w:val="center"/>
    </w:pPr>
    <w:rPr>
      <w:b/>
    </w:rPr>
  </w:style>
  <w:style w:type="paragraph" w:customStyle="1" w:styleId="105">
    <w:name w:val="05-正文加粗"/>
    <w:basedOn w:val="1"/>
    <w:next w:val="1"/>
    <w:qFormat/>
    <w:uiPriority w:val="0"/>
    <w:pPr>
      <w:snapToGrid w:val="0"/>
      <w:spacing w:line="360" w:lineRule="auto"/>
      <w:ind w:firstLine="200" w:firstLineChars="200"/>
    </w:pPr>
    <w:rPr>
      <w:rFonts w:cstheme="minorBidi"/>
      <w:b/>
      <w:sz w:val="24"/>
    </w:rPr>
  </w:style>
  <w:style w:type="paragraph" w:customStyle="1" w:styleId="106">
    <w:name w:val="06-编号"/>
    <w:basedOn w:val="1"/>
    <w:next w:val="1"/>
    <w:qFormat/>
    <w:uiPriority w:val="0"/>
    <w:pPr>
      <w:numPr>
        <w:ilvl w:val="0"/>
        <w:numId w:val="1"/>
      </w:numPr>
      <w:snapToGrid w:val="0"/>
      <w:spacing w:line="360" w:lineRule="auto"/>
      <w:ind w:firstLine="200" w:firstLineChars="200"/>
    </w:pPr>
    <w:rPr>
      <w:rFonts w:cstheme="minorBidi"/>
      <w:sz w:val="24"/>
    </w:rPr>
  </w:style>
  <w:style w:type="paragraph" w:customStyle="1" w:styleId="107">
    <w:name w:val="10-列表-圆点"/>
    <w:basedOn w:val="1"/>
    <w:next w:val="1"/>
    <w:qFormat/>
    <w:uiPriority w:val="0"/>
    <w:pPr>
      <w:numPr>
        <w:ilvl w:val="0"/>
        <w:numId w:val="2"/>
      </w:numPr>
      <w:snapToGrid w:val="0"/>
      <w:spacing w:line="360" w:lineRule="auto"/>
      <w:ind w:left="400" w:leftChars="200" w:hanging="200" w:hangingChars="200"/>
    </w:pPr>
    <w:rPr>
      <w:rFonts w:cstheme="minorBidi"/>
      <w:sz w:val="24"/>
    </w:rPr>
  </w:style>
  <w:style w:type="paragraph" w:customStyle="1" w:styleId="108">
    <w:name w:val="08-编号-括号"/>
    <w:basedOn w:val="1"/>
    <w:next w:val="1"/>
    <w:qFormat/>
    <w:uiPriority w:val="0"/>
    <w:pPr>
      <w:numPr>
        <w:ilvl w:val="0"/>
        <w:numId w:val="3"/>
      </w:numPr>
      <w:snapToGrid w:val="0"/>
      <w:spacing w:line="360" w:lineRule="auto"/>
      <w:ind w:firstLine="200" w:firstLineChars="200"/>
    </w:pPr>
    <w:rPr>
      <w:rFonts w:cstheme="minorBidi"/>
      <w:sz w:val="24"/>
    </w:rPr>
  </w:style>
  <w:style w:type="paragraph" w:customStyle="1" w:styleId="109">
    <w:name w:val="07-编号加粗"/>
    <w:basedOn w:val="1"/>
    <w:next w:val="1"/>
    <w:qFormat/>
    <w:uiPriority w:val="0"/>
    <w:pPr>
      <w:numPr>
        <w:ilvl w:val="0"/>
        <w:numId w:val="4"/>
      </w:numPr>
      <w:snapToGrid w:val="0"/>
      <w:spacing w:line="360" w:lineRule="auto"/>
      <w:ind w:firstLine="200" w:firstLineChars="200"/>
    </w:pPr>
    <w:rPr>
      <w:rFonts w:cstheme="minorBidi"/>
      <w:b/>
      <w:sz w:val="24"/>
    </w:rPr>
  </w:style>
  <w:style w:type="paragraph" w:customStyle="1" w:styleId="110">
    <w:name w:val="09-编号加粗-括号"/>
    <w:basedOn w:val="1"/>
    <w:next w:val="1"/>
    <w:qFormat/>
    <w:uiPriority w:val="0"/>
    <w:pPr>
      <w:numPr>
        <w:ilvl w:val="0"/>
        <w:numId w:val="5"/>
      </w:numPr>
      <w:snapToGrid w:val="0"/>
      <w:spacing w:line="360" w:lineRule="auto"/>
      <w:ind w:firstLine="200" w:firstLineChars="200"/>
    </w:pPr>
    <w:rPr>
      <w:rFonts w:cstheme="minorBidi"/>
      <w:b/>
      <w:sz w:val="24"/>
    </w:rPr>
  </w:style>
  <w:style w:type="paragraph" w:customStyle="1" w:styleId="111">
    <w:name w:val="11-列表-箭头"/>
    <w:basedOn w:val="1"/>
    <w:next w:val="1"/>
    <w:qFormat/>
    <w:uiPriority w:val="0"/>
    <w:pPr>
      <w:numPr>
        <w:ilvl w:val="0"/>
        <w:numId w:val="6"/>
      </w:numPr>
      <w:snapToGrid w:val="0"/>
      <w:spacing w:line="360" w:lineRule="auto"/>
      <w:ind w:left="400" w:leftChars="200" w:hanging="200" w:hangingChars="200"/>
    </w:pPr>
    <w:rPr>
      <w:rFonts w:cstheme="minorBidi"/>
      <w:sz w:val="24"/>
    </w:rPr>
  </w:style>
  <w:style w:type="paragraph" w:customStyle="1" w:styleId="112">
    <w:name w:val="16-表格题注"/>
    <w:basedOn w:val="1"/>
    <w:next w:val="1"/>
    <w:qFormat/>
    <w:uiPriority w:val="0"/>
    <w:pPr>
      <w:snapToGrid w:val="0"/>
      <w:spacing w:beforeLines="50" w:afterLines="50" w:line="360" w:lineRule="auto"/>
      <w:ind w:firstLine="560" w:firstLineChars="200"/>
      <w:jc w:val="center"/>
    </w:pPr>
    <w:rPr>
      <w:rFonts w:cstheme="minorBidi"/>
      <w:b/>
      <w:sz w:val="28"/>
    </w:rPr>
  </w:style>
  <w:style w:type="character" w:customStyle="1" w:styleId="113">
    <w:name w:val="00文档名称 Char"/>
    <w:basedOn w:val="36"/>
    <w:link w:val="114"/>
    <w:qFormat/>
    <w:locked/>
    <w:uiPriority w:val="0"/>
    <w:rPr>
      <w:rFonts w:ascii="黑体" w:hAnsi="黑体" w:eastAsia="黑体" w:cstheme="minorBidi"/>
      <w:b/>
      <w:kern w:val="2"/>
      <w:sz w:val="52"/>
      <w:szCs w:val="24"/>
    </w:rPr>
  </w:style>
  <w:style w:type="paragraph" w:customStyle="1" w:styleId="114">
    <w:name w:val="00文档名称"/>
    <w:basedOn w:val="1"/>
    <w:link w:val="113"/>
    <w:qFormat/>
    <w:uiPriority w:val="0"/>
    <w:pPr>
      <w:snapToGrid w:val="0"/>
      <w:spacing w:line="360" w:lineRule="auto"/>
      <w:ind w:firstLine="560" w:firstLineChars="200"/>
      <w:jc w:val="center"/>
    </w:pPr>
    <w:rPr>
      <w:rFonts w:ascii="黑体" w:hAnsi="黑体" w:eastAsia="黑体" w:cstheme="minorBidi"/>
      <w:b/>
      <w:sz w:val="52"/>
    </w:rPr>
  </w:style>
  <w:style w:type="paragraph" w:customStyle="1" w:styleId="115">
    <w:name w:val="04-正文"/>
    <w:basedOn w:val="1"/>
    <w:qFormat/>
    <w:uiPriority w:val="0"/>
    <w:pPr>
      <w:snapToGrid w:val="0"/>
      <w:spacing w:line="360" w:lineRule="auto"/>
      <w:ind w:firstLine="200" w:firstLineChars="200"/>
    </w:pPr>
    <w:rPr>
      <w:rFonts w:cstheme="minorBidi"/>
      <w:sz w:val="28"/>
    </w:rPr>
  </w:style>
  <w:style w:type="character" w:customStyle="1" w:styleId="116">
    <w:name w:val="font81"/>
    <w:basedOn w:val="36"/>
    <w:qFormat/>
    <w:uiPriority w:val="0"/>
    <w:rPr>
      <w:rFonts w:hint="eastAsia" w:ascii="宋体" w:hAnsi="宋体" w:eastAsia="宋体" w:cs="宋体"/>
      <w:b/>
      <w:bCs/>
      <w:color w:val="1D1D1F"/>
      <w:sz w:val="24"/>
      <w:szCs w:val="24"/>
      <w:u w:val="none"/>
    </w:rPr>
  </w:style>
  <w:style w:type="character" w:customStyle="1" w:styleId="117">
    <w:name w:val="font21"/>
    <w:basedOn w:val="36"/>
    <w:qFormat/>
    <w:uiPriority w:val="0"/>
    <w:rPr>
      <w:rFonts w:hint="default" w:ascii="Helvetica" w:hAnsi="Helvetica" w:eastAsia="Helvetica" w:cs="Helvetica"/>
      <w:b/>
      <w:bCs/>
      <w:color w:val="1D1D1F"/>
      <w:sz w:val="24"/>
      <w:szCs w:val="24"/>
      <w:u w:val="none"/>
    </w:rPr>
  </w:style>
  <w:style w:type="character" w:customStyle="1" w:styleId="118">
    <w:name w:val="font11"/>
    <w:basedOn w:val="36"/>
    <w:qFormat/>
    <w:uiPriority w:val="0"/>
    <w:rPr>
      <w:rFonts w:hint="eastAsia" w:ascii="宋体" w:hAnsi="宋体" w:eastAsia="宋体" w:cs="宋体"/>
      <w:color w:val="000000"/>
      <w:sz w:val="22"/>
      <w:szCs w:val="22"/>
      <w:u w:val="none"/>
    </w:rPr>
  </w:style>
  <w:style w:type="paragraph" w:styleId="119">
    <w:name w:val="List Paragraph"/>
    <w:basedOn w:val="1"/>
    <w:qFormat/>
    <w:uiPriority w:val="99"/>
    <w:pPr>
      <w:ind w:firstLine="420" w:firstLineChars="200"/>
    </w:pPr>
  </w:style>
  <w:style w:type="character" w:customStyle="1" w:styleId="120">
    <w:name w:val="表格格式 字符"/>
    <w:link w:val="121"/>
    <w:qFormat/>
    <w:locked/>
    <w:uiPriority w:val="0"/>
    <w:rPr>
      <w:rFonts w:ascii="宋体" w:hAnsi="宋体"/>
      <w:kern w:val="2"/>
      <w:sz w:val="21"/>
      <w:szCs w:val="21"/>
    </w:rPr>
  </w:style>
  <w:style w:type="paragraph" w:customStyle="1" w:styleId="121">
    <w:name w:val="表格格式"/>
    <w:basedOn w:val="1"/>
    <w:link w:val="120"/>
    <w:qFormat/>
    <w:uiPriority w:val="0"/>
    <w:pPr>
      <w:spacing w:line="360" w:lineRule="auto"/>
      <w:jc w:val="center"/>
    </w:pPr>
    <w:rPr>
      <w:rFonts w:ascii="宋体" w:hAnsi="宋体"/>
      <w:szCs w:val="21"/>
    </w:rPr>
  </w:style>
  <w:style w:type="paragraph" w:customStyle="1" w:styleId="122">
    <w:name w:val="NormalNormal"/>
    <w:next w:val="123"/>
    <w:qFormat/>
    <w:uiPriority w:val="0"/>
    <w:pPr>
      <w:widowControl w:val="0"/>
      <w:spacing w:line="580" w:lineRule="exact"/>
      <w:jc w:val="both"/>
    </w:pPr>
    <w:rPr>
      <w:rFonts w:ascii="Calibri" w:hAnsi="Calibri" w:eastAsia="宋体" w:cs="宋体"/>
      <w:kern w:val="2"/>
      <w:sz w:val="21"/>
      <w:szCs w:val="21"/>
      <w:lang w:val="en-US" w:eastAsia="zh-CN" w:bidi="ar-SA"/>
    </w:rPr>
  </w:style>
  <w:style w:type="paragraph" w:customStyle="1" w:styleId="123">
    <w:name w:val="Heading 2Heading2"/>
    <w:basedOn w:val="122"/>
    <w:next w:val="122"/>
    <w:qFormat/>
    <w:uiPriority w:val="9"/>
    <w:pPr>
      <w:keepNext/>
      <w:keepLines/>
      <w:spacing w:before="260" w:after="260" w:line="416" w:lineRule="auto"/>
      <w:outlineLvl w:val="1"/>
    </w:pPr>
    <w:rPr>
      <w:rFonts w:ascii="Cambria" w:hAnsi="Cambria"/>
      <w:b/>
      <w:bCs/>
      <w:sz w:val="32"/>
      <w:szCs w:val="32"/>
    </w:rPr>
  </w:style>
  <w:style w:type="character" w:customStyle="1" w:styleId="124">
    <w:name w:val="未处理的提及1"/>
    <w:basedOn w:val="36"/>
    <w:semiHidden/>
    <w:unhideWhenUsed/>
    <w:qFormat/>
    <w:uiPriority w:val="99"/>
    <w:rPr>
      <w:color w:val="605E5C"/>
      <w:shd w:val="clear" w:color="auto" w:fill="E1DFDD"/>
    </w:rPr>
  </w:style>
  <w:style w:type="character" w:customStyle="1" w:styleId="125">
    <w:name w:val="纯文本 字符4"/>
    <w:qFormat/>
    <w:uiPriority w:val="0"/>
    <w:rPr>
      <w:rFonts w:ascii="宋体" w:hAnsi="Courier New" w:eastAsia="宋体" w:cs="Courier New"/>
      <w:szCs w:val="21"/>
    </w:rPr>
  </w:style>
  <w:style w:type="character" w:customStyle="1" w:styleId="126">
    <w:name w:val="未处理的提及2"/>
    <w:basedOn w:val="36"/>
    <w:semiHidden/>
    <w:unhideWhenUsed/>
    <w:qFormat/>
    <w:uiPriority w:val="99"/>
    <w:rPr>
      <w:color w:val="605E5C"/>
      <w:shd w:val="clear" w:color="auto" w:fill="E1DFDD"/>
    </w:rPr>
  </w:style>
  <w:style w:type="character" w:customStyle="1" w:styleId="127">
    <w:name w:val="font31"/>
    <w:basedOn w:val="36"/>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24613</Words>
  <Characters>26208</Characters>
  <Lines>361</Lines>
  <Paragraphs>101</Paragraphs>
  <TotalTime>13</TotalTime>
  <ScaleCrop>false</ScaleCrop>
  <LinksUpToDate>false</LinksUpToDate>
  <CharactersWithSpaces>26699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2024-12-02T23:10:00Z</dcterms:created>
  <dc:creator>Apple</dc:creator>
  <cp:lastModifiedBy>cloud rack</cp:lastModifiedBy>
  <cp:lastPrinted>2025-07-03T00:32:00Z</cp:lastPrinted>
  <dcterms:modified xsi:type="dcterms:W3CDTF">2025-07-04T09:49:28Z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E43A6BD9BA514F86B84AA2A4A2351B07_13</vt:lpwstr>
  </property>
  <property fmtid="{D5CDD505-2E9C-101B-9397-08002B2CF9AE}" pid="4" name="KSOTemplateDocerSaveRecord">
    <vt:lpwstr>eyJoZGlkIjoiZDY5Y2Y4YjkwY2U5OThjOTNkMTgxMzEzYjM1NzE2NDYiLCJ1c2VySWQiOiIyMzI0OTIwMDAifQ==</vt:lpwstr>
  </property>
</Properties>
</file>