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19E014">
      <w:pPr>
        <w:spacing w:before="312" w:beforeLines="100" w:after="156" w:afterLines="50" w:line="360" w:lineRule="auto"/>
        <w:jc w:val="center"/>
        <w:rPr>
          <w:rFonts w:ascii="宋体" w:hAnsi="宋体"/>
          <w:color w:val="auto"/>
          <w:sz w:val="52"/>
          <w:szCs w:val="52"/>
        </w:rPr>
      </w:pPr>
    </w:p>
    <w:p w14:paraId="383D3663">
      <w:pPr>
        <w:spacing w:line="360" w:lineRule="auto"/>
        <w:jc w:val="center"/>
        <w:rPr>
          <w:rFonts w:hint="eastAsia" w:ascii="方正小标宋简体" w:hAnsi="方正小标宋简体" w:eastAsia="方正小标宋简体" w:cs="方正小标宋简体"/>
          <w:b/>
          <w:color w:val="auto"/>
          <w:sz w:val="44"/>
          <w:szCs w:val="44"/>
        </w:rPr>
      </w:pPr>
    </w:p>
    <w:p w14:paraId="181ECF84">
      <w:pPr>
        <w:snapToGrid w:val="0"/>
        <w:spacing w:before="156" w:beforeLines="50" w:line="360" w:lineRule="auto"/>
        <w:jc w:val="center"/>
        <w:rPr>
          <w:rFonts w:hint="eastAsia" w:ascii="华文新魏" w:hAnsi="宋体" w:eastAsia="华文新魏"/>
          <w:color w:val="auto"/>
          <w:sz w:val="120"/>
          <w:szCs w:val="120"/>
        </w:rPr>
      </w:pPr>
      <w:r>
        <w:rPr>
          <w:rFonts w:hint="eastAsia" w:ascii="华文新魏" w:hAnsi="宋体" w:eastAsia="华文新魏"/>
          <w:color w:val="auto"/>
          <w:sz w:val="120"/>
          <w:szCs w:val="120"/>
        </w:rPr>
        <w:t>竞争性磋商文件</w:t>
      </w:r>
    </w:p>
    <w:p w14:paraId="2250A6EB">
      <w:pPr>
        <w:snapToGrid w:val="0"/>
        <w:spacing w:line="360" w:lineRule="auto"/>
        <w:rPr>
          <w:rFonts w:hint="eastAsia" w:ascii="仿宋_GB2312" w:hAnsi="宋体" w:eastAsia="仿宋_GB2312"/>
          <w:b/>
          <w:color w:val="auto"/>
          <w:sz w:val="48"/>
          <w:szCs w:val="48"/>
        </w:rPr>
      </w:pPr>
    </w:p>
    <w:p w14:paraId="7F2C2814">
      <w:pPr>
        <w:snapToGrid w:val="0"/>
        <w:spacing w:line="360" w:lineRule="auto"/>
        <w:rPr>
          <w:rFonts w:hint="eastAsia" w:ascii="仿宋_GB2312" w:hAnsi="宋体" w:eastAsia="仿宋_GB2312"/>
          <w:color w:val="auto"/>
          <w:sz w:val="30"/>
          <w:szCs w:val="72"/>
        </w:rPr>
      </w:pPr>
    </w:p>
    <w:p w14:paraId="6DC8AE42">
      <w:pPr>
        <w:rPr>
          <w:rFonts w:hint="eastAsia" w:ascii="仿宋_GB2312" w:hAnsi="宋体" w:eastAsia="仿宋_GB2312"/>
          <w:b/>
          <w:bCs/>
          <w:color w:val="auto"/>
          <w:sz w:val="30"/>
          <w:szCs w:val="30"/>
          <w:lang w:eastAsia="zh-CN"/>
        </w:rPr>
      </w:pPr>
      <w:r>
        <w:rPr>
          <w:rFonts w:hint="eastAsia" w:ascii="仿宋_GB2312" w:hAnsi="宋体" w:eastAsia="仿宋_GB2312"/>
          <w:b/>
          <w:bCs/>
          <w:color w:val="auto"/>
          <w:sz w:val="30"/>
          <w:szCs w:val="30"/>
        </w:rPr>
        <w:t>项目</w:t>
      </w:r>
      <w:r>
        <w:rPr>
          <w:rFonts w:hint="eastAsia" w:ascii="仿宋_GB2312" w:hAnsi="宋体" w:eastAsia="仿宋_GB2312" w:cs="Courier New"/>
          <w:b/>
          <w:bCs/>
          <w:color w:val="auto"/>
          <w:w w:val="95"/>
          <w:sz w:val="30"/>
          <w:szCs w:val="30"/>
        </w:rPr>
        <w:t>名称</w:t>
      </w:r>
      <w:r>
        <w:rPr>
          <w:rFonts w:hint="eastAsia" w:ascii="仿宋_GB2312" w:hAnsi="宋体" w:eastAsia="仿宋_GB2312"/>
          <w:b/>
          <w:bCs/>
          <w:color w:val="auto"/>
          <w:sz w:val="30"/>
          <w:szCs w:val="30"/>
        </w:rPr>
        <w:t>：</w:t>
      </w:r>
      <w:r>
        <w:rPr>
          <w:rFonts w:hint="eastAsia" w:ascii="仿宋_GB2312" w:hAnsi="宋体" w:eastAsia="仿宋_GB2312"/>
          <w:b/>
          <w:bCs/>
          <w:color w:val="auto"/>
          <w:sz w:val="30"/>
          <w:szCs w:val="30"/>
          <w:lang w:eastAsia="zh-CN"/>
        </w:rPr>
        <w:t>钦州幼儿师范高等专科学校图书馆25万册电子图书服务采购</w:t>
      </w:r>
    </w:p>
    <w:p w14:paraId="5ACCE018">
      <w:pPr>
        <w:rPr>
          <w:rFonts w:hint="eastAsia" w:ascii="仿宋_GB2312" w:hAnsi="宋体" w:eastAsia="仿宋_GB2312"/>
          <w:b/>
          <w:bCs/>
          <w:color w:val="auto"/>
          <w:sz w:val="30"/>
          <w:szCs w:val="30"/>
        </w:rPr>
      </w:pPr>
    </w:p>
    <w:p w14:paraId="149317F2">
      <w:pPr>
        <w:rPr>
          <w:rFonts w:hint="eastAsia" w:ascii="仿宋_GB2312" w:hAnsi="宋体" w:eastAsia="仿宋_GB2312"/>
          <w:b/>
          <w:bCs/>
          <w:color w:val="auto"/>
          <w:sz w:val="30"/>
          <w:szCs w:val="30"/>
        </w:rPr>
      </w:pPr>
      <w:r>
        <w:rPr>
          <w:rFonts w:hint="eastAsia" w:ascii="仿宋_GB2312" w:hAnsi="宋体" w:eastAsia="仿宋_GB2312"/>
          <w:b/>
          <w:bCs/>
          <w:color w:val="auto"/>
          <w:sz w:val="30"/>
          <w:szCs w:val="30"/>
        </w:rPr>
        <w:t>项目编</w:t>
      </w:r>
      <w:r>
        <w:rPr>
          <w:rFonts w:hint="eastAsia" w:ascii="仿宋_GB2312" w:hAnsi="宋体" w:eastAsia="仿宋_GB2312"/>
          <w:b/>
          <w:bCs/>
          <w:color w:val="auto"/>
          <w:sz w:val="30"/>
          <w:szCs w:val="30"/>
          <w:lang w:eastAsia="zh-CN"/>
        </w:rPr>
        <w:t xml:space="preserve">号：QZZC2025-C3-990266-GXXZ  </w:t>
      </w:r>
    </w:p>
    <w:p w14:paraId="0D2ED536">
      <w:pPr>
        <w:rPr>
          <w:rFonts w:hint="eastAsia" w:ascii="仿宋_GB2312" w:hAnsi="宋体" w:eastAsia="仿宋_GB2312"/>
          <w:b/>
          <w:bCs/>
          <w:color w:val="auto"/>
          <w:sz w:val="30"/>
          <w:szCs w:val="30"/>
        </w:rPr>
      </w:pPr>
    </w:p>
    <w:p w14:paraId="2B2BBFD4">
      <w:pPr>
        <w:rPr>
          <w:rFonts w:hint="eastAsia" w:ascii="仿宋_GB2312" w:hAnsi="宋体" w:eastAsia="仿宋_GB2312"/>
          <w:b/>
          <w:bCs/>
          <w:color w:val="auto"/>
          <w:sz w:val="30"/>
          <w:szCs w:val="30"/>
        </w:rPr>
      </w:pPr>
      <w:r>
        <w:rPr>
          <w:rFonts w:hint="eastAsia" w:ascii="仿宋_GB2312" w:hAnsi="宋体" w:eastAsia="仿宋_GB2312"/>
          <w:b/>
          <w:bCs/>
          <w:color w:val="auto"/>
          <w:sz w:val="30"/>
          <w:szCs w:val="30"/>
        </w:rPr>
        <w:t>采 购 人：</w:t>
      </w:r>
      <w:r>
        <w:rPr>
          <w:rFonts w:hint="eastAsia" w:ascii="仿宋_GB2312" w:hAnsi="宋体" w:eastAsia="仿宋_GB2312"/>
          <w:b/>
          <w:bCs/>
          <w:color w:val="auto"/>
          <w:sz w:val="30"/>
          <w:szCs w:val="30"/>
          <w:lang w:eastAsia="zh-CN"/>
        </w:rPr>
        <w:t>钦州幼儿师范高等专科学校</w:t>
      </w:r>
      <w:r>
        <w:rPr>
          <w:rFonts w:hint="eastAsia" w:ascii="仿宋_GB2312" w:hAnsi="宋体" w:eastAsia="仿宋_GB2312"/>
          <w:b/>
          <w:bCs/>
          <w:color w:val="auto"/>
          <w:sz w:val="30"/>
          <w:szCs w:val="30"/>
        </w:rPr>
        <w:t xml:space="preserve"> </w:t>
      </w:r>
    </w:p>
    <w:p w14:paraId="24729125">
      <w:pPr>
        <w:rPr>
          <w:rFonts w:hint="eastAsia" w:ascii="仿宋_GB2312" w:hAnsi="宋体" w:eastAsia="仿宋_GB2312"/>
          <w:b/>
          <w:bCs/>
          <w:color w:val="auto"/>
          <w:sz w:val="30"/>
          <w:szCs w:val="30"/>
        </w:rPr>
      </w:pPr>
    </w:p>
    <w:p w14:paraId="1B43A6D1">
      <w:pPr>
        <w:rPr>
          <w:rFonts w:hint="eastAsia" w:ascii="仿宋_GB2312" w:hAnsi="宋体" w:eastAsia="仿宋_GB2312"/>
          <w:b/>
          <w:bCs/>
          <w:color w:val="auto"/>
          <w:sz w:val="30"/>
          <w:szCs w:val="30"/>
        </w:rPr>
      </w:pPr>
      <w:r>
        <w:rPr>
          <w:rFonts w:hint="eastAsia" w:ascii="仿宋_GB2312" w:hAnsi="宋体" w:eastAsia="仿宋_GB2312"/>
          <w:b/>
          <w:bCs/>
          <w:color w:val="auto"/>
          <w:sz w:val="30"/>
          <w:szCs w:val="30"/>
        </w:rPr>
        <w:t>采购代理机构：广西翔正项目管理有限公司</w:t>
      </w:r>
    </w:p>
    <w:p w14:paraId="5C265785">
      <w:pPr>
        <w:pStyle w:val="18"/>
        <w:snapToGrid w:val="0"/>
        <w:spacing w:line="360" w:lineRule="auto"/>
        <w:ind w:firstLine="1125" w:firstLineChars="393"/>
        <w:rPr>
          <w:rFonts w:hint="eastAsia" w:ascii="仿宋_GB2312" w:hAnsi="宋体" w:eastAsia="仿宋_GB2312"/>
          <w:b/>
          <w:bCs/>
          <w:color w:val="auto"/>
          <w:w w:val="95"/>
          <w:sz w:val="30"/>
          <w:szCs w:val="30"/>
        </w:rPr>
      </w:pPr>
    </w:p>
    <w:p w14:paraId="00DA3434">
      <w:pPr>
        <w:pStyle w:val="18"/>
        <w:snapToGrid w:val="0"/>
        <w:spacing w:line="360" w:lineRule="auto"/>
        <w:ind w:firstLine="1125" w:firstLineChars="393"/>
        <w:rPr>
          <w:rFonts w:hint="eastAsia" w:ascii="仿宋_GB2312" w:hAnsi="宋体" w:eastAsia="仿宋_GB2312"/>
          <w:b/>
          <w:bCs/>
          <w:color w:val="auto"/>
          <w:w w:val="95"/>
          <w:sz w:val="30"/>
          <w:szCs w:val="30"/>
        </w:rPr>
      </w:pPr>
    </w:p>
    <w:p w14:paraId="7AF0AB1B">
      <w:pPr>
        <w:pStyle w:val="18"/>
        <w:snapToGrid w:val="0"/>
        <w:spacing w:line="360" w:lineRule="auto"/>
        <w:ind w:left="420" w:firstLine="841" w:firstLineChars="294"/>
        <w:rPr>
          <w:rFonts w:hint="eastAsia" w:ascii="仿宋_GB2312" w:hAnsi="宋体" w:eastAsia="仿宋_GB2312"/>
          <w:b/>
          <w:bCs/>
          <w:color w:val="auto"/>
          <w:w w:val="95"/>
          <w:sz w:val="30"/>
          <w:szCs w:val="30"/>
        </w:rPr>
      </w:pPr>
      <w:r>
        <w:rPr>
          <w:rFonts w:hint="eastAsia" w:ascii="仿宋_GB2312" w:hAnsi="宋体" w:eastAsia="仿宋_GB2312"/>
          <w:b/>
          <w:bCs/>
          <w:color w:val="auto"/>
          <w:w w:val="95"/>
          <w:sz w:val="30"/>
          <w:szCs w:val="30"/>
        </w:rPr>
        <w:t xml:space="preserve">               202</w:t>
      </w:r>
      <w:r>
        <w:rPr>
          <w:rFonts w:hint="eastAsia" w:ascii="仿宋_GB2312" w:hAnsi="宋体" w:eastAsia="仿宋_GB2312"/>
          <w:b/>
          <w:bCs/>
          <w:color w:val="auto"/>
          <w:w w:val="95"/>
          <w:sz w:val="30"/>
          <w:szCs w:val="30"/>
          <w:lang w:val="en-US" w:eastAsia="zh-CN"/>
        </w:rPr>
        <w:t>5</w:t>
      </w:r>
      <w:r>
        <w:rPr>
          <w:rFonts w:hint="eastAsia" w:ascii="仿宋_GB2312" w:hAnsi="宋体" w:eastAsia="仿宋_GB2312"/>
          <w:b/>
          <w:bCs/>
          <w:color w:val="auto"/>
          <w:w w:val="95"/>
          <w:sz w:val="30"/>
          <w:szCs w:val="30"/>
        </w:rPr>
        <w:t xml:space="preserve">年 </w:t>
      </w:r>
      <w:r>
        <w:rPr>
          <w:rFonts w:hint="eastAsia" w:ascii="仿宋_GB2312" w:hAnsi="宋体" w:eastAsia="仿宋_GB2312"/>
          <w:b/>
          <w:bCs/>
          <w:color w:val="auto"/>
          <w:w w:val="95"/>
          <w:sz w:val="30"/>
          <w:szCs w:val="30"/>
          <w:lang w:val="en-US" w:eastAsia="zh-CN"/>
        </w:rPr>
        <w:t xml:space="preserve">9 </w:t>
      </w:r>
      <w:r>
        <w:rPr>
          <w:rFonts w:hint="eastAsia" w:ascii="仿宋_GB2312" w:hAnsi="宋体" w:eastAsia="仿宋_GB2312"/>
          <w:b/>
          <w:bCs/>
          <w:color w:val="auto"/>
          <w:w w:val="95"/>
          <w:sz w:val="30"/>
          <w:szCs w:val="30"/>
        </w:rPr>
        <w:t>月</w:t>
      </w:r>
      <w:r>
        <w:rPr>
          <w:rFonts w:hint="eastAsia" w:ascii="仿宋_GB2312" w:hAnsi="宋体" w:eastAsia="仿宋_GB2312"/>
          <w:b/>
          <w:bCs/>
          <w:color w:val="auto"/>
          <w:w w:val="95"/>
          <w:sz w:val="30"/>
          <w:szCs w:val="30"/>
          <w:lang w:val="en-US" w:eastAsia="zh-CN"/>
        </w:rPr>
        <w:t xml:space="preserve"> 5 </w:t>
      </w:r>
      <w:r>
        <w:rPr>
          <w:rFonts w:hint="eastAsia" w:ascii="仿宋_GB2312" w:hAnsi="宋体" w:eastAsia="仿宋_GB2312"/>
          <w:b/>
          <w:bCs/>
          <w:color w:val="auto"/>
          <w:w w:val="95"/>
          <w:sz w:val="30"/>
          <w:szCs w:val="30"/>
        </w:rPr>
        <w:t>日</w:t>
      </w:r>
    </w:p>
    <w:p w14:paraId="4FF53709">
      <w:pPr>
        <w:spacing w:line="360" w:lineRule="auto"/>
        <w:jc w:val="center"/>
        <w:rPr>
          <w:rFonts w:hint="eastAsia" w:ascii="宋体" w:hAnsi="宋体"/>
          <w:b/>
          <w:color w:val="auto"/>
          <w:sz w:val="44"/>
          <w:szCs w:val="44"/>
        </w:rPr>
      </w:pPr>
    </w:p>
    <w:p w14:paraId="1D0A3250">
      <w:pPr>
        <w:spacing w:line="360" w:lineRule="auto"/>
        <w:jc w:val="center"/>
        <w:rPr>
          <w:rFonts w:hint="eastAsia" w:ascii="宋体" w:hAnsi="宋体"/>
          <w:b/>
          <w:color w:val="auto"/>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440" w:right="1440" w:bottom="1440" w:left="1587" w:header="851" w:footer="992" w:gutter="0"/>
          <w:pgNumType w:start="0"/>
          <w:cols w:space="720" w:num="1"/>
          <w:titlePg/>
          <w:docGrid w:type="lines" w:linePitch="312" w:charSpace="0"/>
        </w:sectPr>
      </w:pPr>
    </w:p>
    <w:p w14:paraId="70955D32">
      <w:pPr>
        <w:spacing w:line="360" w:lineRule="auto"/>
        <w:jc w:val="center"/>
        <w:rPr>
          <w:rFonts w:hint="eastAsia" w:ascii="宋体" w:hAnsi="宋体"/>
          <w:b/>
          <w:color w:val="auto"/>
          <w:sz w:val="44"/>
          <w:szCs w:val="44"/>
        </w:rPr>
      </w:pPr>
      <w:r>
        <w:rPr>
          <w:rFonts w:hint="eastAsia" w:ascii="宋体" w:hAnsi="宋体"/>
          <w:b/>
          <w:color w:val="auto"/>
          <w:sz w:val="44"/>
          <w:szCs w:val="44"/>
        </w:rPr>
        <w:t>目  录</w:t>
      </w:r>
    </w:p>
    <w:p w14:paraId="797BEC55">
      <w:pPr>
        <w:spacing w:line="400" w:lineRule="exact"/>
        <w:jc w:val="center"/>
        <w:rPr>
          <w:rFonts w:hint="eastAsia" w:ascii="宋体" w:hAnsi="宋体"/>
          <w:b/>
          <w:color w:val="auto"/>
          <w:sz w:val="44"/>
          <w:szCs w:val="44"/>
        </w:rPr>
      </w:pPr>
    </w:p>
    <w:p w14:paraId="7F501945">
      <w:pPr>
        <w:pStyle w:val="22"/>
        <w:tabs>
          <w:tab w:val="right" w:leader="dot" w:pos="8869"/>
        </w:tabs>
        <w:snapToGrid w:val="0"/>
        <w:spacing w:line="500" w:lineRule="atLeast"/>
        <w:rPr>
          <w:rFonts w:ascii="宋体" w:hAnsi="宋体"/>
          <w:b/>
          <w:color w:val="auto"/>
          <w:sz w:val="24"/>
        </w:rPr>
      </w:pPr>
      <w:r>
        <w:rPr>
          <w:rFonts w:ascii="宋体" w:hAnsi="宋体"/>
          <w:b/>
          <w:color w:val="auto"/>
          <w:sz w:val="24"/>
        </w:rPr>
        <w:fldChar w:fldCharType="begin"/>
      </w:r>
      <w:r>
        <w:rPr>
          <w:rFonts w:ascii="宋体" w:hAnsi="宋体"/>
          <w:b/>
          <w:color w:val="auto"/>
          <w:sz w:val="24"/>
        </w:rPr>
        <w:instrText xml:space="preserve"> </w:instrText>
      </w:r>
      <w:r>
        <w:rPr>
          <w:rFonts w:hint="eastAsia" w:ascii="宋体" w:hAnsi="宋体"/>
          <w:b/>
          <w:color w:val="auto"/>
          <w:sz w:val="24"/>
        </w:rPr>
        <w:instrText xml:space="preserve">TOC \o "1-3" \h \z \u</w:instrText>
      </w:r>
      <w:r>
        <w:rPr>
          <w:rFonts w:ascii="宋体" w:hAnsi="宋体"/>
          <w:b/>
          <w:color w:val="auto"/>
          <w:sz w:val="24"/>
        </w:rPr>
        <w:instrText xml:space="preserve"> </w:instrText>
      </w:r>
      <w:r>
        <w:rPr>
          <w:rFonts w:ascii="宋体" w:hAnsi="宋体"/>
          <w:b/>
          <w:color w:val="auto"/>
          <w:sz w:val="24"/>
        </w:rPr>
        <w:fldChar w:fldCharType="separate"/>
      </w:r>
      <w:r>
        <w:rPr>
          <w:rFonts w:ascii="宋体" w:hAnsi="宋体"/>
          <w:b/>
          <w:color w:val="auto"/>
          <w:sz w:val="24"/>
        </w:rPr>
        <w:fldChar w:fldCharType="begin"/>
      </w:r>
      <w:r>
        <w:rPr>
          <w:rFonts w:ascii="宋体" w:hAnsi="宋体"/>
          <w:b/>
          <w:color w:val="auto"/>
          <w:sz w:val="24"/>
        </w:rPr>
        <w:instrText xml:space="preserve"> HYPERLINK \l "_Toc74323456" </w:instrText>
      </w:r>
      <w:r>
        <w:rPr>
          <w:rFonts w:ascii="宋体" w:hAnsi="宋体"/>
          <w:b/>
          <w:color w:val="auto"/>
          <w:sz w:val="24"/>
        </w:rPr>
        <w:fldChar w:fldCharType="separate"/>
      </w:r>
      <w:r>
        <w:rPr>
          <w:rFonts w:hint="eastAsia" w:ascii="宋体" w:hAnsi="宋体"/>
          <w:b/>
          <w:color w:val="auto"/>
          <w:sz w:val="24"/>
        </w:rPr>
        <w:t>第一章</w:t>
      </w:r>
      <w:r>
        <w:rPr>
          <w:rFonts w:ascii="宋体" w:hAnsi="宋体"/>
          <w:b/>
          <w:color w:val="auto"/>
          <w:sz w:val="24"/>
        </w:rPr>
        <w:t xml:space="preserve"> </w:t>
      </w:r>
      <w:r>
        <w:rPr>
          <w:rFonts w:hint="eastAsia" w:ascii="宋体" w:hAnsi="宋体"/>
          <w:b/>
          <w:color w:val="auto"/>
          <w:sz w:val="24"/>
        </w:rPr>
        <w:t>竞争性磋商公告</w:t>
      </w:r>
      <w:r>
        <w:rPr>
          <w:rFonts w:ascii="宋体" w:hAnsi="宋体"/>
          <w:b/>
          <w:color w:val="auto"/>
          <w:sz w:val="24"/>
        </w:rPr>
        <w:tab/>
      </w:r>
      <w:r>
        <w:rPr>
          <w:rFonts w:hint="eastAsia" w:ascii="宋体" w:hAnsi="宋体"/>
          <w:b/>
          <w:color w:val="auto"/>
          <w:sz w:val="24"/>
          <w:lang w:val="en-US" w:eastAsia="zh-CN"/>
        </w:rPr>
        <w:t>2</w:t>
      </w:r>
      <w:r>
        <w:rPr>
          <w:rFonts w:ascii="宋体" w:hAnsi="宋体"/>
          <w:b/>
          <w:color w:val="auto"/>
          <w:sz w:val="24"/>
        </w:rPr>
        <w:fldChar w:fldCharType="end"/>
      </w:r>
    </w:p>
    <w:p w14:paraId="71E45AAE">
      <w:pPr>
        <w:pStyle w:val="22"/>
        <w:tabs>
          <w:tab w:val="right" w:leader="dot" w:pos="8869"/>
        </w:tabs>
        <w:snapToGrid w:val="0"/>
        <w:spacing w:line="500" w:lineRule="atLeast"/>
        <w:rPr>
          <w:rFonts w:ascii="宋体" w:hAnsi="宋体"/>
          <w:b/>
          <w:color w:val="auto"/>
          <w:sz w:val="24"/>
        </w:rPr>
      </w:pPr>
      <w:r>
        <w:rPr>
          <w:rFonts w:ascii="宋体" w:hAnsi="宋体"/>
          <w:b/>
          <w:color w:val="auto"/>
          <w:sz w:val="24"/>
        </w:rPr>
        <w:fldChar w:fldCharType="begin"/>
      </w:r>
      <w:r>
        <w:rPr>
          <w:rFonts w:ascii="宋体" w:hAnsi="宋体"/>
          <w:b/>
          <w:color w:val="auto"/>
          <w:sz w:val="24"/>
        </w:rPr>
        <w:instrText xml:space="preserve"> HYPERLINK \l "_Toc74323457" </w:instrText>
      </w:r>
      <w:r>
        <w:rPr>
          <w:rFonts w:ascii="宋体" w:hAnsi="宋体"/>
          <w:b/>
          <w:color w:val="auto"/>
          <w:sz w:val="24"/>
        </w:rPr>
        <w:fldChar w:fldCharType="separate"/>
      </w:r>
      <w:r>
        <w:rPr>
          <w:rFonts w:hint="eastAsia" w:ascii="宋体" w:hAnsi="宋体"/>
          <w:b/>
          <w:color w:val="auto"/>
          <w:sz w:val="24"/>
        </w:rPr>
        <w:t>第二章</w:t>
      </w:r>
      <w:r>
        <w:rPr>
          <w:rFonts w:ascii="宋体" w:hAnsi="宋体"/>
          <w:b/>
          <w:color w:val="auto"/>
          <w:sz w:val="24"/>
        </w:rPr>
        <w:t xml:space="preserve"> </w:t>
      </w:r>
      <w:r>
        <w:rPr>
          <w:rFonts w:hint="eastAsia" w:ascii="宋体" w:hAnsi="宋体"/>
          <w:b/>
          <w:color w:val="auto"/>
          <w:sz w:val="24"/>
        </w:rPr>
        <w:t>供应</w:t>
      </w:r>
      <w:bookmarkStart w:id="0" w:name="_Hlt82161237"/>
      <w:r>
        <w:rPr>
          <w:rFonts w:hint="eastAsia" w:ascii="宋体" w:hAnsi="宋体"/>
          <w:b/>
          <w:color w:val="auto"/>
          <w:sz w:val="24"/>
        </w:rPr>
        <w:t>商</w:t>
      </w:r>
      <w:bookmarkEnd w:id="0"/>
      <w:r>
        <w:rPr>
          <w:rFonts w:hint="eastAsia" w:ascii="宋体" w:hAnsi="宋体"/>
          <w:b/>
          <w:color w:val="auto"/>
          <w:sz w:val="24"/>
        </w:rPr>
        <w:t>须知</w:t>
      </w:r>
      <w:r>
        <w:rPr>
          <w:rFonts w:ascii="宋体" w:hAnsi="宋体"/>
          <w:b/>
          <w:color w:val="auto"/>
          <w:sz w:val="24"/>
        </w:rPr>
        <w:tab/>
      </w:r>
      <w:r>
        <w:rPr>
          <w:rFonts w:hint="eastAsia" w:ascii="宋体" w:hAnsi="宋体"/>
          <w:b/>
          <w:color w:val="auto"/>
          <w:sz w:val="24"/>
          <w:lang w:val="en-US" w:eastAsia="zh-CN"/>
        </w:rPr>
        <w:t>6</w:t>
      </w:r>
      <w:r>
        <w:rPr>
          <w:rFonts w:ascii="宋体" w:hAnsi="宋体"/>
          <w:b/>
          <w:color w:val="auto"/>
          <w:sz w:val="24"/>
        </w:rPr>
        <w:fldChar w:fldCharType="end"/>
      </w:r>
    </w:p>
    <w:p w14:paraId="5BF5D6DE">
      <w:pPr>
        <w:pStyle w:val="22"/>
        <w:tabs>
          <w:tab w:val="right" w:leader="dot" w:pos="8869"/>
        </w:tabs>
        <w:snapToGrid w:val="0"/>
        <w:spacing w:line="500" w:lineRule="atLeast"/>
        <w:rPr>
          <w:rFonts w:ascii="宋体" w:hAnsi="宋体"/>
          <w:b/>
          <w:color w:val="auto"/>
          <w:sz w:val="24"/>
        </w:rPr>
      </w:pPr>
      <w:r>
        <w:rPr>
          <w:rFonts w:ascii="宋体" w:hAnsi="宋体"/>
          <w:b/>
          <w:color w:val="auto"/>
          <w:sz w:val="24"/>
        </w:rPr>
        <w:fldChar w:fldCharType="begin"/>
      </w:r>
      <w:r>
        <w:rPr>
          <w:rFonts w:ascii="宋体" w:hAnsi="宋体"/>
          <w:b/>
          <w:color w:val="auto"/>
          <w:sz w:val="24"/>
        </w:rPr>
        <w:instrText xml:space="preserve"> HYPERLINK \l "_Toc74323458" </w:instrText>
      </w:r>
      <w:r>
        <w:rPr>
          <w:rFonts w:ascii="宋体" w:hAnsi="宋体"/>
          <w:b/>
          <w:color w:val="auto"/>
          <w:sz w:val="24"/>
        </w:rPr>
        <w:fldChar w:fldCharType="separate"/>
      </w:r>
      <w:r>
        <w:rPr>
          <w:rFonts w:hint="eastAsia" w:ascii="宋体" w:hAnsi="宋体"/>
          <w:b/>
          <w:color w:val="auto"/>
          <w:sz w:val="24"/>
        </w:rPr>
        <w:t>第三章</w:t>
      </w:r>
      <w:r>
        <w:rPr>
          <w:rFonts w:ascii="宋体" w:hAnsi="宋体"/>
          <w:b/>
          <w:color w:val="auto"/>
          <w:sz w:val="24"/>
        </w:rPr>
        <w:t xml:space="preserve"> </w:t>
      </w:r>
      <w:r>
        <w:rPr>
          <w:rFonts w:hint="eastAsia" w:ascii="宋体" w:hAnsi="宋体"/>
          <w:b/>
          <w:color w:val="auto"/>
          <w:sz w:val="24"/>
        </w:rPr>
        <w:t>采购需</w:t>
      </w:r>
      <w:bookmarkStart w:id="1" w:name="_Hlt82166940"/>
      <w:r>
        <w:rPr>
          <w:rFonts w:hint="eastAsia" w:ascii="宋体" w:hAnsi="宋体"/>
          <w:b/>
          <w:color w:val="auto"/>
          <w:sz w:val="24"/>
        </w:rPr>
        <w:t>求</w:t>
      </w:r>
      <w:bookmarkEnd w:id="1"/>
      <w:r>
        <w:rPr>
          <w:rFonts w:ascii="宋体" w:hAnsi="宋体"/>
          <w:b/>
          <w:color w:val="auto"/>
          <w:sz w:val="24"/>
        </w:rPr>
        <w:tab/>
      </w:r>
      <w:r>
        <w:rPr>
          <w:rFonts w:hint="eastAsia" w:ascii="宋体" w:hAnsi="宋体"/>
          <w:b/>
          <w:color w:val="auto"/>
          <w:sz w:val="24"/>
        </w:rPr>
        <w:t>2</w:t>
      </w:r>
      <w:r>
        <w:rPr>
          <w:rFonts w:hint="eastAsia" w:ascii="宋体" w:hAnsi="宋体"/>
          <w:b/>
          <w:color w:val="auto"/>
          <w:sz w:val="24"/>
          <w:lang w:val="en-US" w:eastAsia="zh-CN"/>
        </w:rPr>
        <w:t>2</w:t>
      </w:r>
      <w:r>
        <w:rPr>
          <w:rFonts w:ascii="宋体" w:hAnsi="宋体"/>
          <w:b/>
          <w:color w:val="auto"/>
          <w:sz w:val="24"/>
        </w:rPr>
        <w:fldChar w:fldCharType="end"/>
      </w:r>
    </w:p>
    <w:p w14:paraId="1049B22A">
      <w:pPr>
        <w:pStyle w:val="22"/>
        <w:tabs>
          <w:tab w:val="right" w:leader="dot" w:pos="8869"/>
        </w:tabs>
        <w:snapToGrid w:val="0"/>
        <w:spacing w:line="500" w:lineRule="atLeast"/>
        <w:rPr>
          <w:rFonts w:ascii="宋体" w:hAnsi="宋体"/>
          <w:b/>
          <w:color w:val="auto"/>
          <w:sz w:val="24"/>
        </w:rPr>
      </w:pPr>
      <w:r>
        <w:rPr>
          <w:rFonts w:ascii="宋体" w:hAnsi="宋体"/>
          <w:b/>
          <w:color w:val="auto"/>
          <w:sz w:val="24"/>
        </w:rPr>
        <w:fldChar w:fldCharType="begin"/>
      </w:r>
      <w:r>
        <w:rPr>
          <w:rFonts w:ascii="宋体" w:hAnsi="宋体"/>
          <w:b/>
          <w:color w:val="auto"/>
          <w:sz w:val="24"/>
        </w:rPr>
        <w:instrText xml:space="preserve"> HYPERLINK \l "_Toc74323459" </w:instrText>
      </w:r>
      <w:r>
        <w:rPr>
          <w:rFonts w:ascii="宋体" w:hAnsi="宋体"/>
          <w:b/>
          <w:color w:val="auto"/>
          <w:sz w:val="24"/>
        </w:rPr>
        <w:fldChar w:fldCharType="separate"/>
      </w:r>
      <w:r>
        <w:rPr>
          <w:rFonts w:hint="eastAsia" w:ascii="宋体" w:hAnsi="宋体"/>
          <w:b/>
          <w:color w:val="auto"/>
          <w:sz w:val="24"/>
        </w:rPr>
        <w:t>第四章</w:t>
      </w:r>
      <w:r>
        <w:rPr>
          <w:rFonts w:ascii="宋体" w:hAnsi="宋体"/>
          <w:b/>
          <w:color w:val="auto"/>
          <w:sz w:val="24"/>
        </w:rPr>
        <w:t xml:space="preserve"> </w:t>
      </w:r>
      <w:r>
        <w:rPr>
          <w:rFonts w:hint="eastAsia" w:ascii="宋体" w:hAnsi="宋体"/>
          <w:b/>
          <w:color w:val="auto"/>
          <w:sz w:val="24"/>
        </w:rPr>
        <w:t>评审程序、</w:t>
      </w:r>
      <w:bookmarkStart w:id="2" w:name="_Hlt82166000"/>
      <w:r>
        <w:rPr>
          <w:rFonts w:hint="eastAsia" w:ascii="宋体" w:hAnsi="宋体"/>
          <w:b/>
          <w:color w:val="auto"/>
          <w:sz w:val="24"/>
        </w:rPr>
        <w:t>评</w:t>
      </w:r>
      <w:bookmarkEnd w:id="2"/>
      <w:r>
        <w:rPr>
          <w:rFonts w:hint="eastAsia" w:ascii="宋体" w:hAnsi="宋体"/>
          <w:b/>
          <w:color w:val="auto"/>
          <w:sz w:val="24"/>
        </w:rPr>
        <w:t>审方法和评审标准</w:t>
      </w:r>
      <w:r>
        <w:rPr>
          <w:rFonts w:ascii="宋体" w:hAnsi="宋体"/>
          <w:b/>
          <w:color w:val="auto"/>
          <w:sz w:val="24"/>
        </w:rPr>
        <w:tab/>
      </w:r>
      <w:r>
        <w:rPr>
          <w:rFonts w:hint="eastAsia" w:ascii="宋体" w:hAnsi="宋体"/>
          <w:b/>
          <w:color w:val="auto"/>
          <w:sz w:val="24"/>
          <w:lang w:val="en-US" w:eastAsia="zh-CN"/>
        </w:rPr>
        <w:t>29</w:t>
      </w:r>
      <w:r>
        <w:rPr>
          <w:rFonts w:ascii="宋体" w:hAnsi="宋体"/>
          <w:b/>
          <w:color w:val="auto"/>
          <w:sz w:val="24"/>
        </w:rPr>
        <w:fldChar w:fldCharType="end"/>
      </w:r>
    </w:p>
    <w:p w14:paraId="7F8B2E32">
      <w:pPr>
        <w:pStyle w:val="22"/>
        <w:tabs>
          <w:tab w:val="right" w:leader="dot" w:pos="8869"/>
        </w:tabs>
        <w:snapToGrid w:val="0"/>
        <w:spacing w:line="500" w:lineRule="atLeast"/>
        <w:rPr>
          <w:rFonts w:hint="eastAsia" w:ascii="宋体" w:hAnsi="宋体" w:eastAsia="宋体"/>
          <w:b/>
          <w:color w:val="auto"/>
          <w:sz w:val="24"/>
          <w:lang w:val="en-US" w:eastAsia="zh-CN"/>
        </w:rPr>
      </w:pPr>
      <w:r>
        <w:rPr>
          <w:rFonts w:ascii="宋体" w:hAnsi="宋体"/>
          <w:b/>
          <w:color w:val="auto"/>
          <w:sz w:val="24"/>
        </w:rPr>
        <w:fldChar w:fldCharType="begin"/>
      </w:r>
      <w:r>
        <w:rPr>
          <w:rFonts w:ascii="宋体" w:hAnsi="宋体"/>
          <w:b/>
          <w:color w:val="auto"/>
          <w:sz w:val="24"/>
        </w:rPr>
        <w:instrText xml:space="preserve"> HYPERLINK \l "_Toc74323460" </w:instrText>
      </w:r>
      <w:r>
        <w:rPr>
          <w:rFonts w:ascii="宋体" w:hAnsi="宋体"/>
          <w:b/>
          <w:color w:val="auto"/>
          <w:sz w:val="24"/>
        </w:rPr>
        <w:fldChar w:fldCharType="separate"/>
      </w:r>
      <w:r>
        <w:rPr>
          <w:rFonts w:hint="eastAsia" w:ascii="宋体" w:hAnsi="宋体"/>
          <w:b/>
          <w:color w:val="auto"/>
          <w:sz w:val="24"/>
        </w:rPr>
        <w:t>第五章</w:t>
      </w:r>
      <w:r>
        <w:rPr>
          <w:rFonts w:ascii="宋体" w:hAnsi="宋体"/>
          <w:b/>
          <w:color w:val="auto"/>
          <w:sz w:val="24"/>
        </w:rPr>
        <w:t xml:space="preserve"> </w:t>
      </w:r>
      <w:r>
        <w:rPr>
          <w:rFonts w:hint="eastAsia" w:ascii="宋体" w:hAnsi="宋体"/>
          <w:b/>
          <w:color w:val="auto"/>
          <w:sz w:val="24"/>
        </w:rPr>
        <w:t>响应文件格式</w:t>
      </w:r>
      <w:r>
        <w:rPr>
          <w:rFonts w:ascii="宋体" w:hAnsi="宋体"/>
          <w:b/>
          <w:color w:val="auto"/>
          <w:sz w:val="24"/>
        </w:rPr>
        <w:tab/>
      </w:r>
      <w:r>
        <w:rPr>
          <w:rFonts w:hint="eastAsia" w:ascii="宋体" w:hAnsi="宋体"/>
          <w:b/>
          <w:color w:val="auto"/>
          <w:sz w:val="24"/>
          <w:lang w:val="en-US" w:eastAsia="zh-CN"/>
        </w:rPr>
        <w:t>3</w:t>
      </w:r>
      <w:r>
        <w:rPr>
          <w:rFonts w:ascii="宋体" w:hAnsi="宋体"/>
          <w:b/>
          <w:color w:val="auto"/>
          <w:sz w:val="24"/>
        </w:rPr>
        <w:fldChar w:fldCharType="end"/>
      </w:r>
      <w:r>
        <w:rPr>
          <w:rFonts w:hint="eastAsia" w:ascii="宋体" w:hAnsi="宋体"/>
          <w:b/>
          <w:color w:val="auto"/>
          <w:sz w:val="24"/>
          <w:lang w:val="en-US" w:eastAsia="zh-CN"/>
        </w:rPr>
        <w:t>7</w:t>
      </w:r>
    </w:p>
    <w:p w14:paraId="7D02D60D">
      <w:pPr>
        <w:pStyle w:val="22"/>
        <w:tabs>
          <w:tab w:val="right" w:leader="dot" w:pos="8869"/>
        </w:tabs>
        <w:snapToGrid w:val="0"/>
        <w:spacing w:line="500" w:lineRule="atLeast"/>
        <w:rPr>
          <w:rFonts w:hint="eastAsia" w:ascii="宋体" w:hAnsi="宋体" w:eastAsia="宋体"/>
          <w:color w:val="auto"/>
          <w:sz w:val="24"/>
          <w:lang w:val="en-US" w:eastAsia="zh-CN"/>
        </w:rPr>
      </w:pPr>
      <w:r>
        <w:rPr>
          <w:rFonts w:ascii="宋体" w:hAnsi="宋体"/>
          <w:b/>
          <w:color w:val="auto"/>
          <w:sz w:val="24"/>
        </w:rPr>
        <w:fldChar w:fldCharType="begin"/>
      </w:r>
      <w:r>
        <w:rPr>
          <w:rFonts w:ascii="宋体" w:hAnsi="宋体"/>
          <w:b/>
          <w:color w:val="auto"/>
          <w:sz w:val="24"/>
        </w:rPr>
        <w:instrText xml:space="preserve"> HYPERLINK \l "_Toc74323461" </w:instrText>
      </w:r>
      <w:r>
        <w:rPr>
          <w:rFonts w:ascii="宋体" w:hAnsi="宋体"/>
          <w:b/>
          <w:color w:val="auto"/>
          <w:sz w:val="24"/>
        </w:rPr>
        <w:fldChar w:fldCharType="separate"/>
      </w:r>
      <w:r>
        <w:rPr>
          <w:rFonts w:hint="eastAsia" w:ascii="宋体" w:hAnsi="宋体"/>
          <w:b/>
          <w:color w:val="auto"/>
          <w:sz w:val="24"/>
        </w:rPr>
        <w:t>第六章</w:t>
      </w:r>
      <w:r>
        <w:rPr>
          <w:rFonts w:ascii="宋体" w:hAnsi="宋体"/>
          <w:b/>
          <w:color w:val="auto"/>
          <w:sz w:val="24"/>
        </w:rPr>
        <w:t xml:space="preserve"> </w:t>
      </w:r>
      <w:r>
        <w:rPr>
          <w:rFonts w:hint="eastAsia" w:ascii="宋体" w:hAnsi="宋体"/>
          <w:b/>
          <w:color w:val="auto"/>
          <w:sz w:val="24"/>
        </w:rPr>
        <w:t>合同文本</w:t>
      </w:r>
      <w:r>
        <w:rPr>
          <w:rFonts w:ascii="宋体" w:hAnsi="宋体"/>
          <w:b/>
          <w:color w:val="auto"/>
          <w:sz w:val="24"/>
        </w:rPr>
        <w:tab/>
      </w:r>
      <w:r>
        <w:rPr>
          <w:rFonts w:hint="eastAsia" w:ascii="宋体" w:hAnsi="宋体"/>
          <w:b/>
          <w:color w:val="auto"/>
          <w:sz w:val="24"/>
          <w:lang w:val="en-US" w:eastAsia="zh-CN"/>
        </w:rPr>
        <w:t>6</w:t>
      </w:r>
      <w:r>
        <w:rPr>
          <w:rFonts w:ascii="宋体" w:hAnsi="宋体"/>
          <w:b/>
          <w:color w:val="auto"/>
          <w:sz w:val="24"/>
        </w:rPr>
        <w:fldChar w:fldCharType="end"/>
      </w:r>
      <w:r>
        <w:rPr>
          <w:rFonts w:hint="eastAsia" w:ascii="宋体" w:hAnsi="宋体"/>
          <w:b/>
          <w:color w:val="auto"/>
          <w:sz w:val="24"/>
          <w:lang w:val="en-US" w:eastAsia="zh-CN"/>
        </w:rPr>
        <w:t>1</w:t>
      </w:r>
    </w:p>
    <w:p w14:paraId="03A90B69">
      <w:pPr>
        <w:pStyle w:val="23"/>
        <w:tabs>
          <w:tab w:val="right" w:leader="dot" w:pos="8931"/>
          <w:tab w:val="clear" w:pos="8296"/>
        </w:tabs>
        <w:snapToGrid w:val="0"/>
        <w:spacing w:line="500" w:lineRule="atLeast"/>
        <w:ind w:left="0" w:leftChars="0"/>
        <w:rPr>
          <w:rFonts w:hint="eastAsia" w:ascii="宋体" w:hAnsi="宋体"/>
          <w:b/>
          <w:color w:val="auto"/>
          <w:sz w:val="24"/>
        </w:rPr>
      </w:pPr>
      <w:r>
        <w:rPr>
          <w:rFonts w:ascii="宋体" w:hAnsi="宋体"/>
          <w:b/>
          <w:color w:val="auto"/>
          <w:sz w:val="24"/>
        </w:rPr>
        <w:fldChar w:fldCharType="end"/>
      </w:r>
    </w:p>
    <w:p w14:paraId="423031B6">
      <w:pPr>
        <w:spacing w:line="400" w:lineRule="exact"/>
        <w:jc w:val="left"/>
        <w:rPr>
          <w:rFonts w:hint="eastAsia" w:ascii="宋体" w:hAnsi="宋体"/>
          <w:b/>
          <w:color w:val="auto"/>
          <w:sz w:val="32"/>
          <w:szCs w:val="32"/>
        </w:rPr>
      </w:pPr>
    </w:p>
    <w:p w14:paraId="0A5A14EE">
      <w:pPr>
        <w:spacing w:line="400" w:lineRule="exact"/>
        <w:jc w:val="center"/>
        <w:rPr>
          <w:rFonts w:hint="eastAsia" w:ascii="宋体" w:hAnsi="宋体"/>
          <w:b/>
          <w:color w:val="auto"/>
          <w:sz w:val="32"/>
          <w:szCs w:val="32"/>
        </w:rPr>
      </w:pPr>
    </w:p>
    <w:p w14:paraId="7B3DEFC9">
      <w:pPr>
        <w:spacing w:line="400" w:lineRule="exact"/>
        <w:jc w:val="center"/>
        <w:rPr>
          <w:rFonts w:hint="eastAsia" w:ascii="宋体" w:hAnsi="宋体"/>
          <w:b/>
          <w:color w:val="auto"/>
          <w:sz w:val="32"/>
          <w:szCs w:val="32"/>
        </w:rPr>
      </w:pPr>
    </w:p>
    <w:p w14:paraId="10BE68AC">
      <w:pPr>
        <w:spacing w:line="400" w:lineRule="exact"/>
        <w:jc w:val="center"/>
        <w:rPr>
          <w:rFonts w:hint="eastAsia" w:ascii="宋体" w:hAnsi="宋体"/>
          <w:b/>
          <w:color w:val="auto"/>
          <w:sz w:val="32"/>
          <w:szCs w:val="32"/>
        </w:rPr>
      </w:pPr>
    </w:p>
    <w:p w14:paraId="766505FA">
      <w:pPr>
        <w:spacing w:line="400" w:lineRule="exact"/>
        <w:jc w:val="center"/>
        <w:rPr>
          <w:rFonts w:hint="eastAsia" w:ascii="宋体" w:hAnsi="宋体"/>
          <w:b/>
          <w:color w:val="auto"/>
          <w:sz w:val="32"/>
          <w:szCs w:val="32"/>
        </w:rPr>
      </w:pPr>
    </w:p>
    <w:p w14:paraId="28D594FF">
      <w:pPr>
        <w:spacing w:line="400" w:lineRule="exact"/>
        <w:rPr>
          <w:rFonts w:hint="eastAsia" w:ascii="宋体" w:hAnsi="宋体"/>
          <w:b/>
          <w:color w:val="auto"/>
          <w:sz w:val="32"/>
          <w:szCs w:val="32"/>
        </w:rPr>
        <w:sectPr>
          <w:footerReference r:id="rId10" w:type="first"/>
          <w:footerReference r:id="rId9" w:type="default"/>
          <w:pgSz w:w="11906" w:h="16838"/>
          <w:pgMar w:top="1440" w:right="1440" w:bottom="1440" w:left="1587" w:header="851" w:footer="992" w:gutter="0"/>
          <w:pgNumType w:start="1"/>
          <w:cols w:space="720" w:num="1"/>
          <w:titlePg/>
          <w:docGrid w:type="lines" w:linePitch="312" w:charSpace="0"/>
        </w:sectPr>
      </w:pPr>
    </w:p>
    <w:p w14:paraId="5191070C">
      <w:pPr>
        <w:pStyle w:val="3"/>
        <w:spacing w:line="360" w:lineRule="auto"/>
        <w:jc w:val="center"/>
        <w:rPr>
          <w:color w:val="auto"/>
        </w:rPr>
      </w:pPr>
      <w:bookmarkStart w:id="3" w:name="_Toc74323456"/>
      <w:r>
        <w:rPr>
          <w:rFonts w:hint="eastAsia"/>
          <w:color w:val="auto"/>
        </w:rPr>
        <w:t>第一章 竞争性磋商公告</w:t>
      </w:r>
      <w:bookmarkEnd w:id="3"/>
    </w:p>
    <w:p w14:paraId="427D4F5B">
      <w:pPr>
        <w:spacing w:line="360" w:lineRule="auto"/>
        <w:jc w:val="center"/>
        <w:outlineLvl w:val="1"/>
        <w:rPr>
          <w:rFonts w:ascii="宋体" w:hAnsi="宋体"/>
          <w:color w:val="auto"/>
          <w:szCs w:val="21"/>
        </w:rPr>
      </w:pPr>
      <w:r>
        <w:rPr>
          <w:rFonts w:hint="eastAsia" w:ascii="宋体" w:hAnsi="宋体"/>
          <w:b/>
          <w:bCs/>
          <w:color w:val="auto"/>
          <w:sz w:val="32"/>
          <w:szCs w:val="32"/>
        </w:rPr>
        <w:t>竞争性磋商公告</w:t>
      </w:r>
    </w:p>
    <w:p w14:paraId="1B9FC4A6">
      <w:pPr>
        <w:spacing w:line="360" w:lineRule="exact"/>
        <w:rPr>
          <w:rFonts w:ascii="方正小标宋简体" w:hAnsi="宋体"/>
          <w:b/>
          <w:color w:val="auto"/>
          <w:sz w:val="32"/>
          <w:szCs w:val="32"/>
        </w:rPr>
      </w:pPr>
      <w:bookmarkStart w:id="4" w:name="_Toc28359012"/>
      <w:bookmarkStart w:id="5" w:name="_Toc35393629"/>
      <w:bookmarkStart w:id="6" w:name="_Toc28359089"/>
      <w:bookmarkStart w:id="7" w:name="_Toc44229878"/>
      <w:bookmarkStart w:id="8" w:name="_Toc35393798"/>
      <w:bookmarkStart w:id="9" w:name="_Toc71365905"/>
      <w:bookmarkStart w:id="10" w:name="_Hlk37430271"/>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8"/>
      </w:tblGrid>
      <w:tr w14:paraId="0998A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9828" w:type="dxa"/>
            <w:tcBorders>
              <w:top w:val="single" w:color="auto" w:sz="4" w:space="0"/>
              <w:left w:val="single" w:color="auto" w:sz="4" w:space="0"/>
              <w:bottom w:val="single" w:color="auto" w:sz="4" w:space="0"/>
              <w:right w:val="single" w:color="auto" w:sz="4" w:space="0"/>
            </w:tcBorders>
            <w:noWrap w:val="0"/>
            <w:vAlign w:val="top"/>
          </w:tcPr>
          <w:p w14:paraId="121B3CF5">
            <w:pPr>
              <w:widowControl/>
              <w:spacing w:after="75" w:line="360" w:lineRule="auto"/>
              <w:jc w:val="left"/>
              <w:rPr>
                <w:rFonts w:ascii="Arial" w:hAnsi="Arial" w:cs="Arial"/>
                <w:color w:val="auto"/>
                <w:kern w:val="0"/>
                <w:szCs w:val="21"/>
              </w:rPr>
            </w:pPr>
            <w:bookmarkStart w:id="11" w:name="OLE_LINK2"/>
            <w:bookmarkStart w:id="12" w:name="OLE_LINK4"/>
            <w:r>
              <w:rPr>
                <w:rFonts w:hint="eastAsia" w:ascii="宋体" w:hAnsi="宋体" w:cs="Arial"/>
                <w:b/>
                <w:bCs/>
                <w:color w:val="auto"/>
                <w:kern w:val="0"/>
                <w:szCs w:val="21"/>
              </w:rPr>
              <w:t>项目概况</w:t>
            </w:r>
          </w:p>
          <w:p w14:paraId="3E616F2A">
            <w:pPr>
              <w:ind w:firstLine="420" w:firstLineChars="200"/>
              <w:rPr>
                <w:color w:val="auto"/>
              </w:rPr>
            </w:pPr>
            <w:r>
              <w:rPr>
                <w:rFonts w:hint="eastAsia" w:ascii="宋体" w:hAnsi="宋体" w:eastAsia="宋体" w:cs="Times New Roman"/>
                <w:color w:val="auto"/>
                <w:kern w:val="2"/>
                <w:sz w:val="21"/>
                <w:szCs w:val="21"/>
                <w:lang w:val="en-US" w:eastAsia="zh-CN" w:bidi="ar-SA"/>
              </w:rPr>
              <w:t>钦州幼儿师范高等专科学校图书馆25万册电子图书服务采购采购项目的潜在供应商应在广西政府采购云平台线上获取获取采购文件，并于2025年</w:t>
            </w:r>
            <w:r>
              <w:rPr>
                <w:rFonts w:hint="eastAsia" w:ascii="宋体" w:hAnsi="宋体" w:cs="Times New Roman"/>
                <w:color w:val="auto"/>
                <w:kern w:val="2"/>
                <w:sz w:val="21"/>
                <w:szCs w:val="21"/>
                <w:lang w:val="en-US" w:eastAsia="zh-CN" w:bidi="ar-SA"/>
              </w:rPr>
              <w:t>9</w:t>
            </w:r>
            <w:r>
              <w:rPr>
                <w:rFonts w:hint="eastAsia" w:ascii="宋体" w:hAnsi="宋体" w:eastAsia="宋体" w:cs="Times New Roman"/>
                <w:color w:val="auto"/>
                <w:kern w:val="2"/>
                <w:sz w:val="21"/>
                <w:szCs w:val="21"/>
                <w:lang w:val="en-US" w:eastAsia="zh-CN" w:bidi="ar-SA"/>
              </w:rPr>
              <w:t>月</w:t>
            </w:r>
            <w:r>
              <w:rPr>
                <w:rFonts w:hint="eastAsia" w:ascii="宋体" w:hAnsi="宋体" w:cs="Times New Roman"/>
                <w:color w:val="auto"/>
                <w:kern w:val="2"/>
                <w:sz w:val="21"/>
                <w:szCs w:val="21"/>
                <w:lang w:val="en-US" w:eastAsia="zh-CN" w:bidi="ar-SA"/>
              </w:rPr>
              <w:t>17</w:t>
            </w:r>
            <w:r>
              <w:rPr>
                <w:rFonts w:hint="eastAsia" w:ascii="宋体" w:hAnsi="宋体" w:eastAsia="宋体" w:cs="Times New Roman"/>
                <w:color w:val="auto"/>
                <w:kern w:val="2"/>
                <w:sz w:val="21"/>
                <w:szCs w:val="21"/>
                <w:lang w:val="en-US" w:eastAsia="zh-CN" w:bidi="ar-SA"/>
              </w:rPr>
              <w:t>日 09:30（北京时间）前提交响应文件。</w:t>
            </w:r>
          </w:p>
        </w:tc>
      </w:tr>
      <w:bookmarkEnd w:id="11"/>
      <w:bookmarkEnd w:id="12"/>
    </w:tbl>
    <w:p w14:paraId="617AAD88">
      <w:pPr>
        <w:spacing w:line="360" w:lineRule="auto"/>
        <w:ind w:firstLine="361" w:firstLineChars="150"/>
        <w:outlineLvl w:val="1"/>
        <w:rPr>
          <w:rFonts w:ascii="黑体" w:hAnsi="黑体" w:eastAsia="黑体"/>
          <w:b/>
          <w:color w:val="auto"/>
          <w:sz w:val="24"/>
        </w:rPr>
      </w:pPr>
      <w:r>
        <w:rPr>
          <w:rFonts w:hint="eastAsia" w:ascii="黑体" w:hAnsi="黑体" w:eastAsia="黑体"/>
          <w:b/>
          <w:color w:val="auto"/>
          <w:sz w:val="24"/>
        </w:rPr>
        <w:t>一、项目基本情况</w:t>
      </w:r>
      <w:bookmarkEnd w:id="4"/>
      <w:bookmarkEnd w:id="5"/>
      <w:bookmarkEnd w:id="6"/>
      <w:bookmarkEnd w:id="7"/>
      <w:bookmarkEnd w:id="8"/>
      <w:bookmarkEnd w:id="9"/>
    </w:p>
    <w:p w14:paraId="6F88AED6">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0" w:firstLineChars="30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项目编号：QZZC2025-C3-990266-GXXZ </w:t>
      </w:r>
    </w:p>
    <w:p w14:paraId="21DD8395">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    项目名称：钦州幼儿师范高等专科学校图书馆25万册电子图书服务采购 </w:t>
      </w:r>
    </w:p>
    <w:p w14:paraId="587CE965">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    采购方式：竞争性磋商 </w:t>
      </w:r>
    </w:p>
    <w:p w14:paraId="1BF089DF">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    预算总金额（元）：500000 </w:t>
      </w:r>
    </w:p>
    <w:p w14:paraId="7030E729">
      <w:pPr>
        <w:ind w:firstLine="420" w:firstLineChars="200"/>
        <w:rPr>
          <w:rFonts w:hint="eastAsia" w:ascii="宋体" w:hAnsi="宋体"/>
          <w:color w:val="auto"/>
          <w:szCs w:val="21"/>
        </w:rPr>
      </w:pPr>
      <w:r>
        <w:rPr>
          <w:rFonts w:hint="eastAsia" w:ascii="宋体" w:hAnsi="宋体"/>
          <w:color w:val="auto"/>
          <w:szCs w:val="21"/>
        </w:rPr>
        <w:t>采购需求：</w:t>
      </w:r>
    </w:p>
    <w:p w14:paraId="68BFC7AE">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630" w:leftChars="300" w:right="0" w:firstLine="0" w:firstLineChars="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标项名称:钦州幼儿师范高等专科学校图书馆25万册电子图书服务采购</w:t>
      </w:r>
    </w:p>
    <w:p w14:paraId="77C75433">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630" w:leftChars="300" w:right="0" w:firstLine="0" w:firstLineChars="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数量:1</w:t>
      </w:r>
    </w:p>
    <w:p w14:paraId="7A3891BA">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630" w:leftChars="300" w:right="0" w:firstLine="0" w:firstLineChars="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预算金额（元）:500000 </w:t>
      </w:r>
    </w:p>
    <w:p w14:paraId="0E2A5693">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630" w:leftChars="300" w:righ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简要规格描述或项目基本概况介绍、用途：电子图书远程包库服务和本地镜像服务采购,具体内容详见竞争性磋商采购文件。</w:t>
      </w:r>
    </w:p>
    <w:p w14:paraId="68838A31">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firstLine="630" w:firstLineChars="30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最高限价（如有）：500000 </w:t>
      </w:r>
    </w:p>
    <w:p w14:paraId="34A8CC45">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630" w:firstLineChars="300"/>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合同履约期限：合同签订之日起30日内完成。</w:t>
      </w:r>
    </w:p>
    <w:p w14:paraId="1E341DD3">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630" w:leftChars="300" w:righ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本标项（否）接受联合体投标</w:t>
      </w:r>
    </w:p>
    <w:p w14:paraId="0FA9DDD4">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630" w:leftChars="300" w:righ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备注：</w:t>
      </w:r>
    </w:p>
    <w:p w14:paraId="279C941B">
      <w:pPr>
        <w:spacing w:line="360" w:lineRule="auto"/>
        <w:ind w:firstLine="354" w:firstLineChars="147"/>
        <w:outlineLvl w:val="1"/>
        <w:rPr>
          <w:rFonts w:ascii="黑体" w:hAnsi="黑体" w:eastAsia="黑体"/>
          <w:b/>
          <w:color w:val="auto"/>
          <w:sz w:val="24"/>
          <w:highlight w:val="none"/>
        </w:rPr>
      </w:pPr>
      <w:bookmarkStart w:id="13" w:name="_Toc35393630"/>
      <w:bookmarkStart w:id="14" w:name="_Toc28359013"/>
      <w:bookmarkStart w:id="15" w:name="_Toc35393799"/>
      <w:bookmarkStart w:id="16" w:name="_Toc71365906"/>
      <w:bookmarkStart w:id="17" w:name="_Toc44229879"/>
      <w:bookmarkStart w:id="18" w:name="_Toc28359090"/>
      <w:r>
        <w:rPr>
          <w:rFonts w:hint="eastAsia" w:ascii="黑体" w:hAnsi="黑体" w:eastAsia="黑体"/>
          <w:b/>
          <w:color w:val="auto"/>
          <w:sz w:val="24"/>
          <w:highlight w:val="none"/>
        </w:rPr>
        <w:t>二、申请人的资格条件：</w:t>
      </w:r>
      <w:bookmarkEnd w:id="13"/>
      <w:bookmarkEnd w:id="14"/>
      <w:bookmarkEnd w:id="15"/>
      <w:bookmarkEnd w:id="16"/>
      <w:bookmarkEnd w:id="17"/>
      <w:bookmarkEnd w:id="18"/>
    </w:p>
    <w:p w14:paraId="59112B16">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Cs w:val="21"/>
          <w:highlight w:val="none"/>
        </w:rPr>
      </w:pPr>
      <w:bookmarkStart w:id="19" w:name="_Toc28359091"/>
      <w:bookmarkStart w:id="20" w:name="_Toc28359014"/>
      <w:bookmarkStart w:id="21" w:name="_Toc35393800"/>
      <w:bookmarkStart w:id="22" w:name="_Toc44229880"/>
      <w:bookmarkStart w:id="23" w:name="_Toc35393631"/>
      <w:r>
        <w:rPr>
          <w:rFonts w:hint="eastAsia" w:ascii="宋体" w:hAnsi="宋体"/>
          <w:color w:val="auto"/>
          <w:szCs w:val="21"/>
          <w:highlight w:val="none"/>
        </w:rPr>
        <w:t>1.满足《中华人民共和国政府采购法》第二十二条规定；</w:t>
      </w:r>
    </w:p>
    <w:p w14:paraId="021AC086">
      <w:pPr>
        <w:pStyle w:val="24"/>
        <w:keepNext w:val="0"/>
        <w:keepLines w:val="0"/>
        <w:pageBreakBefore w:val="0"/>
        <w:widowControl/>
        <w:suppressLineNumbers w:val="0"/>
        <w:kinsoku/>
        <w:wordWrap/>
        <w:overflowPunct/>
        <w:topLinePunct w:val="0"/>
        <w:autoSpaceDE/>
        <w:autoSpaceDN/>
        <w:bidi w:val="0"/>
        <w:adjustRightInd/>
        <w:snapToGrid/>
        <w:spacing w:before="76" w:beforeAutospacing="0" w:after="76" w:afterAutospacing="0" w:line="400" w:lineRule="exact"/>
        <w:ind w:right="0" w:firstLine="420" w:firstLineChars="200"/>
        <w:textAlignment w:val="auto"/>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2.落实政府采购政策需满足的资格要求：分标1：</w:t>
      </w:r>
      <w:r>
        <w:rPr>
          <w:rFonts w:hint="eastAsia" w:ascii="宋体" w:hAnsi="宋体" w:eastAsia="宋体" w:cs="Times New Roman"/>
          <w:i w:val="0"/>
          <w:iCs w:val="0"/>
          <w:caps w:val="0"/>
          <w:color w:val="auto"/>
          <w:spacing w:val="0"/>
          <w:kern w:val="2"/>
          <w:sz w:val="21"/>
          <w:szCs w:val="21"/>
          <w:highlight w:val="none"/>
          <w:shd w:val="clear" w:color="auto" w:fill="auto"/>
          <w:lang w:bidi="ar-SA"/>
        </w:rPr>
        <w:t>专门面向小微企业</w:t>
      </w:r>
      <w:r>
        <w:rPr>
          <w:rFonts w:hint="eastAsia" w:ascii="宋体" w:hAnsi="宋体" w:eastAsia="宋体" w:cs="Times New Roman"/>
          <w:color w:val="auto"/>
          <w:kern w:val="2"/>
          <w:sz w:val="21"/>
          <w:szCs w:val="21"/>
          <w:highlight w:val="none"/>
          <w:lang w:val="en-US" w:eastAsia="zh-CN" w:bidi="ar-SA"/>
        </w:rPr>
        <w:t>；</w:t>
      </w:r>
      <w:bookmarkStart w:id="173" w:name="_GoBack"/>
      <w:bookmarkEnd w:id="173"/>
    </w:p>
    <w:p w14:paraId="1BE9B823">
      <w:pPr>
        <w:pStyle w:val="24"/>
        <w:keepNext w:val="0"/>
        <w:keepLines w:val="0"/>
        <w:pageBreakBefore w:val="0"/>
        <w:widowControl/>
        <w:suppressLineNumbers w:val="0"/>
        <w:kinsoku/>
        <w:wordWrap/>
        <w:overflowPunct/>
        <w:topLinePunct w:val="0"/>
        <w:autoSpaceDE/>
        <w:autoSpaceDN/>
        <w:bidi w:val="0"/>
        <w:adjustRightInd/>
        <w:snapToGrid/>
        <w:spacing w:before="76" w:beforeAutospacing="0" w:after="76" w:afterAutospacing="0" w:line="400" w:lineRule="exact"/>
        <w:ind w:left="0" w:right="0"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3.本项目的特定资格要求：</w:t>
      </w:r>
      <w:bookmarkStart w:id="24" w:name="_Toc71365907"/>
      <w:r>
        <w:rPr>
          <w:rFonts w:hint="eastAsia" w:ascii="宋体" w:hAnsi="宋体" w:eastAsia="宋体" w:cs="Times New Roman"/>
          <w:i w:val="0"/>
          <w:iCs w:val="0"/>
          <w:caps w:val="0"/>
          <w:color w:val="auto"/>
          <w:spacing w:val="0"/>
          <w:kern w:val="2"/>
          <w:sz w:val="21"/>
          <w:szCs w:val="21"/>
          <w:highlight w:val="none"/>
          <w:shd w:val="clear" w:color="auto" w:fill="auto"/>
          <w:lang w:bidi="ar-SA"/>
        </w:rPr>
        <w:t>专门面向小微企业</w:t>
      </w:r>
      <w:r>
        <w:rPr>
          <w:rFonts w:hint="eastAsia" w:ascii="宋体" w:hAnsi="宋体" w:eastAsia="宋体" w:cs="Times New Roman"/>
          <w:color w:val="auto"/>
          <w:kern w:val="2"/>
          <w:sz w:val="21"/>
          <w:szCs w:val="21"/>
          <w:highlight w:val="none"/>
          <w:lang w:val="en-US" w:eastAsia="zh-CN" w:bidi="ar-SA"/>
        </w:rPr>
        <w:t>。</w:t>
      </w:r>
    </w:p>
    <w:p w14:paraId="3FA75B44">
      <w:pPr>
        <w:spacing w:line="360" w:lineRule="auto"/>
        <w:ind w:firstLine="354" w:firstLineChars="147"/>
        <w:outlineLvl w:val="1"/>
        <w:rPr>
          <w:rFonts w:ascii="黑体" w:hAnsi="黑体" w:eastAsia="黑体"/>
          <w:b/>
          <w:color w:val="auto"/>
          <w:sz w:val="24"/>
          <w:highlight w:val="none"/>
        </w:rPr>
      </w:pPr>
      <w:r>
        <w:rPr>
          <w:rFonts w:hint="eastAsia" w:ascii="黑体" w:hAnsi="黑体" w:eastAsia="黑体"/>
          <w:b/>
          <w:color w:val="auto"/>
          <w:sz w:val="24"/>
          <w:highlight w:val="none"/>
        </w:rPr>
        <w:t>三、获取竞争性磋商文件</w:t>
      </w:r>
      <w:bookmarkEnd w:id="19"/>
      <w:bookmarkEnd w:id="20"/>
      <w:bookmarkEnd w:id="21"/>
      <w:bookmarkEnd w:id="22"/>
      <w:bookmarkEnd w:id="23"/>
      <w:bookmarkEnd w:id="24"/>
    </w:p>
    <w:p w14:paraId="2A044B1F">
      <w:pPr>
        <w:spacing w:line="360" w:lineRule="auto"/>
        <w:ind w:firstLine="420" w:firstLineChars="200"/>
        <w:rPr>
          <w:rFonts w:ascii="宋体" w:hAnsi="宋体" w:cs="宋体"/>
          <w:bCs/>
          <w:color w:val="auto"/>
          <w:kern w:val="0"/>
          <w:szCs w:val="21"/>
        </w:rPr>
      </w:pPr>
      <w:bookmarkStart w:id="25" w:name="_Toc44229881"/>
      <w:bookmarkStart w:id="26" w:name="_Toc35393801"/>
      <w:bookmarkStart w:id="27" w:name="_Toc35393632"/>
      <w:bookmarkStart w:id="28" w:name="_Toc28359092"/>
      <w:bookmarkStart w:id="29" w:name="_Toc28359015"/>
      <w:r>
        <w:rPr>
          <w:rFonts w:hint="eastAsia" w:ascii="宋体" w:hAnsi="宋体" w:cs="宋体"/>
          <w:bCs/>
          <w:color w:val="auto"/>
          <w:kern w:val="0"/>
          <w:szCs w:val="21"/>
        </w:rPr>
        <w:t>时间：202</w:t>
      </w:r>
      <w:r>
        <w:rPr>
          <w:rFonts w:hint="eastAsia" w:ascii="宋体" w:hAnsi="宋体" w:cs="宋体"/>
          <w:bCs/>
          <w:color w:val="auto"/>
          <w:kern w:val="0"/>
          <w:szCs w:val="21"/>
          <w:lang w:val="en-US" w:eastAsia="zh-CN"/>
        </w:rPr>
        <w:t>5</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9</w:t>
      </w:r>
      <w:r>
        <w:rPr>
          <w:rFonts w:hint="eastAsia" w:ascii="宋体" w:hAnsi="宋体" w:cs="宋体"/>
          <w:bCs/>
          <w:color w:val="auto"/>
          <w:kern w:val="0"/>
          <w:szCs w:val="21"/>
        </w:rPr>
        <w:t>月</w:t>
      </w:r>
      <w:r>
        <w:rPr>
          <w:rFonts w:hint="eastAsia" w:ascii="宋体" w:hAnsi="宋体" w:cs="宋体"/>
          <w:bCs/>
          <w:color w:val="auto"/>
          <w:kern w:val="0"/>
          <w:szCs w:val="21"/>
          <w:lang w:val="en-US" w:eastAsia="zh-CN"/>
        </w:rPr>
        <w:t>5</w:t>
      </w:r>
      <w:r>
        <w:rPr>
          <w:rFonts w:hint="eastAsia" w:ascii="宋体" w:hAnsi="宋体" w:cs="宋体"/>
          <w:bCs/>
          <w:color w:val="auto"/>
          <w:kern w:val="0"/>
          <w:szCs w:val="21"/>
        </w:rPr>
        <w:t>日至202</w:t>
      </w:r>
      <w:r>
        <w:rPr>
          <w:rFonts w:hint="eastAsia" w:ascii="宋体" w:hAnsi="宋体" w:cs="宋体"/>
          <w:bCs/>
          <w:color w:val="auto"/>
          <w:kern w:val="0"/>
          <w:szCs w:val="21"/>
          <w:lang w:val="en-US" w:eastAsia="zh-CN"/>
        </w:rPr>
        <w:t>5</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9</w:t>
      </w:r>
      <w:r>
        <w:rPr>
          <w:rFonts w:hint="eastAsia" w:ascii="宋体" w:hAnsi="宋体" w:cs="宋体"/>
          <w:bCs/>
          <w:color w:val="auto"/>
          <w:kern w:val="0"/>
          <w:szCs w:val="21"/>
        </w:rPr>
        <w:t>月</w:t>
      </w:r>
      <w:r>
        <w:rPr>
          <w:rFonts w:hint="eastAsia" w:ascii="宋体" w:hAnsi="宋体" w:cs="宋体"/>
          <w:bCs/>
          <w:color w:val="auto"/>
          <w:kern w:val="0"/>
          <w:szCs w:val="21"/>
          <w:lang w:val="en-US" w:eastAsia="zh-CN"/>
        </w:rPr>
        <w:t>12</w:t>
      </w:r>
      <w:r>
        <w:rPr>
          <w:rFonts w:hint="eastAsia" w:ascii="宋体" w:hAnsi="宋体" w:cs="宋体"/>
          <w:bCs/>
          <w:color w:val="auto"/>
          <w:kern w:val="0"/>
          <w:szCs w:val="21"/>
        </w:rPr>
        <w:t>日，每天上午8时至12时，下午15时至17时（北京时间，法定节假日除外）</w:t>
      </w:r>
    </w:p>
    <w:p w14:paraId="68823EF8">
      <w:pPr>
        <w:spacing w:line="360" w:lineRule="auto"/>
        <w:ind w:firstLine="420" w:firstLineChars="200"/>
        <w:rPr>
          <w:rFonts w:hint="eastAsia" w:ascii="宋体" w:hAnsi="宋体" w:eastAsia="宋体" w:cs="宋体"/>
          <w:bCs/>
          <w:color w:val="auto"/>
          <w:kern w:val="0"/>
          <w:szCs w:val="21"/>
        </w:rPr>
      </w:pPr>
      <w:r>
        <w:rPr>
          <w:rFonts w:hint="eastAsia" w:ascii="宋体" w:hAnsi="宋体" w:eastAsia="宋体" w:cs="宋体"/>
          <w:bCs/>
          <w:color w:val="auto"/>
          <w:kern w:val="0"/>
          <w:szCs w:val="21"/>
        </w:rPr>
        <w:t xml:space="preserve">地点：广西政府采购云平台线上获取 </w:t>
      </w:r>
    </w:p>
    <w:p w14:paraId="6752A183">
      <w:pPr>
        <w:spacing w:line="360" w:lineRule="auto"/>
        <w:ind w:firstLine="420" w:firstLineChars="200"/>
        <w:rPr>
          <w:rFonts w:hint="eastAsia" w:ascii="宋体" w:hAnsi="宋体" w:eastAsia="宋体" w:cs="宋体"/>
          <w:bCs/>
          <w:color w:val="auto"/>
          <w:kern w:val="0"/>
          <w:szCs w:val="21"/>
        </w:rPr>
      </w:pPr>
      <w:bookmarkStart w:id="30" w:name="_Toc71365908"/>
      <w:r>
        <w:rPr>
          <w:rFonts w:hint="eastAsia" w:ascii="宋体" w:hAnsi="宋体" w:eastAsia="宋体" w:cs="宋体"/>
          <w:bCs/>
          <w:color w:val="auto"/>
          <w:kern w:val="0"/>
          <w:szCs w:val="21"/>
        </w:rPr>
        <w:t>方式：</w:t>
      </w:r>
      <w:r>
        <w:rPr>
          <w:rFonts w:hint="eastAsia" w:ascii="宋体" w:hAnsi="宋体" w:eastAsia="宋体" w:cs="宋体"/>
          <w:bCs/>
          <w:color w:val="auto"/>
          <w:kern w:val="0"/>
          <w:szCs w:val="21"/>
          <w:lang w:eastAsia="zh-CN"/>
        </w:rPr>
        <w:t>供应商登录广西政府采购云平台（https://www.gcy.zfcg.gxzf.gov.cn/）在线申请获取采购文件（进入“项目采购”应用，在获取采购文件菜单中选择项目，申请获取采购文件）</w:t>
      </w:r>
      <w:r>
        <w:rPr>
          <w:rFonts w:hint="eastAsia" w:ascii="宋体" w:hAnsi="宋体" w:eastAsia="宋体" w:cs="宋体"/>
          <w:bCs/>
          <w:color w:val="auto"/>
          <w:kern w:val="0"/>
          <w:szCs w:val="21"/>
        </w:rPr>
        <w:t>。</w:t>
      </w:r>
    </w:p>
    <w:p w14:paraId="228001D6">
      <w:pPr>
        <w:spacing w:line="360" w:lineRule="auto"/>
        <w:ind w:firstLine="420" w:firstLineChars="200"/>
        <w:rPr>
          <w:rFonts w:hint="eastAsia" w:ascii="宋体" w:hAnsi="宋体" w:eastAsia="宋体" w:cs="宋体"/>
          <w:bCs/>
          <w:color w:val="auto"/>
          <w:kern w:val="0"/>
          <w:szCs w:val="21"/>
        </w:rPr>
      </w:pPr>
      <w:r>
        <w:rPr>
          <w:rFonts w:hint="eastAsia" w:ascii="宋体" w:hAnsi="宋体" w:eastAsia="宋体" w:cs="宋体"/>
          <w:bCs/>
          <w:color w:val="auto"/>
          <w:kern w:val="0"/>
          <w:szCs w:val="21"/>
        </w:rPr>
        <w:t>售价（元）：0。</w:t>
      </w:r>
    </w:p>
    <w:p w14:paraId="1901533A">
      <w:pPr>
        <w:spacing w:line="360" w:lineRule="auto"/>
        <w:ind w:firstLine="354" w:firstLineChars="147"/>
        <w:outlineLvl w:val="1"/>
        <w:rPr>
          <w:rFonts w:ascii="黑体" w:hAnsi="黑体" w:eastAsia="黑体"/>
          <w:b/>
          <w:color w:val="auto"/>
          <w:sz w:val="24"/>
        </w:rPr>
      </w:pPr>
      <w:r>
        <w:rPr>
          <w:rFonts w:hint="eastAsia" w:ascii="黑体" w:hAnsi="黑体" w:eastAsia="黑体"/>
          <w:b/>
          <w:color w:val="auto"/>
          <w:sz w:val="24"/>
        </w:rPr>
        <w:t>四、响应文件提交</w:t>
      </w:r>
      <w:bookmarkEnd w:id="25"/>
      <w:bookmarkEnd w:id="26"/>
      <w:bookmarkEnd w:id="27"/>
      <w:bookmarkEnd w:id="28"/>
      <w:bookmarkEnd w:id="29"/>
      <w:bookmarkEnd w:id="30"/>
    </w:p>
    <w:p w14:paraId="270A1720">
      <w:pPr>
        <w:spacing w:line="360" w:lineRule="auto"/>
        <w:ind w:firstLine="420" w:firstLineChars="200"/>
        <w:rPr>
          <w:rFonts w:ascii="宋体" w:hAnsi="宋体" w:cs="宋体"/>
          <w:color w:val="auto"/>
          <w:szCs w:val="21"/>
          <w:u w:val="single"/>
        </w:rPr>
      </w:pPr>
      <w:bookmarkStart w:id="31" w:name="_Toc28359016"/>
      <w:bookmarkStart w:id="32" w:name="_Toc35393633"/>
      <w:bookmarkStart w:id="33" w:name="_Toc28359093"/>
      <w:bookmarkStart w:id="34" w:name="_Toc35393802"/>
      <w:bookmarkStart w:id="35" w:name="_Toc44229882"/>
      <w:r>
        <w:rPr>
          <w:rFonts w:hint="eastAsia" w:ascii="宋体" w:hAnsi="宋体"/>
          <w:color w:val="auto"/>
          <w:szCs w:val="21"/>
        </w:rPr>
        <w:t>截止时间：</w:t>
      </w:r>
      <w:r>
        <w:rPr>
          <w:rFonts w:hint="eastAsia" w:ascii="宋体" w:hAnsi="宋体" w:cs="Arial"/>
          <w:color w:val="auto"/>
          <w:kern w:val="0"/>
          <w:szCs w:val="21"/>
          <w:u w:val="single"/>
        </w:rPr>
        <w:t>202</w:t>
      </w:r>
      <w:r>
        <w:rPr>
          <w:rFonts w:hint="eastAsia" w:ascii="宋体" w:hAnsi="宋体" w:cs="Arial"/>
          <w:color w:val="auto"/>
          <w:kern w:val="0"/>
          <w:szCs w:val="21"/>
          <w:u w:val="single"/>
          <w:lang w:val="en-US" w:eastAsia="zh-CN"/>
        </w:rPr>
        <w:t>5</w:t>
      </w:r>
      <w:r>
        <w:rPr>
          <w:rFonts w:hint="eastAsia" w:ascii="宋体" w:hAnsi="宋体" w:cs="Arial"/>
          <w:color w:val="auto"/>
          <w:kern w:val="0"/>
          <w:szCs w:val="21"/>
          <w:u w:val="single"/>
        </w:rPr>
        <w:t>年</w:t>
      </w:r>
      <w:r>
        <w:rPr>
          <w:rFonts w:hint="eastAsia" w:ascii="宋体" w:hAnsi="宋体" w:cs="Arial"/>
          <w:color w:val="auto"/>
          <w:kern w:val="0"/>
          <w:szCs w:val="21"/>
          <w:u w:val="single"/>
          <w:lang w:val="en-US" w:eastAsia="zh-CN"/>
        </w:rPr>
        <w:t>9</w:t>
      </w:r>
      <w:r>
        <w:rPr>
          <w:rFonts w:hint="eastAsia" w:ascii="宋体" w:hAnsi="宋体" w:cs="Arial"/>
          <w:color w:val="auto"/>
          <w:kern w:val="0"/>
          <w:szCs w:val="21"/>
          <w:u w:val="single"/>
        </w:rPr>
        <w:t>月</w:t>
      </w:r>
      <w:r>
        <w:rPr>
          <w:rFonts w:hint="eastAsia" w:ascii="宋体" w:hAnsi="宋体" w:cs="Arial"/>
          <w:color w:val="auto"/>
          <w:kern w:val="0"/>
          <w:szCs w:val="21"/>
          <w:u w:val="single"/>
          <w:lang w:val="en-US" w:eastAsia="zh-CN"/>
        </w:rPr>
        <w:t>17</w:t>
      </w:r>
      <w:r>
        <w:rPr>
          <w:rFonts w:hint="eastAsia" w:ascii="宋体" w:hAnsi="宋体" w:cs="Arial"/>
          <w:color w:val="auto"/>
          <w:kern w:val="0"/>
          <w:szCs w:val="21"/>
          <w:u w:val="single"/>
        </w:rPr>
        <w:t>日</w:t>
      </w:r>
      <w:r>
        <w:rPr>
          <w:rFonts w:hint="eastAsia" w:ascii="宋体" w:hAnsi="宋体" w:cs="Arial"/>
          <w:color w:val="auto"/>
          <w:kern w:val="0"/>
          <w:szCs w:val="21"/>
          <w:u w:val="single"/>
          <w:lang w:val="en-US" w:eastAsia="zh-CN"/>
        </w:rPr>
        <w:t xml:space="preserve"> 9</w:t>
      </w:r>
      <w:r>
        <w:rPr>
          <w:rFonts w:hint="eastAsia" w:ascii="宋体" w:hAnsi="宋体" w:cs="Arial"/>
          <w:color w:val="auto"/>
          <w:kern w:val="0"/>
          <w:szCs w:val="21"/>
          <w:u w:val="single"/>
        </w:rPr>
        <w:t xml:space="preserve"> </w:t>
      </w:r>
      <w:r>
        <w:rPr>
          <w:rFonts w:hint="eastAsia" w:ascii="宋体" w:hAnsi="宋体" w:cs="Arial"/>
          <w:color w:val="auto"/>
          <w:kern w:val="0"/>
          <w:szCs w:val="21"/>
          <w:u w:val="single"/>
          <w:lang w:eastAsia="zh-CN"/>
        </w:rPr>
        <w:t>：</w:t>
      </w:r>
      <w:r>
        <w:rPr>
          <w:rFonts w:hint="eastAsia" w:ascii="宋体" w:hAnsi="宋体" w:cs="Arial"/>
          <w:color w:val="auto"/>
          <w:kern w:val="0"/>
          <w:szCs w:val="21"/>
          <w:u w:val="single"/>
          <w:lang w:val="en-US" w:eastAsia="zh-CN"/>
        </w:rPr>
        <w:t>30</w:t>
      </w:r>
      <w:r>
        <w:rPr>
          <w:rFonts w:hint="eastAsia" w:ascii="宋体" w:hAnsi="宋体"/>
          <w:bCs/>
          <w:color w:val="auto"/>
          <w:szCs w:val="21"/>
        </w:rPr>
        <w:t>（北京时间）</w:t>
      </w:r>
    </w:p>
    <w:p w14:paraId="15ECF11C">
      <w:pPr>
        <w:ind w:firstLine="420" w:firstLineChars="200"/>
        <w:rPr>
          <w:rFonts w:hint="eastAsia"/>
          <w:color w:val="auto"/>
        </w:rPr>
      </w:pPr>
      <w:r>
        <w:rPr>
          <w:rFonts w:hint="eastAsia" w:ascii="宋体" w:hAnsi="宋体"/>
          <w:color w:val="auto"/>
          <w:szCs w:val="21"/>
        </w:rPr>
        <w:t>地点：</w:t>
      </w:r>
      <w:bookmarkStart w:id="36" w:name="_Toc71365909"/>
      <w:r>
        <w:rPr>
          <w:rFonts w:hint="eastAsia" w:ascii="宋体" w:hAnsi="宋体" w:eastAsia="宋体" w:cs="Times New Roman"/>
          <w:color w:val="auto"/>
          <w:szCs w:val="21"/>
          <w:highlight w:val="none"/>
        </w:rPr>
        <w:t>请登录广西政府采购云平台投标客户端投标</w:t>
      </w:r>
    </w:p>
    <w:p w14:paraId="5152B60E">
      <w:pPr>
        <w:spacing w:line="360" w:lineRule="auto"/>
        <w:ind w:firstLine="241" w:firstLineChars="100"/>
        <w:outlineLvl w:val="1"/>
        <w:rPr>
          <w:rFonts w:ascii="黑体" w:hAnsi="黑体" w:eastAsia="黑体"/>
          <w:b/>
          <w:color w:val="auto"/>
          <w:sz w:val="24"/>
        </w:rPr>
      </w:pPr>
      <w:r>
        <w:rPr>
          <w:rFonts w:hint="eastAsia" w:ascii="黑体" w:hAnsi="黑体" w:eastAsia="黑体"/>
          <w:b/>
          <w:color w:val="auto"/>
          <w:sz w:val="24"/>
        </w:rPr>
        <w:t>五、开启</w:t>
      </w:r>
      <w:bookmarkEnd w:id="31"/>
      <w:bookmarkEnd w:id="32"/>
      <w:bookmarkEnd w:id="33"/>
      <w:bookmarkEnd w:id="34"/>
      <w:bookmarkEnd w:id="35"/>
      <w:bookmarkEnd w:id="36"/>
    </w:p>
    <w:p w14:paraId="14858DCB">
      <w:pPr>
        <w:spacing w:line="360" w:lineRule="auto"/>
        <w:ind w:firstLine="420" w:firstLineChars="200"/>
        <w:rPr>
          <w:rFonts w:ascii="宋体" w:hAnsi="宋体"/>
          <w:bCs/>
          <w:color w:val="auto"/>
          <w:szCs w:val="21"/>
          <w:u w:val="single"/>
        </w:rPr>
      </w:pPr>
      <w:r>
        <w:rPr>
          <w:rFonts w:hint="eastAsia" w:ascii="宋体" w:hAnsi="宋体"/>
          <w:color w:val="auto"/>
          <w:szCs w:val="21"/>
        </w:rPr>
        <w:t>1</w:t>
      </w:r>
      <w:r>
        <w:rPr>
          <w:rFonts w:ascii="宋体" w:hAnsi="宋体"/>
          <w:color w:val="auto"/>
          <w:szCs w:val="21"/>
        </w:rPr>
        <w:t>.</w:t>
      </w:r>
      <w:r>
        <w:rPr>
          <w:rFonts w:hint="eastAsia" w:ascii="宋体" w:hAnsi="宋体"/>
          <w:color w:val="auto"/>
          <w:szCs w:val="21"/>
        </w:rPr>
        <w:t>时间：</w:t>
      </w:r>
      <w:r>
        <w:rPr>
          <w:rFonts w:hint="eastAsia" w:ascii="宋体" w:hAnsi="宋体" w:cs="Arial"/>
          <w:color w:val="auto"/>
          <w:kern w:val="0"/>
          <w:szCs w:val="21"/>
          <w:u w:val="single"/>
        </w:rPr>
        <w:t>202</w:t>
      </w:r>
      <w:r>
        <w:rPr>
          <w:rFonts w:hint="eastAsia" w:ascii="宋体" w:hAnsi="宋体" w:cs="Arial"/>
          <w:color w:val="auto"/>
          <w:kern w:val="0"/>
          <w:szCs w:val="21"/>
          <w:u w:val="single"/>
          <w:lang w:val="en-US" w:eastAsia="zh-CN"/>
        </w:rPr>
        <w:t>5</w:t>
      </w:r>
      <w:r>
        <w:rPr>
          <w:rFonts w:hint="eastAsia" w:ascii="宋体" w:hAnsi="宋体" w:cs="Arial"/>
          <w:color w:val="auto"/>
          <w:kern w:val="0"/>
          <w:szCs w:val="21"/>
          <w:u w:val="single"/>
        </w:rPr>
        <w:t>年</w:t>
      </w:r>
      <w:r>
        <w:rPr>
          <w:rFonts w:hint="eastAsia" w:ascii="宋体" w:hAnsi="宋体" w:cs="Arial"/>
          <w:color w:val="auto"/>
          <w:kern w:val="0"/>
          <w:szCs w:val="21"/>
          <w:u w:val="single"/>
          <w:lang w:val="en-US" w:eastAsia="zh-CN"/>
        </w:rPr>
        <w:t>9</w:t>
      </w:r>
      <w:r>
        <w:rPr>
          <w:rFonts w:hint="eastAsia" w:ascii="宋体" w:hAnsi="宋体" w:cs="Arial"/>
          <w:color w:val="auto"/>
          <w:kern w:val="0"/>
          <w:szCs w:val="21"/>
          <w:u w:val="single"/>
        </w:rPr>
        <w:t>月</w:t>
      </w:r>
      <w:r>
        <w:rPr>
          <w:rFonts w:hint="eastAsia" w:ascii="宋体" w:hAnsi="宋体" w:cs="Arial"/>
          <w:color w:val="auto"/>
          <w:kern w:val="0"/>
          <w:szCs w:val="21"/>
          <w:u w:val="single"/>
          <w:lang w:val="en-US" w:eastAsia="zh-CN"/>
        </w:rPr>
        <w:t>17</w:t>
      </w:r>
      <w:r>
        <w:rPr>
          <w:rFonts w:hint="eastAsia" w:ascii="宋体" w:hAnsi="宋体" w:cs="Arial"/>
          <w:color w:val="auto"/>
          <w:kern w:val="0"/>
          <w:szCs w:val="21"/>
          <w:u w:val="single"/>
        </w:rPr>
        <w:t>日</w:t>
      </w:r>
      <w:r>
        <w:rPr>
          <w:rFonts w:hint="eastAsia" w:ascii="宋体" w:hAnsi="宋体" w:cs="Arial"/>
          <w:color w:val="auto"/>
          <w:kern w:val="0"/>
          <w:szCs w:val="21"/>
          <w:u w:val="single"/>
          <w:lang w:val="en-US" w:eastAsia="zh-CN"/>
        </w:rPr>
        <w:t xml:space="preserve"> 9</w:t>
      </w:r>
      <w:r>
        <w:rPr>
          <w:rFonts w:hint="eastAsia" w:ascii="宋体" w:hAnsi="宋体" w:cs="Arial"/>
          <w:color w:val="auto"/>
          <w:kern w:val="0"/>
          <w:szCs w:val="21"/>
          <w:u w:val="single"/>
        </w:rPr>
        <w:t xml:space="preserve"> </w:t>
      </w:r>
      <w:r>
        <w:rPr>
          <w:rFonts w:hint="eastAsia" w:ascii="宋体" w:hAnsi="宋体" w:cs="Arial"/>
          <w:color w:val="auto"/>
          <w:kern w:val="0"/>
          <w:szCs w:val="21"/>
          <w:u w:val="single"/>
          <w:lang w:eastAsia="zh-CN"/>
        </w:rPr>
        <w:t>：</w:t>
      </w:r>
      <w:r>
        <w:rPr>
          <w:rFonts w:hint="eastAsia" w:ascii="宋体" w:hAnsi="宋体" w:cs="Arial"/>
          <w:color w:val="auto"/>
          <w:kern w:val="0"/>
          <w:szCs w:val="21"/>
          <w:u w:val="single"/>
          <w:lang w:val="en-US" w:eastAsia="zh-CN"/>
        </w:rPr>
        <w:t>30</w:t>
      </w:r>
      <w:r>
        <w:rPr>
          <w:rFonts w:hint="eastAsia" w:ascii="宋体" w:hAnsi="宋体"/>
          <w:bCs/>
          <w:color w:val="auto"/>
          <w:szCs w:val="21"/>
        </w:rPr>
        <w:t>（北京时间）</w:t>
      </w:r>
    </w:p>
    <w:p w14:paraId="069F465E">
      <w:pPr>
        <w:ind w:firstLine="420" w:firstLineChars="200"/>
        <w:rPr>
          <w:rFonts w:ascii="宋体" w:hAnsi="宋体"/>
          <w:bCs/>
          <w:color w:val="auto"/>
          <w:szCs w:val="21"/>
          <w:u w:val="single"/>
        </w:rPr>
      </w:pPr>
      <w:r>
        <w:rPr>
          <w:rFonts w:hint="eastAsia" w:ascii="宋体" w:hAnsi="宋体"/>
          <w:color w:val="auto"/>
          <w:szCs w:val="21"/>
        </w:rPr>
        <w:t>2</w:t>
      </w:r>
      <w:r>
        <w:rPr>
          <w:rFonts w:ascii="宋体" w:hAnsi="宋体"/>
          <w:color w:val="auto"/>
          <w:szCs w:val="21"/>
        </w:rPr>
        <w:t>.</w:t>
      </w:r>
      <w:r>
        <w:rPr>
          <w:rFonts w:hint="eastAsia" w:ascii="宋体" w:hAnsi="宋体"/>
          <w:color w:val="auto"/>
          <w:szCs w:val="21"/>
        </w:rPr>
        <w:t>地点：</w:t>
      </w:r>
      <w:r>
        <w:rPr>
          <w:rFonts w:hint="eastAsia" w:ascii="宋体" w:hAnsi="宋体" w:eastAsia="宋体" w:cs="Times New Roman"/>
          <w:color w:val="auto"/>
          <w:szCs w:val="21"/>
          <w:highlight w:val="none"/>
        </w:rPr>
        <w:t>广西政府采购云平台在线解密</w:t>
      </w:r>
    </w:p>
    <w:p w14:paraId="7C78527C">
      <w:pPr>
        <w:spacing w:line="360" w:lineRule="auto"/>
        <w:ind w:firstLine="354" w:firstLineChars="147"/>
        <w:outlineLvl w:val="1"/>
        <w:rPr>
          <w:rFonts w:ascii="黑体" w:hAnsi="黑体" w:eastAsia="黑体"/>
          <w:b/>
          <w:color w:val="auto"/>
          <w:sz w:val="24"/>
        </w:rPr>
      </w:pPr>
      <w:bookmarkStart w:id="37" w:name="_Toc35393803"/>
      <w:bookmarkStart w:id="38" w:name="_Toc28359017"/>
      <w:bookmarkStart w:id="39" w:name="_Toc28359094"/>
      <w:bookmarkStart w:id="40" w:name="_Toc35393634"/>
      <w:bookmarkStart w:id="41" w:name="_Toc44229883"/>
      <w:bookmarkStart w:id="42" w:name="_Toc71365910"/>
      <w:r>
        <w:rPr>
          <w:rFonts w:hint="eastAsia" w:ascii="黑体" w:hAnsi="黑体" w:eastAsia="黑体"/>
          <w:b/>
          <w:color w:val="auto"/>
          <w:sz w:val="24"/>
        </w:rPr>
        <w:t>六、公告期限</w:t>
      </w:r>
      <w:bookmarkEnd w:id="37"/>
      <w:bookmarkEnd w:id="38"/>
      <w:bookmarkEnd w:id="39"/>
      <w:bookmarkEnd w:id="40"/>
      <w:bookmarkEnd w:id="41"/>
      <w:bookmarkEnd w:id="42"/>
    </w:p>
    <w:p w14:paraId="0E7C2F1C">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自本公告发布之日起5个工作日。</w:t>
      </w:r>
    </w:p>
    <w:p w14:paraId="198493CE">
      <w:pPr>
        <w:spacing w:line="360" w:lineRule="auto"/>
        <w:ind w:firstLine="354" w:firstLineChars="147"/>
        <w:outlineLvl w:val="1"/>
        <w:rPr>
          <w:rFonts w:ascii="黑体" w:hAnsi="黑体" w:eastAsia="黑体"/>
          <w:b/>
          <w:color w:val="auto"/>
          <w:sz w:val="24"/>
        </w:rPr>
      </w:pPr>
      <w:bookmarkStart w:id="43" w:name="_Toc35393804"/>
      <w:bookmarkStart w:id="44" w:name="_Toc35393635"/>
      <w:bookmarkStart w:id="45" w:name="_Toc71365911"/>
      <w:bookmarkStart w:id="46" w:name="_Toc44229884"/>
      <w:r>
        <w:rPr>
          <w:rFonts w:hint="eastAsia" w:ascii="黑体" w:hAnsi="黑体" w:eastAsia="黑体"/>
          <w:b/>
          <w:color w:val="auto"/>
          <w:sz w:val="24"/>
        </w:rPr>
        <w:t>七、其他补充事宜</w:t>
      </w:r>
      <w:bookmarkEnd w:id="43"/>
      <w:bookmarkEnd w:id="44"/>
      <w:bookmarkEnd w:id="45"/>
      <w:bookmarkEnd w:id="46"/>
    </w:p>
    <w:p w14:paraId="2B3FEBC9">
      <w:pPr>
        <w:widowControl/>
        <w:spacing w:after="75" w:line="400" w:lineRule="exact"/>
        <w:ind w:firstLine="420" w:firstLineChars="200"/>
        <w:jc w:val="left"/>
        <w:outlineLvl w:val="2"/>
        <w:rPr>
          <w:rFonts w:hint="eastAsia" w:ascii="宋体" w:hAnsi="宋体" w:eastAsia="宋体" w:cs="宋体"/>
          <w:color w:val="auto"/>
          <w:kern w:val="0"/>
          <w:szCs w:val="21"/>
          <w:lang w:val="en-US" w:eastAsia="zh-CN"/>
        </w:rPr>
      </w:pPr>
      <w:bookmarkStart w:id="47" w:name="_Hlk37429674"/>
      <w:bookmarkStart w:id="48" w:name="_Toc44229885"/>
      <w:bookmarkStart w:id="49" w:name="_Toc35393805"/>
      <w:bookmarkStart w:id="50" w:name="_Toc35393636"/>
      <w:bookmarkStart w:id="51" w:name="_Toc28359095"/>
      <w:bookmarkStart w:id="52" w:name="_Toc28359018"/>
      <w:r>
        <w:rPr>
          <w:rFonts w:hint="eastAsia" w:ascii="宋体" w:hAnsi="宋体" w:eastAsia="宋体" w:cs="宋体"/>
          <w:color w:val="auto"/>
          <w:kern w:val="0"/>
          <w:szCs w:val="21"/>
        </w:rPr>
        <w:t>1．磋商保证金：</w:t>
      </w:r>
      <w:r>
        <w:rPr>
          <w:rFonts w:hint="eastAsia" w:ascii="宋体" w:hAnsi="宋体" w:eastAsia="宋体" w:cs="宋体"/>
          <w:color w:val="auto"/>
          <w:kern w:val="0"/>
          <w:szCs w:val="21"/>
          <w:lang w:val="en-US" w:eastAsia="zh-CN"/>
        </w:rPr>
        <w:t>5000元</w:t>
      </w:r>
    </w:p>
    <w:p w14:paraId="0EC33033">
      <w:pPr>
        <w:widowControl/>
        <w:spacing w:after="75" w:line="400" w:lineRule="exact"/>
        <w:ind w:firstLine="420" w:firstLineChars="200"/>
        <w:jc w:val="left"/>
        <w:outlineLvl w:val="2"/>
        <w:rPr>
          <w:rFonts w:hint="eastAsia" w:ascii="宋体" w:hAnsi="宋体" w:eastAsia="宋体" w:cs="宋体"/>
          <w:color w:val="auto"/>
          <w:kern w:val="0"/>
          <w:szCs w:val="21"/>
        </w:rPr>
      </w:pPr>
      <w:r>
        <w:rPr>
          <w:rFonts w:hint="eastAsia" w:ascii="宋体" w:hAnsi="宋体" w:eastAsia="宋体" w:cs="宋体"/>
          <w:color w:val="auto"/>
          <w:kern w:val="0"/>
          <w:szCs w:val="21"/>
        </w:rPr>
        <w:t>2．网上查询地址：中国政府采购网（www.ccgp.gov.cn）、广西壮族自治区政府采购网（zfcg.gxzf.gov.cn）、广西翔正项目管理有限公司网（www.gxxzxmgl.cn）。</w:t>
      </w:r>
    </w:p>
    <w:bookmarkEnd w:id="47"/>
    <w:p w14:paraId="588D0BD0">
      <w:pPr>
        <w:widowControl/>
        <w:spacing w:after="75" w:line="400" w:lineRule="exact"/>
        <w:ind w:firstLine="420" w:firstLineChars="200"/>
        <w:jc w:val="left"/>
        <w:outlineLvl w:val="2"/>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rPr>
        <w:t>.本项目需要落实的政府采购政策</w:t>
      </w:r>
    </w:p>
    <w:p w14:paraId="0578E00D">
      <w:pPr>
        <w:widowControl/>
        <w:spacing w:after="75" w:line="400" w:lineRule="exact"/>
        <w:ind w:firstLine="420" w:firstLineChars="200"/>
        <w:jc w:val="left"/>
        <w:outlineLvl w:val="2"/>
        <w:rPr>
          <w:rFonts w:hint="eastAsia" w:ascii="宋体" w:hAnsi="宋体" w:eastAsia="宋体" w:cs="宋体"/>
          <w:color w:val="auto"/>
          <w:kern w:val="0"/>
          <w:szCs w:val="21"/>
        </w:rPr>
      </w:pPr>
      <w:r>
        <w:rPr>
          <w:rFonts w:hint="eastAsia" w:ascii="宋体" w:hAnsi="宋体" w:eastAsia="宋体" w:cs="宋体"/>
          <w:color w:val="auto"/>
          <w:kern w:val="0"/>
          <w:szCs w:val="21"/>
        </w:rPr>
        <w:t>（1）政府采购促进中小企业发展。</w:t>
      </w:r>
    </w:p>
    <w:p w14:paraId="4B55D59E">
      <w:pPr>
        <w:widowControl/>
        <w:spacing w:after="75" w:line="400" w:lineRule="exact"/>
        <w:ind w:firstLine="420" w:firstLineChars="200"/>
        <w:jc w:val="left"/>
        <w:outlineLvl w:val="2"/>
        <w:rPr>
          <w:rFonts w:hint="eastAsia" w:ascii="宋体" w:hAnsi="宋体" w:eastAsia="宋体" w:cs="宋体"/>
          <w:color w:val="auto"/>
          <w:kern w:val="0"/>
          <w:szCs w:val="21"/>
        </w:rPr>
      </w:pPr>
      <w:r>
        <w:rPr>
          <w:rFonts w:hint="eastAsia" w:ascii="宋体" w:hAnsi="宋体" w:eastAsia="宋体" w:cs="宋体"/>
          <w:color w:val="auto"/>
          <w:kern w:val="0"/>
          <w:szCs w:val="21"/>
        </w:rPr>
        <w:t>（2）政府采购支持采用本国产品的政策。</w:t>
      </w:r>
    </w:p>
    <w:p w14:paraId="2FC0E798">
      <w:pPr>
        <w:widowControl/>
        <w:spacing w:after="75" w:line="400" w:lineRule="exact"/>
        <w:ind w:firstLine="420" w:firstLineChars="200"/>
        <w:jc w:val="left"/>
        <w:outlineLvl w:val="2"/>
        <w:rPr>
          <w:rFonts w:hint="eastAsia" w:ascii="宋体" w:hAnsi="宋体" w:eastAsia="宋体" w:cs="宋体"/>
          <w:color w:val="auto"/>
          <w:kern w:val="0"/>
          <w:szCs w:val="21"/>
        </w:rPr>
      </w:pPr>
      <w:r>
        <w:rPr>
          <w:rFonts w:hint="eastAsia" w:ascii="宋体" w:hAnsi="宋体" w:eastAsia="宋体" w:cs="宋体"/>
          <w:color w:val="auto"/>
          <w:kern w:val="0"/>
          <w:szCs w:val="21"/>
        </w:rPr>
        <w:t>（3）强制采购节能产品；优先采购节能产品、环境标志产品。</w:t>
      </w:r>
    </w:p>
    <w:p w14:paraId="7A4077B0">
      <w:pPr>
        <w:widowControl/>
        <w:spacing w:after="75" w:line="400" w:lineRule="exact"/>
        <w:ind w:firstLine="420" w:firstLineChars="200"/>
        <w:jc w:val="left"/>
        <w:outlineLvl w:val="2"/>
        <w:rPr>
          <w:rFonts w:hint="eastAsia" w:ascii="宋体" w:hAnsi="宋体" w:eastAsia="宋体" w:cs="宋体"/>
          <w:color w:val="auto"/>
          <w:kern w:val="0"/>
          <w:szCs w:val="21"/>
        </w:rPr>
      </w:pPr>
      <w:r>
        <w:rPr>
          <w:rFonts w:hint="eastAsia" w:ascii="宋体" w:hAnsi="宋体" w:eastAsia="宋体" w:cs="宋体"/>
          <w:color w:val="auto"/>
          <w:kern w:val="0"/>
          <w:szCs w:val="21"/>
        </w:rPr>
        <w:t>（4）政府采购促进残疾人就业政策。</w:t>
      </w:r>
    </w:p>
    <w:p w14:paraId="6D69DB45">
      <w:pPr>
        <w:widowControl/>
        <w:spacing w:after="75" w:line="400" w:lineRule="exact"/>
        <w:ind w:firstLine="420" w:firstLineChars="200"/>
        <w:jc w:val="left"/>
        <w:outlineLvl w:val="2"/>
        <w:rPr>
          <w:rFonts w:hint="eastAsia" w:ascii="宋体" w:hAnsi="宋体" w:eastAsia="宋体" w:cs="宋体"/>
          <w:color w:val="auto"/>
          <w:kern w:val="0"/>
          <w:szCs w:val="21"/>
        </w:rPr>
      </w:pPr>
      <w:r>
        <w:rPr>
          <w:rFonts w:hint="eastAsia" w:ascii="宋体" w:hAnsi="宋体" w:eastAsia="宋体" w:cs="宋体"/>
          <w:color w:val="auto"/>
          <w:kern w:val="0"/>
          <w:szCs w:val="21"/>
        </w:rPr>
        <w:t>（5）政府采购支持监狱企业发展。</w:t>
      </w:r>
    </w:p>
    <w:p w14:paraId="4F58D17C">
      <w:pPr>
        <w:widowControl/>
        <w:spacing w:after="75" w:line="400" w:lineRule="exact"/>
        <w:ind w:firstLine="420" w:firstLineChars="200"/>
        <w:jc w:val="left"/>
        <w:outlineLvl w:val="2"/>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4</w:t>
      </w:r>
      <w:r>
        <w:rPr>
          <w:rFonts w:hint="eastAsia" w:ascii="宋体" w:hAnsi="宋体" w:eastAsia="宋体" w:cs="宋体"/>
          <w:color w:val="auto"/>
          <w:kern w:val="0"/>
          <w:szCs w:val="21"/>
        </w:rPr>
        <w:t xml:space="preserve">.政府监督部门：钦州市财政局政府采购监督管理科   </w:t>
      </w:r>
    </w:p>
    <w:p w14:paraId="445441CA">
      <w:pPr>
        <w:widowControl/>
        <w:spacing w:after="75" w:line="400" w:lineRule="exact"/>
        <w:ind w:firstLine="630" w:firstLineChars="300"/>
        <w:jc w:val="left"/>
        <w:outlineLvl w:val="2"/>
        <w:rPr>
          <w:rFonts w:hint="eastAsia" w:ascii="宋体" w:hAnsi="宋体" w:eastAsia="宋体" w:cs="宋体"/>
          <w:color w:val="auto"/>
          <w:kern w:val="0"/>
          <w:szCs w:val="21"/>
        </w:rPr>
      </w:pPr>
      <w:r>
        <w:rPr>
          <w:rFonts w:hint="eastAsia" w:ascii="宋体" w:hAnsi="宋体" w:eastAsia="宋体" w:cs="宋体"/>
          <w:color w:val="auto"/>
          <w:kern w:val="0"/>
          <w:szCs w:val="21"/>
        </w:rPr>
        <w:t>地址：钦州市银河街125号</w:t>
      </w:r>
    </w:p>
    <w:p w14:paraId="34AEC115">
      <w:pPr>
        <w:widowControl/>
        <w:spacing w:after="75" w:line="400" w:lineRule="exact"/>
        <w:ind w:firstLine="420" w:firstLineChars="200"/>
        <w:jc w:val="left"/>
        <w:outlineLvl w:val="2"/>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rPr>
        <w:t xml:space="preserve">  联系电话：0777-2895258</w:t>
      </w:r>
    </w:p>
    <w:p w14:paraId="42468780">
      <w:pPr>
        <w:widowControl/>
        <w:spacing w:after="75" w:line="400" w:lineRule="exact"/>
        <w:ind w:firstLine="420" w:firstLineChars="200"/>
        <w:jc w:val="left"/>
        <w:outlineLvl w:val="2"/>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5</w:t>
      </w:r>
      <w:r>
        <w:rPr>
          <w:rFonts w:hint="eastAsia" w:ascii="宋体" w:hAnsi="宋体" w:eastAsia="宋体" w:cs="宋体"/>
          <w:color w:val="auto"/>
          <w:kern w:val="0"/>
          <w:szCs w:val="21"/>
        </w:rPr>
        <w:t>.在线竞标响应（电子竞标）说明</w:t>
      </w:r>
    </w:p>
    <w:p w14:paraId="50BA8677">
      <w:pPr>
        <w:wordWrap w:val="0"/>
        <w:spacing w:line="400" w:lineRule="exact"/>
        <w:ind w:firstLine="420" w:firstLineChars="200"/>
        <w:rPr>
          <w:rFonts w:hint="eastAsia" w:ascii="宋体" w:hAnsi="宋体"/>
          <w:color w:val="auto"/>
          <w:kern w:val="0"/>
        </w:rPr>
      </w:pPr>
      <w:r>
        <w:rPr>
          <w:rFonts w:hint="eastAsia" w:ascii="宋体" w:hAnsi="宋体"/>
          <w:color w:val="auto"/>
          <w:kern w:val="0"/>
          <w:lang w:val="en-US" w:eastAsia="zh-CN"/>
        </w:rPr>
        <w:t>5</w:t>
      </w:r>
      <w:r>
        <w:rPr>
          <w:rFonts w:hint="eastAsia" w:ascii="宋体" w:hAnsi="宋体"/>
          <w:color w:val="auto"/>
          <w:kern w:val="0"/>
        </w:rPr>
        <w:t>.1供应商投标注意事项</w:t>
      </w:r>
    </w:p>
    <w:p w14:paraId="32D942DE">
      <w:pPr>
        <w:wordWrap w:val="0"/>
        <w:spacing w:line="400" w:lineRule="exact"/>
        <w:ind w:firstLine="420" w:firstLineChars="200"/>
        <w:rPr>
          <w:rFonts w:hint="eastAsia" w:ascii="宋体" w:hAnsi="宋体"/>
          <w:color w:val="auto"/>
          <w:kern w:val="0"/>
        </w:rPr>
      </w:pPr>
      <w:r>
        <w:rPr>
          <w:rFonts w:hint="eastAsia" w:ascii="宋体" w:hAnsi="宋体"/>
          <w:color w:val="auto"/>
          <w:kern w:val="0"/>
        </w:rPr>
        <w:t>（1）本项目为全流程电子化采购项目，通过“</w:t>
      </w:r>
      <w:r>
        <w:rPr>
          <w:rFonts w:hint="eastAsia" w:ascii="宋体" w:hAnsi="宋体"/>
          <w:color w:val="auto"/>
          <w:kern w:val="0"/>
          <w:lang w:eastAsia="zh-CN"/>
        </w:rPr>
        <w:t>采购云</w:t>
      </w:r>
      <w:r>
        <w:rPr>
          <w:rFonts w:hint="eastAsia" w:ascii="宋体" w:hAnsi="宋体"/>
          <w:color w:val="auto"/>
          <w:kern w:val="0"/>
        </w:rPr>
        <w:t>”平台（</w:t>
      </w:r>
      <w:r>
        <w:rPr>
          <w:rFonts w:hint="eastAsia" w:ascii="宋体" w:hAnsi="宋体"/>
          <w:color w:val="auto"/>
          <w:kern w:val="0"/>
          <w:lang w:eastAsia="zh-CN"/>
        </w:rPr>
        <w:t>http://zfcg.gxzf.gov.cn/</w:t>
      </w:r>
      <w:r>
        <w:rPr>
          <w:rFonts w:hint="eastAsia" w:ascii="宋体" w:hAnsi="宋体"/>
          <w:color w:val="auto"/>
          <w:kern w:val="0"/>
        </w:rPr>
        <w:t>）实行在线电子投标，供应商应先安装“</w:t>
      </w:r>
      <w:r>
        <w:rPr>
          <w:rFonts w:hint="eastAsia" w:ascii="宋体" w:hAnsi="宋体"/>
          <w:color w:val="auto"/>
          <w:kern w:val="0"/>
          <w:lang w:eastAsia="zh-CN"/>
        </w:rPr>
        <w:t>采购云</w:t>
      </w:r>
      <w:r>
        <w:rPr>
          <w:rFonts w:hint="eastAsia" w:ascii="宋体" w:hAnsi="宋体"/>
          <w:color w:val="auto"/>
          <w:kern w:val="0"/>
        </w:rPr>
        <w:t>电子交易客户端”（请自行前往“</w:t>
      </w:r>
      <w:r>
        <w:rPr>
          <w:rFonts w:hint="eastAsia" w:ascii="宋体" w:hAnsi="宋体"/>
          <w:color w:val="auto"/>
          <w:kern w:val="0"/>
          <w:lang w:eastAsia="zh-CN"/>
        </w:rPr>
        <w:t>采购云</w:t>
      </w:r>
      <w:r>
        <w:rPr>
          <w:rFonts w:hint="eastAsia" w:ascii="宋体" w:hAnsi="宋体"/>
          <w:color w:val="auto"/>
          <w:kern w:val="0"/>
        </w:rPr>
        <w:t>”平台进行下载），并按照本项目采购文件和“</w:t>
      </w:r>
      <w:r>
        <w:rPr>
          <w:rFonts w:hint="eastAsia" w:ascii="宋体" w:hAnsi="宋体"/>
          <w:color w:val="auto"/>
          <w:kern w:val="0"/>
          <w:lang w:eastAsia="zh-CN"/>
        </w:rPr>
        <w:t>采购云</w:t>
      </w:r>
      <w:r>
        <w:rPr>
          <w:rFonts w:hint="eastAsia" w:ascii="宋体" w:hAnsi="宋体"/>
          <w:color w:val="auto"/>
          <w:kern w:val="0"/>
        </w:rPr>
        <w:t>”平台的要求编制、加密后在投标截止时间前通过网络上传至 “</w:t>
      </w:r>
      <w:r>
        <w:rPr>
          <w:rFonts w:hint="eastAsia" w:ascii="宋体" w:hAnsi="宋体"/>
          <w:color w:val="auto"/>
          <w:kern w:val="0"/>
          <w:lang w:eastAsia="zh-CN"/>
        </w:rPr>
        <w:t>采购云</w:t>
      </w:r>
      <w:r>
        <w:rPr>
          <w:rFonts w:hint="eastAsia" w:ascii="宋体" w:hAnsi="宋体"/>
          <w:color w:val="auto"/>
          <w:kern w:val="0"/>
        </w:rPr>
        <w:t>”平台，</w:t>
      </w:r>
      <w:r>
        <w:rPr>
          <w:rFonts w:hint="eastAsia" w:ascii="宋体" w:hAnsi="宋体"/>
          <w:b/>
          <w:color w:val="auto"/>
          <w:kern w:val="0"/>
        </w:rPr>
        <w:t>供应商在“</w:t>
      </w:r>
      <w:r>
        <w:rPr>
          <w:rFonts w:hint="eastAsia" w:ascii="宋体" w:hAnsi="宋体"/>
          <w:b/>
          <w:color w:val="auto"/>
          <w:kern w:val="0"/>
          <w:lang w:eastAsia="zh-CN"/>
        </w:rPr>
        <w:t>采购云</w:t>
      </w:r>
      <w:r>
        <w:rPr>
          <w:rFonts w:hint="eastAsia" w:ascii="宋体" w:hAnsi="宋体"/>
          <w:b/>
          <w:color w:val="auto"/>
          <w:kern w:val="0"/>
        </w:rPr>
        <w:t>”平台提交电子投标文件时，请填写参加远程开标活动经办人联系方式。</w:t>
      </w:r>
      <w:r>
        <w:rPr>
          <w:rFonts w:hint="eastAsia" w:ascii="宋体" w:hAnsi="宋体"/>
          <w:color w:val="auto"/>
          <w:kern w:val="0"/>
        </w:rPr>
        <w:t>供应商登录“</w:t>
      </w:r>
      <w:r>
        <w:rPr>
          <w:rFonts w:hint="eastAsia" w:ascii="宋体" w:hAnsi="宋体"/>
          <w:color w:val="auto"/>
          <w:kern w:val="0"/>
          <w:lang w:eastAsia="zh-CN"/>
        </w:rPr>
        <w:t>采购云</w:t>
      </w:r>
      <w:r>
        <w:rPr>
          <w:rFonts w:hint="eastAsia" w:ascii="宋体" w:hAnsi="宋体"/>
          <w:color w:val="auto"/>
          <w:kern w:val="0"/>
        </w:rPr>
        <w:t>”平台，依次进入“服务中心-项目采购-操作流程-电子招投标-政府采购项目电子交易管理操作指南-供应商”查看电子投标具体操作流程。</w:t>
      </w:r>
    </w:p>
    <w:p w14:paraId="3F7359D7">
      <w:pPr>
        <w:wordWrap w:val="0"/>
        <w:spacing w:line="400" w:lineRule="exact"/>
        <w:ind w:firstLine="420" w:firstLineChars="200"/>
        <w:rPr>
          <w:rFonts w:hint="eastAsia" w:ascii="宋体" w:hAnsi="宋体"/>
          <w:color w:val="auto"/>
          <w:kern w:val="0"/>
        </w:rPr>
      </w:pPr>
      <w:r>
        <w:rPr>
          <w:rFonts w:hint="eastAsia" w:ascii="宋体" w:hAnsi="宋体"/>
          <w:color w:val="auto"/>
          <w:kern w:val="0"/>
        </w:rPr>
        <w:t>（2）未进行网上注册并办理数字证书（CA认证）的供应商将无法参与本项目政府采购活动，供应商应当在投标截止时间前，完成电子交易平台上的CA数字证书办理（供应商可登录“广西政府采购网”，依次进入“办事服务-下载专区”或者登陆“</w:t>
      </w:r>
      <w:r>
        <w:rPr>
          <w:rFonts w:hint="eastAsia" w:ascii="宋体" w:hAnsi="宋体"/>
          <w:color w:val="auto"/>
          <w:kern w:val="0"/>
          <w:lang w:eastAsia="zh-CN"/>
        </w:rPr>
        <w:t>采购云</w:t>
      </w:r>
      <w:r>
        <w:rPr>
          <w:rFonts w:hint="eastAsia" w:ascii="宋体" w:hAnsi="宋体"/>
          <w:color w:val="auto"/>
          <w:kern w:val="0"/>
        </w:rPr>
        <w:t>”平台，依次进入“服务中心-入驻与配置”中查看CA数字证书办理操作流程。</w:t>
      </w:r>
      <w:r>
        <w:rPr>
          <w:rFonts w:hint="eastAsia" w:ascii="宋体" w:hAnsi="宋体"/>
          <w:bCs/>
          <w:color w:val="auto"/>
          <w:kern w:val="0"/>
        </w:rPr>
        <w:t>如在操作过程中遇到问题或者需要技术支持，请致电</w:t>
      </w:r>
      <w:r>
        <w:rPr>
          <w:rFonts w:hint="eastAsia" w:ascii="宋体" w:hAnsi="宋体"/>
          <w:bCs/>
          <w:color w:val="auto"/>
          <w:kern w:val="0"/>
          <w:lang w:eastAsia="zh-CN"/>
        </w:rPr>
        <w:t>采购云</w:t>
      </w:r>
      <w:r>
        <w:rPr>
          <w:rFonts w:hint="eastAsia" w:ascii="宋体" w:hAnsi="宋体"/>
          <w:bCs/>
          <w:color w:val="auto"/>
          <w:kern w:val="0"/>
        </w:rPr>
        <w:t>客服热线：400-881-7190。</w:t>
      </w:r>
      <w:r>
        <w:rPr>
          <w:rFonts w:hint="eastAsia" w:ascii="宋体" w:hAnsi="宋体"/>
          <w:color w:val="auto"/>
          <w:kern w:val="0"/>
        </w:rPr>
        <w:t>）及投标文件的提交。</w:t>
      </w:r>
    </w:p>
    <w:p w14:paraId="78F891E2">
      <w:pPr>
        <w:wordWrap w:val="0"/>
        <w:spacing w:line="400" w:lineRule="exact"/>
        <w:ind w:firstLine="420" w:firstLineChars="200"/>
        <w:rPr>
          <w:rFonts w:hint="eastAsia" w:ascii="宋体" w:hAnsi="宋体"/>
          <w:color w:val="auto"/>
          <w:kern w:val="0"/>
        </w:rPr>
      </w:pPr>
      <w:r>
        <w:rPr>
          <w:rFonts w:hint="eastAsia" w:ascii="宋体" w:hAnsi="宋体"/>
          <w:color w:val="auto"/>
          <w:kern w:val="0"/>
        </w:rPr>
        <w:t>（3）CA证书在线解密：供应商投标时，需携带制作投标文件时用来加密的有效数字证书（CA认证）登录“</w:t>
      </w:r>
      <w:r>
        <w:rPr>
          <w:rFonts w:hint="eastAsia" w:ascii="宋体" w:hAnsi="宋体"/>
          <w:color w:val="auto"/>
          <w:kern w:val="0"/>
          <w:lang w:eastAsia="zh-CN"/>
        </w:rPr>
        <w:t>采购云</w:t>
      </w:r>
      <w:r>
        <w:rPr>
          <w:rFonts w:hint="eastAsia" w:ascii="宋体" w:hAnsi="宋体"/>
          <w:color w:val="auto"/>
          <w:kern w:val="0"/>
        </w:rPr>
        <w:t>”平台电子开标大厅现场按规定时间对加密的投标文件进行解密，否则后果自负。</w:t>
      </w:r>
    </w:p>
    <w:p w14:paraId="0722EFEC">
      <w:pPr>
        <w:wordWrap w:val="0"/>
        <w:spacing w:line="400" w:lineRule="exact"/>
        <w:ind w:firstLine="420" w:firstLineChars="200"/>
        <w:rPr>
          <w:rFonts w:hint="eastAsia" w:ascii="宋体" w:hAnsi="宋体"/>
          <w:color w:val="auto"/>
          <w:kern w:val="0"/>
        </w:rPr>
      </w:pPr>
      <w:r>
        <w:rPr>
          <w:rFonts w:hint="eastAsia" w:ascii="宋体" w:hAnsi="宋体"/>
          <w:color w:val="auto"/>
          <w:kern w:val="0"/>
        </w:rPr>
        <w:t>（4）供应商可以提供以介质（U盘或光盘等）存储的数据电文形成的电子备份响应文件。电子备份响应文件应当在响应文件递交截止时间前按要求密封并送达</w:t>
      </w:r>
      <w:r>
        <w:rPr>
          <w:rFonts w:hint="eastAsia" w:ascii="宋体" w:hAnsi="宋体" w:cs="宋体"/>
          <w:color w:val="auto"/>
          <w:kern w:val="0"/>
          <w:szCs w:val="21"/>
        </w:rPr>
        <w:t>钦州市新华路268号江滨豪园10栋</w:t>
      </w:r>
      <w:r>
        <w:rPr>
          <w:rFonts w:hint="eastAsia" w:ascii="宋体" w:hAnsi="宋体" w:cs="宋体"/>
          <w:color w:val="auto"/>
          <w:kern w:val="0"/>
          <w:szCs w:val="21"/>
          <w:lang w:val="en-US" w:eastAsia="zh-CN"/>
        </w:rPr>
        <w:t>27</w:t>
      </w:r>
      <w:r>
        <w:rPr>
          <w:rFonts w:hint="eastAsia" w:ascii="宋体" w:hAnsi="宋体" w:cs="宋体"/>
          <w:color w:val="auto"/>
          <w:kern w:val="0"/>
          <w:szCs w:val="21"/>
        </w:rPr>
        <w:t>层</w:t>
      </w:r>
      <w:r>
        <w:rPr>
          <w:rFonts w:hint="eastAsia" w:ascii="宋体" w:hAnsi="宋体" w:cs="宋体"/>
          <w:color w:val="auto"/>
          <w:kern w:val="0"/>
          <w:szCs w:val="21"/>
          <w:lang w:val="en-US" w:eastAsia="zh-CN"/>
        </w:rPr>
        <w:t>2703</w:t>
      </w:r>
      <w:r>
        <w:rPr>
          <w:rFonts w:hint="eastAsia" w:ascii="宋体" w:hAnsi="宋体" w:cs="宋体"/>
          <w:color w:val="auto"/>
          <w:kern w:val="0"/>
          <w:szCs w:val="21"/>
        </w:rPr>
        <w:t>号</w:t>
      </w:r>
      <w:r>
        <w:rPr>
          <w:rFonts w:hint="eastAsia" w:ascii="宋体" w:hAnsi="宋体"/>
          <w:color w:val="auto"/>
          <w:kern w:val="0"/>
        </w:rPr>
        <w:t>广西翔正项目管理有限公司，逾期送达或未按要求密封将被拒收。电子备份响应文件应当密封包装并在包装上标注竞标项目名称、竞标单位名称并加盖公章。</w:t>
      </w:r>
    </w:p>
    <w:p w14:paraId="1D6EE92A">
      <w:pPr>
        <w:wordWrap w:val="0"/>
        <w:spacing w:line="400" w:lineRule="exact"/>
        <w:ind w:firstLine="420" w:firstLineChars="200"/>
        <w:rPr>
          <w:rFonts w:hint="eastAsia" w:ascii="宋体" w:hAnsi="宋体"/>
          <w:color w:val="auto"/>
          <w:kern w:val="0"/>
        </w:rPr>
      </w:pPr>
      <w:r>
        <w:rPr>
          <w:rFonts w:hint="eastAsia" w:ascii="宋体" w:hAnsi="宋体"/>
          <w:color w:val="auto"/>
          <w:kern w:val="0"/>
        </w:rPr>
        <w:t>邮寄地址：</w:t>
      </w:r>
      <w:r>
        <w:rPr>
          <w:rFonts w:hint="eastAsia" w:ascii="宋体" w:hAnsi="宋体" w:cs="宋体"/>
          <w:color w:val="auto"/>
          <w:kern w:val="0"/>
          <w:szCs w:val="21"/>
        </w:rPr>
        <w:t>钦州市新华路268号江滨豪园10栋</w:t>
      </w:r>
      <w:r>
        <w:rPr>
          <w:rFonts w:hint="eastAsia" w:ascii="宋体" w:hAnsi="宋体" w:cs="宋体"/>
          <w:color w:val="auto"/>
          <w:kern w:val="0"/>
          <w:szCs w:val="21"/>
          <w:lang w:val="en-US" w:eastAsia="zh-CN"/>
        </w:rPr>
        <w:t>27</w:t>
      </w:r>
      <w:r>
        <w:rPr>
          <w:rFonts w:hint="eastAsia" w:ascii="宋体" w:hAnsi="宋体" w:cs="宋体"/>
          <w:color w:val="auto"/>
          <w:kern w:val="0"/>
          <w:szCs w:val="21"/>
        </w:rPr>
        <w:t>层</w:t>
      </w:r>
      <w:r>
        <w:rPr>
          <w:rFonts w:hint="eastAsia" w:ascii="宋体" w:hAnsi="宋体" w:cs="宋体"/>
          <w:color w:val="auto"/>
          <w:kern w:val="0"/>
          <w:szCs w:val="21"/>
          <w:lang w:val="en-US" w:eastAsia="zh-CN"/>
        </w:rPr>
        <w:t>2703</w:t>
      </w:r>
      <w:r>
        <w:rPr>
          <w:rFonts w:hint="eastAsia" w:ascii="宋体" w:hAnsi="宋体" w:cs="宋体"/>
          <w:color w:val="auto"/>
          <w:kern w:val="0"/>
          <w:szCs w:val="21"/>
        </w:rPr>
        <w:t>号</w:t>
      </w:r>
      <w:r>
        <w:rPr>
          <w:rFonts w:hint="eastAsia" w:ascii="宋体" w:hAnsi="宋体"/>
          <w:color w:val="auto"/>
          <w:kern w:val="0"/>
        </w:rPr>
        <w:t>广西翔正项目管理有限公司，联系人：黄博，电话：0777-2839828。</w:t>
      </w:r>
    </w:p>
    <w:p w14:paraId="6BE61541">
      <w:pPr>
        <w:wordWrap w:val="0"/>
        <w:spacing w:line="400" w:lineRule="exact"/>
        <w:ind w:firstLine="420" w:firstLineChars="200"/>
        <w:rPr>
          <w:rFonts w:hint="eastAsia" w:ascii="宋体" w:hAnsi="宋体"/>
          <w:color w:val="auto"/>
          <w:kern w:val="0"/>
        </w:rPr>
      </w:pPr>
      <w:r>
        <w:rPr>
          <w:rFonts w:hint="eastAsia" w:ascii="宋体" w:hAnsi="宋体"/>
          <w:color w:val="auto"/>
          <w:kern w:val="0"/>
        </w:rPr>
        <w:t>本项目拒收到付邮件，通过邮寄方式送达的，请合理安排邮寄时间，因邮寄原因未能在规定时间内送达的后果由供应商自行承担。</w:t>
      </w:r>
    </w:p>
    <w:p w14:paraId="6835A836">
      <w:pPr>
        <w:wordWrap w:val="0"/>
        <w:spacing w:line="400" w:lineRule="exact"/>
        <w:ind w:firstLine="420" w:firstLineChars="200"/>
        <w:rPr>
          <w:rFonts w:hint="eastAsia" w:ascii="宋体" w:hAnsi="宋体"/>
          <w:color w:val="auto"/>
          <w:kern w:val="0"/>
        </w:rPr>
      </w:pPr>
      <w:r>
        <w:rPr>
          <w:rFonts w:hint="eastAsia" w:ascii="宋体" w:hAnsi="宋体"/>
          <w:color w:val="auto"/>
          <w:kern w:val="0"/>
        </w:rPr>
        <w:t>（5）通过“政府采购云平台”上传递交的“电子加密响应文件”无法按时解密，供应商递交了电子备份响应文件的，以电子备份响应文件为依据，否则视为响应文件撤回。通过</w:t>
      </w:r>
      <w:r>
        <w:rPr>
          <w:rFonts w:hint="eastAsia" w:ascii="宋体" w:hAnsi="宋体"/>
          <w:color w:val="auto"/>
          <w:kern w:val="0"/>
          <w:lang w:eastAsia="zh-CN"/>
        </w:rPr>
        <w:t>采购云</w:t>
      </w:r>
      <w:r>
        <w:rPr>
          <w:rFonts w:hint="eastAsia" w:ascii="宋体" w:hAnsi="宋体"/>
          <w:color w:val="auto"/>
          <w:kern w:val="0"/>
        </w:rPr>
        <w:t>平台上传递交的电子加密响应文件已按时解密的，电子备份响应文件自动失效。供应商仅递交电子备份响应文件的，竞标无效。</w:t>
      </w:r>
    </w:p>
    <w:p w14:paraId="3410DA9D">
      <w:pPr>
        <w:wordWrap w:val="0"/>
        <w:spacing w:line="400" w:lineRule="exact"/>
        <w:ind w:firstLine="420" w:firstLineChars="200"/>
        <w:rPr>
          <w:rFonts w:hint="eastAsia" w:ascii="宋体" w:hAnsi="宋体"/>
          <w:color w:val="auto"/>
          <w:kern w:val="0"/>
        </w:rPr>
      </w:pPr>
      <w:r>
        <w:rPr>
          <w:rFonts w:hint="eastAsia" w:ascii="宋体" w:hAnsi="宋体"/>
          <w:color w:val="auto"/>
          <w:kern w:val="0"/>
        </w:rPr>
        <w:t>（6）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689995D">
      <w:pPr>
        <w:wordWrap w:val="0"/>
        <w:spacing w:line="400" w:lineRule="exact"/>
        <w:ind w:firstLine="420" w:firstLineChars="200"/>
        <w:rPr>
          <w:rFonts w:hint="eastAsia" w:ascii="宋体" w:hAnsi="宋体"/>
          <w:color w:val="auto"/>
          <w:kern w:val="0"/>
        </w:rPr>
      </w:pPr>
      <w:r>
        <w:rPr>
          <w:rFonts w:hint="eastAsia" w:ascii="宋体" w:hAnsi="宋体"/>
          <w:color w:val="auto"/>
          <w:kern w:val="0"/>
        </w:rPr>
        <w:t>（7）对在“信用中国”网站(www.creditchina.gov.cn)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15DF56B8">
      <w:pPr>
        <w:wordWrap w:val="0"/>
        <w:spacing w:line="400" w:lineRule="exact"/>
        <w:ind w:firstLine="420" w:firstLineChars="200"/>
        <w:rPr>
          <w:rFonts w:hint="eastAsia" w:ascii="宋体" w:hAnsi="宋体"/>
          <w:color w:val="auto"/>
          <w:kern w:val="0"/>
        </w:rPr>
      </w:pPr>
      <w:r>
        <w:rPr>
          <w:rFonts w:hint="eastAsia" w:ascii="宋体" w:hAnsi="宋体"/>
          <w:color w:val="auto"/>
          <w:kern w:val="0"/>
        </w:rPr>
        <w:t>（8）本项目不接受未登陆</w:t>
      </w:r>
      <w:r>
        <w:rPr>
          <w:rFonts w:hint="eastAsia" w:ascii="宋体" w:hAnsi="宋体"/>
          <w:color w:val="auto"/>
          <w:kern w:val="0"/>
          <w:lang w:eastAsia="zh-CN"/>
        </w:rPr>
        <w:t>采购云</w:t>
      </w:r>
      <w:r>
        <w:rPr>
          <w:rFonts w:hint="eastAsia" w:ascii="宋体" w:hAnsi="宋体"/>
          <w:color w:val="auto"/>
          <w:kern w:val="0"/>
        </w:rPr>
        <w:t>平台（www.zcygov.cn）获取本项目竞争性磋商文件的供应商竞标。</w:t>
      </w:r>
    </w:p>
    <w:p w14:paraId="4306CCA8">
      <w:pPr>
        <w:wordWrap w:val="0"/>
        <w:spacing w:line="400" w:lineRule="exact"/>
        <w:ind w:firstLine="420" w:firstLineChars="200"/>
        <w:rPr>
          <w:rFonts w:hint="eastAsia" w:ascii="宋体" w:hAnsi="宋体"/>
          <w:bCs/>
          <w:color w:val="auto"/>
          <w:kern w:val="0"/>
        </w:rPr>
      </w:pPr>
      <w:r>
        <w:rPr>
          <w:rFonts w:hint="eastAsia" w:ascii="宋体" w:hAnsi="宋体"/>
          <w:color w:val="auto"/>
          <w:kern w:val="0"/>
        </w:rPr>
        <w:t>注：1）为确保网上操作合法、有效和安全，请供应商确保在电子投标过程中能够对相关数据电文进行加密和使用电子签章，妥善保管CA数字证书并使用有效的CA数字证书参与整个招标活动。2）</w:t>
      </w:r>
      <w:r>
        <w:rPr>
          <w:rFonts w:hint="eastAsia" w:ascii="宋体" w:hAnsi="宋体"/>
          <w:bCs/>
          <w:color w:val="auto"/>
          <w:kern w:val="0"/>
        </w:rPr>
        <w:t>供应商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hint="eastAsia" w:ascii="宋体" w:hAnsi="宋体"/>
          <w:bCs/>
          <w:color w:val="auto"/>
          <w:kern w:val="0"/>
          <w:lang w:eastAsia="zh-CN"/>
        </w:rPr>
        <w:t>采购云</w:t>
      </w:r>
      <w:r>
        <w:rPr>
          <w:rFonts w:hint="eastAsia" w:ascii="宋体" w:hAnsi="宋体"/>
          <w:bCs/>
          <w:color w:val="auto"/>
          <w:kern w:val="0"/>
        </w:rPr>
        <w:t>”平台将予以拒收。</w:t>
      </w:r>
    </w:p>
    <w:p w14:paraId="08C5E7EF">
      <w:pPr>
        <w:spacing w:line="360" w:lineRule="auto"/>
        <w:ind w:firstLine="354" w:firstLineChars="147"/>
        <w:outlineLvl w:val="1"/>
        <w:rPr>
          <w:rFonts w:ascii="黑体" w:hAnsi="黑体" w:eastAsia="黑体"/>
          <w:b/>
          <w:color w:val="auto"/>
          <w:sz w:val="24"/>
        </w:rPr>
      </w:pPr>
      <w:r>
        <w:rPr>
          <w:rFonts w:hint="eastAsia" w:ascii="黑体" w:hAnsi="黑体" w:eastAsia="黑体"/>
          <w:b/>
          <w:color w:val="auto"/>
          <w:sz w:val="24"/>
        </w:rPr>
        <w:t>八、凡对本次采购提出询问，请按</w:t>
      </w:r>
      <w:r>
        <w:rPr>
          <w:rFonts w:ascii="黑体" w:hAnsi="黑体" w:eastAsia="黑体"/>
          <w:b/>
          <w:color w:val="auto"/>
          <w:sz w:val="24"/>
        </w:rPr>
        <w:t>以下方式</w:t>
      </w:r>
      <w:r>
        <w:rPr>
          <w:rFonts w:hint="eastAsia" w:ascii="黑体" w:hAnsi="黑体" w:eastAsia="黑体"/>
          <w:b/>
          <w:color w:val="auto"/>
          <w:sz w:val="24"/>
        </w:rPr>
        <w:t>联系。</w:t>
      </w:r>
      <w:bookmarkEnd w:id="48"/>
      <w:bookmarkEnd w:id="49"/>
      <w:bookmarkEnd w:id="50"/>
      <w:bookmarkEnd w:id="51"/>
      <w:bookmarkEnd w:id="52"/>
    </w:p>
    <w:bookmarkEnd w:id="10"/>
    <w:p w14:paraId="0B952A0B">
      <w:pPr>
        <w:widowControl/>
        <w:spacing w:before="75" w:after="75" w:line="400" w:lineRule="exact"/>
        <w:ind w:firstLine="413" w:firstLineChars="196"/>
        <w:jc w:val="left"/>
        <w:outlineLvl w:val="2"/>
        <w:rPr>
          <w:rFonts w:ascii="宋体" w:hAnsi="宋体" w:cs="宋体"/>
          <w:b/>
          <w:color w:val="auto"/>
          <w:kern w:val="0"/>
          <w:szCs w:val="21"/>
        </w:rPr>
      </w:pPr>
      <w:r>
        <w:rPr>
          <w:rFonts w:hint="eastAsia" w:ascii="宋体" w:hAnsi="宋体" w:cs="宋体"/>
          <w:b/>
          <w:color w:val="auto"/>
          <w:kern w:val="0"/>
          <w:szCs w:val="21"/>
        </w:rPr>
        <w:t>1.采购人信息</w:t>
      </w:r>
    </w:p>
    <w:p w14:paraId="250EBF77">
      <w:pPr>
        <w:widowControl/>
        <w:spacing w:before="75" w:after="75" w:line="400" w:lineRule="exact"/>
        <w:ind w:firstLine="525" w:firstLineChars="250"/>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rPr>
        <w:t>名</w:t>
      </w:r>
      <w:r>
        <w:rPr>
          <w:rFonts w:hint="eastAsia" w:ascii="宋体" w:hAnsi="宋体" w:eastAsia="宋体" w:cs="宋体"/>
          <w:color w:val="auto"/>
          <w:kern w:val="0"/>
          <w:szCs w:val="21"/>
          <w:lang w:eastAsia="zh-CN"/>
        </w:rPr>
        <w:t xml:space="preserve"> 称：</w:t>
      </w:r>
      <w:r>
        <w:rPr>
          <w:rFonts w:hint="eastAsia" w:ascii="宋体" w:hAnsi="宋体" w:eastAsia="宋体" w:cs="宋体"/>
          <w:color w:val="auto"/>
          <w:kern w:val="0"/>
          <w:szCs w:val="21"/>
          <w:lang w:val="en-US" w:eastAsia="zh-CN"/>
        </w:rPr>
        <w:t>钦州幼儿师范高等专科学校</w:t>
      </w:r>
    </w:p>
    <w:p w14:paraId="5FA7CF86">
      <w:pPr>
        <w:widowControl/>
        <w:spacing w:before="75" w:after="75" w:line="400" w:lineRule="exact"/>
        <w:ind w:firstLine="525" w:firstLineChars="250"/>
        <w:jc w:val="left"/>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地址：广西壮族自治区钦州市钦南区南珠街道西环南路89号</w:t>
      </w:r>
    </w:p>
    <w:p w14:paraId="03A90CE6">
      <w:pPr>
        <w:widowControl/>
        <w:spacing w:before="75" w:after="75" w:line="400" w:lineRule="exact"/>
        <w:ind w:firstLine="525" w:firstLineChars="250"/>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项目联系人：郭文惠 </w:t>
      </w:r>
    </w:p>
    <w:p w14:paraId="60E61FD0">
      <w:pPr>
        <w:widowControl/>
        <w:spacing w:before="75" w:after="75" w:line="400" w:lineRule="exact"/>
        <w:ind w:firstLine="525" w:firstLineChars="250"/>
        <w:jc w:val="left"/>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 xml:space="preserve">项目联系方式：0777-2596801 </w:t>
      </w:r>
      <w:r>
        <w:rPr>
          <w:rFonts w:hint="eastAsia" w:ascii="宋体" w:hAnsi="宋体" w:eastAsia="宋体" w:cs="宋体"/>
          <w:color w:val="auto"/>
          <w:kern w:val="0"/>
          <w:szCs w:val="21"/>
        </w:rPr>
        <w:t xml:space="preserve">    </w:t>
      </w:r>
    </w:p>
    <w:p w14:paraId="15A4F5E8">
      <w:pPr>
        <w:widowControl/>
        <w:spacing w:before="75" w:after="75" w:line="400" w:lineRule="exact"/>
        <w:ind w:firstLine="411" w:firstLineChars="195"/>
        <w:jc w:val="left"/>
        <w:outlineLvl w:val="2"/>
        <w:rPr>
          <w:rFonts w:ascii="宋体" w:hAnsi="宋体" w:cs="宋体"/>
          <w:b/>
          <w:color w:val="auto"/>
          <w:kern w:val="0"/>
          <w:szCs w:val="21"/>
        </w:rPr>
      </w:pPr>
      <w:r>
        <w:rPr>
          <w:rFonts w:hint="eastAsia" w:ascii="宋体" w:hAnsi="宋体" w:cs="宋体"/>
          <w:b/>
          <w:color w:val="auto"/>
          <w:kern w:val="0"/>
          <w:szCs w:val="21"/>
        </w:rPr>
        <w:t>2.采购代理机构信息</w:t>
      </w:r>
    </w:p>
    <w:p w14:paraId="04E856F2">
      <w:pPr>
        <w:widowControl/>
        <w:spacing w:before="75" w:after="75" w:line="400" w:lineRule="exact"/>
        <w:ind w:firstLine="525" w:firstLineChars="250"/>
        <w:jc w:val="left"/>
        <w:rPr>
          <w:rFonts w:hint="eastAsia" w:ascii="宋体" w:hAnsi="宋体" w:eastAsia="宋体" w:cs="宋体"/>
          <w:color w:val="auto"/>
          <w:kern w:val="0"/>
          <w:szCs w:val="21"/>
        </w:rPr>
      </w:pPr>
      <w:r>
        <w:rPr>
          <w:rFonts w:hint="eastAsia" w:ascii="宋体" w:hAnsi="宋体" w:eastAsia="宋体" w:cs="宋体"/>
          <w:color w:val="auto"/>
          <w:kern w:val="0"/>
          <w:szCs w:val="21"/>
        </w:rPr>
        <w:t>名 称：广西翔正项目管理有限公司</w:t>
      </w:r>
    </w:p>
    <w:p w14:paraId="260F22C4">
      <w:pPr>
        <w:widowControl/>
        <w:spacing w:before="75" w:after="75" w:line="400" w:lineRule="exact"/>
        <w:ind w:firstLine="525" w:firstLineChars="250"/>
        <w:jc w:val="left"/>
        <w:rPr>
          <w:rFonts w:hint="eastAsia" w:ascii="宋体" w:hAnsi="宋体" w:eastAsia="宋体" w:cs="宋体"/>
          <w:color w:val="auto"/>
          <w:kern w:val="0"/>
          <w:szCs w:val="21"/>
        </w:rPr>
      </w:pPr>
      <w:r>
        <w:rPr>
          <w:rFonts w:hint="eastAsia" w:ascii="宋体" w:hAnsi="宋体" w:eastAsia="宋体" w:cs="宋体"/>
          <w:color w:val="auto"/>
          <w:kern w:val="0"/>
          <w:szCs w:val="21"/>
        </w:rPr>
        <w:t>地 址：钦州市新华路268号江滨豪园10栋</w:t>
      </w:r>
      <w:r>
        <w:rPr>
          <w:rFonts w:hint="eastAsia" w:ascii="宋体" w:hAnsi="宋体" w:eastAsia="宋体" w:cs="宋体"/>
          <w:color w:val="auto"/>
          <w:kern w:val="0"/>
          <w:szCs w:val="21"/>
          <w:lang w:val="en-US" w:eastAsia="zh-CN"/>
        </w:rPr>
        <w:t>27</w:t>
      </w:r>
      <w:r>
        <w:rPr>
          <w:rFonts w:hint="eastAsia" w:ascii="宋体" w:hAnsi="宋体" w:eastAsia="宋体" w:cs="宋体"/>
          <w:color w:val="auto"/>
          <w:kern w:val="0"/>
          <w:szCs w:val="21"/>
        </w:rPr>
        <w:t>层</w:t>
      </w:r>
      <w:r>
        <w:rPr>
          <w:rFonts w:hint="eastAsia" w:ascii="宋体" w:hAnsi="宋体" w:eastAsia="宋体" w:cs="宋体"/>
          <w:color w:val="auto"/>
          <w:kern w:val="0"/>
          <w:szCs w:val="21"/>
          <w:lang w:val="en-US" w:eastAsia="zh-CN"/>
        </w:rPr>
        <w:t>2703</w:t>
      </w:r>
      <w:r>
        <w:rPr>
          <w:rFonts w:hint="eastAsia" w:ascii="宋体" w:hAnsi="宋体" w:eastAsia="宋体" w:cs="宋体"/>
          <w:color w:val="auto"/>
          <w:kern w:val="0"/>
          <w:szCs w:val="21"/>
        </w:rPr>
        <w:t>号</w:t>
      </w:r>
    </w:p>
    <w:p w14:paraId="5093F001">
      <w:pPr>
        <w:widowControl/>
        <w:spacing w:before="75" w:after="75" w:line="400" w:lineRule="exact"/>
        <w:ind w:firstLine="525" w:firstLineChars="250"/>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项目联系人：黄博 </w:t>
      </w:r>
    </w:p>
    <w:p w14:paraId="7478424A">
      <w:pPr>
        <w:widowControl/>
        <w:spacing w:before="75" w:after="75" w:line="400" w:lineRule="exact"/>
        <w:ind w:firstLine="525" w:firstLineChars="250"/>
        <w:jc w:val="left"/>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项目联系方式：0777-2839828</w:t>
      </w:r>
    </w:p>
    <w:p w14:paraId="6599D127">
      <w:pPr>
        <w:pStyle w:val="3"/>
        <w:jc w:val="center"/>
        <w:rPr>
          <w:rFonts w:hint="eastAsia"/>
          <w:color w:val="auto"/>
        </w:rPr>
      </w:pPr>
      <w:bookmarkStart w:id="53" w:name="_Toc74323457"/>
    </w:p>
    <w:p w14:paraId="73612978">
      <w:pPr>
        <w:rPr>
          <w:rFonts w:hint="eastAsia"/>
          <w:color w:val="auto"/>
        </w:rPr>
      </w:pPr>
    </w:p>
    <w:p w14:paraId="2F3F6809">
      <w:pPr>
        <w:rPr>
          <w:rFonts w:hint="eastAsia"/>
          <w:color w:val="auto"/>
        </w:rPr>
      </w:pPr>
    </w:p>
    <w:p w14:paraId="252C6C4B">
      <w:pPr>
        <w:rPr>
          <w:rFonts w:hint="eastAsia"/>
          <w:color w:val="auto"/>
        </w:rPr>
      </w:pPr>
    </w:p>
    <w:p w14:paraId="57F1F0F0">
      <w:pPr>
        <w:rPr>
          <w:rFonts w:hint="eastAsia"/>
          <w:color w:val="auto"/>
        </w:rPr>
      </w:pPr>
    </w:p>
    <w:p w14:paraId="4FE8B77A">
      <w:pPr>
        <w:rPr>
          <w:rFonts w:hint="eastAsia"/>
          <w:color w:val="auto"/>
        </w:rPr>
      </w:pPr>
    </w:p>
    <w:p w14:paraId="7BD50FF7">
      <w:pPr>
        <w:rPr>
          <w:rFonts w:hint="eastAsia"/>
          <w:color w:val="auto"/>
        </w:rPr>
      </w:pPr>
    </w:p>
    <w:p w14:paraId="4F0E110A">
      <w:pPr>
        <w:rPr>
          <w:rFonts w:hint="eastAsia"/>
          <w:color w:val="auto"/>
        </w:rPr>
      </w:pPr>
    </w:p>
    <w:p w14:paraId="51994CA1">
      <w:pPr>
        <w:rPr>
          <w:rFonts w:hint="eastAsia"/>
          <w:color w:val="auto"/>
        </w:rPr>
      </w:pPr>
    </w:p>
    <w:p w14:paraId="23DCAE3F">
      <w:pPr>
        <w:rPr>
          <w:rFonts w:hint="eastAsia"/>
          <w:color w:val="auto"/>
        </w:rPr>
      </w:pPr>
    </w:p>
    <w:p w14:paraId="0AEA27FD">
      <w:pPr>
        <w:rPr>
          <w:rFonts w:hint="eastAsia"/>
          <w:color w:val="auto"/>
        </w:rPr>
      </w:pPr>
    </w:p>
    <w:p w14:paraId="015515F0">
      <w:pPr>
        <w:rPr>
          <w:rFonts w:hint="eastAsia"/>
          <w:color w:val="auto"/>
        </w:rPr>
      </w:pPr>
    </w:p>
    <w:p w14:paraId="0FAB715D">
      <w:pPr>
        <w:rPr>
          <w:rFonts w:hint="eastAsia"/>
          <w:color w:val="auto"/>
        </w:rPr>
      </w:pPr>
    </w:p>
    <w:p w14:paraId="40ADBDBE">
      <w:pPr>
        <w:pStyle w:val="8"/>
        <w:rPr>
          <w:rFonts w:hint="eastAsia"/>
          <w:color w:val="auto"/>
        </w:rPr>
      </w:pPr>
    </w:p>
    <w:p w14:paraId="735950D4">
      <w:pPr>
        <w:pStyle w:val="8"/>
        <w:rPr>
          <w:rFonts w:hint="eastAsia"/>
          <w:color w:val="auto"/>
        </w:rPr>
      </w:pPr>
    </w:p>
    <w:p w14:paraId="5767A806">
      <w:pPr>
        <w:pStyle w:val="8"/>
        <w:rPr>
          <w:rFonts w:hint="eastAsia"/>
          <w:color w:val="auto"/>
        </w:rPr>
      </w:pPr>
    </w:p>
    <w:p w14:paraId="06F30D24">
      <w:pPr>
        <w:pStyle w:val="8"/>
        <w:rPr>
          <w:rFonts w:hint="eastAsia"/>
          <w:color w:val="auto"/>
        </w:rPr>
      </w:pPr>
    </w:p>
    <w:p w14:paraId="579250EC">
      <w:pPr>
        <w:pStyle w:val="8"/>
        <w:rPr>
          <w:rFonts w:hint="eastAsia"/>
          <w:color w:val="auto"/>
        </w:rPr>
      </w:pPr>
    </w:p>
    <w:p w14:paraId="5DEFA22B">
      <w:pPr>
        <w:pStyle w:val="8"/>
        <w:rPr>
          <w:rFonts w:hint="eastAsia"/>
          <w:color w:val="auto"/>
        </w:rPr>
      </w:pPr>
    </w:p>
    <w:p w14:paraId="2E3C6850">
      <w:pPr>
        <w:pStyle w:val="8"/>
        <w:rPr>
          <w:rFonts w:hint="eastAsia"/>
          <w:color w:val="auto"/>
        </w:rPr>
      </w:pPr>
    </w:p>
    <w:p w14:paraId="3B9410A2">
      <w:pPr>
        <w:pStyle w:val="8"/>
        <w:rPr>
          <w:rFonts w:hint="eastAsia"/>
          <w:color w:val="auto"/>
        </w:rPr>
      </w:pPr>
    </w:p>
    <w:p w14:paraId="77582B1E">
      <w:pPr>
        <w:pStyle w:val="8"/>
        <w:rPr>
          <w:rFonts w:hint="eastAsia"/>
          <w:color w:val="auto"/>
        </w:rPr>
      </w:pPr>
    </w:p>
    <w:p w14:paraId="3625B421">
      <w:pPr>
        <w:pStyle w:val="8"/>
        <w:rPr>
          <w:rFonts w:hint="eastAsia"/>
          <w:color w:val="auto"/>
        </w:rPr>
      </w:pPr>
    </w:p>
    <w:p w14:paraId="62175FC8">
      <w:pPr>
        <w:pStyle w:val="8"/>
        <w:rPr>
          <w:rFonts w:hint="eastAsia"/>
          <w:color w:val="auto"/>
        </w:rPr>
      </w:pPr>
    </w:p>
    <w:p w14:paraId="070F9D93">
      <w:pPr>
        <w:pStyle w:val="8"/>
        <w:rPr>
          <w:rFonts w:hint="eastAsia"/>
          <w:color w:val="auto"/>
        </w:rPr>
      </w:pPr>
    </w:p>
    <w:p w14:paraId="083891ED">
      <w:pPr>
        <w:pStyle w:val="8"/>
        <w:rPr>
          <w:rFonts w:hint="eastAsia"/>
          <w:color w:val="auto"/>
        </w:rPr>
      </w:pPr>
    </w:p>
    <w:p w14:paraId="51DB8E59">
      <w:pPr>
        <w:pStyle w:val="8"/>
        <w:rPr>
          <w:rFonts w:hint="eastAsia"/>
          <w:color w:val="auto"/>
        </w:rPr>
      </w:pPr>
    </w:p>
    <w:p w14:paraId="6F975129">
      <w:pPr>
        <w:rPr>
          <w:rFonts w:hint="eastAsia"/>
          <w:color w:val="auto"/>
        </w:rPr>
      </w:pPr>
    </w:p>
    <w:p w14:paraId="7149C6E0">
      <w:pPr>
        <w:rPr>
          <w:rFonts w:hint="eastAsia"/>
          <w:color w:val="auto"/>
        </w:rPr>
      </w:pPr>
    </w:p>
    <w:p w14:paraId="594CB2E4">
      <w:pPr>
        <w:rPr>
          <w:rFonts w:hint="eastAsia"/>
          <w:color w:val="auto"/>
        </w:rPr>
      </w:pPr>
    </w:p>
    <w:p w14:paraId="321B284B">
      <w:pPr>
        <w:pStyle w:val="3"/>
        <w:jc w:val="center"/>
        <w:rPr>
          <w:rFonts w:hint="eastAsia"/>
          <w:color w:val="auto"/>
        </w:rPr>
      </w:pPr>
      <w:r>
        <w:rPr>
          <w:rFonts w:hint="eastAsia"/>
          <w:color w:val="auto"/>
        </w:rPr>
        <w:t>第二章 供应商须知</w:t>
      </w:r>
      <w:bookmarkEnd w:id="53"/>
    </w:p>
    <w:p w14:paraId="51653B7B">
      <w:pPr>
        <w:spacing w:line="400" w:lineRule="exact"/>
        <w:jc w:val="center"/>
        <w:outlineLvl w:val="1"/>
        <w:rPr>
          <w:rFonts w:hint="eastAsia" w:ascii="宋体" w:hAnsi="宋体"/>
          <w:b/>
          <w:color w:val="auto"/>
          <w:sz w:val="32"/>
          <w:szCs w:val="32"/>
        </w:rPr>
      </w:pPr>
      <w:r>
        <w:rPr>
          <w:rFonts w:hint="eastAsia" w:ascii="宋体" w:hAnsi="宋体"/>
          <w:b/>
          <w:color w:val="auto"/>
          <w:sz w:val="32"/>
          <w:szCs w:val="32"/>
        </w:rPr>
        <w:t>供应商须知前附表</w:t>
      </w:r>
    </w:p>
    <w:p w14:paraId="64D0D73B">
      <w:pPr>
        <w:spacing w:line="400" w:lineRule="exact"/>
        <w:jc w:val="center"/>
        <w:rPr>
          <w:rFonts w:hint="eastAsia" w:ascii="宋体" w:hAnsi="宋体"/>
          <w:b/>
          <w:color w:val="auto"/>
          <w:sz w:val="32"/>
          <w:szCs w:val="32"/>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7912"/>
      </w:tblGrid>
      <w:tr w14:paraId="12C01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0"/>
            <w:vAlign w:val="top"/>
          </w:tcPr>
          <w:p w14:paraId="5AC82547">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7912" w:type="dxa"/>
            <w:noWrap w:val="0"/>
            <w:vAlign w:val="top"/>
          </w:tcPr>
          <w:p w14:paraId="4F3D1A6C">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内    容</w:t>
            </w:r>
          </w:p>
        </w:tc>
      </w:tr>
      <w:tr w14:paraId="604A1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92" w:type="dxa"/>
            <w:noWrap w:val="0"/>
            <w:vAlign w:val="center"/>
          </w:tcPr>
          <w:p w14:paraId="66BF4A2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7912" w:type="dxa"/>
            <w:noWrap w:val="0"/>
            <w:vAlign w:val="center"/>
          </w:tcPr>
          <w:p w14:paraId="55784C62">
            <w:pPr>
              <w:spacing w:line="360" w:lineRule="auto"/>
              <w:rPr>
                <w:rFonts w:hint="eastAsia" w:ascii="宋体" w:hAnsi="宋体"/>
                <w:color w:val="auto"/>
                <w:szCs w:val="21"/>
                <w:highlight w:val="none"/>
              </w:rPr>
            </w:pPr>
            <w:r>
              <w:rPr>
                <w:rFonts w:hint="eastAsia" w:ascii="宋体" w:hAnsi="宋体" w:cs="宋体"/>
                <w:bCs/>
                <w:color w:val="auto"/>
                <w:szCs w:val="21"/>
                <w:highlight w:val="none"/>
              </w:rPr>
              <w:t>供应商的资格条件</w:t>
            </w:r>
            <w:r>
              <w:rPr>
                <w:rFonts w:hint="eastAsia" w:ascii="宋体" w:hAnsi="宋体" w:cs="宋体"/>
                <w:color w:val="auto"/>
                <w:szCs w:val="21"/>
                <w:highlight w:val="none"/>
              </w:rPr>
              <w:t>：详见竞争性磋商公告</w:t>
            </w:r>
          </w:p>
        </w:tc>
      </w:tr>
      <w:tr w14:paraId="68A92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0"/>
            <w:vAlign w:val="center"/>
          </w:tcPr>
          <w:p w14:paraId="78F0D8D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5.1</w:t>
            </w:r>
          </w:p>
        </w:tc>
        <w:tc>
          <w:tcPr>
            <w:tcW w:w="7912" w:type="dxa"/>
            <w:noWrap w:val="0"/>
            <w:vAlign w:val="center"/>
          </w:tcPr>
          <w:p w14:paraId="6C3C964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是否接受联合体竞标: 否</w:t>
            </w:r>
          </w:p>
        </w:tc>
      </w:tr>
      <w:tr w14:paraId="50D10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0"/>
            <w:vAlign w:val="center"/>
          </w:tcPr>
          <w:p w14:paraId="461814F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6.2</w:t>
            </w:r>
          </w:p>
        </w:tc>
        <w:tc>
          <w:tcPr>
            <w:tcW w:w="7912" w:type="dxa"/>
            <w:noWrap w:val="0"/>
            <w:vAlign w:val="center"/>
          </w:tcPr>
          <w:p w14:paraId="00BA148F">
            <w:pPr>
              <w:pStyle w:val="12"/>
              <w:spacing w:line="360" w:lineRule="auto"/>
              <w:rPr>
                <w:rFonts w:hint="eastAsia" w:ascii="宋体" w:hAnsi="宋体"/>
                <w:color w:val="auto"/>
                <w:szCs w:val="21"/>
                <w:highlight w:val="none"/>
              </w:rPr>
            </w:pPr>
            <w:r>
              <w:rPr>
                <w:rFonts w:hint="eastAsia" w:ascii="宋体" w:hAnsi="宋体"/>
                <w:color w:val="auto"/>
                <w:szCs w:val="21"/>
                <w:highlight w:val="none"/>
              </w:rPr>
              <w:t>不允许分包</w:t>
            </w:r>
          </w:p>
        </w:tc>
      </w:tr>
      <w:tr w14:paraId="63E37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0"/>
            <w:vAlign w:val="center"/>
          </w:tcPr>
          <w:p w14:paraId="0B609DE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p>
        </w:tc>
        <w:tc>
          <w:tcPr>
            <w:tcW w:w="7912" w:type="dxa"/>
            <w:noWrap w:val="0"/>
            <w:vAlign w:val="center"/>
          </w:tcPr>
          <w:p w14:paraId="6659AE87">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资格证明文件</w:t>
            </w:r>
          </w:p>
          <w:p w14:paraId="2D542D1D">
            <w:pPr>
              <w:numPr>
                <w:ilvl w:val="0"/>
                <w:numId w:val="1"/>
              </w:num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磋商供应商为法人或者其他组织的，提供营业执照等证明文件（如营业执照或者事业单位法人证书或者</w:t>
            </w:r>
            <w:r>
              <w:rPr>
                <w:rStyle w:val="48"/>
                <w:rFonts w:hint="eastAsia"/>
                <w:color w:val="auto"/>
                <w:sz w:val="21"/>
                <w:szCs w:val="21"/>
                <w:highlight w:val="none"/>
              </w:rPr>
              <w:t>执业许可证</w:t>
            </w:r>
            <w:r>
              <w:rPr>
                <w:rFonts w:hint="eastAsia" w:ascii="宋体" w:hAnsi="宋体" w:cs="宋体"/>
                <w:color w:val="auto"/>
                <w:szCs w:val="21"/>
                <w:highlight w:val="none"/>
              </w:rPr>
              <w:t>等）；（</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6DC3E468">
            <w:pPr>
              <w:numPr>
                <w:ilvl w:val="0"/>
                <w:numId w:val="1"/>
              </w:num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磋商供应商依法缴纳税收的相关材料（</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rPr>
              <w:t>月至</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rPr>
              <w:t>月的</w:t>
            </w:r>
            <w:r>
              <w:rPr>
                <w:rFonts w:hint="eastAsia" w:ascii="宋体" w:hAnsi="宋体" w:cs="宋体"/>
                <w:color w:val="auto"/>
                <w:szCs w:val="21"/>
                <w:highlight w:val="none"/>
                <w:lang w:val="en-US" w:eastAsia="zh-CN"/>
              </w:rPr>
              <w:t>任意一个月的</w:t>
            </w:r>
            <w:r>
              <w:rPr>
                <w:rFonts w:hint="eastAsia" w:ascii="宋体" w:hAnsi="宋体" w:cs="宋体"/>
                <w:color w:val="auto"/>
                <w:szCs w:val="21"/>
                <w:highlight w:val="none"/>
              </w:rPr>
              <w:t>依法缴纳税收的凭据复印件；依法免税的供应商，必须提供相应文件证明其依法免税。从取得营业执照时间起到竞标文件提交截止时间为止不足要求月数的，只需提供从取得营业执照起的依法缴纳税收相应证明文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7D22E899">
            <w:pPr>
              <w:numPr>
                <w:ilvl w:val="0"/>
                <w:numId w:val="1"/>
              </w:num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磋商供应商依法缴纳社会保障资金的相关材料[</w:t>
            </w:r>
            <w:r>
              <w:rPr>
                <w:rFonts w:hint="eastAsia" w:ascii="宋体" w:hAnsi="宋体" w:cs="宋体"/>
                <w:color w:val="auto"/>
                <w:szCs w:val="21"/>
                <w:highlight w:val="none"/>
                <w:u w:val="single"/>
                <w:lang w:eastAsia="zh-CN"/>
              </w:rPr>
              <w:t>2025年</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lang w:eastAsia="zh-CN"/>
              </w:rPr>
              <w:t xml:space="preserve">月至2025 年 </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rPr>
              <w:t>的</w:t>
            </w:r>
            <w:r>
              <w:rPr>
                <w:rFonts w:hint="eastAsia" w:ascii="宋体" w:hAnsi="宋体" w:cs="宋体"/>
                <w:color w:val="auto"/>
                <w:szCs w:val="21"/>
                <w:highlight w:val="none"/>
                <w:lang w:val="en-US" w:eastAsia="zh-CN"/>
              </w:rPr>
              <w:t>任意一个月的</w:t>
            </w:r>
            <w:r>
              <w:rPr>
                <w:rFonts w:hint="eastAsia" w:ascii="宋体" w:hAnsi="宋体" w:cs="宋体"/>
                <w:color w:val="auto"/>
                <w:szCs w:val="21"/>
                <w:highlight w:val="none"/>
              </w:rPr>
              <w:t>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7A9E8E3A">
            <w:pPr>
              <w:numPr>
                <w:ilvl w:val="0"/>
                <w:numId w:val="1"/>
              </w:num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磋商供应商财务状况报告</w:t>
            </w:r>
            <w:r>
              <w:rPr>
                <w:rFonts w:hint="eastAsia" w:ascii="宋体" w:hAnsi="宋体" w:cs="宋体"/>
                <w:color w:val="auto"/>
                <w:szCs w:val="21"/>
                <w:highlight w:val="none"/>
                <w:lang w:val="en-US" w:eastAsia="zh-CN"/>
              </w:rPr>
              <w:t>或财务报表</w:t>
            </w:r>
            <w:r>
              <w:rPr>
                <w:rFonts w:hint="eastAsia" w:ascii="宋体" w:hAnsi="宋体" w:cs="宋体"/>
                <w:color w:val="auto"/>
                <w:szCs w:val="21"/>
                <w:highlight w:val="none"/>
              </w:rPr>
              <w:t>[供应商是法人的，应提供</w:t>
            </w:r>
            <w:r>
              <w:rPr>
                <w:rFonts w:hint="eastAsia" w:ascii="宋体" w:hAnsi="宋体" w:cs="宋体"/>
                <w:color w:val="auto"/>
                <w:szCs w:val="21"/>
                <w:highlight w:val="none"/>
                <w:u w:val="single"/>
              </w:rPr>
              <w:t xml:space="preserve"> 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年度完整的财务报告（ 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 xml:space="preserve"> 年后新成立的公司应提供公司成立日之后次月起到响应文件递交截止前一个月的财务报表复印件）或者其基本开户银行出具的资信证明；供应商是其他组织或者自然人的，应提供</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年度经审计的财务报告或者银行出具的资信证明]；（</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1DC5CA00">
            <w:pPr>
              <w:numPr>
                <w:ilvl w:val="0"/>
                <w:numId w:val="1"/>
              </w:num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磋商供应商直接控股、管理关系信息表（格式后附）；（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2E7721A4">
            <w:pPr>
              <w:numPr>
                <w:ilvl w:val="0"/>
                <w:numId w:val="1"/>
              </w:numPr>
              <w:snapToGrid w:val="0"/>
              <w:rPr>
                <w:rFonts w:hint="default" w:eastAsia="宋体"/>
                <w:color w:val="auto"/>
                <w:lang w:val="en-US" w:eastAsia="zh-CN"/>
              </w:rPr>
            </w:pPr>
            <w:r>
              <w:rPr>
                <w:rFonts w:hint="eastAsia" w:ascii="宋体" w:hAnsi="宋体" w:cs="宋体"/>
                <w:color w:val="auto"/>
                <w:szCs w:val="21"/>
                <w:highlight w:val="none"/>
              </w:rPr>
              <w:t>竞标声明（格式后附）；（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26F45B83">
            <w:pPr>
              <w:numPr>
                <w:ilvl w:val="0"/>
                <w:numId w:val="1"/>
              </w:numPr>
              <w:snapToGrid w:val="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磋商保证金提交凭证；</w:t>
            </w:r>
            <w:r>
              <w:rPr>
                <w:rFonts w:hint="eastAsia" w:ascii="宋体" w:hAnsi="宋体" w:eastAsia="宋体" w:cs="宋体"/>
                <w:b/>
                <w:bCs/>
                <w:color w:val="auto"/>
                <w:szCs w:val="21"/>
                <w:highlight w:val="none"/>
              </w:rPr>
              <w:t>（必须提供，</w:t>
            </w:r>
            <w:r>
              <w:rPr>
                <w:rFonts w:hint="eastAsia" w:ascii="宋体" w:hAnsi="宋体" w:cs="宋体"/>
                <w:b/>
                <w:color w:val="auto"/>
                <w:szCs w:val="21"/>
                <w:highlight w:val="none"/>
              </w:rPr>
              <w:t>否则作无效投标处理</w:t>
            </w:r>
            <w:r>
              <w:rPr>
                <w:rFonts w:hint="eastAsia" w:ascii="宋体" w:hAnsi="宋体" w:eastAsia="宋体" w:cs="宋体"/>
                <w:b/>
                <w:bCs/>
                <w:color w:val="auto"/>
                <w:szCs w:val="21"/>
                <w:highlight w:val="none"/>
              </w:rPr>
              <w:t>）</w:t>
            </w:r>
          </w:p>
          <w:p w14:paraId="39A0C52A">
            <w:pPr>
              <w:numPr>
                <w:ilvl w:val="0"/>
                <w:numId w:val="1"/>
              </w:numPr>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中小企业声明函</w:t>
            </w:r>
            <w:r>
              <w:rPr>
                <w:rFonts w:hint="eastAsia" w:ascii="宋体" w:hAnsi="宋体" w:cs="宋体"/>
                <w:color w:val="auto"/>
                <w:szCs w:val="21"/>
                <w:highlight w:val="none"/>
              </w:rPr>
              <w:t>（格式后附）；（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3F3411D7">
            <w:pPr>
              <w:numPr>
                <w:ilvl w:val="0"/>
                <w:numId w:val="1"/>
              </w:num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除招标文件规定必须提供以外，磋商供应商认为需要提供的其他证明材料。</w:t>
            </w:r>
          </w:p>
          <w:p w14:paraId="4C2FB8FE">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注：</w:t>
            </w:r>
          </w:p>
          <w:p w14:paraId="4F0B2CF4">
            <w:pPr>
              <w:snapToGrid w:val="0"/>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1.以上标明“必须提供”的材料属于复印件的，必须加盖供应商公章，否则响应文件按无效响应处理。</w:t>
            </w:r>
          </w:p>
          <w:p w14:paraId="74B82DAE">
            <w:pPr>
              <w:snapToGrid w:val="0"/>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2.竞标声明必须由法定代表人在规定签章处签字并加盖供应商公章，否则响应文件按无效响应处理。</w:t>
            </w:r>
          </w:p>
          <w:p w14:paraId="3B6B4BCC">
            <w:pPr>
              <w:pStyle w:val="12"/>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3.供应商直接控股、管理关系信息表必须由法定代表人或者委托代理人在规定签章处签字并加盖供应商公章，否则响应文件按无效响应处理</w:t>
            </w:r>
            <w:r>
              <w:rPr>
                <w:rFonts w:hint="eastAsia" w:ascii="宋体" w:hAnsi="宋体"/>
                <w:b/>
                <w:bCs/>
                <w:color w:val="auto"/>
                <w:szCs w:val="21"/>
                <w:highlight w:val="none"/>
              </w:rPr>
              <w:t>。</w:t>
            </w:r>
          </w:p>
        </w:tc>
      </w:tr>
      <w:tr w14:paraId="4A29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0"/>
            <w:vAlign w:val="center"/>
          </w:tcPr>
          <w:p w14:paraId="06D54D1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w:t>
            </w:r>
            <w:r>
              <w:rPr>
                <w:rFonts w:ascii="宋体" w:hAnsi="宋体" w:cs="宋体"/>
                <w:color w:val="auto"/>
                <w:szCs w:val="21"/>
                <w:highlight w:val="none"/>
              </w:rPr>
              <w:t>2</w:t>
            </w:r>
          </w:p>
        </w:tc>
        <w:tc>
          <w:tcPr>
            <w:tcW w:w="7912" w:type="dxa"/>
            <w:noWrap w:val="0"/>
            <w:vAlign w:val="center"/>
          </w:tcPr>
          <w:p w14:paraId="52780B86">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报价商务技术文件</w:t>
            </w:r>
          </w:p>
          <w:p w14:paraId="29D5F6F8">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0BFF14C">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2.竞标报价表（格式后附）；（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22EE5B6">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3.法定代表人身份证明书及法定代表人有效身份证正反面复印件（格式后附）；（</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F74882C">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cs="宋体"/>
                <w:b/>
                <w:color w:val="auto"/>
                <w:szCs w:val="21"/>
                <w:highlight w:val="none"/>
              </w:rPr>
            </w:pPr>
            <w:r>
              <w:rPr>
                <w:rFonts w:hint="eastAsia" w:ascii="宋体" w:hAnsi="宋体" w:cs="宋体"/>
                <w:color w:val="auto"/>
                <w:szCs w:val="21"/>
                <w:highlight w:val="none"/>
              </w:rPr>
              <w:t>4.授权委托书及委托代理人有效身份证正反面复印件（格式后附）；（</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2423C83F">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5.商务要求偏离表（格式后附）；（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B1D77E9">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lang w:eastAsia="zh-CN"/>
              </w:rPr>
              <w:t>服务方案</w:t>
            </w:r>
            <w:r>
              <w:rPr>
                <w:rFonts w:hint="eastAsia" w:ascii="宋体" w:hAnsi="宋体" w:eastAsia="宋体" w:cs="宋体"/>
                <w:color w:val="auto"/>
                <w:szCs w:val="21"/>
                <w:highlight w:val="none"/>
              </w:rPr>
              <w:t>（由</w:t>
            </w:r>
            <w:r>
              <w:rPr>
                <w:rFonts w:hint="eastAsia"/>
                <w:color w:val="auto"/>
                <w:highlight w:val="none"/>
              </w:rPr>
              <w:t>供应商自行编制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FE10E52">
            <w:pPr>
              <w:keepNext w:val="0"/>
              <w:keepLines w:val="0"/>
              <w:pageBreakBefore w:val="0"/>
              <w:kinsoku/>
              <w:wordWrap/>
              <w:overflowPunct/>
              <w:topLinePunct w:val="0"/>
              <w:autoSpaceDE/>
              <w:autoSpaceDN/>
              <w:bidi w:val="0"/>
              <w:adjustRightInd/>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7.技术要求偏离表（格式后附）；（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28BCF51">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Cs w:val="21"/>
                <w:highlight w:val="none"/>
              </w:rPr>
            </w:pPr>
            <w:r>
              <w:rPr>
                <w:rFonts w:hint="eastAsia"/>
                <w:color w:val="auto"/>
                <w:highlight w:val="none"/>
              </w:rPr>
              <w:t>8</w:t>
            </w:r>
            <w:r>
              <w:rPr>
                <w:rFonts w:hint="eastAsia" w:ascii="宋体" w:hAnsi="宋体" w:eastAsia="宋体" w:cs="宋体"/>
                <w:color w:val="auto"/>
                <w:szCs w:val="21"/>
                <w:highlight w:val="none"/>
              </w:rPr>
              <w:t>.</w:t>
            </w:r>
            <w:r>
              <w:rPr>
                <w:rFonts w:hint="eastAsia" w:ascii="Times New Roman" w:hAnsi="Times New Roman" w:eastAsia="宋体" w:cs="Times New Roman"/>
                <w:color w:val="auto"/>
                <w:highlight w:val="none"/>
              </w:rPr>
              <w:t>保障方案</w:t>
            </w:r>
            <w:r>
              <w:rPr>
                <w:rFonts w:hint="eastAsia" w:ascii="宋体" w:hAnsi="宋体" w:eastAsia="宋体" w:cs="宋体"/>
                <w:color w:val="auto"/>
                <w:szCs w:val="21"/>
                <w:highlight w:val="none"/>
              </w:rPr>
              <w:t>（由</w:t>
            </w:r>
            <w:r>
              <w:rPr>
                <w:rFonts w:hint="eastAsia"/>
                <w:color w:val="auto"/>
                <w:highlight w:val="none"/>
              </w:rPr>
              <w:t>供应商自行编制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B7A969B">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cs="宋体"/>
                <w:b/>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项目实施人员一览表（格式自拟）；</w:t>
            </w:r>
          </w:p>
          <w:p w14:paraId="1A025A09">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.对应采购需求的技术要求、商务要求提供的其他文件资料（格式自拟）；</w:t>
            </w:r>
          </w:p>
          <w:p w14:paraId="69A11DAA">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.供应商认为需要提供的其他有关资料。</w:t>
            </w:r>
          </w:p>
          <w:p w14:paraId="037C5EDD">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注：以上标明“必须提供”的材料属于复印件的，必须加盖供应商公章，否则响应文件按无效响应处理。</w:t>
            </w:r>
          </w:p>
        </w:tc>
      </w:tr>
      <w:tr w14:paraId="2DF4A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0"/>
            <w:vAlign w:val="center"/>
          </w:tcPr>
          <w:p w14:paraId="52F90FB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2</w:t>
            </w:r>
          </w:p>
        </w:tc>
        <w:tc>
          <w:tcPr>
            <w:tcW w:w="7912" w:type="dxa"/>
            <w:noWrap w:val="0"/>
            <w:vAlign w:val="center"/>
          </w:tcPr>
          <w:p w14:paraId="1B692F56">
            <w:pPr>
              <w:wordWrap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供应商应准备电子响应文件、以介质存储的数据电文形式的电子备份响应文件二类：</w:t>
            </w:r>
          </w:p>
          <w:p w14:paraId="07669B68">
            <w:pPr>
              <w:wordWrap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1.电子响应文件，电子响应文件按</w:t>
            </w:r>
            <w:r>
              <w:rPr>
                <w:rFonts w:hint="eastAsia" w:ascii="宋体" w:hAnsi="宋体" w:cs="宋体"/>
                <w:color w:val="auto"/>
                <w:szCs w:val="21"/>
                <w:highlight w:val="none"/>
                <w:lang w:eastAsia="zh-CN"/>
              </w:rPr>
              <w:t>采购云</w:t>
            </w:r>
            <w:r>
              <w:rPr>
                <w:rFonts w:hint="eastAsia" w:ascii="宋体" w:hAnsi="宋体" w:cs="宋体"/>
                <w:color w:val="auto"/>
                <w:szCs w:val="21"/>
                <w:highlight w:val="none"/>
              </w:rPr>
              <w:t>平台要求及本竞争性磋商文件要求制作、加密并递交。</w:t>
            </w:r>
          </w:p>
          <w:p w14:paraId="0D873BC2">
            <w:pPr>
              <w:wordWrap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2.以介质存储的数据电文形式的电子备份响应文件，按</w:t>
            </w:r>
            <w:r>
              <w:rPr>
                <w:rFonts w:hint="eastAsia" w:ascii="宋体" w:hAnsi="宋体" w:cs="宋体"/>
                <w:color w:val="auto"/>
                <w:szCs w:val="21"/>
                <w:highlight w:val="none"/>
                <w:lang w:eastAsia="zh-CN"/>
              </w:rPr>
              <w:t>采购云</w:t>
            </w:r>
            <w:r>
              <w:rPr>
                <w:rFonts w:hint="eastAsia" w:ascii="宋体" w:hAnsi="宋体" w:cs="宋体"/>
                <w:color w:val="auto"/>
                <w:szCs w:val="21"/>
                <w:highlight w:val="none"/>
              </w:rPr>
              <w:t>平台项目采购-电子招投标操作指南中上传的电子响应文件格式，以DVD光盘或者U盘等形式提供。数量为1份。</w:t>
            </w:r>
          </w:p>
          <w:p w14:paraId="068FC689">
            <w:pPr>
              <w:wordWrap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3.响应文件启用顺序和效力：响应文件的启用，按先后顺位分别为电子响应文件、以介质存储的数据电文形式的电子备份响应文件。顺位在先的响应文件已按时解密的，下一顺位响应文件自动失效。在下一顺位的响应文件启用时，前一顺位的响应文件自动失效。</w:t>
            </w:r>
          </w:p>
          <w:p w14:paraId="5B4B4F79">
            <w:pPr>
              <w:wordWrap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▲未传输递交电子响应文件的，竞标无效。</w:t>
            </w:r>
          </w:p>
          <w:p w14:paraId="1F40BC94">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s="宋体"/>
                <w:color w:val="auto"/>
                <w:szCs w:val="21"/>
                <w:highlight w:val="none"/>
              </w:rPr>
              <w:t>▲未按规定提供相应的备份响应文件，造成项目开评标活动无法进行下去的，竞标无效。</w:t>
            </w:r>
          </w:p>
        </w:tc>
      </w:tr>
      <w:tr w14:paraId="6F2D7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0"/>
            <w:vAlign w:val="center"/>
          </w:tcPr>
          <w:p w14:paraId="69D00C6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15.2</w:t>
            </w:r>
          </w:p>
        </w:tc>
        <w:tc>
          <w:tcPr>
            <w:tcW w:w="7912" w:type="dxa"/>
            <w:noWrap w:val="0"/>
            <w:vAlign w:val="center"/>
          </w:tcPr>
          <w:p w14:paraId="77E40637">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竞标报价是履行合同的最终价格，即服务年限内完成本项目的人工费和所需的</w:t>
            </w:r>
            <w:r>
              <w:rPr>
                <w:rFonts w:hint="eastAsia" w:ascii="宋体" w:hAnsi="宋体" w:cs="宋体"/>
                <w:color w:val="auto"/>
                <w:szCs w:val="21"/>
                <w:highlight w:val="none"/>
                <w:lang w:eastAsia="zh-CN"/>
              </w:rPr>
              <w:t>现场勘察</w:t>
            </w:r>
            <w:r>
              <w:rPr>
                <w:rFonts w:hint="eastAsia" w:ascii="宋体" w:hAnsi="宋体" w:cs="宋体"/>
                <w:color w:val="auto"/>
                <w:szCs w:val="21"/>
                <w:highlight w:val="none"/>
              </w:rPr>
              <w:t>、</w:t>
            </w:r>
            <w:r>
              <w:rPr>
                <w:rFonts w:hint="eastAsia" w:ascii="宋体" w:hAnsi="宋体" w:cs="宋体"/>
                <w:color w:val="auto"/>
                <w:szCs w:val="21"/>
                <w:highlight w:val="none"/>
                <w:lang w:eastAsia="zh-CN"/>
              </w:rPr>
              <w:t>效果制作、技术支持、</w:t>
            </w:r>
            <w:r>
              <w:rPr>
                <w:rFonts w:hint="eastAsia" w:ascii="宋体" w:hAnsi="宋体" w:cs="宋体"/>
                <w:color w:val="auto"/>
                <w:szCs w:val="21"/>
                <w:highlight w:val="none"/>
              </w:rPr>
              <w:t>设备、运输、材料费用，利润、应缴税费、保险以及服务合同包含的所有风险、责任等各项应有费用的全包价。</w:t>
            </w:r>
          </w:p>
        </w:tc>
      </w:tr>
      <w:tr w14:paraId="2FE60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92" w:type="dxa"/>
            <w:noWrap w:val="0"/>
            <w:vAlign w:val="center"/>
          </w:tcPr>
          <w:p w14:paraId="51EE869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16.</w:t>
            </w:r>
            <w:r>
              <w:rPr>
                <w:rFonts w:ascii="宋体" w:hAnsi="宋体" w:cs="宋体"/>
                <w:color w:val="auto"/>
                <w:szCs w:val="21"/>
                <w:highlight w:val="none"/>
              </w:rPr>
              <w:t>2</w:t>
            </w:r>
          </w:p>
        </w:tc>
        <w:tc>
          <w:tcPr>
            <w:tcW w:w="7912" w:type="dxa"/>
            <w:noWrap w:val="0"/>
            <w:vAlign w:val="center"/>
          </w:tcPr>
          <w:p w14:paraId="0DAE9A9D">
            <w:pPr>
              <w:rPr>
                <w:rFonts w:hint="eastAsia"/>
                <w:color w:val="auto"/>
                <w:highlight w:val="none"/>
              </w:rPr>
            </w:pPr>
            <w:r>
              <w:rPr>
                <w:rFonts w:hint="eastAsia" w:ascii="宋体" w:hAnsi="宋体" w:cs="宋体"/>
                <w:color w:val="auto"/>
                <w:szCs w:val="21"/>
                <w:highlight w:val="none"/>
              </w:rPr>
              <w:t>竞标有效期：</w:t>
            </w:r>
            <w:r>
              <w:rPr>
                <w:rStyle w:val="49"/>
                <w:rFonts w:hint="eastAsia" w:ascii="宋体" w:hAnsi="宋体"/>
                <w:color w:val="auto"/>
                <w:highlight w:val="none"/>
              </w:rPr>
              <w:t>60天</w:t>
            </w:r>
          </w:p>
        </w:tc>
      </w:tr>
      <w:tr w14:paraId="21081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0"/>
            <w:vAlign w:val="center"/>
          </w:tcPr>
          <w:p w14:paraId="0ECEE57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17.1</w:t>
            </w:r>
          </w:p>
        </w:tc>
        <w:tc>
          <w:tcPr>
            <w:tcW w:w="7912" w:type="dxa"/>
            <w:noWrap w:val="0"/>
            <w:vAlign w:val="center"/>
          </w:tcPr>
          <w:p w14:paraId="52563780">
            <w:pPr>
              <w:autoSpaceDE w:val="0"/>
              <w:autoSpaceDN w:val="0"/>
              <w:snapToGrid w:val="0"/>
              <w:spacing w:line="360" w:lineRule="auto"/>
              <w:textAlignment w:val="bottom"/>
              <w:rPr>
                <w:rFonts w:hint="eastAsia" w:ascii="宋体" w:hAnsi="宋体"/>
                <w:color w:val="auto"/>
                <w:szCs w:val="21"/>
              </w:rPr>
            </w:pPr>
            <w:r>
              <w:rPr>
                <w:rFonts w:hint="eastAsia" w:ascii="宋体" w:hAnsi="宋体"/>
                <w:color w:val="auto"/>
                <w:szCs w:val="21"/>
              </w:rPr>
              <w:t>本项目收取磋商保证金</w:t>
            </w:r>
            <w:r>
              <w:rPr>
                <w:rFonts w:hint="eastAsia" w:ascii="宋体" w:hAnsi="宋体"/>
                <w:color w:val="auto"/>
                <w:szCs w:val="21"/>
                <w:lang w:eastAsia="zh-CN"/>
              </w:rPr>
              <w:t>：</w:t>
            </w:r>
            <w:r>
              <w:rPr>
                <w:rFonts w:hint="eastAsia" w:ascii="宋体" w:hAnsi="宋体"/>
                <w:color w:val="auto"/>
                <w:szCs w:val="21"/>
                <w:lang w:val="en-US" w:eastAsia="zh-CN"/>
              </w:rPr>
              <w:t>5000元</w:t>
            </w:r>
            <w:r>
              <w:rPr>
                <w:rFonts w:hint="eastAsia" w:ascii="宋体" w:hAnsi="宋体"/>
                <w:color w:val="auto"/>
                <w:szCs w:val="21"/>
              </w:rPr>
              <w:t>。</w:t>
            </w:r>
          </w:p>
          <w:p w14:paraId="760BF7FD">
            <w:pPr>
              <w:snapToGrid w:val="0"/>
              <w:spacing w:line="360" w:lineRule="auto"/>
              <w:rPr>
                <w:rFonts w:hint="eastAsia" w:ascii="宋体" w:hAnsi="宋体"/>
                <w:color w:val="auto"/>
                <w:szCs w:val="21"/>
                <w:highlight w:val="none"/>
              </w:rPr>
            </w:pPr>
            <w:r>
              <w:rPr>
                <w:rFonts w:hint="eastAsia" w:ascii="宋体" w:hAnsi="宋体" w:cs="宋体"/>
                <w:color w:val="auto"/>
                <w:kern w:val="0"/>
                <w:szCs w:val="21"/>
                <w:highlight w:val="none"/>
              </w:rPr>
              <w:t>磋商保证金的交纳方式：银行转账、支票、汇票、本票或者金融、担保机构出具的保函，禁止采用现钞方式。采用银行转账方式的，在响应文件提交截止时间前交至指定账户并且到账（开户银行：</w:t>
            </w:r>
            <w:r>
              <w:rPr>
                <w:rFonts w:hint="eastAsia" w:ascii="宋体" w:hAnsi="宋体" w:cs="宋体"/>
                <w:color w:val="auto"/>
                <w:kern w:val="0"/>
                <w:szCs w:val="21"/>
                <w:highlight w:val="none"/>
                <w:u w:val="single"/>
              </w:rPr>
              <w:t xml:space="preserve">   交通银行钦州分行 </w:t>
            </w:r>
            <w:r>
              <w:rPr>
                <w:rFonts w:hint="eastAsia" w:ascii="宋体" w:hAnsi="宋体" w:cs="宋体"/>
                <w:color w:val="auto"/>
                <w:kern w:val="0"/>
                <w:szCs w:val="21"/>
                <w:highlight w:val="none"/>
              </w:rPr>
              <w:t>，开户名称：</w:t>
            </w:r>
            <w:r>
              <w:rPr>
                <w:rFonts w:hint="eastAsia" w:ascii="宋体" w:hAnsi="宋体" w:cs="宋体"/>
                <w:color w:val="auto"/>
                <w:kern w:val="0"/>
                <w:szCs w:val="21"/>
                <w:highlight w:val="none"/>
                <w:u w:val="single"/>
              </w:rPr>
              <w:t xml:space="preserve">  广西翔正项目管理有限公司钦州分公司  </w:t>
            </w:r>
            <w:r>
              <w:rPr>
                <w:rFonts w:hint="eastAsia" w:ascii="宋体" w:hAnsi="宋体" w:cs="宋体"/>
                <w:color w:val="auto"/>
                <w:kern w:val="0"/>
                <w:szCs w:val="21"/>
                <w:highlight w:val="none"/>
              </w:rPr>
              <w:t>，银行账号：</w:t>
            </w:r>
            <w:r>
              <w:rPr>
                <w:rFonts w:hint="eastAsia" w:ascii="宋体" w:hAnsi="宋体" w:cs="宋体"/>
                <w:color w:val="auto"/>
                <w:kern w:val="0"/>
                <w:szCs w:val="21"/>
                <w:highlight w:val="none"/>
                <w:u w:val="single"/>
              </w:rPr>
              <w:t xml:space="preserve"> 7178 9999 1013 0000 45281  </w:t>
            </w:r>
            <w:r>
              <w:rPr>
                <w:rFonts w:hint="eastAsia" w:ascii="宋体" w:hAnsi="宋体" w:cs="宋体"/>
                <w:color w:val="auto"/>
                <w:kern w:val="0"/>
                <w:szCs w:val="21"/>
                <w:highlight w:val="none"/>
              </w:rPr>
              <w:t>）；采用支票、汇票、本票或者保函等方式的，在响应文件提交截止时间前，供应商必须提交支票、汇票、本票或者保函原件。否则视为无效磋商保证金。</w:t>
            </w:r>
          </w:p>
          <w:p w14:paraId="12232801">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相关要求：</w:t>
            </w:r>
          </w:p>
          <w:p w14:paraId="32A88116">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1.磋商保证金采用银行转账交纳方式的，在响应文件提交截止时间前交至指定账户并且到账，供应商应将银行转账底单的复印件作为磋商保证金提交凭证，放置于</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文件资格审查部分中</w:t>
            </w:r>
            <w:r>
              <w:rPr>
                <w:rFonts w:hint="eastAsia" w:ascii="宋体" w:hAnsi="宋体" w:cs="宋体"/>
                <w:color w:val="auto"/>
                <w:szCs w:val="21"/>
                <w:highlight w:val="none"/>
              </w:rPr>
              <w:t>，</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634D4B4C">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2.磋商保证金采用支票、汇票、本票或者金融、担保机构出具的保函交纳方式的，供应商应将支票、汇票、本票或者金融、担保机构出具的保函的复印件作为磋商保证金提交凭证，放置于</w:t>
            </w:r>
            <w:r>
              <w:rPr>
                <w:rFonts w:hint="eastAsia" w:ascii="宋体" w:hAnsi="宋体" w:eastAsia="宋体" w:cs="宋体"/>
                <w:color w:val="auto"/>
                <w:szCs w:val="21"/>
                <w:highlight w:val="none"/>
                <w:lang w:eastAsia="zh-CN"/>
              </w:rPr>
              <w:t>响</w:t>
            </w:r>
            <w:r>
              <w:rPr>
                <w:rFonts w:hint="eastAsia" w:ascii="宋体" w:hAnsi="宋体" w:eastAsia="宋体" w:cs="Times New Roman"/>
                <w:color w:val="auto"/>
                <w:szCs w:val="21"/>
                <w:highlight w:val="none"/>
                <w:lang w:eastAsia="zh-CN"/>
              </w:rPr>
              <w:t>应</w:t>
            </w:r>
            <w:r>
              <w:rPr>
                <w:rFonts w:hint="eastAsia" w:ascii="宋体" w:hAnsi="宋体" w:eastAsia="宋体" w:cs="Times New Roman"/>
                <w:color w:val="auto"/>
                <w:szCs w:val="21"/>
                <w:highlight w:val="none"/>
              </w:rPr>
              <w:t>文件资格审查部分中</w:t>
            </w:r>
            <w:r>
              <w:rPr>
                <w:rFonts w:hint="eastAsia" w:ascii="宋体" w:hAnsi="宋体"/>
                <w:color w:val="auto"/>
                <w:szCs w:val="21"/>
                <w:highlight w:val="none"/>
              </w:rPr>
              <w:t>，</w:t>
            </w:r>
            <w:r>
              <w:rPr>
                <w:rFonts w:hint="eastAsia" w:ascii="宋体" w:hAnsi="宋体" w:cs="宋体"/>
                <w:b/>
                <w:color w:val="auto"/>
                <w:szCs w:val="21"/>
                <w:highlight w:val="none"/>
              </w:rPr>
              <w:t>否则响应文件按无效处理</w:t>
            </w:r>
            <w:r>
              <w:rPr>
                <w:rFonts w:hint="eastAsia" w:ascii="宋体" w:hAnsi="宋体"/>
                <w:color w:val="auto"/>
                <w:szCs w:val="21"/>
                <w:highlight w:val="none"/>
              </w:rPr>
              <w:t>。供应商必</w:t>
            </w:r>
            <w:r>
              <w:rPr>
                <w:rFonts w:hint="eastAsia" w:ascii="宋体" w:hAnsi="宋体" w:eastAsia="宋体" w:cs="Times New Roman"/>
                <w:color w:val="auto"/>
                <w:szCs w:val="21"/>
                <w:highlight w:val="none"/>
              </w:rPr>
              <w:t>须在响应文件提交截止时间前将支票、汇票、本票或者金融、</w:t>
            </w:r>
            <w:r>
              <w:rPr>
                <w:rFonts w:hint="eastAsia" w:ascii="宋体" w:hAnsi="宋体"/>
                <w:color w:val="auto"/>
                <w:szCs w:val="21"/>
                <w:highlight w:val="none"/>
              </w:rPr>
              <w:t>担保机构出具的保函原件提交给采购人或者采购代理机构，由采购人或者采购代理机构向供应商出具回执，并妥善保管。</w:t>
            </w:r>
          </w:p>
          <w:p w14:paraId="45D007F9">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 xml:space="preserve">备注： </w:t>
            </w:r>
          </w:p>
          <w:p w14:paraId="709D13B4">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1.磋商保证金在响应文件提交截止时间后提交的，或者不按规定交纳方式交纳的，或者未足额交纳的（包含保函额度不足的），视为无效磋商保证金。</w:t>
            </w:r>
          </w:p>
          <w:p w14:paraId="3E223C02">
            <w:pPr>
              <w:snapToGrid w:val="0"/>
              <w:spacing w:line="360" w:lineRule="auto"/>
              <w:rPr>
                <w:rFonts w:hint="eastAsia" w:ascii="宋体" w:hAnsi="宋体" w:eastAsia="宋体" w:cs="宋体"/>
                <w:b/>
                <w:color w:val="auto"/>
                <w:szCs w:val="21"/>
                <w:highlight w:val="none"/>
              </w:rPr>
            </w:pPr>
            <w:r>
              <w:rPr>
                <w:rFonts w:hint="eastAsia" w:ascii="宋体" w:hAnsi="宋体" w:cs="宋体"/>
                <w:b/>
                <w:color w:val="auto"/>
                <w:szCs w:val="21"/>
                <w:highlight w:val="none"/>
              </w:rPr>
              <w:t>2.供应商采用现钞方式或者从个人账户（自然人竞标除外）转出的磋商保证金，视为</w:t>
            </w:r>
            <w:r>
              <w:rPr>
                <w:rFonts w:hint="eastAsia" w:ascii="宋体" w:hAnsi="宋体" w:eastAsia="宋体" w:cs="宋体"/>
                <w:b/>
                <w:color w:val="auto"/>
                <w:szCs w:val="21"/>
                <w:highlight w:val="none"/>
              </w:rPr>
              <w:t>无效磋商保证金。</w:t>
            </w:r>
          </w:p>
          <w:p w14:paraId="2E42F645">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3.支票、汇票或者本票出现无效或者背书情形的，视为无效磋商保证金。</w:t>
            </w:r>
          </w:p>
          <w:p w14:paraId="005D14BA">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4.保函有效期低于竞标有效期的，视为无效磋商保证金。</w:t>
            </w:r>
          </w:p>
          <w:p w14:paraId="7B09A0B3">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eastAsia="宋体" w:cs="宋体"/>
                <w:b/>
                <w:color w:val="auto"/>
                <w:szCs w:val="21"/>
                <w:highlight w:val="none"/>
              </w:rPr>
              <w:t>5.采用金融、担保机构出具保函的，必须为无条件保函，否则视为无效磋商保证金。</w:t>
            </w:r>
          </w:p>
        </w:tc>
      </w:tr>
      <w:tr w14:paraId="2FEAC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0"/>
            <w:vAlign w:val="center"/>
          </w:tcPr>
          <w:p w14:paraId="7753BBC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20.1</w:t>
            </w:r>
          </w:p>
        </w:tc>
        <w:tc>
          <w:tcPr>
            <w:tcW w:w="7912" w:type="dxa"/>
            <w:noWrap w:val="0"/>
            <w:vAlign w:val="center"/>
          </w:tcPr>
          <w:p w14:paraId="41FEC34B">
            <w:pPr>
              <w:keepNext w:val="0"/>
              <w:keepLines w:val="0"/>
              <w:pageBreakBefore w:val="0"/>
              <w:widowControl w:val="0"/>
              <w:kinsoku/>
              <w:overflowPunct/>
              <w:topLinePunct w:val="0"/>
              <w:autoSpaceDE/>
              <w:autoSpaceDN/>
              <w:bidi w:val="0"/>
              <w:adjustRightInd/>
              <w:snapToGrid w:val="0"/>
              <w:spacing w:line="360" w:lineRule="auto"/>
              <w:jc w:val="left"/>
              <w:textAlignment w:val="auto"/>
              <w:rPr>
                <w:rFonts w:hint="eastAsia" w:ascii="宋体" w:hAnsi="宋体" w:cs="宋体"/>
                <w:color w:val="auto"/>
                <w:szCs w:val="21"/>
                <w:highlight w:val="none"/>
                <w:u w:val="single"/>
              </w:rPr>
            </w:pPr>
            <w:r>
              <w:rPr>
                <w:rFonts w:hint="eastAsia" w:ascii="宋体" w:hAnsi="宋体" w:cs="宋体"/>
                <w:color w:val="auto"/>
                <w:szCs w:val="21"/>
                <w:highlight w:val="none"/>
              </w:rPr>
              <w:t>响应文件提交起止时间：</w:t>
            </w:r>
            <w:r>
              <w:rPr>
                <w:rFonts w:hint="eastAsia" w:ascii="宋体" w:hAnsi="宋体" w:cs="宋体"/>
                <w:color w:val="auto"/>
                <w:szCs w:val="21"/>
                <w:highlight w:val="none"/>
                <w:u w:val="single"/>
              </w:rPr>
              <w:t>获取采购文件后</w:t>
            </w:r>
            <w:r>
              <w:rPr>
                <w:rFonts w:hint="eastAsia" w:ascii="宋体" w:hAnsi="宋体" w:eastAsia="宋体" w:cs="宋体"/>
                <w:color w:val="auto"/>
                <w:szCs w:val="21"/>
                <w:highlight w:val="none"/>
                <w:u w:val="single"/>
              </w:rPr>
              <w:t>至202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eastAsia="宋体" w:cs="宋体"/>
                <w:color w:val="auto"/>
                <w:szCs w:val="21"/>
                <w:highlight w:val="none"/>
                <w:u w:val="single"/>
                <w:lang w:val="en-US" w:eastAsia="zh-CN"/>
              </w:rPr>
              <w:t>9</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u w:val="single"/>
                <w:lang w:val="en-US" w:eastAsia="zh-CN"/>
              </w:rPr>
              <w:t>17</w:t>
            </w:r>
            <w:r>
              <w:rPr>
                <w:rFonts w:hint="eastAsia" w:ascii="宋体" w:hAnsi="宋体" w:eastAsia="宋体" w:cs="宋体"/>
                <w:color w:val="auto"/>
                <w:szCs w:val="21"/>
                <w:highlight w:val="none"/>
                <w:u w:val="single"/>
              </w:rPr>
              <w:t>日</w:t>
            </w:r>
            <w:r>
              <w:rPr>
                <w:rFonts w:hint="eastAsia" w:ascii="宋体" w:hAnsi="宋体" w:eastAsia="宋体" w:cs="宋体"/>
                <w:color w:val="auto"/>
                <w:szCs w:val="21"/>
                <w:highlight w:val="none"/>
                <w:u w:val="single"/>
                <w:lang w:val="en-US" w:eastAsia="zh-CN"/>
              </w:rPr>
              <w:t xml:space="preserve"> 9</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30</w:t>
            </w:r>
            <w:r>
              <w:rPr>
                <w:rFonts w:hint="eastAsia" w:ascii="宋体" w:hAnsi="宋体" w:eastAsia="宋体" w:cs="宋体"/>
                <w:color w:val="auto"/>
                <w:szCs w:val="21"/>
                <w:highlight w:val="none"/>
                <w:u w:val="single"/>
              </w:rPr>
              <w:t>（</w:t>
            </w:r>
            <w:r>
              <w:rPr>
                <w:rFonts w:hint="eastAsia" w:ascii="宋体" w:hAnsi="宋体" w:cs="宋体"/>
                <w:bCs/>
                <w:color w:val="auto"/>
                <w:szCs w:val="21"/>
                <w:highlight w:val="none"/>
              </w:rPr>
              <w:t>北京时间）</w:t>
            </w:r>
            <w:r>
              <w:rPr>
                <w:rFonts w:hint="eastAsia" w:ascii="宋体" w:hAnsi="宋体" w:cs="宋体"/>
                <w:color w:val="auto"/>
                <w:szCs w:val="21"/>
                <w:highlight w:val="none"/>
              </w:rPr>
              <w:t>。</w:t>
            </w:r>
          </w:p>
          <w:p w14:paraId="528C19BD">
            <w:pPr>
              <w:keepNext w:val="0"/>
              <w:keepLines w:val="0"/>
              <w:pageBreakBefore w:val="0"/>
              <w:widowControl w:val="0"/>
              <w:kinsoku/>
              <w:overflowPunct/>
              <w:topLinePunct w:val="0"/>
              <w:autoSpaceDE/>
              <w:autoSpaceDN/>
              <w:bidi w:val="0"/>
              <w:adjustRightInd/>
              <w:spacing w:line="360" w:lineRule="auto"/>
              <w:contextualSpacing/>
              <w:jc w:val="left"/>
              <w:textAlignment w:val="auto"/>
              <w:rPr>
                <w:rFonts w:hint="eastAsia" w:ascii="宋体" w:hAnsi="宋体" w:cs="宋体"/>
                <w:color w:val="auto"/>
                <w:szCs w:val="21"/>
                <w:highlight w:val="none"/>
                <w:u w:val="single"/>
              </w:rPr>
            </w:pPr>
            <w:r>
              <w:rPr>
                <w:rFonts w:hint="eastAsia" w:ascii="宋体" w:hAnsi="宋体" w:cs="宋体"/>
                <w:color w:val="auto"/>
                <w:szCs w:val="21"/>
                <w:highlight w:val="none"/>
              </w:rPr>
              <w:t>响应文件提交截止时间：详见竞争性磋商公告。</w:t>
            </w:r>
          </w:p>
          <w:p w14:paraId="55D84662">
            <w:pPr>
              <w:keepNext w:val="0"/>
              <w:keepLines w:val="0"/>
              <w:pageBreakBefore w:val="0"/>
              <w:widowControl w:val="0"/>
              <w:kinsoku/>
              <w:overflowPunct/>
              <w:topLinePunct w:val="0"/>
              <w:autoSpaceDE/>
              <w:autoSpaceDN/>
              <w:bidi w:val="0"/>
              <w:adjustRightInd/>
              <w:spacing w:line="360" w:lineRule="auto"/>
              <w:contextualSpacing/>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响应文件提交地点：详见竞争性磋商公告。</w:t>
            </w:r>
          </w:p>
          <w:p w14:paraId="39B24C5C">
            <w:pPr>
              <w:keepNext w:val="0"/>
              <w:keepLines w:val="0"/>
              <w:pageBreakBefore w:val="0"/>
              <w:widowControl w:val="0"/>
              <w:kinsoku/>
              <w:wordWrap w:val="0"/>
              <w:overflowPunct/>
              <w:topLinePunct w:val="0"/>
              <w:autoSpaceDE/>
              <w:autoSpaceDN/>
              <w:bidi w:val="0"/>
              <w:adjustRightInd/>
              <w:spacing w:line="360" w:lineRule="auto"/>
              <w:textAlignment w:val="auto"/>
              <w:rPr>
                <w:rFonts w:ascii="宋体" w:hAnsi="宋体"/>
                <w:color w:val="auto"/>
                <w:highlight w:val="none"/>
              </w:rPr>
            </w:pPr>
            <w:r>
              <w:rPr>
                <w:rFonts w:hint="eastAsia" w:ascii="宋体" w:hAnsi="宋体"/>
                <w:b/>
                <w:bCs/>
                <w:color w:val="auto"/>
                <w:highlight w:val="none"/>
              </w:rPr>
              <w:t>电子响应文件解密时间：</w:t>
            </w:r>
            <w:r>
              <w:rPr>
                <w:rFonts w:hint="eastAsia" w:ascii="宋体" w:hAnsi="宋体"/>
                <w:color w:val="auto"/>
                <w:highlight w:val="none"/>
              </w:rPr>
              <w:t>首次响应文件提交截止时间后30分钟内，供应商必须在此时间段内登录</w:t>
            </w:r>
            <w:r>
              <w:rPr>
                <w:rFonts w:hint="eastAsia" w:ascii="宋体" w:hAnsi="宋体"/>
                <w:color w:val="auto"/>
                <w:highlight w:val="none"/>
                <w:lang w:eastAsia="zh-CN"/>
              </w:rPr>
              <w:t>采购云</w:t>
            </w:r>
            <w:r>
              <w:rPr>
                <w:rFonts w:hint="eastAsia" w:ascii="宋体" w:hAnsi="宋体"/>
                <w:color w:val="auto"/>
                <w:highlight w:val="none"/>
              </w:rPr>
              <w:t>平台，用“项目采购-开标评标”功能完成电子响应文件的解密。若竞标供应商在规定时间内未按时解密的，视为响应文件撤回。</w:t>
            </w:r>
          </w:p>
          <w:p w14:paraId="676792DB">
            <w:pPr>
              <w:keepNext w:val="0"/>
              <w:keepLines w:val="0"/>
              <w:pageBreakBefore w:val="0"/>
              <w:widowControl w:val="0"/>
              <w:kinsoku/>
              <w:overflowPunct/>
              <w:topLinePunct w:val="0"/>
              <w:autoSpaceDE/>
              <w:autoSpaceDN/>
              <w:bidi w:val="0"/>
              <w:adjustRightInd/>
              <w:spacing w:line="360" w:lineRule="auto"/>
              <w:textAlignment w:val="auto"/>
              <w:rPr>
                <w:rFonts w:hint="eastAsia"/>
                <w:color w:val="auto"/>
                <w:highlight w:val="none"/>
              </w:rPr>
            </w:pPr>
            <w:r>
              <w:rPr>
                <w:rFonts w:hint="eastAsia" w:ascii="宋体" w:hAnsi="宋体"/>
                <w:color w:val="auto"/>
                <w:highlight w:val="none"/>
              </w:rPr>
              <w:t>首次响应文件提交地点：通过</w:t>
            </w:r>
            <w:r>
              <w:rPr>
                <w:rFonts w:hint="eastAsia" w:ascii="宋体" w:hAnsi="宋体"/>
                <w:color w:val="auto"/>
                <w:highlight w:val="none"/>
                <w:lang w:eastAsia="zh-CN"/>
              </w:rPr>
              <w:t>采购云</w:t>
            </w:r>
            <w:r>
              <w:rPr>
                <w:rFonts w:hint="eastAsia" w:ascii="宋体" w:hAnsi="宋体"/>
                <w:color w:val="auto"/>
                <w:highlight w:val="none"/>
              </w:rPr>
              <w:t>平台实行在线竞标。</w:t>
            </w:r>
          </w:p>
        </w:tc>
      </w:tr>
      <w:tr w14:paraId="2C07D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0"/>
            <w:vAlign w:val="center"/>
          </w:tcPr>
          <w:p w14:paraId="5D1A5AB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24.1</w:t>
            </w:r>
          </w:p>
        </w:tc>
        <w:tc>
          <w:tcPr>
            <w:tcW w:w="7912" w:type="dxa"/>
            <w:noWrap w:val="0"/>
            <w:vAlign w:val="center"/>
          </w:tcPr>
          <w:p w14:paraId="0E6D24D4">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磋商小组的人数：</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人。</w:t>
            </w:r>
          </w:p>
        </w:tc>
      </w:tr>
      <w:tr w14:paraId="637A0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92" w:type="dxa"/>
            <w:vMerge w:val="restart"/>
            <w:noWrap w:val="0"/>
            <w:vAlign w:val="center"/>
          </w:tcPr>
          <w:p w14:paraId="429DB28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6.2</w:t>
            </w:r>
          </w:p>
        </w:tc>
        <w:tc>
          <w:tcPr>
            <w:tcW w:w="7912" w:type="dxa"/>
            <w:noWrap w:val="0"/>
            <w:vAlign w:val="center"/>
          </w:tcPr>
          <w:p w14:paraId="31997AC0">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商务要求评审中允许负偏离的条款数为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14:paraId="2B18212E">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技术要求评审中允许负偏离的条款数为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tc>
      </w:tr>
      <w:tr w14:paraId="23583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noWrap w:val="0"/>
            <w:vAlign w:val="center"/>
          </w:tcPr>
          <w:p w14:paraId="455525D3">
            <w:pPr>
              <w:spacing w:line="360" w:lineRule="auto"/>
              <w:jc w:val="center"/>
              <w:rPr>
                <w:rFonts w:hint="eastAsia" w:ascii="宋体" w:hAnsi="宋体" w:cs="宋体"/>
                <w:color w:val="auto"/>
                <w:szCs w:val="21"/>
                <w:highlight w:val="none"/>
              </w:rPr>
            </w:pPr>
          </w:p>
        </w:tc>
        <w:tc>
          <w:tcPr>
            <w:tcW w:w="7912" w:type="dxa"/>
            <w:noWrap w:val="0"/>
            <w:vAlign w:val="center"/>
          </w:tcPr>
          <w:p w14:paraId="7323B84B">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磋商的顺序：</w:t>
            </w:r>
          </w:p>
          <w:p w14:paraId="2C1416F0">
            <w:pPr>
              <w:rPr>
                <w:rFonts w:hint="eastAsia"/>
                <w:color w:val="auto"/>
                <w:highlight w:val="none"/>
              </w:rPr>
            </w:pPr>
            <w:r>
              <w:rPr>
                <w:rFonts w:hint="eastAsia" w:ascii="宋体" w:hAnsi="宋体"/>
                <w:color w:val="auto"/>
                <w:highlight w:val="none"/>
              </w:rPr>
              <w:t>按照首次响应文件的解密顺序。通知磋商时，若磋商过程中某供应商未能按时参加磋商（该供应商排序到最后磋商），按照首次响应文件的解密顺序由其下一位供应商先参与磋商。</w:t>
            </w:r>
          </w:p>
          <w:p w14:paraId="31F822FD">
            <w:pPr>
              <w:snapToGrid w:val="0"/>
              <w:spacing w:line="360" w:lineRule="auto"/>
              <w:jc w:val="left"/>
              <w:rPr>
                <w:rFonts w:hint="eastAsia" w:ascii="宋体" w:hAnsi="宋体" w:cs="宋体"/>
                <w:b/>
                <w:color w:val="auto"/>
                <w:szCs w:val="21"/>
                <w:highlight w:val="none"/>
              </w:rPr>
            </w:pPr>
            <w:r>
              <w:rPr>
                <w:rFonts w:hint="eastAsia" w:ascii="宋体" w:hAnsi="宋体" w:cs="宋体"/>
                <w:color w:val="auto"/>
                <w:szCs w:val="21"/>
                <w:highlight w:val="none"/>
              </w:rPr>
              <w:t>☑随机排序。</w:t>
            </w:r>
          </w:p>
        </w:tc>
      </w:tr>
      <w:tr w14:paraId="52728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0"/>
            <w:vAlign w:val="center"/>
          </w:tcPr>
          <w:p w14:paraId="009D4D59">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28.1</w:t>
            </w:r>
          </w:p>
        </w:tc>
        <w:tc>
          <w:tcPr>
            <w:tcW w:w="7912" w:type="dxa"/>
            <w:noWrap w:val="0"/>
            <w:vAlign w:val="center"/>
          </w:tcPr>
          <w:p w14:paraId="2F48FF21">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本项目</w:t>
            </w:r>
            <w:r>
              <w:rPr>
                <w:rFonts w:hint="eastAsia" w:ascii="宋体" w:hAnsi="宋体"/>
                <w:color w:val="auto"/>
                <w:szCs w:val="21"/>
                <w:highlight w:val="none"/>
                <w:lang w:eastAsia="zh-CN"/>
              </w:rPr>
              <w:t>不</w:t>
            </w:r>
            <w:r>
              <w:rPr>
                <w:rFonts w:hint="eastAsia" w:ascii="宋体" w:hAnsi="宋体"/>
                <w:color w:val="auto"/>
                <w:szCs w:val="21"/>
                <w:highlight w:val="none"/>
              </w:rPr>
              <w:t>收取履约保证金</w:t>
            </w:r>
          </w:p>
        </w:tc>
      </w:tr>
      <w:tr w14:paraId="1D39A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0"/>
            <w:vAlign w:val="center"/>
          </w:tcPr>
          <w:p w14:paraId="3A9C7885">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29.1</w:t>
            </w:r>
          </w:p>
        </w:tc>
        <w:tc>
          <w:tcPr>
            <w:tcW w:w="7912" w:type="dxa"/>
            <w:noWrap w:val="0"/>
            <w:vAlign w:val="center"/>
          </w:tcPr>
          <w:p w14:paraId="70C2F6F2">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 xml:space="preserve">签订合同携带的证明材料： </w:t>
            </w:r>
          </w:p>
          <w:p w14:paraId="340B4384">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14:paraId="1330FE33">
            <w:pPr>
              <w:snapToGrid w:val="0"/>
              <w:spacing w:line="360" w:lineRule="auto"/>
              <w:rPr>
                <w:rFonts w:hint="eastAsia" w:ascii="宋体" w:hAnsi="宋体" w:cs="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14:paraId="2DD71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0"/>
            <w:vAlign w:val="center"/>
          </w:tcPr>
          <w:p w14:paraId="4D0C8F6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1.2</w:t>
            </w:r>
          </w:p>
        </w:tc>
        <w:tc>
          <w:tcPr>
            <w:tcW w:w="7912" w:type="dxa"/>
            <w:noWrap w:val="0"/>
            <w:vAlign w:val="center"/>
          </w:tcPr>
          <w:p w14:paraId="054F31CA">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接收质疑函方式：以书面形式。</w:t>
            </w:r>
          </w:p>
          <w:p w14:paraId="398AB767">
            <w:pPr>
              <w:pStyle w:val="18"/>
              <w:snapToGrid w:val="0"/>
              <w:spacing w:line="360" w:lineRule="auto"/>
              <w:rPr>
                <w:rFonts w:hint="eastAsia" w:hAnsi="宋体" w:cs="宋体"/>
                <w:color w:val="auto"/>
                <w:kern w:val="2"/>
                <w:sz w:val="21"/>
                <w:highlight w:val="none"/>
              </w:rPr>
            </w:pPr>
            <w:r>
              <w:rPr>
                <w:rFonts w:hint="eastAsia" w:hAnsi="宋体" w:cs="宋体"/>
                <w:color w:val="auto"/>
                <w:kern w:val="2"/>
                <w:sz w:val="21"/>
                <w:highlight w:val="none"/>
              </w:rPr>
              <w:t>质疑联系部门及联系方式：</w:t>
            </w:r>
            <w:r>
              <w:rPr>
                <w:rFonts w:hint="eastAsia" w:hAnsi="宋体" w:cs="宋体"/>
                <w:color w:val="auto"/>
                <w:kern w:val="2"/>
                <w:sz w:val="21"/>
                <w:highlight w:val="none"/>
                <w:u w:val="single"/>
              </w:rPr>
              <w:t>广西翔正项目管理有限公司</w:t>
            </w:r>
            <w:r>
              <w:rPr>
                <w:rFonts w:hint="eastAsia" w:hAnsi="宋体" w:cs="宋体"/>
                <w:color w:val="auto"/>
                <w:kern w:val="2"/>
                <w:sz w:val="21"/>
                <w:highlight w:val="none"/>
              </w:rPr>
              <w:t>，联系电话：</w:t>
            </w:r>
            <w:r>
              <w:rPr>
                <w:rFonts w:hint="eastAsia" w:hAnsi="宋体" w:cs="宋体"/>
                <w:color w:val="auto"/>
                <w:kern w:val="2"/>
                <w:sz w:val="21"/>
                <w:highlight w:val="none"/>
                <w:u w:val="single"/>
              </w:rPr>
              <w:t>0777-2839828</w:t>
            </w:r>
            <w:r>
              <w:rPr>
                <w:rFonts w:hint="eastAsia" w:hAnsi="宋体" w:cs="宋体"/>
                <w:color w:val="auto"/>
                <w:kern w:val="2"/>
                <w:sz w:val="21"/>
                <w:highlight w:val="none"/>
              </w:rPr>
              <w:t>，通讯地址：广西翔正项目管理有限公司钦州分公司（钦州市新华路268号江滨豪园10栋</w:t>
            </w:r>
            <w:r>
              <w:rPr>
                <w:rFonts w:hint="eastAsia" w:hAnsi="宋体" w:cs="宋体"/>
                <w:color w:val="auto"/>
                <w:kern w:val="2"/>
                <w:sz w:val="21"/>
                <w:highlight w:val="none"/>
                <w:lang w:val="en-US" w:eastAsia="zh-CN"/>
              </w:rPr>
              <w:t>27</w:t>
            </w:r>
            <w:r>
              <w:rPr>
                <w:rFonts w:hint="eastAsia" w:hAnsi="宋体" w:cs="宋体"/>
                <w:color w:val="auto"/>
                <w:kern w:val="2"/>
                <w:sz w:val="21"/>
                <w:highlight w:val="none"/>
              </w:rPr>
              <w:t>楼</w:t>
            </w:r>
            <w:r>
              <w:rPr>
                <w:rFonts w:hint="eastAsia" w:hAnsi="宋体" w:cs="宋体"/>
                <w:color w:val="auto"/>
                <w:kern w:val="2"/>
                <w:sz w:val="21"/>
                <w:highlight w:val="none"/>
                <w:lang w:val="en-US" w:eastAsia="zh-CN"/>
              </w:rPr>
              <w:t>2703</w:t>
            </w:r>
            <w:r>
              <w:rPr>
                <w:rFonts w:hint="eastAsia" w:hAnsi="宋体" w:cs="宋体"/>
                <w:color w:val="auto"/>
                <w:kern w:val="2"/>
                <w:sz w:val="21"/>
                <w:highlight w:val="none"/>
              </w:rPr>
              <w:t>室）</w:t>
            </w:r>
            <w:r>
              <w:rPr>
                <w:rFonts w:hint="eastAsia" w:hAnsi="宋体" w:cs="宋体"/>
                <w:color w:val="auto"/>
                <w:highlight w:val="none"/>
              </w:rPr>
              <w:t xml:space="preserve"> </w:t>
            </w:r>
          </w:p>
        </w:tc>
      </w:tr>
      <w:tr w14:paraId="14D3D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0"/>
            <w:vAlign w:val="center"/>
          </w:tcPr>
          <w:p w14:paraId="610FA845">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32.1</w:t>
            </w:r>
          </w:p>
        </w:tc>
        <w:tc>
          <w:tcPr>
            <w:tcW w:w="7912" w:type="dxa"/>
            <w:noWrap w:val="0"/>
            <w:vAlign w:val="center"/>
          </w:tcPr>
          <w:p w14:paraId="390E5C1D">
            <w:pPr>
              <w:pStyle w:val="18"/>
              <w:snapToGrid w:val="0"/>
              <w:spacing w:line="360" w:lineRule="auto"/>
              <w:rPr>
                <w:rFonts w:hint="eastAsia" w:hAnsi="宋体" w:cs="宋体"/>
                <w:color w:val="auto"/>
                <w:sz w:val="21"/>
                <w:highlight w:val="none"/>
              </w:rPr>
            </w:pPr>
            <w:r>
              <w:rPr>
                <w:rFonts w:hint="eastAsia" w:hAnsi="宋体" w:cs="宋体"/>
                <w:color w:val="auto"/>
                <w:sz w:val="21"/>
                <w:highlight w:val="none"/>
              </w:rPr>
              <w:t>1.采购代理费支付方式：</w:t>
            </w:r>
          </w:p>
          <w:p w14:paraId="2BEC1E79">
            <w:pPr>
              <w:pStyle w:val="18"/>
              <w:snapToGrid w:val="0"/>
              <w:spacing w:line="360" w:lineRule="auto"/>
              <w:rPr>
                <w:rFonts w:hint="eastAsia" w:hAnsi="宋体" w:cs="宋体"/>
                <w:color w:val="auto"/>
                <w:sz w:val="21"/>
                <w:highlight w:val="none"/>
              </w:rPr>
            </w:pPr>
            <w:r>
              <w:rPr>
                <w:rFonts w:hint="eastAsia" w:hAnsi="宋体" w:cs="宋体"/>
                <w:color w:val="auto"/>
                <w:sz w:val="21"/>
                <w:highlight w:val="none"/>
              </w:rPr>
              <w:t>√本项目代理服务费由</w:t>
            </w:r>
            <w:r>
              <w:rPr>
                <w:rFonts w:hint="eastAsia" w:hAnsi="宋体" w:cs="宋体"/>
                <w:color w:val="auto"/>
                <w:sz w:val="21"/>
                <w:highlight w:val="none"/>
                <w:u w:val="single"/>
              </w:rPr>
              <w:t>成交供应商</w:t>
            </w:r>
            <w:r>
              <w:rPr>
                <w:rFonts w:hint="eastAsia" w:hAnsi="宋体" w:cs="宋体"/>
                <w:color w:val="auto"/>
                <w:sz w:val="21"/>
                <w:highlight w:val="none"/>
              </w:rPr>
              <w:t>领取成交通知书前，一次性向采购代理机构支付。</w:t>
            </w:r>
          </w:p>
          <w:p w14:paraId="5E12015A">
            <w:pPr>
              <w:pStyle w:val="18"/>
              <w:snapToGrid w:val="0"/>
              <w:spacing w:line="360" w:lineRule="auto"/>
              <w:rPr>
                <w:rFonts w:hint="eastAsia" w:hAnsi="宋体" w:cs="宋体"/>
                <w:color w:val="auto"/>
                <w:sz w:val="21"/>
                <w:highlight w:val="none"/>
              </w:rPr>
            </w:pPr>
            <w:r>
              <w:rPr>
                <w:rFonts w:hint="eastAsia" w:hAnsi="宋体" w:cs="宋体"/>
                <w:color w:val="auto"/>
                <w:sz w:val="21"/>
                <w:highlight w:val="none"/>
              </w:rPr>
              <w:t>□采购人支付。</w:t>
            </w:r>
          </w:p>
          <w:p w14:paraId="198D892C">
            <w:pPr>
              <w:pStyle w:val="18"/>
              <w:snapToGrid w:val="0"/>
              <w:spacing w:line="360" w:lineRule="auto"/>
              <w:rPr>
                <w:rFonts w:hint="eastAsia" w:hAnsi="宋体" w:cs="宋体"/>
                <w:color w:val="auto"/>
                <w:sz w:val="21"/>
                <w:highlight w:val="none"/>
              </w:rPr>
            </w:pPr>
            <w:r>
              <w:rPr>
                <w:rFonts w:hint="eastAsia" w:hAnsi="宋体" w:cs="宋体"/>
                <w:color w:val="auto"/>
                <w:sz w:val="21"/>
                <w:highlight w:val="none"/>
              </w:rPr>
              <w:t>□不收取采购代理费。</w:t>
            </w:r>
          </w:p>
          <w:p w14:paraId="5C38AD26">
            <w:pPr>
              <w:pStyle w:val="18"/>
              <w:snapToGrid w:val="0"/>
              <w:spacing w:line="360" w:lineRule="auto"/>
              <w:rPr>
                <w:rFonts w:hint="eastAsia" w:hAnsi="宋体" w:cs="宋体"/>
                <w:color w:val="auto"/>
                <w:sz w:val="21"/>
                <w:highlight w:val="none"/>
              </w:rPr>
            </w:pPr>
            <w:r>
              <w:rPr>
                <w:rFonts w:hint="eastAsia" w:hAnsi="宋体" w:cs="宋体"/>
                <w:color w:val="auto"/>
                <w:sz w:val="21"/>
                <w:highlight w:val="none"/>
              </w:rPr>
              <w:t>2.采购代理费收取标准：</w:t>
            </w:r>
          </w:p>
          <w:p w14:paraId="5500EDA4">
            <w:pPr>
              <w:pStyle w:val="18"/>
              <w:snapToGrid w:val="0"/>
              <w:spacing w:line="360" w:lineRule="auto"/>
              <w:rPr>
                <w:rFonts w:hint="eastAsia" w:hAnsi="宋体" w:cs="宋体"/>
                <w:color w:val="auto"/>
                <w:sz w:val="21"/>
                <w:highlight w:val="none"/>
              </w:rPr>
            </w:pPr>
            <w:r>
              <w:rPr>
                <w:rFonts w:hint="eastAsia" w:hAnsi="宋体" w:cs="宋体"/>
                <w:color w:val="auto"/>
                <w:sz w:val="21"/>
                <w:highlight w:val="none"/>
              </w:rPr>
              <w:t>☑以分标（√成交金额/□采购预算/□暂定成交金额/□其他</w:t>
            </w:r>
            <w:r>
              <w:rPr>
                <w:rFonts w:hint="eastAsia" w:hAnsi="宋体" w:cs="宋体"/>
                <w:color w:val="auto"/>
                <w:sz w:val="21"/>
                <w:highlight w:val="none"/>
                <w:u w:val="single"/>
              </w:rPr>
              <w:t xml:space="preserve"> </w:t>
            </w:r>
            <w:r>
              <w:rPr>
                <w:rFonts w:hAnsi="宋体" w:cs="宋体"/>
                <w:color w:val="auto"/>
                <w:sz w:val="21"/>
                <w:highlight w:val="none"/>
                <w:u w:val="single"/>
              </w:rPr>
              <w:t xml:space="preserve">  </w:t>
            </w:r>
            <w:r>
              <w:rPr>
                <w:rFonts w:hint="eastAsia" w:hAnsi="宋体" w:cs="宋体"/>
                <w:color w:val="auto"/>
                <w:sz w:val="21"/>
                <w:highlight w:val="none"/>
              </w:rPr>
              <w:t>）为计费额，按本须知正文第</w:t>
            </w:r>
            <w:r>
              <w:rPr>
                <w:rFonts w:hAnsi="宋体" w:cs="宋体"/>
                <w:color w:val="auto"/>
                <w:sz w:val="21"/>
                <w:highlight w:val="none"/>
              </w:rPr>
              <w:t>32</w:t>
            </w:r>
            <w:r>
              <w:rPr>
                <w:rFonts w:hint="eastAsia" w:hAnsi="宋体" w:cs="宋体"/>
                <w:color w:val="auto"/>
                <w:sz w:val="21"/>
                <w:highlight w:val="none"/>
              </w:rPr>
              <w:t>.</w:t>
            </w:r>
            <w:r>
              <w:rPr>
                <w:rFonts w:hAnsi="宋体" w:cs="宋体"/>
                <w:color w:val="auto"/>
                <w:sz w:val="21"/>
                <w:highlight w:val="none"/>
              </w:rPr>
              <w:t>2</w:t>
            </w:r>
            <w:r>
              <w:rPr>
                <w:rFonts w:hint="eastAsia" w:hAnsi="宋体" w:cs="宋体"/>
                <w:color w:val="auto"/>
                <w:sz w:val="21"/>
                <w:highlight w:val="none"/>
              </w:rPr>
              <w:t>条规定的收费计算标准（□货物类/√服务类/□工程类）采用差额定率累进法计算出收费基准价格，采购代理收费以（√收费基准价格/□收费基准价格下浮</w:t>
            </w:r>
            <w:r>
              <w:rPr>
                <w:rFonts w:hint="eastAsia" w:hAnsi="宋体" w:cs="宋体"/>
                <w:color w:val="auto"/>
                <w:sz w:val="21"/>
                <w:highlight w:val="none"/>
                <w:u w:val="single"/>
              </w:rPr>
              <w:t xml:space="preserve"> </w:t>
            </w:r>
            <w:r>
              <w:rPr>
                <w:rFonts w:hAnsi="宋体" w:cs="宋体"/>
                <w:color w:val="auto"/>
                <w:sz w:val="21"/>
                <w:highlight w:val="none"/>
                <w:u w:val="single"/>
              </w:rPr>
              <w:t xml:space="preserve"> </w:t>
            </w:r>
            <w:r>
              <w:rPr>
                <w:rFonts w:hint="eastAsia" w:hAnsi="宋体" w:cs="宋体"/>
                <w:color w:val="auto"/>
                <w:sz w:val="21"/>
                <w:highlight w:val="none"/>
                <w:u w:val="single"/>
              </w:rPr>
              <w:t>%</w:t>
            </w:r>
            <w:r>
              <w:rPr>
                <w:rFonts w:hAnsi="宋体" w:cs="宋体"/>
                <w:color w:val="auto"/>
                <w:sz w:val="21"/>
                <w:highlight w:val="none"/>
              </w:rPr>
              <w:t>/</w:t>
            </w:r>
            <w:r>
              <w:rPr>
                <w:rFonts w:hint="eastAsia" w:hAnsi="宋体" w:cs="宋体"/>
                <w:color w:val="auto"/>
                <w:sz w:val="21"/>
                <w:highlight w:val="none"/>
              </w:rPr>
              <w:t>□收费基准价格上浮</w:t>
            </w:r>
            <w:r>
              <w:rPr>
                <w:rFonts w:hint="eastAsia" w:hAnsi="宋体" w:cs="宋体"/>
                <w:color w:val="auto"/>
                <w:sz w:val="21"/>
                <w:highlight w:val="none"/>
                <w:u w:val="single"/>
              </w:rPr>
              <w:t xml:space="preserve"> </w:t>
            </w:r>
            <w:r>
              <w:rPr>
                <w:rFonts w:hAnsi="宋体" w:cs="宋体"/>
                <w:color w:val="auto"/>
                <w:sz w:val="21"/>
                <w:highlight w:val="none"/>
                <w:u w:val="single"/>
              </w:rPr>
              <w:t xml:space="preserve">  </w:t>
            </w:r>
            <w:r>
              <w:rPr>
                <w:rFonts w:hint="eastAsia" w:hAnsi="宋体" w:cs="宋体"/>
                <w:color w:val="auto"/>
                <w:sz w:val="21"/>
                <w:highlight w:val="none"/>
                <w:u w:val="single"/>
              </w:rPr>
              <w:t>%</w:t>
            </w:r>
            <w:r>
              <w:rPr>
                <w:rFonts w:hint="eastAsia" w:hAnsi="宋体" w:cs="宋体"/>
                <w:color w:val="auto"/>
                <w:sz w:val="21"/>
                <w:highlight w:val="none"/>
              </w:rPr>
              <w:t>）收取。</w:t>
            </w:r>
          </w:p>
          <w:p w14:paraId="78AD55D6">
            <w:pPr>
              <w:pStyle w:val="18"/>
              <w:snapToGrid w:val="0"/>
              <w:spacing w:line="360" w:lineRule="auto"/>
              <w:rPr>
                <w:rFonts w:hAnsi="宋体" w:cs="宋体"/>
                <w:color w:val="auto"/>
                <w:sz w:val="21"/>
                <w:highlight w:val="none"/>
                <w:u w:val="single"/>
              </w:rPr>
            </w:pPr>
            <w:r>
              <w:rPr>
                <w:rFonts w:hint="eastAsia" w:hAnsi="宋体" w:cs="宋体"/>
                <w:color w:val="auto"/>
                <w:sz w:val="21"/>
                <w:highlight w:val="none"/>
              </w:rPr>
              <w:t>□固定采购代理收费</w:t>
            </w:r>
            <w:r>
              <w:rPr>
                <w:rFonts w:hint="eastAsia" w:hAnsi="宋体" w:cs="宋体"/>
                <w:color w:val="auto"/>
                <w:sz w:val="21"/>
                <w:highlight w:val="none"/>
                <w:u w:val="single"/>
              </w:rPr>
              <w:t xml:space="preserve">              。</w:t>
            </w:r>
          </w:p>
          <w:p w14:paraId="179F8349">
            <w:pPr>
              <w:pStyle w:val="18"/>
              <w:snapToGrid w:val="0"/>
              <w:spacing w:line="360" w:lineRule="auto"/>
              <w:rPr>
                <w:rFonts w:hint="eastAsia" w:hAnsi="宋体" w:cs="宋体"/>
                <w:color w:val="auto"/>
                <w:sz w:val="21"/>
                <w:highlight w:val="none"/>
              </w:rPr>
            </w:pPr>
            <w:r>
              <w:rPr>
                <w:rFonts w:hint="eastAsia" w:hAnsi="宋体" w:cs="宋体"/>
                <w:color w:val="auto"/>
                <w:sz w:val="21"/>
                <w:highlight w:val="none"/>
              </w:rPr>
              <w:t>3. 采购代理费收取银行账户</w:t>
            </w:r>
          </w:p>
          <w:p w14:paraId="1B265765">
            <w:pPr>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开户名称：广西翔正项目管理有限公司钦州分公司</w:t>
            </w:r>
          </w:p>
          <w:p w14:paraId="47EE4AF3">
            <w:pPr>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开户银行：中国农业银行钦州新兴支行</w:t>
            </w:r>
          </w:p>
          <w:p w14:paraId="3006F150">
            <w:pPr>
              <w:rPr>
                <w:rFonts w:hint="eastAsia"/>
                <w:color w:val="auto"/>
                <w:highlight w:val="none"/>
              </w:rPr>
            </w:pPr>
            <w:r>
              <w:rPr>
                <w:rFonts w:ascii="宋体" w:hAnsi="宋体" w:cs="宋体"/>
                <w:color w:val="auto"/>
                <w:kern w:val="0"/>
                <w:szCs w:val="21"/>
                <w:highlight w:val="none"/>
              </w:rPr>
              <w:t>银行</w:t>
            </w:r>
            <w:r>
              <w:rPr>
                <w:rFonts w:hint="eastAsia" w:ascii="宋体" w:hAnsi="宋体" w:cs="宋体"/>
                <w:color w:val="auto"/>
                <w:kern w:val="0"/>
                <w:szCs w:val="21"/>
                <w:highlight w:val="none"/>
                <w:lang w:eastAsia="zh-CN"/>
              </w:rPr>
              <w:t>账</w:t>
            </w:r>
            <w:r>
              <w:rPr>
                <w:rFonts w:ascii="宋体" w:hAnsi="宋体" w:cs="宋体"/>
                <w:color w:val="auto"/>
                <w:kern w:val="0"/>
                <w:szCs w:val="21"/>
                <w:highlight w:val="none"/>
              </w:rPr>
              <w:t>号：20-7335  0104  0007  396</w:t>
            </w:r>
            <w:r>
              <w:rPr>
                <w:rFonts w:hint="eastAsia" w:ascii="宋体" w:hAnsi="宋体" w:cs="宋体"/>
                <w:color w:val="auto"/>
                <w:kern w:val="0"/>
                <w:szCs w:val="21"/>
                <w:highlight w:val="none"/>
              </w:rPr>
              <w:t xml:space="preserve"> </w:t>
            </w:r>
          </w:p>
        </w:tc>
      </w:tr>
      <w:tr w14:paraId="2383A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0"/>
            <w:vAlign w:val="center"/>
          </w:tcPr>
          <w:p w14:paraId="5EA6658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3.1</w:t>
            </w:r>
          </w:p>
        </w:tc>
        <w:tc>
          <w:tcPr>
            <w:tcW w:w="7912" w:type="dxa"/>
            <w:noWrap w:val="0"/>
            <w:vAlign w:val="center"/>
          </w:tcPr>
          <w:p w14:paraId="34EE00CE">
            <w:pPr>
              <w:pStyle w:val="18"/>
              <w:snapToGrid w:val="0"/>
              <w:spacing w:line="360" w:lineRule="auto"/>
              <w:rPr>
                <w:rFonts w:hint="eastAsia" w:hAnsi="宋体" w:cs="宋体"/>
                <w:color w:val="auto"/>
                <w:kern w:val="2"/>
                <w:sz w:val="21"/>
                <w:highlight w:val="none"/>
              </w:rPr>
            </w:pPr>
            <w:r>
              <w:rPr>
                <w:rFonts w:hint="eastAsia" w:hAnsi="宋体" w:cs="宋体"/>
                <w:color w:val="auto"/>
                <w:sz w:val="21"/>
                <w:highlight w:val="none"/>
              </w:rPr>
              <w:t>解释：</w:t>
            </w:r>
            <w:r>
              <w:rPr>
                <w:rFonts w:hAnsi="宋体" w:cs="宋体"/>
                <w:color w:val="auto"/>
                <w:sz w:val="21"/>
                <w:highlight w:val="none"/>
              </w:rPr>
              <w:t>构成本</w:t>
            </w:r>
            <w:r>
              <w:rPr>
                <w:rFonts w:hint="eastAsia" w:hAnsi="宋体" w:cs="宋体"/>
                <w:color w:val="auto"/>
                <w:sz w:val="21"/>
                <w:highlight w:val="none"/>
              </w:rPr>
              <w:t>磋商文件</w:t>
            </w:r>
            <w:r>
              <w:rPr>
                <w:rFonts w:hAnsi="宋体" w:cs="宋体"/>
                <w:color w:val="auto"/>
                <w:sz w:val="21"/>
                <w:highlight w:val="none"/>
              </w:rPr>
              <w:t>的各个组成文件应互为解释，互为说明；除</w:t>
            </w:r>
            <w:r>
              <w:rPr>
                <w:rFonts w:hint="eastAsia" w:hAnsi="宋体" w:cs="宋体"/>
                <w:color w:val="auto"/>
                <w:sz w:val="21"/>
                <w:highlight w:val="none"/>
              </w:rPr>
              <w:t>磋商文件</w:t>
            </w:r>
            <w:r>
              <w:rPr>
                <w:rFonts w:hAnsi="宋体" w:cs="宋体"/>
                <w:color w:val="auto"/>
                <w:sz w:val="21"/>
                <w:highlight w:val="none"/>
              </w:rPr>
              <w:t>中有特别规定外，仅适用于</w:t>
            </w:r>
            <w:r>
              <w:rPr>
                <w:rFonts w:hint="eastAsia" w:hAnsi="宋体" w:cs="宋体"/>
                <w:color w:val="auto"/>
                <w:sz w:val="21"/>
                <w:highlight w:val="none"/>
              </w:rPr>
              <w:t>竞标</w:t>
            </w:r>
            <w:r>
              <w:rPr>
                <w:rFonts w:hAnsi="宋体" w:cs="宋体"/>
                <w:color w:val="auto"/>
                <w:sz w:val="21"/>
                <w:highlight w:val="none"/>
              </w:rPr>
              <w:t>阶段的规定，按</w:t>
            </w:r>
            <w:r>
              <w:rPr>
                <w:rFonts w:hint="eastAsia" w:hAnsi="宋体" w:cs="宋体"/>
                <w:color w:val="auto"/>
                <w:sz w:val="21"/>
                <w:highlight w:val="none"/>
              </w:rPr>
              <w:t>更正公告（澄清公告）</w:t>
            </w:r>
            <w:r>
              <w:rPr>
                <w:rFonts w:hAnsi="宋体" w:cs="宋体"/>
                <w:color w:val="auto"/>
                <w:sz w:val="21"/>
                <w:highlight w:val="none"/>
              </w:rPr>
              <w:t>、</w:t>
            </w:r>
            <w:r>
              <w:rPr>
                <w:rFonts w:hint="eastAsia" w:hAnsi="宋体" w:cs="宋体"/>
                <w:color w:val="auto"/>
                <w:sz w:val="21"/>
                <w:highlight w:val="none"/>
              </w:rPr>
              <w:t>竞争性磋商</w:t>
            </w:r>
            <w:r>
              <w:rPr>
                <w:rFonts w:hAnsi="宋体" w:cs="宋体"/>
                <w:color w:val="auto"/>
                <w:sz w:val="21"/>
                <w:highlight w:val="none"/>
              </w:rPr>
              <w:t>公告、</w:t>
            </w:r>
            <w:r>
              <w:rPr>
                <w:rFonts w:hint="eastAsia" w:hAnsi="宋体" w:cs="宋体"/>
                <w:color w:val="auto"/>
                <w:sz w:val="21"/>
                <w:highlight w:val="none"/>
              </w:rPr>
              <w:t>供应商</w:t>
            </w:r>
            <w:r>
              <w:rPr>
                <w:rFonts w:hAnsi="宋体" w:cs="宋体"/>
                <w:color w:val="auto"/>
                <w:sz w:val="21"/>
                <w:highlight w:val="none"/>
              </w:rPr>
              <w:t>须知</w:t>
            </w:r>
            <w:r>
              <w:rPr>
                <w:rFonts w:hint="eastAsia" w:hAnsi="宋体" w:cs="宋体"/>
                <w:color w:val="auto"/>
                <w:sz w:val="21"/>
                <w:highlight w:val="none"/>
              </w:rPr>
              <w:t>、采购需求</w:t>
            </w:r>
            <w:r>
              <w:rPr>
                <w:rFonts w:hAnsi="宋体" w:cs="宋体"/>
                <w:color w:val="auto"/>
                <w:sz w:val="21"/>
                <w:highlight w:val="none"/>
              </w:rPr>
              <w:t>、</w:t>
            </w:r>
            <w:r>
              <w:rPr>
                <w:rFonts w:hint="eastAsia" w:hAnsi="宋体" w:cs="宋体"/>
                <w:color w:val="auto"/>
                <w:sz w:val="21"/>
                <w:highlight w:val="none"/>
              </w:rPr>
              <w:t>评审程序、评审方法和评审标准</w:t>
            </w:r>
            <w:r>
              <w:rPr>
                <w:rFonts w:hAnsi="宋体" w:cs="宋体"/>
                <w:color w:val="auto"/>
                <w:sz w:val="21"/>
                <w:highlight w:val="none"/>
              </w:rPr>
              <w:t>、</w:t>
            </w:r>
            <w:r>
              <w:rPr>
                <w:rFonts w:hint="eastAsia" w:hAnsi="宋体" w:cs="宋体"/>
                <w:color w:val="auto"/>
                <w:sz w:val="21"/>
                <w:highlight w:val="none"/>
              </w:rPr>
              <w:t>响应</w:t>
            </w:r>
            <w:r>
              <w:rPr>
                <w:rFonts w:hAnsi="宋体" w:cs="宋体"/>
                <w:color w:val="auto"/>
                <w:sz w:val="21"/>
                <w:highlight w:val="none"/>
              </w:rPr>
              <w:t>文件格式</w:t>
            </w:r>
            <w:r>
              <w:rPr>
                <w:rFonts w:hint="eastAsia" w:hAnsi="宋体" w:cs="宋体"/>
                <w:color w:val="auto"/>
                <w:sz w:val="21"/>
                <w:highlight w:val="none"/>
              </w:rPr>
              <w:t>、合同文本</w:t>
            </w:r>
            <w:r>
              <w:rPr>
                <w:rFonts w:hAnsi="宋体" w:cs="宋体"/>
                <w:color w:val="auto"/>
                <w:sz w:val="21"/>
                <w:highlight w:val="none"/>
              </w:rPr>
              <w:t>的先后顺序解释；同一组成文件中就同一事项的规定或者约定不一致的，以编排顺序在后者为准；同一组成文件不同版本之间有不一致的，以形成时间在后者为准；</w:t>
            </w:r>
            <w:r>
              <w:rPr>
                <w:rFonts w:hint="eastAsia" w:hAnsi="宋体" w:cs="宋体"/>
                <w:color w:val="auto"/>
                <w:sz w:val="21"/>
                <w:highlight w:val="none"/>
              </w:rPr>
              <w:t>更正公告（澄清公告）</w:t>
            </w:r>
            <w:r>
              <w:rPr>
                <w:rFonts w:hAnsi="宋体" w:cs="宋体"/>
                <w:color w:val="auto"/>
                <w:sz w:val="21"/>
                <w:highlight w:val="none"/>
              </w:rPr>
              <w:t>与同步更新的</w:t>
            </w:r>
            <w:r>
              <w:rPr>
                <w:rFonts w:hint="eastAsia" w:hAnsi="宋体" w:cs="宋体"/>
                <w:color w:val="auto"/>
                <w:sz w:val="21"/>
                <w:highlight w:val="none"/>
              </w:rPr>
              <w:t>磋商文件</w:t>
            </w:r>
            <w:r>
              <w:rPr>
                <w:rFonts w:hAnsi="宋体" w:cs="宋体"/>
                <w:color w:val="auto"/>
                <w:sz w:val="21"/>
                <w:highlight w:val="none"/>
              </w:rPr>
              <w:t>不一致时以</w:t>
            </w:r>
            <w:r>
              <w:rPr>
                <w:rFonts w:hint="eastAsia" w:hAnsi="宋体" w:cs="宋体"/>
                <w:color w:val="auto"/>
                <w:sz w:val="21"/>
                <w:highlight w:val="none"/>
              </w:rPr>
              <w:t>更正公告（澄清公告）</w:t>
            </w:r>
            <w:r>
              <w:rPr>
                <w:rFonts w:hAnsi="宋体" w:cs="宋体"/>
                <w:color w:val="auto"/>
                <w:sz w:val="21"/>
                <w:highlight w:val="none"/>
              </w:rPr>
              <w:t>为准。按本款前述规定仍不能形成结论的，由</w:t>
            </w:r>
            <w:r>
              <w:rPr>
                <w:rFonts w:hint="eastAsia" w:hAnsi="宋体" w:cs="宋体"/>
                <w:color w:val="auto"/>
                <w:sz w:val="21"/>
                <w:highlight w:val="none"/>
              </w:rPr>
              <w:t>采购</w:t>
            </w:r>
            <w:r>
              <w:rPr>
                <w:rFonts w:hAnsi="宋体" w:cs="宋体"/>
                <w:color w:val="auto"/>
                <w:sz w:val="21"/>
                <w:highlight w:val="none"/>
              </w:rPr>
              <w:t>人</w:t>
            </w:r>
            <w:r>
              <w:rPr>
                <w:rFonts w:hint="eastAsia" w:hAnsi="宋体" w:cs="宋体"/>
                <w:color w:val="auto"/>
                <w:sz w:val="21"/>
                <w:highlight w:val="none"/>
              </w:rPr>
              <w:t>或者采购代理机构</w:t>
            </w:r>
            <w:r>
              <w:rPr>
                <w:rFonts w:hAnsi="宋体" w:cs="宋体"/>
                <w:color w:val="auto"/>
                <w:sz w:val="21"/>
                <w:highlight w:val="none"/>
              </w:rPr>
              <w:t>负责解释。</w:t>
            </w:r>
          </w:p>
        </w:tc>
      </w:tr>
      <w:tr w14:paraId="4BB77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0"/>
            <w:vAlign w:val="center"/>
          </w:tcPr>
          <w:p w14:paraId="2C296C5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3.2</w:t>
            </w:r>
          </w:p>
        </w:tc>
        <w:tc>
          <w:tcPr>
            <w:tcW w:w="7912" w:type="dxa"/>
            <w:noWrap w:val="0"/>
            <w:vAlign w:val="center"/>
          </w:tcPr>
          <w:p w14:paraId="4CD6B183">
            <w:pPr>
              <w:wordWrap w:val="0"/>
              <w:snapToGrid w:val="0"/>
              <w:spacing w:line="400" w:lineRule="exact"/>
              <w:rPr>
                <w:rFonts w:ascii="宋体" w:hAnsi="宋体"/>
                <w:color w:val="auto"/>
                <w:kern w:val="0"/>
                <w:highlight w:val="none"/>
              </w:rPr>
            </w:pPr>
            <w:r>
              <w:rPr>
                <w:rFonts w:hint="eastAsia" w:ascii="宋体" w:hAnsi="宋体"/>
                <w:color w:val="auto"/>
                <w:kern w:val="0"/>
                <w:highlight w:val="none"/>
              </w:rPr>
              <w:t>1.电子响应文件中须加盖供应商公章部分均采用CA签章，并根据“政府采购项目电子交易管理操作指南-供应商” 及本竞争性谈判文件规定的格式和顺序编制电子响应文件并进行关联定位，以便谈判小组在评审时，点击评分项可直接定位到该评分项内容。如对竞争性谈判文件的某项要求，供应商的电子响应文件未能关联定位提供相应的内容与其对应，则谈判小组在评审时如做出对供应商不利的评审由供应商自行承担。电子响应文件如内容不完整、编排混乱导致响应文件被误读、 漏读，或者在按采购文件规定的部位查找不到相关内容的，由供应商自行承担。</w:t>
            </w:r>
          </w:p>
          <w:p w14:paraId="7DD0AFB0">
            <w:pPr>
              <w:wordWrap w:val="0"/>
              <w:snapToGrid w:val="0"/>
              <w:spacing w:line="400" w:lineRule="exact"/>
              <w:rPr>
                <w:rFonts w:hint="eastAsia" w:ascii="宋体" w:hAnsi="宋体"/>
                <w:color w:val="auto"/>
                <w:kern w:val="0"/>
                <w:highlight w:val="none"/>
              </w:rPr>
            </w:pPr>
            <w:r>
              <w:rPr>
                <w:rFonts w:hint="eastAsia" w:ascii="宋体" w:hAnsi="宋体"/>
                <w:color w:val="auto"/>
                <w:kern w:val="0"/>
                <w:highlight w:val="none"/>
              </w:rPr>
              <w:t>2.CA签章上目前没有法人（负责人）或授权代表签字信息，供应商在响应文件中涉及到签字的位置线下签好字然后扫描或者拍照做成PDF的格式亦可。响应文件中涉及到签字的位置未按要求签字的，提供的材料视为无效。</w:t>
            </w:r>
          </w:p>
          <w:p w14:paraId="7D92B8A8">
            <w:pPr>
              <w:wordWrap w:val="0"/>
              <w:snapToGrid w:val="0"/>
              <w:spacing w:line="400" w:lineRule="exact"/>
              <w:rPr>
                <w:rFonts w:hint="eastAsia" w:ascii="宋体" w:hAnsi="宋体"/>
                <w:color w:val="auto"/>
                <w:kern w:val="0"/>
                <w:highlight w:val="none"/>
              </w:rPr>
            </w:pPr>
            <w:r>
              <w:rPr>
                <w:rFonts w:hint="eastAsia" w:ascii="宋体" w:hAnsi="宋体"/>
                <w:color w:val="auto"/>
                <w:kern w:val="0"/>
                <w:highlight w:val="none"/>
              </w:rPr>
              <w:t>3.供应商为其他组织或者自然人时，本谈判文件规定的法定代表人指负责人或者自然人。本谈判文件所称负责人是指参加竞标的其他组织</w:t>
            </w:r>
            <w:r>
              <w:rPr>
                <w:rFonts w:hint="eastAsia" w:ascii="宋体" w:hAnsi="宋体"/>
                <w:bCs/>
                <w:color w:val="auto"/>
                <w:kern w:val="0"/>
                <w:highlight w:val="none"/>
              </w:rPr>
              <w:t>营业执照或者执业许可证等证照上</w:t>
            </w:r>
            <w:r>
              <w:rPr>
                <w:rFonts w:hint="eastAsia" w:ascii="宋体" w:hAnsi="宋体"/>
                <w:color w:val="auto"/>
                <w:kern w:val="0"/>
                <w:highlight w:val="none"/>
              </w:rPr>
              <w:t>的负责人，本谈判文件所称自然人指参与竞标的自然人本人，</w:t>
            </w:r>
            <w:r>
              <w:rPr>
                <w:rFonts w:hint="eastAsia" w:ascii="宋体" w:hAnsi="宋体"/>
                <w:bCs/>
                <w:color w:val="auto"/>
                <w:kern w:val="0"/>
                <w:highlight w:val="none"/>
              </w:rPr>
              <w:t>且应具备独立承担民事责任能力，自然人应当为年满18岁以上成年人（十六周岁以上的未成年人，以自己的劳动收入为主要生活来源的，视为完全民事行为能力人）</w:t>
            </w:r>
            <w:r>
              <w:rPr>
                <w:rFonts w:hint="eastAsia" w:ascii="宋体" w:hAnsi="宋体"/>
                <w:color w:val="auto"/>
                <w:kern w:val="0"/>
                <w:highlight w:val="none"/>
              </w:rPr>
              <w:t>。</w:t>
            </w:r>
          </w:p>
          <w:p w14:paraId="3BE433D9">
            <w:pPr>
              <w:wordWrap w:val="0"/>
              <w:snapToGrid w:val="0"/>
              <w:spacing w:line="400" w:lineRule="exact"/>
              <w:rPr>
                <w:rFonts w:hint="eastAsia" w:ascii="宋体" w:hAnsi="宋体"/>
                <w:color w:val="auto"/>
                <w:kern w:val="0"/>
                <w:highlight w:val="none"/>
              </w:rPr>
            </w:pPr>
            <w:r>
              <w:rPr>
                <w:rFonts w:hint="eastAsia" w:ascii="宋体" w:hAnsi="宋体"/>
                <w:color w:val="auto"/>
                <w:kern w:val="0"/>
                <w:highlight w:val="none"/>
              </w:rPr>
              <w:t>4.本谈判文件中描述供应商的“签字”是指供应商的法定代表人或者委托代理人亲自在文件规定签署处亲笔写上个人的名字的行为，私章、签字章、印鉴、影印等其他形式均不能代替亲笔签字。</w:t>
            </w:r>
          </w:p>
          <w:p w14:paraId="1B270E09">
            <w:pPr>
              <w:rPr>
                <w:rFonts w:hint="eastAsia"/>
                <w:color w:val="auto"/>
                <w:highlight w:val="none"/>
              </w:rPr>
            </w:pPr>
            <w:r>
              <w:rPr>
                <w:rFonts w:hint="eastAsia" w:ascii="宋体" w:hAnsi="宋体"/>
                <w:color w:val="auto"/>
                <w:kern w:val="0"/>
                <w:highlight w:val="none"/>
              </w:rPr>
              <w:t>5.自然人竞标的，谈判文件规定盖章的地方自然人可以加盖手指指印。</w:t>
            </w:r>
          </w:p>
        </w:tc>
      </w:tr>
    </w:tbl>
    <w:p w14:paraId="6D513BCD">
      <w:pPr>
        <w:spacing w:line="400" w:lineRule="exact"/>
        <w:jc w:val="center"/>
        <w:outlineLvl w:val="1"/>
        <w:rPr>
          <w:rFonts w:hint="eastAsia" w:ascii="宋体" w:hAnsi="宋体"/>
          <w:b/>
          <w:color w:val="auto"/>
          <w:sz w:val="32"/>
          <w:szCs w:val="32"/>
        </w:rPr>
      </w:pPr>
      <w:r>
        <w:rPr>
          <w:rFonts w:ascii="宋体" w:hAnsi="宋体"/>
          <w:b/>
          <w:color w:val="auto"/>
          <w:sz w:val="32"/>
          <w:szCs w:val="32"/>
        </w:rPr>
        <w:br w:type="page"/>
      </w:r>
      <w:r>
        <w:rPr>
          <w:rFonts w:hint="eastAsia" w:ascii="宋体" w:hAnsi="宋体"/>
          <w:b/>
          <w:color w:val="auto"/>
          <w:sz w:val="32"/>
          <w:szCs w:val="32"/>
        </w:rPr>
        <w:t>供应商须知正文</w:t>
      </w:r>
    </w:p>
    <w:p w14:paraId="5E626D52">
      <w:pPr>
        <w:spacing w:line="400" w:lineRule="exact"/>
        <w:jc w:val="center"/>
        <w:rPr>
          <w:rFonts w:hint="eastAsia" w:ascii="宋体" w:hAnsi="宋体"/>
          <w:b/>
          <w:color w:val="auto"/>
          <w:sz w:val="32"/>
          <w:szCs w:val="32"/>
        </w:rPr>
      </w:pPr>
    </w:p>
    <w:p w14:paraId="0104DA90">
      <w:pPr>
        <w:spacing w:line="400" w:lineRule="exact"/>
        <w:jc w:val="center"/>
        <w:outlineLvl w:val="1"/>
        <w:rPr>
          <w:rFonts w:hint="eastAsia" w:ascii="宋体" w:hAnsi="宋体"/>
          <w:b/>
          <w:color w:val="auto"/>
          <w:sz w:val="32"/>
          <w:szCs w:val="32"/>
        </w:rPr>
      </w:pPr>
      <w:r>
        <w:rPr>
          <w:rFonts w:hint="eastAsia" w:ascii="宋体" w:hAnsi="宋体"/>
          <w:b/>
          <w:color w:val="auto"/>
          <w:sz w:val="32"/>
          <w:szCs w:val="32"/>
        </w:rPr>
        <w:t>一、总则</w:t>
      </w:r>
    </w:p>
    <w:p w14:paraId="169CDE25">
      <w:pPr>
        <w:spacing w:line="400" w:lineRule="exact"/>
        <w:rPr>
          <w:rFonts w:hint="eastAsia" w:ascii="宋体" w:hAnsi="宋体"/>
          <w:color w:val="auto"/>
          <w:szCs w:val="21"/>
        </w:rPr>
      </w:pPr>
    </w:p>
    <w:p w14:paraId="78E19441">
      <w:pPr>
        <w:spacing w:line="360" w:lineRule="auto"/>
        <w:ind w:firstLine="482" w:firstLineChars="200"/>
        <w:outlineLvl w:val="2"/>
        <w:rPr>
          <w:rFonts w:hint="eastAsia" w:ascii="黑体" w:hAnsi="黑体" w:eastAsia="黑体" w:cs="宋体"/>
          <w:b/>
          <w:bCs/>
          <w:color w:val="auto"/>
          <w:sz w:val="24"/>
        </w:rPr>
      </w:pPr>
      <w:r>
        <w:rPr>
          <w:rFonts w:hint="eastAsia" w:ascii="黑体" w:hAnsi="黑体" w:eastAsia="黑体" w:cs="宋体"/>
          <w:b/>
          <w:bCs/>
          <w:color w:val="auto"/>
          <w:sz w:val="24"/>
        </w:rPr>
        <w:t>1.适用范围</w:t>
      </w:r>
    </w:p>
    <w:p w14:paraId="72A240F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1.1本项目采购人、采购代理机构、供应商、磋商小组的相关行为均受《中华人民共和国政府采购法》《中华人民共和国政府采购法实施条例》</w:t>
      </w:r>
      <w:r>
        <w:rPr>
          <w:rFonts w:hint="eastAsia" w:ascii="宋体" w:hAnsi="宋体"/>
          <w:color w:val="auto"/>
          <w:szCs w:val="21"/>
        </w:rPr>
        <w:t>《政府采购竞争性磋商采购方式管理暂行办法》《财政部关于政府采购竞争性磋商采购方式管理暂行办法有关问题的补充通知》</w:t>
      </w:r>
      <w:r>
        <w:rPr>
          <w:rFonts w:hint="eastAsia" w:ascii="宋体" w:hAnsi="宋体" w:cs="宋体"/>
          <w:color w:val="auto"/>
          <w:szCs w:val="21"/>
        </w:rPr>
        <w:t>及本项目本级和上级财政部门政府采购有关规定的约束和保护。</w:t>
      </w:r>
    </w:p>
    <w:p w14:paraId="6C6DA3F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1.2</w:t>
      </w:r>
      <w:r>
        <w:rPr>
          <w:rFonts w:hint="eastAsia" w:ascii="宋体" w:hAnsi="宋体" w:cs="宋体"/>
          <w:color w:val="auto"/>
          <w:spacing w:val="-6"/>
          <w:szCs w:val="21"/>
        </w:rPr>
        <w:t>本竞争性磋商文件（以下简称磋商文件）适用于本项目的所有采购程序和环节（法律、法规另有规定的，从其规定）。</w:t>
      </w:r>
    </w:p>
    <w:p w14:paraId="7B92D068">
      <w:pPr>
        <w:spacing w:line="360" w:lineRule="auto"/>
        <w:ind w:firstLine="482" w:firstLineChars="200"/>
        <w:outlineLvl w:val="2"/>
        <w:rPr>
          <w:rFonts w:hint="eastAsia" w:ascii="黑体" w:hAnsi="黑体" w:eastAsia="黑体" w:cs="宋体"/>
          <w:b/>
          <w:bCs/>
          <w:color w:val="auto"/>
          <w:sz w:val="24"/>
        </w:rPr>
      </w:pPr>
      <w:r>
        <w:rPr>
          <w:rFonts w:hint="eastAsia" w:ascii="黑体" w:hAnsi="黑体" w:eastAsia="黑体" w:cs="宋体"/>
          <w:b/>
          <w:bCs/>
          <w:color w:val="auto"/>
          <w:sz w:val="24"/>
        </w:rPr>
        <w:t>2.定义</w:t>
      </w:r>
    </w:p>
    <w:p w14:paraId="7EB834A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2.1“采购人”是指依法进行政府采购的国家机关、事业单位、团体组织。</w:t>
      </w:r>
    </w:p>
    <w:p w14:paraId="0D6A044B">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2.2“采购代理机构”是指政府采购集中采购机构和集中采购机构以外的采购代理机构。</w:t>
      </w:r>
    </w:p>
    <w:p w14:paraId="191A465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2.3“供应商”是指向采购人提供货物、工程或者服务的法人、其他组织或者自然人。</w:t>
      </w:r>
    </w:p>
    <w:p w14:paraId="2EB90980">
      <w:pPr>
        <w:spacing w:line="360" w:lineRule="auto"/>
        <w:ind w:firstLine="420" w:firstLineChars="200"/>
        <w:rPr>
          <w:rFonts w:hint="eastAsia" w:ascii="宋体" w:hAnsi="宋体" w:cs="宋体"/>
          <w:color w:val="auto"/>
          <w:szCs w:val="21"/>
        </w:rPr>
      </w:pPr>
      <w:r>
        <w:rPr>
          <w:rFonts w:hint="eastAsia" w:ascii="宋体" w:hAnsi="宋体"/>
          <w:color w:val="auto"/>
          <w:szCs w:val="21"/>
        </w:rPr>
        <w:t>2.4“服务”是指除货物和工程以外的其他政府采购对象。</w:t>
      </w:r>
    </w:p>
    <w:p w14:paraId="67CC7A1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w:t>
      </w:r>
      <w:r>
        <w:rPr>
          <w:rFonts w:ascii="宋体" w:hAnsi="宋体" w:cs="宋体"/>
          <w:color w:val="auto"/>
          <w:szCs w:val="21"/>
        </w:rPr>
        <w:t>5</w:t>
      </w:r>
      <w:r>
        <w:rPr>
          <w:rFonts w:hint="eastAsia" w:ascii="宋体" w:hAnsi="宋体" w:cs="宋体"/>
          <w:color w:val="auto"/>
          <w:szCs w:val="21"/>
        </w:rPr>
        <w:t>“竞标”是指供应商按照本项目竞争性磋商公告或者邀请函规定的方式获取磋商文件、提交响应文件并希望获得标的的行为。</w:t>
      </w:r>
    </w:p>
    <w:p w14:paraId="3246EF54">
      <w:pPr>
        <w:spacing w:line="360" w:lineRule="auto"/>
        <w:ind w:firstLine="420" w:firstLineChars="200"/>
        <w:contextualSpacing/>
        <w:rPr>
          <w:rFonts w:hint="eastAsia" w:ascii="宋体" w:hAnsi="宋体" w:cs="宋体"/>
          <w:color w:val="auto"/>
          <w:szCs w:val="21"/>
        </w:rPr>
      </w:pPr>
      <w:r>
        <w:rPr>
          <w:rFonts w:hint="eastAsia" w:ascii="宋体" w:hAnsi="宋体" w:cs="宋体"/>
          <w:color w:val="auto"/>
          <w:szCs w:val="21"/>
        </w:rPr>
        <w:t>2.6“书面形式”是指合同书、信件和数据电文（包括电报、电传、传真、电子数据交换和电子邮件）等可以有形地表现所载内容的形式。</w:t>
      </w:r>
    </w:p>
    <w:p w14:paraId="6F6F2CC0">
      <w:pPr>
        <w:spacing w:line="360" w:lineRule="auto"/>
        <w:ind w:firstLine="420" w:firstLineChars="200"/>
        <w:contextualSpacing/>
        <w:rPr>
          <w:rFonts w:hint="eastAsia" w:ascii="宋体" w:hAnsi="宋体" w:cs="宋体"/>
          <w:color w:val="auto"/>
          <w:szCs w:val="21"/>
        </w:rPr>
      </w:pPr>
      <w:r>
        <w:rPr>
          <w:rFonts w:hint="eastAsia" w:ascii="宋体" w:hAnsi="宋体" w:cs="宋体"/>
          <w:color w:val="auto"/>
          <w:szCs w:val="21"/>
        </w:rPr>
        <w:t>2.7“响应文件”</w:t>
      </w:r>
      <w:r>
        <w:rPr>
          <w:rFonts w:hint="eastAsia" w:ascii="宋体" w:hAnsi="宋体" w:cs="宋体"/>
          <w:color w:val="auto"/>
          <w:spacing w:val="-6"/>
          <w:szCs w:val="21"/>
        </w:rPr>
        <w:t>是指：供应商根据本磋商文件要求，编制包含资格证明、报价商务技术等所有内容的文件。</w:t>
      </w:r>
    </w:p>
    <w:p w14:paraId="26E78CBF">
      <w:pPr>
        <w:spacing w:line="360" w:lineRule="auto"/>
        <w:ind w:firstLine="420" w:firstLineChars="200"/>
        <w:contextualSpacing/>
        <w:rPr>
          <w:rFonts w:hint="eastAsia" w:ascii="宋体" w:hAnsi="宋体" w:cs="宋体"/>
          <w:color w:val="auto"/>
          <w:szCs w:val="21"/>
        </w:rPr>
      </w:pPr>
      <w:r>
        <w:rPr>
          <w:rFonts w:hint="eastAsia" w:ascii="宋体" w:hAnsi="宋体" w:cs="宋体"/>
          <w:color w:val="auto"/>
          <w:szCs w:val="21"/>
        </w:rPr>
        <w:t>2.8“实质性要求”是指磋商文件中已经指明不满足则响应文件按无效响应处理的条款，或者不能负偏离的条款，或者采购需求中带“▲”的条款。</w:t>
      </w:r>
    </w:p>
    <w:p w14:paraId="033A8186">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2.9“正偏离”，是指响应文件对磋商文件“采购需求”中有关条款作出的响应优于条款要求并有利于采购人的情形。</w:t>
      </w:r>
    </w:p>
    <w:p w14:paraId="68563B36">
      <w:pPr>
        <w:spacing w:line="360" w:lineRule="auto"/>
        <w:ind w:firstLine="420" w:firstLineChars="200"/>
        <w:contextualSpacing/>
        <w:rPr>
          <w:rFonts w:hint="eastAsia" w:ascii="宋体" w:hAnsi="宋体" w:cs="宋体"/>
          <w:color w:val="auto"/>
          <w:szCs w:val="21"/>
        </w:rPr>
      </w:pPr>
      <w:r>
        <w:rPr>
          <w:rFonts w:ascii="宋体" w:hAnsi="宋体" w:cs="宋体"/>
          <w:color w:val="auto"/>
          <w:szCs w:val="21"/>
        </w:rPr>
        <w:t>2.</w:t>
      </w:r>
      <w:r>
        <w:rPr>
          <w:rFonts w:hint="eastAsia" w:ascii="宋体" w:hAnsi="宋体" w:cs="宋体"/>
          <w:color w:val="auto"/>
          <w:szCs w:val="21"/>
        </w:rPr>
        <w:t>10“负偏离”，是指响应文件对磋商文件“采购需求”中有关条款作出的响应不满足条款要求，导致采购人要求不能得到满足的情形。</w:t>
      </w:r>
    </w:p>
    <w:p w14:paraId="0A0E962E">
      <w:pPr>
        <w:spacing w:line="360" w:lineRule="auto"/>
        <w:ind w:firstLine="420" w:firstLineChars="200"/>
        <w:contextualSpacing/>
        <w:rPr>
          <w:rFonts w:hint="eastAsia" w:ascii="宋体" w:hAnsi="宋体" w:cs="宋体"/>
          <w:color w:val="auto"/>
          <w:szCs w:val="21"/>
        </w:rPr>
      </w:pPr>
      <w:r>
        <w:rPr>
          <w:rFonts w:hint="eastAsia" w:ascii="宋体" w:hAnsi="宋体" w:cs="宋体"/>
          <w:color w:val="auto"/>
          <w:szCs w:val="21"/>
        </w:rPr>
        <w:t>2.11“允许负偏离的条款”是指采购需求中的不属于“实质性要求”的条款。</w:t>
      </w:r>
    </w:p>
    <w:p w14:paraId="33AEF4F6">
      <w:pPr>
        <w:spacing w:line="360" w:lineRule="auto"/>
        <w:ind w:firstLine="420" w:firstLineChars="200"/>
        <w:contextualSpacing/>
        <w:rPr>
          <w:rFonts w:hint="eastAsia" w:ascii="宋体" w:hAnsi="宋体" w:cs="宋体"/>
          <w:color w:val="auto"/>
          <w:szCs w:val="21"/>
        </w:rPr>
      </w:pPr>
      <w:r>
        <w:rPr>
          <w:rFonts w:hint="eastAsia" w:ascii="宋体" w:hAnsi="宋体" w:cs="宋体"/>
          <w:color w:val="auto"/>
          <w:szCs w:val="21"/>
        </w:rPr>
        <w:t>2.</w:t>
      </w:r>
      <w:r>
        <w:rPr>
          <w:rFonts w:ascii="宋体" w:hAnsi="宋体" w:cs="宋体"/>
          <w:color w:val="auto"/>
          <w:szCs w:val="21"/>
        </w:rPr>
        <w:t>1</w:t>
      </w:r>
      <w:r>
        <w:rPr>
          <w:rFonts w:hint="eastAsia" w:ascii="宋体" w:hAnsi="宋体" w:cs="宋体"/>
          <w:color w:val="auto"/>
          <w:szCs w:val="21"/>
        </w:rPr>
        <w:t>2“首次报价”是指供应商提交的首次响应文件中的报价。</w:t>
      </w:r>
    </w:p>
    <w:p w14:paraId="79A1D1AC">
      <w:pPr>
        <w:spacing w:line="360" w:lineRule="auto"/>
        <w:ind w:firstLine="482" w:firstLineChars="200"/>
        <w:outlineLvl w:val="2"/>
        <w:rPr>
          <w:rFonts w:ascii="黑体" w:hAnsi="黑体" w:eastAsia="黑体" w:cs="宋体"/>
          <w:b/>
          <w:bCs/>
          <w:color w:val="auto"/>
          <w:sz w:val="24"/>
        </w:rPr>
      </w:pPr>
      <w:r>
        <w:rPr>
          <w:rFonts w:hint="eastAsia" w:ascii="黑体" w:hAnsi="黑体" w:eastAsia="黑体" w:cs="宋体"/>
          <w:b/>
          <w:bCs/>
          <w:color w:val="auto"/>
          <w:sz w:val="24"/>
        </w:rPr>
        <w:t>3.供应商的资格条件</w:t>
      </w:r>
    </w:p>
    <w:p w14:paraId="598D3B6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供应商的资格条件详见“供应商须知前附表”。</w:t>
      </w:r>
    </w:p>
    <w:p w14:paraId="76FCA9C6">
      <w:pPr>
        <w:spacing w:line="360" w:lineRule="auto"/>
        <w:ind w:firstLine="482" w:firstLineChars="200"/>
        <w:outlineLvl w:val="2"/>
        <w:rPr>
          <w:rFonts w:hint="eastAsia" w:ascii="黑体" w:hAnsi="黑体" w:eastAsia="黑体" w:cs="宋体"/>
          <w:b/>
          <w:bCs/>
          <w:color w:val="auto"/>
          <w:sz w:val="24"/>
        </w:rPr>
      </w:pPr>
      <w:r>
        <w:rPr>
          <w:rFonts w:hint="eastAsia" w:ascii="黑体" w:hAnsi="黑体" w:eastAsia="黑体" w:cs="宋体"/>
          <w:b/>
          <w:bCs/>
          <w:color w:val="auto"/>
          <w:sz w:val="24"/>
        </w:rPr>
        <w:t>4.竞标费用</w:t>
      </w:r>
    </w:p>
    <w:p w14:paraId="30E1AF0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供应商应承担参与本次采购活动有关的所有费用，包括但不限于获取磋商文件、勘查现场、编制和提交响应文件、参加磋商与应答、签订合同等，不论竞标结果如何，均应自行承担。</w:t>
      </w:r>
    </w:p>
    <w:p w14:paraId="0CC861DC">
      <w:pPr>
        <w:spacing w:line="360" w:lineRule="auto"/>
        <w:ind w:firstLine="482" w:firstLineChars="200"/>
        <w:outlineLvl w:val="2"/>
        <w:rPr>
          <w:rFonts w:hint="eastAsia" w:ascii="黑体" w:hAnsi="黑体" w:eastAsia="黑体" w:cs="宋体"/>
          <w:b/>
          <w:bCs/>
          <w:color w:val="auto"/>
          <w:sz w:val="24"/>
        </w:rPr>
      </w:pPr>
      <w:r>
        <w:rPr>
          <w:rFonts w:hint="eastAsia" w:ascii="黑体" w:hAnsi="黑体" w:eastAsia="黑体" w:cs="宋体"/>
          <w:b/>
          <w:bCs/>
          <w:color w:val="auto"/>
          <w:sz w:val="24"/>
        </w:rPr>
        <w:t>5.联合体竞标</w:t>
      </w:r>
    </w:p>
    <w:p w14:paraId="1B9B71C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5.1本项目是否接受联合体竞标，详见“供应商须知前附表”。</w:t>
      </w:r>
    </w:p>
    <w:p w14:paraId="47D40D3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5.2</w:t>
      </w:r>
      <w:r>
        <w:rPr>
          <w:rFonts w:hint="eastAsia" w:ascii="宋体" w:hAnsi="宋体"/>
          <w:color w:val="auto"/>
        </w:rPr>
        <w:t>如接受联合体竞标，</w:t>
      </w:r>
      <w:r>
        <w:rPr>
          <w:rFonts w:hint="eastAsia" w:ascii="宋体" w:hAnsi="宋体" w:cs="宋体"/>
          <w:color w:val="auto"/>
          <w:szCs w:val="21"/>
        </w:rPr>
        <w:t>联合体竞标要求详见“供应商须知前附表”。</w:t>
      </w:r>
    </w:p>
    <w:p w14:paraId="7304C68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5.3</w:t>
      </w:r>
      <w:bookmarkStart w:id="54" w:name="_Hlk66782192"/>
      <w:r>
        <w:rPr>
          <w:rFonts w:hint="eastAsia" w:ascii="宋体" w:hAnsi="宋体"/>
          <w:color w:val="auto"/>
          <w:szCs w:val="21"/>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宋体" w:hAnsi="宋体"/>
          <w:color w:val="auto"/>
          <w:szCs w:val="21"/>
          <w:lang w:val="en-US" w:eastAsia="zh-CN"/>
        </w:rPr>
        <w:t>4</w:t>
      </w:r>
      <w:r>
        <w:rPr>
          <w:rFonts w:hint="eastAsia" w:ascii="宋体" w:hAnsi="宋体"/>
          <w:color w:val="auto"/>
          <w:szCs w:val="21"/>
        </w:rPr>
        <w:t>%-</w:t>
      </w:r>
      <w:r>
        <w:rPr>
          <w:rFonts w:hint="eastAsia" w:ascii="宋体" w:hAnsi="宋体"/>
          <w:color w:val="auto"/>
          <w:szCs w:val="21"/>
          <w:lang w:val="en-US" w:eastAsia="zh-CN"/>
        </w:rPr>
        <w:t>6</w:t>
      </w:r>
      <w:r>
        <w:rPr>
          <w:rFonts w:hint="eastAsia" w:ascii="宋体" w:hAnsi="宋体"/>
          <w:color w:val="auto"/>
          <w:szCs w:val="21"/>
        </w:rPr>
        <w:t>%的扣除，用扣除后的价格参加评审。</w:t>
      </w:r>
      <w:bookmarkEnd w:id="54"/>
    </w:p>
    <w:p w14:paraId="0F501B1E">
      <w:pPr>
        <w:spacing w:line="360" w:lineRule="auto"/>
        <w:ind w:firstLine="482" w:firstLineChars="200"/>
        <w:outlineLvl w:val="2"/>
        <w:rPr>
          <w:rFonts w:hint="eastAsia" w:ascii="黑体" w:hAnsi="黑体" w:eastAsia="黑体" w:cs="宋体"/>
          <w:b/>
          <w:bCs/>
          <w:color w:val="auto"/>
          <w:sz w:val="24"/>
        </w:rPr>
      </w:pPr>
      <w:r>
        <w:rPr>
          <w:rFonts w:hint="eastAsia" w:ascii="黑体" w:hAnsi="黑体" w:eastAsia="黑体" w:cs="宋体"/>
          <w:b/>
          <w:bCs/>
          <w:color w:val="auto"/>
          <w:sz w:val="24"/>
        </w:rPr>
        <w:t xml:space="preserve">6.转包与分包             </w:t>
      </w:r>
    </w:p>
    <w:p w14:paraId="3A127693">
      <w:pPr>
        <w:pStyle w:val="7"/>
        <w:keepNext w:val="0"/>
        <w:keepLines w:val="0"/>
        <w:spacing w:before="0" w:after="0" w:line="360" w:lineRule="auto"/>
        <w:ind w:left="420" w:leftChars="200"/>
        <w:rPr>
          <w:rFonts w:hint="eastAsia" w:ascii="宋体" w:hAnsi="宋体"/>
          <w:b w:val="0"/>
          <w:color w:val="auto"/>
          <w:sz w:val="21"/>
          <w:szCs w:val="21"/>
        </w:rPr>
      </w:pPr>
      <w:bookmarkStart w:id="55" w:name="_Toc254970673"/>
      <w:bookmarkStart w:id="56" w:name="_Toc254970532"/>
      <w:r>
        <w:rPr>
          <w:rFonts w:hint="eastAsia" w:ascii="宋体" w:hAnsi="宋体"/>
          <w:b w:val="0"/>
          <w:color w:val="auto"/>
          <w:sz w:val="21"/>
          <w:szCs w:val="21"/>
        </w:rPr>
        <w:t>6.1本项目不允许转包。</w:t>
      </w:r>
    </w:p>
    <w:p w14:paraId="5D443102">
      <w:pPr>
        <w:pStyle w:val="7"/>
        <w:keepNext w:val="0"/>
        <w:keepLines w:val="0"/>
        <w:spacing w:before="0" w:after="0" w:line="360" w:lineRule="auto"/>
        <w:ind w:firstLine="315" w:firstLineChars="150"/>
        <w:rPr>
          <w:rFonts w:hint="eastAsia" w:ascii="宋体" w:hAnsi="宋体"/>
          <w:b w:val="0"/>
          <w:color w:val="auto"/>
          <w:sz w:val="21"/>
          <w:szCs w:val="21"/>
        </w:rPr>
      </w:pPr>
      <w:r>
        <w:rPr>
          <w:rFonts w:hint="eastAsia" w:ascii="宋体" w:hAnsi="宋体"/>
          <w:b w:val="0"/>
          <w:color w:val="auto"/>
          <w:sz w:val="21"/>
          <w:szCs w:val="21"/>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6B1541C8">
      <w:pPr>
        <w:pStyle w:val="7"/>
        <w:keepNext w:val="0"/>
        <w:keepLines w:val="0"/>
        <w:spacing w:before="0" w:after="0" w:line="360" w:lineRule="auto"/>
        <w:ind w:firstLine="315" w:firstLineChars="150"/>
        <w:rPr>
          <w:rFonts w:hint="eastAsia" w:ascii="宋体" w:hAnsi="宋体"/>
          <w:b w:val="0"/>
          <w:color w:val="auto"/>
          <w:sz w:val="21"/>
          <w:szCs w:val="21"/>
        </w:rPr>
      </w:pPr>
      <w:r>
        <w:rPr>
          <w:rFonts w:hint="eastAsia" w:ascii="宋体" w:hAnsi="宋体"/>
          <w:b w:val="0"/>
          <w:color w:val="auto"/>
          <w:sz w:val="21"/>
          <w:szCs w:val="21"/>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5284ED43">
      <w:pPr>
        <w:spacing w:line="360" w:lineRule="auto"/>
        <w:ind w:firstLine="482" w:firstLineChars="200"/>
        <w:outlineLvl w:val="2"/>
        <w:rPr>
          <w:rFonts w:hint="eastAsia" w:ascii="黑体" w:hAnsi="黑体" w:eastAsia="黑体" w:cs="宋体"/>
          <w:b/>
          <w:bCs/>
          <w:color w:val="auto"/>
          <w:sz w:val="24"/>
        </w:rPr>
      </w:pPr>
      <w:r>
        <w:rPr>
          <w:rFonts w:hint="eastAsia" w:ascii="黑体" w:hAnsi="黑体" w:eastAsia="黑体" w:cs="宋体"/>
          <w:b/>
          <w:bCs/>
          <w:color w:val="auto"/>
          <w:sz w:val="24"/>
        </w:rPr>
        <w:t>7.特别说明</w:t>
      </w:r>
      <w:bookmarkEnd w:id="55"/>
      <w:bookmarkEnd w:id="56"/>
    </w:p>
    <w:p w14:paraId="78F24CF4">
      <w:pPr>
        <w:spacing w:line="360" w:lineRule="auto"/>
        <w:ind w:firstLine="420" w:firstLineChars="200"/>
        <w:rPr>
          <w:rFonts w:hint="eastAsia" w:ascii="宋体" w:hAnsi="宋体" w:cs="宋体"/>
          <w:color w:val="auto"/>
          <w:szCs w:val="21"/>
        </w:rPr>
      </w:pPr>
      <w:bookmarkStart w:id="57" w:name="_8.1提供相同品牌产品且通过资格审查、符合性审查的不同投标人参加同一合"/>
      <w:bookmarkEnd w:id="57"/>
      <w:r>
        <w:rPr>
          <w:rFonts w:hint="eastAsia" w:ascii="宋体" w:hAnsi="宋体" w:cs="宋体"/>
          <w:color w:val="auto"/>
          <w:szCs w:val="21"/>
        </w:rPr>
        <w:t>7.</w:t>
      </w:r>
      <w:r>
        <w:rPr>
          <w:rFonts w:ascii="宋体" w:hAnsi="宋体" w:cs="宋体"/>
          <w:color w:val="auto"/>
          <w:szCs w:val="21"/>
        </w:rPr>
        <w:t>1</w:t>
      </w:r>
      <w:bookmarkStart w:id="58" w:name="_Hlk65832145"/>
      <w:r>
        <w:rPr>
          <w:rFonts w:hint="eastAsia" w:ascii="宋体" w:hAnsi="宋体"/>
          <w:color w:val="auto"/>
          <w:szCs w:val="21"/>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rPr>
        <w:t>。</w:t>
      </w:r>
    </w:p>
    <w:bookmarkEnd w:id="58"/>
    <w:p w14:paraId="379DD41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w:t>
      </w:r>
      <w:r>
        <w:rPr>
          <w:rFonts w:ascii="宋体" w:hAnsi="宋体" w:cs="宋体"/>
          <w:color w:val="auto"/>
          <w:szCs w:val="21"/>
        </w:rPr>
        <w:t>2</w:t>
      </w:r>
      <w:r>
        <w:rPr>
          <w:rFonts w:hint="eastAsia" w:ascii="宋体" w:hAnsi="宋体" w:cs="宋体"/>
          <w:color w:val="auto"/>
          <w:szCs w:val="21"/>
        </w:rPr>
        <w:t>供应商应仔细阅读磋商文件的所有内容，按照磋商文件的要求提交响应文件，并对所提供的全部资料的真实性承担法律责任。</w:t>
      </w:r>
    </w:p>
    <w:p w14:paraId="2E15A23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w:t>
      </w:r>
      <w:r>
        <w:rPr>
          <w:rFonts w:ascii="宋体" w:hAnsi="宋体" w:cs="宋体"/>
          <w:color w:val="auto"/>
          <w:szCs w:val="21"/>
        </w:rPr>
        <w:t>3</w:t>
      </w:r>
      <w:r>
        <w:rPr>
          <w:rFonts w:hint="eastAsia" w:ascii="宋体" w:hAnsi="宋体" w:cs="宋体"/>
          <w:color w:val="auto"/>
          <w:szCs w:val="21"/>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5CB9B03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w:t>
      </w:r>
      <w:r>
        <w:rPr>
          <w:rFonts w:ascii="宋体" w:hAnsi="宋体" w:cs="宋体"/>
          <w:color w:val="auto"/>
          <w:szCs w:val="21"/>
        </w:rPr>
        <w:t>4</w:t>
      </w:r>
      <w:r>
        <w:rPr>
          <w:rFonts w:hint="eastAsia" w:ascii="宋体" w:hAnsi="宋体" w:cs="宋体"/>
          <w:color w:val="auto"/>
          <w:szCs w:val="21"/>
        </w:rPr>
        <w:t>在政府采购活动中，采购人员及相关人员与供应商有下列利害关系之一的，应当回避：</w:t>
      </w:r>
    </w:p>
    <w:p w14:paraId="5FB9454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（1）参加采购活动前3年内与供应商存在劳动关系；</w:t>
      </w:r>
    </w:p>
    <w:p w14:paraId="72E4E1F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（2）参加采购活动前3年内担任供应商的董事、监事；</w:t>
      </w:r>
    </w:p>
    <w:p w14:paraId="57F74A7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（3）参加采购活动前3年内是供应商的控股股东或者实际控制人；</w:t>
      </w:r>
    </w:p>
    <w:p w14:paraId="252F2A1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（4）与供应商的法定代表人或者负责人有夫妻、直系血亲、三代以内旁系血亲或者近姻亲关系；</w:t>
      </w:r>
    </w:p>
    <w:p w14:paraId="050518F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（5）与供应商有其他可能影响政府采购活动公平、公正进行的关系。</w:t>
      </w:r>
    </w:p>
    <w:p w14:paraId="754126F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F04381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w:t>
      </w:r>
      <w:r>
        <w:rPr>
          <w:rFonts w:ascii="宋体" w:hAnsi="宋体" w:cs="宋体"/>
          <w:color w:val="auto"/>
          <w:szCs w:val="21"/>
        </w:rPr>
        <w:t>5</w:t>
      </w:r>
      <w:r>
        <w:rPr>
          <w:rFonts w:hint="eastAsia" w:ascii="宋体" w:hAnsi="宋体" w:cs="宋体"/>
          <w:color w:val="auto"/>
          <w:szCs w:val="21"/>
        </w:rPr>
        <w:t>有下列情形之一的视为供应商相互串通竞标，响应文件将被视为无效：</w:t>
      </w:r>
    </w:p>
    <w:p w14:paraId="1783E918">
      <w:pPr>
        <w:spacing w:line="400" w:lineRule="exact"/>
        <w:ind w:left="0" w:firstLine="420" w:firstLineChars="200"/>
        <w:rPr>
          <w:rFonts w:hint="eastAsia" w:ascii="宋体" w:hAnsi="宋体" w:cs="宋体"/>
          <w:color w:val="auto"/>
          <w:szCs w:val="21"/>
        </w:rPr>
      </w:pPr>
      <w:r>
        <w:rPr>
          <w:rFonts w:hint="eastAsia" w:ascii="宋体" w:hAnsi="宋体" w:eastAsia="宋体" w:cs="宋体"/>
          <w:color w:val="auto"/>
          <w:kern w:val="2"/>
          <w:sz w:val="21"/>
          <w:szCs w:val="21"/>
          <w:highlight w:val="none"/>
        </w:rPr>
        <w:t>（1）不同</w:t>
      </w:r>
      <w:r>
        <w:rPr>
          <w:rFonts w:hint="eastAsia" w:ascii="宋体" w:hAnsi="宋体" w:eastAsia="宋体" w:cs="宋体"/>
          <w:color w:val="auto"/>
          <w:kern w:val="2"/>
          <w:sz w:val="21"/>
          <w:szCs w:val="21"/>
          <w:highlight w:val="none"/>
          <w:lang w:eastAsia="zh-CN"/>
        </w:rPr>
        <w:t>磋商竞标人</w:t>
      </w:r>
      <w:r>
        <w:rPr>
          <w:rFonts w:hint="eastAsia" w:ascii="宋体" w:hAnsi="宋体" w:eastAsia="宋体" w:cs="宋体"/>
          <w:color w:val="auto"/>
          <w:kern w:val="2"/>
          <w:sz w:val="21"/>
          <w:szCs w:val="21"/>
          <w:highlight w:val="none"/>
        </w:rPr>
        <w:t>的</w:t>
      </w:r>
      <w:r>
        <w:rPr>
          <w:rFonts w:hint="eastAsia" w:ascii="宋体" w:hAnsi="宋体" w:eastAsia="宋体" w:cs="宋体"/>
          <w:color w:val="auto"/>
          <w:kern w:val="2"/>
          <w:sz w:val="21"/>
          <w:szCs w:val="21"/>
          <w:highlight w:val="none"/>
          <w:lang w:eastAsia="zh-CN"/>
        </w:rPr>
        <w:t>竞标</w:t>
      </w:r>
      <w:r>
        <w:rPr>
          <w:rFonts w:hint="eastAsia" w:ascii="宋体" w:hAnsi="宋体" w:eastAsia="宋体" w:cs="宋体"/>
          <w:color w:val="auto"/>
          <w:kern w:val="2"/>
          <w:sz w:val="21"/>
          <w:szCs w:val="21"/>
          <w:highlight w:val="none"/>
        </w:rPr>
        <w:t>文件由同一单位或个人编制的，以及</w:t>
      </w:r>
      <w:r>
        <w:rPr>
          <w:rFonts w:hint="eastAsia" w:ascii="宋体" w:hAnsi="宋体" w:eastAsia="宋体" w:cs="宋体"/>
          <w:color w:val="auto"/>
          <w:kern w:val="2"/>
          <w:sz w:val="21"/>
          <w:szCs w:val="21"/>
          <w:highlight w:val="none"/>
          <w:lang w:eastAsia="zh-CN"/>
        </w:rPr>
        <w:t>竞标</w:t>
      </w:r>
      <w:r>
        <w:rPr>
          <w:rFonts w:hint="eastAsia" w:ascii="宋体" w:hAnsi="宋体" w:eastAsia="宋体" w:cs="宋体"/>
          <w:color w:val="auto"/>
          <w:kern w:val="2"/>
          <w:sz w:val="21"/>
          <w:szCs w:val="21"/>
          <w:highlight w:val="none"/>
        </w:rPr>
        <w:t>使用同一加密锁或具有相同Mac地址的；</w:t>
      </w:r>
      <w:r>
        <w:rPr>
          <w:rFonts w:hint="eastAsia" w:ascii="宋体" w:hAnsi="宋体" w:cs="宋体"/>
          <w:color w:val="auto"/>
          <w:szCs w:val="21"/>
        </w:rPr>
        <w:t xml:space="preserve"> </w:t>
      </w:r>
    </w:p>
    <w:p w14:paraId="53E1E0A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（2）不同供应商委托同一单位或者个人办理竞标事宜；</w:t>
      </w:r>
    </w:p>
    <w:p w14:paraId="69E9AB8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（3）不同的供应商的响应文件载明的项目管理员为同一个人；</w:t>
      </w:r>
    </w:p>
    <w:p w14:paraId="765C86C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（4）不同供应商的响应文件异常一致或者报价呈规律性差异；</w:t>
      </w:r>
    </w:p>
    <w:p w14:paraId="2B2AF23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（5）不同供应商的响应文件相互混装；</w:t>
      </w:r>
    </w:p>
    <w:p w14:paraId="23D8804F">
      <w:pPr>
        <w:tabs>
          <w:tab w:val="left" w:pos="6931"/>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（6）不同供应商的磋商保证金从同一单位或者个人账户转出。</w:t>
      </w:r>
    </w:p>
    <w:p w14:paraId="4BC308E6">
      <w:pPr>
        <w:tabs>
          <w:tab w:val="left" w:pos="6931"/>
        </w:tabs>
        <w:spacing w:line="360" w:lineRule="auto"/>
        <w:ind w:firstLine="420" w:firstLineChars="200"/>
        <w:rPr>
          <w:rFonts w:hint="eastAsia" w:ascii="宋体" w:hAnsi="宋体" w:cs="宋体"/>
          <w:color w:val="auto"/>
          <w:szCs w:val="21"/>
        </w:rPr>
      </w:pPr>
      <w:r>
        <w:rPr>
          <w:rFonts w:hint="eastAsia" w:ascii="宋体" w:hAnsi="宋体" w:eastAsia="宋体" w:cs="宋体"/>
          <w:color w:val="auto"/>
          <w:kern w:val="2"/>
          <w:sz w:val="21"/>
          <w:szCs w:val="21"/>
          <w:highlight w:val="none"/>
        </w:rPr>
        <w:t>（7）国家和军队法律法规规定的其他情形。</w:t>
      </w:r>
      <w:r>
        <w:rPr>
          <w:rFonts w:ascii="宋体" w:hAnsi="宋体" w:cs="宋体"/>
          <w:color w:val="auto"/>
          <w:szCs w:val="21"/>
        </w:rPr>
        <w:tab/>
      </w:r>
    </w:p>
    <w:p w14:paraId="2F64C70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w:t>
      </w:r>
      <w:r>
        <w:rPr>
          <w:rFonts w:ascii="宋体" w:hAnsi="宋体" w:cs="宋体"/>
          <w:color w:val="auto"/>
          <w:szCs w:val="21"/>
        </w:rPr>
        <w:t>6</w:t>
      </w:r>
      <w:r>
        <w:rPr>
          <w:rFonts w:hint="eastAsia" w:ascii="宋体" w:hAnsi="宋体" w:cs="宋体"/>
          <w:color w:val="auto"/>
          <w:szCs w:val="21"/>
        </w:rPr>
        <w:t>供应商有下列情形之一的，属于恶意串通行为，将报同级监督管理部门：</w:t>
      </w:r>
    </w:p>
    <w:p w14:paraId="0EDB755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（1）供应商直接或者间接从采购人或者采购代理机构处获得其他供应商的相关信息并修改其响应文件；</w:t>
      </w:r>
    </w:p>
    <w:p w14:paraId="4773D41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（2）供应商按照采购人或者采购代理机构的授意撤换、修改响应文件；</w:t>
      </w:r>
    </w:p>
    <w:p w14:paraId="0E7EB14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（3）供应商之间协商报价、技术方案等响应文件或者响应文件的实质性内容；</w:t>
      </w:r>
    </w:p>
    <w:p w14:paraId="04F9275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（4）属于同一集团、协会、商会等组织成员的供应商按照该组织要求协同参加政府采购活动；</w:t>
      </w:r>
    </w:p>
    <w:p w14:paraId="3BB8E4E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（5）供应商之间事先约定一致抬高或者压低报价，或者在政府采购活动中事先约定轮流以高价位或者低价位成交，或者事先约定由某一特定供应商成交，然后再参加竞标；</w:t>
      </w:r>
    </w:p>
    <w:p w14:paraId="4277DB3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（6）供应商之间商定部分供应商放弃参加政府采购活动或者放弃成交；</w:t>
      </w:r>
    </w:p>
    <w:p w14:paraId="74CF90C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（7）供应商与采购人或者采购代理机构之间、供应商相互之间，为谋求特定供应商成交或者排斥其他供应商的其他串通行为。</w:t>
      </w:r>
    </w:p>
    <w:p w14:paraId="07231DDD">
      <w:pPr>
        <w:spacing w:line="400" w:lineRule="exact"/>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7.7</w:t>
      </w:r>
      <w:r>
        <w:rPr>
          <w:rFonts w:hint="eastAsia" w:ascii="宋体" w:hAnsi="宋体" w:eastAsia="宋体" w:cs="宋体"/>
          <w:color w:val="auto"/>
          <w:kern w:val="2"/>
          <w:sz w:val="21"/>
          <w:szCs w:val="21"/>
          <w:highlight w:val="none"/>
        </w:rPr>
        <w:t>有下列情形之一的，属于虚假</w:t>
      </w:r>
      <w:r>
        <w:rPr>
          <w:rFonts w:hint="eastAsia" w:ascii="宋体" w:hAnsi="宋体" w:eastAsia="宋体" w:cs="宋体"/>
          <w:color w:val="auto"/>
          <w:kern w:val="2"/>
          <w:sz w:val="21"/>
          <w:szCs w:val="21"/>
          <w:highlight w:val="none"/>
          <w:lang w:eastAsia="zh-CN"/>
        </w:rPr>
        <w:t>竞标</w:t>
      </w:r>
      <w:r>
        <w:rPr>
          <w:rFonts w:hint="eastAsia" w:ascii="宋体" w:hAnsi="宋体" w:eastAsia="宋体" w:cs="宋体"/>
          <w:color w:val="auto"/>
          <w:kern w:val="2"/>
          <w:sz w:val="21"/>
          <w:szCs w:val="21"/>
          <w:highlight w:val="none"/>
        </w:rPr>
        <w:t>，按照无效</w:t>
      </w:r>
      <w:r>
        <w:rPr>
          <w:rFonts w:hint="eastAsia" w:ascii="宋体" w:hAnsi="宋体" w:eastAsia="宋体" w:cs="宋体"/>
          <w:color w:val="auto"/>
          <w:kern w:val="2"/>
          <w:sz w:val="21"/>
          <w:szCs w:val="21"/>
          <w:highlight w:val="none"/>
          <w:lang w:eastAsia="zh-CN"/>
        </w:rPr>
        <w:t>竞标</w:t>
      </w:r>
      <w:r>
        <w:rPr>
          <w:rFonts w:hint="eastAsia" w:ascii="宋体" w:hAnsi="宋体" w:eastAsia="宋体" w:cs="宋体"/>
          <w:color w:val="auto"/>
          <w:kern w:val="2"/>
          <w:sz w:val="21"/>
          <w:szCs w:val="21"/>
          <w:highlight w:val="none"/>
        </w:rPr>
        <w:t>处理：</w:t>
      </w:r>
    </w:p>
    <w:p w14:paraId="50B2BF27">
      <w:pPr>
        <w:spacing w:line="400" w:lineRule="exact"/>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（1）使用通过受让或租借等方式获取资格、资质证书的；</w:t>
      </w:r>
    </w:p>
    <w:p w14:paraId="79886984">
      <w:pPr>
        <w:spacing w:line="400" w:lineRule="exact"/>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（2）使用伪造证书、证件或印章的；</w:t>
      </w:r>
    </w:p>
    <w:p w14:paraId="4A8F539E">
      <w:pPr>
        <w:spacing w:line="400" w:lineRule="exact"/>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（3）提供虚假财务状况、检测报告、业绩或发票的；</w:t>
      </w:r>
    </w:p>
    <w:p w14:paraId="0A7D7B0E">
      <w:pPr>
        <w:spacing w:line="400" w:lineRule="exact"/>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（4）提供虚假项目负责人或主要技术人员简历、劳动关系证明的；</w:t>
      </w:r>
    </w:p>
    <w:p w14:paraId="082E99FE">
      <w:pPr>
        <w:spacing w:line="400" w:lineRule="exact"/>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（5）提供虚假信用状况的；</w:t>
      </w:r>
    </w:p>
    <w:p w14:paraId="61758344">
      <w:pPr>
        <w:spacing w:line="400" w:lineRule="exact"/>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（6）提供虚假样品或借用、冒用其他</w:t>
      </w:r>
      <w:r>
        <w:rPr>
          <w:rFonts w:hint="eastAsia" w:ascii="宋体" w:hAnsi="宋体" w:eastAsia="宋体" w:cs="宋体"/>
          <w:color w:val="auto"/>
          <w:kern w:val="2"/>
          <w:sz w:val="21"/>
          <w:szCs w:val="21"/>
          <w:highlight w:val="none"/>
          <w:lang w:eastAsia="zh-CN"/>
        </w:rPr>
        <w:t>磋商竞标人</w:t>
      </w:r>
      <w:r>
        <w:rPr>
          <w:rFonts w:hint="eastAsia" w:ascii="宋体" w:hAnsi="宋体" w:eastAsia="宋体" w:cs="宋体"/>
          <w:color w:val="auto"/>
          <w:kern w:val="2"/>
          <w:sz w:val="21"/>
          <w:szCs w:val="21"/>
          <w:highlight w:val="none"/>
        </w:rPr>
        <w:t>样品的；</w:t>
      </w:r>
    </w:p>
    <w:p w14:paraId="024D97A7">
      <w:pPr>
        <w:spacing w:line="400" w:lineRule="exact"/>
        <w:ind w:lef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（7）存在其他弄虚作假行为的；</w:t>
      </w:r>
    </w:p>
    <w:p w14:paraId="1A4629CB">
      <w:pPr>
        <w:pStyle w:val="51"/>
        <w:ind w:firstLine="460" w:firstLineChars="200"/>
        <w:rPr>
          <w:rFonts w:hint="eastAsia"/>
        </w:rPr>
      </w:pPr>
      <w:r>
        <w:rPr>
          <w:rFonts w:hint="eastAsia" w:ascii="宋体" w:hAnsi="宋体" w:eastAsia="宋体" w:cs="宋体"/>
          <w:color w:val="auto"/>
          <w:kern w:val="2"/>
          <w:sz w:val="21"/>
          <w:szCs w:val="21"/>
          <w:highlight w:val="none"/>
        </w:rPr>
        <w:t>（8）国家和军队法律法规规定的其他情形。</w:t>
      </w:r>
    </w:p>
    <w:p w14:paraId="798FA0E5">
      <w:pPr>
        <w:spacing w:line="360" w:lineRule="auto"/>
        <w:jc w:val="both"/>
        <w:rPr>
          <w:rFonts w:hint="eastAsia" w:ascii="宋体" w:hAnsi="宋体"/>
          <w:color w:val="auto"/>
        </w:rPr>
      </w:pPr>
      <w:bookmarkStart w:id="59" w:name="_Toc254970534"/>
      <w:bookmarkStart w:id="60" w:name="_Toc254970675"/>
    </w:p>
    <w:p w14:paraId="711615DD">
      <w:pPr>
        <w:spacing w:line="360" w:lineRule="auto"/>
        <w:jc w:val="center"/>
        <w:outlineLvl w:val="1"/>
        <w:rPr>
          <w:rFonts w:hint="eastAsia" w:ascii="宋体" w:hAnsi="宋体"/>
          <w:b/>
          <w:bCs/>
          <w:color w:val="auto"/>
          <w:sz w:val="32"/>
          <w:szCs w:val="32"/>
        </w:rPr>
      </w:pPr>
      <w:r>
        <w:rPr>
          <w:rFonts w:hint="eastAsia" w:ascii="宋体" w:hAnsi="宋体"/>
          <w:b/>
          <w:bCs/>
          <w:color w:val="auto"/>
          <w:sz w:val="32"/>
          <w:szCs w:val="32"/>
        </w:rPr>
        <w:t>二、磋商文件</w:t>
      </w:r>
      <w:bookmarkEnd w:id="59"/>
      <w:bookmarkEnd w:id="60"/>
    </w:p>
    <w:p w14:paraId="55D3817F">
      <w:pPr>
        <w:spacing w:line="360" w:lineRule="auto"/>
        <w:rPr>
          <w:rFonts w:hint="eastAsia" w:ascii="宋体" w:hAnsi="宋体"/>
          <w:color w:val="auto"/>
          <w:szCs w:val="21"/>
        </w:rPr>
      </w:pPr>
    </w:p>
    <w:p w14:paraId="35E5F37D">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8.磋商文件的构成</w:t>
      </w:r>
    </w:p>
    <w:p w14:paraId="44E5DBA0">
      <w:pPr>
        <w:spacing w:line="360" w:lineRule="auto"/>
        <w:ind w:firstLine="420" w:firstLineChars="200"/>
        <w:jc w:val="left"/>
        <w:rPr>
          <w:rFonts w:hint="eastAsia" w:ascii="宋体" w:hAnsi="宋体"/>
          <w:color w:val="auto"/>
          <w:szCs w:val="21"/>
        </w:rPr>
      </w:pPr>
      <w:r>
        <w:rPr>
          <w:rFonts w:hint="eastAsia" w:ascii="宋体" w:hAnsi="宋体"/>
          <w:color w:val="auto"/>
          <w:szCs w:val="21"/>
        </w:rPr>
        <w:t>（1）竞争性磋商公告/竞标邀请函；</w:t>
      </w:r>
    </w:p>
    <w:p w14:paraId="681E767C">
      <w:pPr>
        <w:spacing w:line="360" w:lineRule="auto"/>
        <w:ind w:firstLine="420" w:firstLineChars="200"/>
        <w:jc w:val="left"/>
        <w:rPr>
          <w:rFonts w:hint="eastAsia" w:ascii="宋体" w:hAnsi="宋体"/>
          <w:color w:val="auto"/>
          <w:szCs w:val="21"/>
        </w:rPr>
      </w:pPr>
      <w:r>
        <w:rPr>
          <w:rFonts w:hint="eastAsia" w:ascii="宋体" w:hAnsi="宋体"/>
          <w:color w:val="auto"/>
          <w:szCs w:val="21"/>
        </w:rPr>
        <w:t xml:space="preserve">（2）供应商须知； </w:t>
      </w:r>
    </w:p>
    <w:p w14:paraId="616D3BBC">
      <w:pPr>
        <w:spacing w:line="360" w:lineRule="auto"/>
        <w:ind w:firstLine="420" w:firstLineChars="200"/>
        <w:jc w:val="left"/>
        <w:rPr>
          <w:rFonts w:hint="eastAsia" w:ascii="宋体" w:hAnsi="宋体"/>
          <w:color w:val="auto"/>
          <w:szCs w:val="21"/>
        </w:rPr>
      </w:pPr>
      <w:r>
        <w:rPr>
          <w:rFonts w:hint="eastAsia" w:ascii="宋体" w:hAnsi="宋体"/>
          <w:color w:val="auto"/>
          <w:szCs w:val="21"/>
        </w:rPr>
        <w:t>（3）采购需求；</w:t>
      </w:r>
    </w:p>
    <w:p w14:paraId="715468E1">
      <w:pPr>
        <w:spacing w:line="360" w:lineRule="auto"/>
        <w:ind w:firstLine="420" w:firstLineChars="200"/>
        <w:jc w:val="left"/>
        <w:rPr>
          <w:rFonts w:hint="eastAsia" w:ascii="宋体" w:hAnsi="宋体"/>
          <w:color w:val="auto"/>
          <w:szCs w:val="21"/>
        </w:rPr>
      </w:pPr>
      <w:r>
        <w:rPr>
          <w:rFonts w:hint="eastAsia" w:ascii="宋体" w:hAnsi="宋体"/>
          <w:color w:val="auto"/>
          <w:szCs w:val="21"/>
        </w:rPr>
        <w:t>（4）评审程序、评审方法和评审标准；</w:t>
      </w:r>
    </w:p>
    <w:p w14:paraId="008EF8D7">
      <w:pPr>
        <w:spacing w:line="360" w:lineRule="auto"/>
        <w:ind w:firstLine="420" w:firstLineChars="200"/>
        <w:jc w:val="left"/>
        <w:rPr>
          <w:rFonts w:hint="eastAsia" w:ascii="宋体" w:hAnsi="宋体"/>
          <w:color w:val="auto"/>
          <w:szCs w:val="21"/>
        </w:rPr>
      </w:pPr>
      <w:r>
        <w:rPr>
          <w:rFonts w:hint="eastAsia" w:ascii="宋体" w:hAnsi="宋体"/>
          <w:color w:val="auto"/>
          <w:szCs w:val="21"/>
        </w:rPr>
        <w:t>（5）响应文件格式；</w:t>
      </w:r>
    </w:p>
    <w:p w14:paraId="32A91588">
      <w:pPr>
        <w:spacing w:line="360" w:lineRule="auto"/>
        <w:ind w:firstLine="420" w:firstLineChars="200"/>
        <w:jc w:val="left"/>
        <w:rPr>
          <w:rFonts w:hint="eastAsia" w:ascii="宋体" w:hAnsi="宋体"/>
          <w:color w:val="auto"/>
          <w:szCs w:val="21"/>
        </w:rPr>
      </w:pPr>
      <w:r>
        <w:rPr>
          <w:rFonts w:hint="eastAsia" w:ascii="宋体" w:hAnsi="宋体"/>
          <w:color w:val="auto"/>
          <w:szCs w:val="21"/>
        </w:rPr>
        <w:t>（6）合同文本。</w:t>
      </w:r>
    </w:p>
    <w:p w14:paraId="012340E7">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9.供应商的询问</w:t>
      </w:r>
    </w:p>
    <w:p w14:paraId="6DC25A7B">
      <w:pPr>
        <w:spacing w:line="360" w:lineRule="auto"/>
        <w:ind w:firstLine="420" w:firstLineChars="200"/>
        <w:rPr>
          <w:rFonts w:hint="eastAsia" w:ascii="宋体" w:hAnsi="宋体"/>
          <w:color w:val="auto"/>
          <w:szCs w:val="21"/>
        </w:rPr>
      </w:pPr>
      <w:r>
        <w:rPr>
          <w:rFonts w:hint="eastAsia" w:ascii="宋体" w:hAnsi="宋体"/>
          <w:color w:val="auto"/>
          <w:szCs w:val="21"/>
        </w:rPr>
        <w:t>供应商应认真阅读磋商文件的采购需求，如供应商对磋商文件有疑问的，如要求采购人作出澄清或者修改的，供应商尽可能在</w:t>
      </w:r>
      <w:r>
        <w:rPr>
          <w:rFonts w:ascii="宋体" w:hAnsi="宋体"/>
          <w:color w:val="auto"/>
          <w:szCs w:val="21"/>
        </w:rPr>
        <w:t>提交首次响应文件截止之日前</w:t>
      </w:r>
      <w:r>
        <w:rPr>
          <w:rFonts w:hint="eastAsia" w:ascii="宋体" w:hAnsi="宋体"/>
          <w:color w:val="auto"/>
          <w:szCs w:val="21"/>
        </w:rPr>
        <w:t>，以书面形式向</w:t>
      </w:r>
      <w:r>
        <w:rPr>
          <w:rFonts w:ascii="宋体" w:hAnsi="宋体"/>
          <w:color w:val="auto"/>
          <w:szCs w:val="21"/>
        </w:rPr>
        <w:t>采购人、采购代理机构</w:t>
      </w:r>
      <w:r>
        <w:rPr>
          <w:rFonts w:hint="eastAsia" w:ascii="宋体" w:hAnsi="宋体"/>
          <w:color w:val="auto"/>
          <w:szCs w:val="21"/>
        </w:rPr>
        <w:t>提出。</w:t>
      </w:r>
    </w:p>
    <w:p w14:paraId="70743D9D">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10.磋商文件的澄清和修改</w:t>
      </w:r>
    </w:p>
    <w:p w14:paraId="34AB1DFC">
      <w:pPr>
        <w:spacing w:line="360" w:lineRule="auto"/>
        <w:ind w:firstLine="420" w:firstLineChars="200"/>
        <w:rPr>
          <w:rFonts w:hint="eastAsia" w:ascii="宋体" w:hAnsi="宋体"/>
          <w:color w:val="auto"/>
          <w:szCs w:val="21"/>
        </w:rPr>
      </w:pPr>
      <w:r>
        <w:rPr>
          <w:rFonts w:ascii="宋体" w:hAnsi="宋体"/>
          <w:color w:val="auto"/>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w:t>
      </w:r>
      <w:r>
        <w:rPr>
          <w:rFonts w:hint="eastAsia" w:ascii="宋体" w:hAnsi="宋体"/>
          <w:color w:val="auto"/>
          <w:szCs w:val="21"/>
        </w:rPr>
        <w:t>获取</w:t>
      </w:r>
      <w:r>
        <w:rPr>
          <w:rFonts w:ascii="宋体" w:hAnsi="宋体"/>
          <w:color w:val="auto"/>
          <w:szCs w:val="21"/>
        </w:rPr>
        <w:t>磋商文件的供应商，不足3个工作日的，应当顺延提交首次响应文件截止之日。</w:t>
      </w:r>
    </w:p>
    <w:p w14:paraId="3B7A5522">
      <w:pPr>
        <w:spacing w:line="360" w:lineRule="auto"/>
        <w:jc w:val="center"/>
        <w:outlineLvl w:val="1"/>
        <w:rPr>
          <w:rFonts w:hint="eastAsia" w:ascii="宋体" w:hAnsi="宋体"/>
          <w:b/>
          <w:bCs/>
          <w:color w:val="auto"/>
          <w:szCs w:val="21"/>
        </w:rPr>
      </w:pPr>
      <w:r>
        <w:rPr>
          <w:rFonts w:hint="eastAsia" w:ascii="宋体" w:hAnsi="宋体"/>
          <w:b/>
          <w:bCs/>
          <w:color w:val="auto"/>
          <w:sz w:val="32"/>
          <w:szCs w:val="32"/>
        </w:rPr>
        <w:t>三、响应文件的编制</w:t>
      </w:r>
    </w:p>
    <w:p w14:paraId="5B56CC14">
      <w:pPr>
        <w:spacing w:line="360" w:lineRule="auto"/>
        <w:rPr>
          <w:rFonts w:hint="eastAsia" w:ascii="宋体" w:hAnsi="宋体"/>
          <w:color w:val="auto"/>
          <w:szCs w:val="21"/>
        </w:rPr>
      </w:pPr>
    </w:p>
    <w:p w14:paraId="5ADE0C73">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11.响应文件的编制原则</w:t>
      </w:r>
    </w:p>
    <w:p w14:paraId="7C7457A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供应商必须按照磋商文件的要求编制响应文件，并对其提交的响应文件的真实性、合法性承担法律责任。响应文件必须对磋商文件作出实质性响应。</w:t>
      </w:r>
    </w:p>
    <w:p w14:paraId="1B0DE78C">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12.响应文件的组成</w:t>
      </w:r>
    </w:p>
    <w:p w14:paraId="3EFD5EB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12.1响应文件由资格证明文件、报价商务技术文件两部分组成。</w:t>
      </w:r>
    </w:p>
    <w:p w14:paraId="73878F85">
      <w:pPr>
        <w:spacing w:line="360" w:lineRule="auto"/>
        <w:ind w:left="840" w:leftChars="200" w:hanging="420" w:hangingChars="200"/>
        <w:rPr>
          <w:rFonts w:hint="eastAsia" w:ascii="宋体" w:hAnsi="宋体" w:cs="宋体"/>
          <w:color w:val="auto"/>
          <w:szCs w:val="21"/>
        </w:rPr>
      </w:pPr>
      <w:r>
        <w:rPr>
          <w:rFonts w:hint="eastAsia" w:ascii="宋体" w:hAnsi="宋体" w:cs="宋体"/>
          <w:color w:val="auto"/>
          <w:szCs w:val="21"/>
        </w:rPr>
        <w:t>1</w:t>
      </w:r>
      <w:r>
        <w:rPr>
          <w:rFonts w:ascii="宋体" w:hAnsi="宋体" w:cs="宋体"/>
          <w:color w:val="auto"/>
          <w:szCs w:val="21"/>
        </w:rPr>
        <w:t>2.1.1</w:t>
      </w:r>
      <w:r>
        <w:rPr>
          <w:rFonts w:hint="eastAsia" w:ascii="宋体" w:hAnsi="宋体" w:cs="宋体"/>
          <w:color w:val="auto"/>
          <w:szCs w:val="21"/>
        </w:rPr>
        <w:t>资格证明文件：详见须知前附表</w:t>
      </w:r>
    </w:p>
    <w:p w14:paraId="186761DC">
      <w:pPr>
        <w:spacing w:line="360" w:lineRule="auto"/>
        <w:ind w:left="840" w:leftChars="200" w:hanging="420" w:hangingChars="200"/>
        <w:rPr>
          <w:rFonts w:hint="eastAsia" w:ascii="宋体" w:hAnsi="宋体" w:cs="宋体"/>
          <w:color w:val="auto"/>
          <w:szCs w:val="21"/>
        </w:rPr>
      </w:pPr>
      <w:r>
        <w:rPr>
          <w:rFonts w:hint="eastAsia" w:ascii="宋体" w:hAnsi="宋体" w:cs="宋体"/>
          <w:color w:val="auto"/>
          <w:szCs w:val="21"/>
        </w:rPr>
        <w:t>1</w:t>
      </w:r>
      <w:r>
        <w:rPr>
          <w:rFonts w:ascii="宋体" w:hAnsi="宋体" w:cs="宋体"/>
          <w:color w:val="auto"/>
          <w:szCs w:val="21"/>
        </w:rPr>
        <w:t>2.1.2</w:t>
      </w:r>
      <w:r>
        <w:rPr>
          <w:rFonts w:hint="eastAsia" w:ascii="宋体" w:hAnsi="宋体" w:cs="宋体"/>
          <w:color w:val="auto"/>
          <w:szCs w:val="21"/>
        </w:rPr>
        <w:t>报价商务技术文件：详见须知前附表</w:t>
      </w:r>
    </w:p>
    <w:p w14:paraId="52D3469E">
      <w:pPr>
        <w:spacing w:line="360" w:lineRule="auto"/>
        <w:ind w:left="840" w:leftChars="200" w:hanging="420" w:hangingChars="200"/>
        <w:rPr>
          <w:rFonts w:hint="eastAsia" w:ascii="宋体" w:hAnsi="宋体" w:cs="宋体"/>
          <w:color w:val="auto"/>
          <w:szCs w:val="21"/>
        </w:rPr>
      </w:pPr>
      <w:r>
        <w:rPr>
          <w:rFonts w:hint="eastAsia" w:ascii="宋体" w:hAnsi="宋体" w:cs="宋体"/>
          <w:color w:val="auto"/>
          <w:szCs w:val="21"/>
        </w:rPr>
        <w:t>12.</w:t>
      </w:r>
      <w:r>
        <w:rPr>
          <w:rFonts w:ascii="宋体" w:hAnsi="宋体" w:cs="宋体"/>
          <w:color w:val="auto"/>
          <w:szCs w:val="21"/>
        </w:rPr>
        <w:t>2</w:t>
      </w:r>
      <w:r>
        <w:rPr>
          <w:rFonts w:hint="eastAsia" w:ascii="宋体" w:hAnsi="宋体" w:cs="宋体"/>
          <w:color w:val="auto"/>
          <w:szCs w:val="21"/>
        </w:rPr>
        <w:t>响应文件电子版：详见须知前附表</w:t>
      </w:r>
    </w:p>
    <w:p w14:paraId="525D74F6">
      <w:pPr>
        <w:wordWrap w:val="0"/>
        <w:spacing w:line="360" w:lineRule="auto"/>
        <w:ind w:firstLine="420" w:firstLineChars="200"/>
        <w:rPr>
          <w:rFonts w:ascii="宋体" w:hAnsi="宋体"/>
          <w:color w:val="auto"/>
        </w:rPr>
      </w:pPr>
      <w:r>
        <w:rPr>
          <w:rFonts w:hint="eastAsia" w:ascii="宋体" w:hAnsi="宋体"/>
          <w:color w:val="auto"/>
        </w:rPr>
        <w:t>响应文件编制基本要求</w:t>
      </w:r>
    </w:p>
    <w:p w14:paraId="6F0981A9">
      <w:pPr>
        <w:wordWrap w:val="0"/>
        <w:spacing w:line="360" w:lineRule="auto"/>
        <w:ind w:firstLine="420" w:firstLineChars="200"/>
        <w:rPr>
          <w:rFonts w:hint="eastAsia" w:ascii="宋体" w:hAnsi="宋体"/>
          <w:color w:val="auto"/>
        </w:rPr>
      </w:pPr>
      <w:r>
        <w:rPr>
          <w:rFonts w:hint="eastAsia" w:ascii="宋体" w:hAnsi="宋体"/>
          <w:color w:val="auto"/>
        </w:rPr>
        <w:t>本项目实行电子竞标，供应商应准备电子响应文件、以介质存储的数据电文形式的电子备份响应文件两类：</w:t>
      </w:r>
    </w:p>
    <w:p w14:paraId="75BC3247">
      <w:pPr>
        <w:wordWrap w:val="0"/>
        <w:spacing w:line="360" w:lineRule="auto"/>
        <w:ind w:firstLine="420" w:firstLineChars="200"/>
        <w:rPr>
          <w:rFonts w:hint="eastAsia" w:ascii="宋体" w:hAnsi="宋体"/>
          <w:color w:val="auto"/>
        </w:rPr>
      </w:pPr>
      <w:r>
        <w:rPr>
          <w:rFonts w:hint="eastAsia" w:ascii="宋体" w:hAnsi="宋体"/>
          <w:color w:val="auto"/>
        </w:rPr>
        <w:t>电子响应文件按</w:t>
      </w:r>
      <w:r>
        <w:rPr>
          <w:rFonts w:hint="eastAsia" w:ascii="宋体" w:hAnsi="宋体"/>
          <w:color w:val="auto"/>
          <w:lang w:eastAsia="zh-CN"/>
        </w:rPr>
        <w:t>采购云</w:t>
      </w:r>
      <w:r>
        <w:rPr>
          <w:rFonts w:hint="eastAsia" w:ascii="宋体" w:hAnsi="宋体"/>
          <w:color w:val="auto"/>
        </w:rPr>
        <w:t>平台要求及本竞争性磋商文件要求制作、加密并递交。电子备份响应文件系上传</w:t>
      </w:r>
      <w:r>
        <w:rPr>
          <w:rFonts w:hint="eastAsia" w:ascii="宋体" w:hAnsi="宋体"/>
          <w:color w:val="auto"/>
          <w:lang w:eastAsia="zh-CN"/>
        </w:rPr>
        <w:t>采购云</w:t>
      </w:r>
      <w:r>
        <w:rPr>
          <w:rFonts w:hint="eastAsia" w:ascii="宋体" w:hAnsi="宋体"/>
          <w:color w:val="auto"/>
        </w:rPr>
        <w:t>平台的响应文件电子版，按照本竞争性磋商文件要求制作。</w:t>
      </w:r>
    </w:p>
    <w:p w14:paraId="12BADFF1">
      <w:pPr>
        <w:rPr>
          <w:rFonts w:hint="eastAsia"/>
          <w:color w:val="auto"/>
        </w:rPr>
      </w:pPr>
      <w:r>
        <w:rPr>
          <w:rFonts w:hint="eastAsia" w:ascii="宋体" w:hAnsi="宋体"/>
          <w:color w:val="auto"/>
        </w:rPr>
        <w:t>▲响应文件启用顺序和效力：响应文件的启用，按先后顺位分别为电子响应文件、以介质存储的数据电文形式的电子备份响应文件。全部供应商的电子响应文件均已按时解密的，以介质存储的数据电文形式的电子备份响应文件自动失效。如果某位供应商的电子响应文件无法按时解密的，其电子响应文件为无效，启用以介质存储的数据电文形式的电子备份响应文件。供应商仅递交电子备份响应文件的，磋商无效。</w:t>
      </w:r>
    </w:p>
    <w:p w14:paraId="66EDC3C5">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13.计量单位</w:t>
      </w:r>
    </w:p>
    <w:p w14:paraId="5333446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磋商文件已有明确规定的，使用磋商文件规定的计量单位；磋商文件没有规定的，应采用中华人民共和国法定计量单位，货币种类为人民币，否则视同未响应。</w:t>
      </w:r>
    </w:p>
    <w:p w14:paraId="718B5FD6">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14.竞标的风险</w:t>
      </w:r>
    </w:p>
    <w:p w14:paraId="722790C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供应商没有按照磋商文件要求提供全部资料，或者供应商没有对磋商文件在各方面作出实质性响应可能导致其响应无效，是供应商应当考虑的风险。</w:t>
      </w:r>
    </w:p>
    <w:p w14:paraId="605A2664">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15.竞标报价</w:t>
      </w:r>
    </w:p>
    <w:p w14:paraId="4ADCF993">
      <w:pPr>
        <w:tabs>
          <w:tab w:val="left" w:pos="2492"/>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15.1竞标报价应按磋商文件中“竞标报价表”格式填写。</w:t>
      </w:r>
    </w:p>
    <w:p w14:paraId="1E826E0D">
      <w:pPr>
        <w:tabs>
          <w:tab w:val="left" w:pos="2492"/>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15.2竞标报价的内容见“供应商须知前附表”。</w:t>
      </w:r>
    </w:p>
    <w:p w14:paraId="67320FBA">
      <w:pPr>
        <w:spacing w:line="360" w:lineRule="auto"/>
        <w:ind w:left="426" w:leftChars="203"/>
        <w:rPr>
          <w:rFonts w:hint="eastAsia" w:ascii="宋体" w:hAnsi="宋体" w:cs="宋体"/>
          <w:color w:val="auto"/>
          <w:szCs w:val="21"/>
        </w:rPr>
      </w:pPr>
      <w:r>
        <w:rPr>
          <w:rFonts w:hint="eastAsia" w:ascii="宋体" w:hAnsi="宋体" w:cs="宋体"/>
          <w:color w:val="auto"/>
          <w:szCs w:val="21"/>
        </w:rPr>
        <w:t>15.3竞标报价要求</w:t>
      </w:r>
    </w:p>
    <w:p w14:paraId="728CB017">
      <w:pPr>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5.3.1</w:t>
      </w:r>
      <w:r>
        <w:rPr>
          <w:rFonts w:hint="eastAsia" w:ascii="宋体" w:hAnsi="宋体" w:cs="宋体"/>
          <w:color w:val="auto"/>
          <w:szCs w:val="21"/>
        </w:rPr>
        <w:t>供应商的竞标报价应符合以下要求，否则响应文件按无效响应处理：</w:t>
      </w:r>
    </w:p>
    <w:p w14:paraId="638910E0">
      <w:pPr>
        <w:spacing w:line="360" w:lineRule="auto"/>
        <w:ind w:left="420" w:leftChars="200"/>
        <w:rPr>
          <w:rFonts w:ascii="宋体" w:hAnsi="宋体" w:cs="宋体"/>
          <w:color w:val="auto"/>
          <w:szCs w:val="21"/>
        </w:rPr>
      </w:pPr>
      <w:r>
        <w:rPr>
          <w:rFonts w:hint="eastAsia" w:ascii="宋体" w:hAnsi="宋体" w:cs="宋体"/>
          <w:color w:val="auto"/>
          <w:szCs w:val="21"/>
        </w:rPr>
        <w:t>（1）供应商必须就“采购需求”中所竞标的每个分标的全部内容分别作完整唯一总价报价，</w:t>
      </w:r>
    </w:p>
    <w:p w14:paraId="1727716D">
      <w:pPr>
        <w:spacing w:line="360" w:lineRule="auto"/>
        <w:rPr>
          <w:rFonts w:ascii="宋体" w:hAnsi="宋体" w:cs="宋体"/>
          <w:color w:val="auto"/>
          <w:szCs w:val="21"/>
        </w:rPr>
      </w:pPr>
      <w:r>
        <w:rPr>
          <w:rFonts w:hint="eastAsia" w:ascii="宋体" w:hAnsi="宋体" w:cs="宋体"/>
          <w:color w:val="auto"/>
          <w:szCs w:val="21"/>
        </w:rPr>
        <w:t>不得存在漏项报价；</w:t>
      </w:r>
    </w:p>
    <w:p w14:paraId="403F4DD9">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）供应商必须就所竞标的分标的单项内容作唯一报价。</w:t>
      </w:r>
    </w:p>
    <w:p w14:paraId="5A5FB28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15.3.</w:t>
      </w:r>
      <w:r>
        <w:rPr>
          <w:rFonts w:ascii="宋体" w:hAnsi="宋体" w:cs="宋体"/>
          <w:color w:val="auto"/>
          <w:szCs w:val="21"/>
        </w:rPr>
        <w:t>2</w:t>
      </w:r>
      <w:r>
        <w:rPr>
          <w:rFonts w:hint="eastAsia" w:ascii="宋体" w:hAnsi="宋体" w:cs="宋体"/>
          <w:color w:val="auto"/>
          <w:szCs w:val="21"/>
        </w:rPr>
        <w:t>最后报价超过所竞标分标规定的采购预算金额或者最高限价的，其响应文件将按无效处理。</w:t>
      </w:r>
      <w:bookmarkStart w:id="61" w:name="_Hlk42592874"/>
    </w:p>
    <w:bookmarkEnd w:id="61"/>
    <w:p w14:paraId="383EF05A">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16.竞标有效期</w:t>
      </w:r>
    </w:p>
    <w:p w14:paraId="0682E07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16.1竞标有效期是指为保证采购人有足够的时间在提交响应文件后完成评审、确定成交供应商、合同签订等工作而要求供应商提交的响应文件在一定时间内保持有效的期限。</w:t>
      </w:r>
    </w:p>
    <w:p w14:paraId="5F63D8B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16.2 竞标有效期应由供应商按“供应商须知前附表”规定的期限作出响应。</w:t>
      </w:r>
    </w:p>
    <w:p w14:paraId="3844CFA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16.3供应商的响应文件在竞标有效期内均保持有效。</w:t>
      </w:r>
    </w:p>
    <w:p w14:paraId="3E7AE3D9">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17.磋商保证金</w:t>
      </w:r>
    </w:p>
    <w:p w14:paraId="2D550FB1">
      <w:pPr>
        <w:spacing w:line="360" w:lineRule="auto"/>
        <w:ind w:left="420" w:leftChars="200"/>
        <w:rPr>
          <w:rFonts w:hint="eastAsia" w:ascii="宋体" w:hAnsi="宋体" w:cs="宋体"/>
          <w:color w:val="auto"/>
          <w:szCs w:val="21"/>
        </w:rPr>
      </w:pPr>
      <w:r>
        <w:rPr>
          <w:rFonts w:hint="eastAsia" w:ascii="宋体" w:hAnsi="宋体" w:cs="宋体"/>
          <w:color w:val="auto"/>
          <w:szCs w:val="21"/>
        </w:rPr>
        <w:t>17.1供应商须按“供应商须知前附表”的规定提交磋商保证金。</w:t>
      </w:r>
    </w:p>
    <w:p w14:paraId="67B4669E">
      <w:pPr>
        <w:spacing w:line="360" w:lineRule="auto"/>
        <w:ind w:left="420" w:leftChars="200"/>
        <w:rPr>
          <w:rFonts w:hint="eastAsia" w:ascii="宋体" w:hAnsi="宋体" w:cs="宋体"/>
          <w:color w:val="auto"/>
          <w:szCs w:val="21"/>
        </w:rPr>
      </w:pPr>
      <w:r>
        <w:rPr>
          <w:rFonts w:hint="eastAsia" w:ascii="宋体" w:hAnsi="宋体" w:cs="宋体"/>
          <w:color w:val="auto"/>
          <w:szCs w:val="21"/>
        </w:rPr>
        <w:t>17.2磋商保证金的退还</w:t>
      </w:r>
    </w:p>
    <w:p w14:paraId="00025B52">
      <w:pPr>
        <w:spacing w:line="360" w:lineRule="auto"/>
        <w:ind w:firstLine="420" w:firstLineChars="200"/>
        <w:rPr>
          <w:rFonts w:hint="eastAsia" w:ascii="宋体" w:hAnsi="宋体" w:cs="宋体"/>
          <w:color w:val="auto"/>
          <w:szCs w:val="21"/>
        </w:rPr>
      </w:pPr>
      <w:bookmarkStart w:id="62" w:name="_Hlk66782243"/>
      <w:r>
        <w:rPr>
          <w:rFonts w:hint="eastAsia" w:ascii="宋体" w:hAnsi="宋体" w:cs="宋体"/>
          <w:color w:val="auto"/>
          <w:szCs w:val="21"/>
        </w:rPr>
        <w:t>未</w:t>
      </w:r>
      <w:r>
        <w:rPr>
          <w:rFonts w:hint="eastAsia" w:ascii="宋体" w:hAnsi="宋体" w:cs="宋体"/>
          <w:color w:val="auto"/>
          <w:spacing w:val="-6"/>
          <w:szCs w:val="21"/>
        </w:rPr>
        <w:t>成交供应商的竞标保证金自成交通知书发出之日起5个工作日内退还；</w:t>
      </w:r>
      <w:r>
        <w:rPr>
          <w:rFonts w:hint="eastAsia" w:ascii="宋体" w:hAnsi="宋体" w:cs="宋体"/>
          <w:color w:val="auto"/>
          <w:szCs w:val="21"/>
        </w:rPr>
        <w:t>成交供应商的磋商保证金自签订合同之日起5个工作日内退还。</w:t>
      </w:r>
      <w:bookmarkEnd w:id="62"/>
      <w:r>
        <w:rPr>
          <w:rFonts w:hint="eastAsia" w:ascii="宋体" w:hAnsi="宋体" w:cs="宋体"/>
          <w:color w:val="auto"/>
          <w:szCs w:val="21"/>
        </w:rPr>
        <w:t xml:space="preserve"> </w:t>
      </w:r>
    </w:p>
    <w:p w14:paraId="020DAFA5">
      <w:pPr>
        <w:spacing w:line="360" w:lineRule="auto"/>
        <w:ind w:left="420" w:leftChars="200"/>
        <w:rPr>
          <w:rFonts w:hint="eastAsia" w:ascii="宋体" w:hAnsi="宋体" w:cs="宋体"/>
          <w:color w:val="auto"/>
          <w:szCs w:val="21"/>
        </w:rPr>
      </w:pPr>
      <w:r>
        <w:rPr>
          <w:rFonts w:hint="eastAsia" w:ascii="宋体" w:hAnsi="宋体" w:cs="宋体"/>
          <w:color w:val="auto"/>
          <w:szCs w:val="21"/>
        </w:rPr>
        <w:t>17.3磋商保证金不计息。</w:t>
      </w:r>
    </w:p>
    <w:p w14:paraId="70295F0B">
      <w:pPr>
        <w:spacing w:line="360" w:lineRule="auto"/>
        <w:ind w:left="420" w:leftChars="200"/>
        <w:rPr>
          <w:rFonts w:hint="eastAsia" w:ascii="宋体" w:hAnsi="宋体" w:cs="宋体"/>
          <w:color w:val="auto"/>
          <w:szCs w:val="21"/>
        </w:rPr>
      </w:pPr>
      <w:r>
        <w:rPr>
          <w:rFonts w:hint="eastAsia" w:ascii="宋体" w:hAnsi="宋体" w:cs="宋体"/>
          <w:color w:val="auto"/>
          <w:szCs w:val="21"/>
        </w:rPr>
        <w:t xml:space="preserve">17.4供应商有下列情形之一的，磋商保证金将不予退还： </w:t>
      </w:r>
    </w:p>
    <w:p w14:paraId="1000647B">
      <w:pPr>
        <w:spacing w:line="360" w:lineRule="auto"/>
        <w:ind w:left="420" w:leftChars="200"/>
        <w:rPr>
          <w:rFonts w:hint="eastAsia" w:ascii="宋体" w:hAnsi="宋体" w:cs="宋体"/>
          <w:color w:val="auto"/>
          <w:szCs w:val="21"/>
        </w:rPr>
      </w:pPr>
      <w:r>
        <w:rPr>
          <w:rFonts w:hint="eastAsia" w:ascii="宋体" w:hAnsi="宋体" w:cs="宋体"/>
          <w:color w:val="auto"/>
          <w:szCs w:val="21"/>
        </w:rPr>
        <w:t>（1）供应商在提交响应文件截止时间后撤回响应文件的；</w:t>
      </w:r>
    </w:p>
    <w:p w14:paraId="5252F935">
      <w:pPr>
        <w:spacing w:line="360" w:lineRule="auto"/>
        <w:ind w:left="420" w:leftChars="200"/>
        <w:rPr>
          <w:rFonts w:ascii="宋体" w:hAnsi="宋体" w:cs="宋体"/>
          <w:color w:val="auto"/>
          <w:szCs w:val="21"/>
        </w:rPr>
      </w:pPr>
      <w:r>
        <w:rPr>
          <w:rFonts w:hint="eastAsia" w:ascii="宋体" w:hAnsi="宋体"/>
          <w:color w:val="auto"/>
          <w:szCs w:val="21"/>
        </w:rPr>
        <w:t>（2）未按规定提交履约保证金的；</w:t>
      </w:r>
    </w:p>
    <w:p w14:paraId="101E1A82">
      <w:pPr>
        <w:spacing w:line="360" w:lineRule="auto"/>
        <w:ind w:left="420" w:leftChars="200"/>
        <w:rPr>
          <w:rFonts w:hint="eastAsia" w:ascii="宋体" w:hAnsi="宋体" w:cs="宋体"/>
          <w:color w:val="auto"/>
          <w:szCs w:val="21"/>
        </w:rPr>
      </w:pPr>
      <w:r>
        <w:rPr>
          <w:rFonts w:hint="eastAsia" w:ascii="宋体" w:hAnsi="宋体" w:cs="宋体"/>
          <w:color w:val="auto"/>
          <w:szCs w:val="21"/>
        </w:rPr>
        <w:t>（3）供应商在响应文件中提供虚假材料的；</w:t>
      </w:r>
    </w:p>
    <w:p w14:paraId="3DE9AF1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（4）除因不可抗力或者磋商文件认可的情形以外，成交供应商不与采购人签订合同的；</w:t>
      </w:r>
    </w:p>
    <w:p w14:paraId="51743585">
      <w:pPr>
        <w:spacing w:line="360" w:lineRule="auto"/>
        <w:ind w:left="420" w:leftChars="200"/>
        <w:rPr>
          <w:rFonts w:hint="eastAsia" w:ascii="宋体" w:hAnsi="宋体" w:cs="宋体"/>
          <w:color w:val="auto"/>
          <w:szCs w:val="21"/>
        </w:rPr>
      </w:pPr>
      <w:r>
        <w:rPr>
          <w:rFonts w:hint="eastAsia" w:ascii="宋体" w:hAnsi="宋体" w:cs="宋体"/>
          <w:color w:val="auto"/>
          <w:szCs w:val="21"/>
        </w:rPr>
        <w:t>（5）供应商与采购人、其他供应商或者采购代理机构恶意串通的；</w:t>
      </w:r>
    </w:p>
    <w:p w14:paraId="73C8BD5F">
      <w:pPr>
        <w:spacing w:line="360" w:lineRule="auto"/>
        <w:ind w:left="420" w:leftChars="200"/>
        <w:rPr>
          <w:rFonts w:hint="eastAsia" w:ascii="宋体" w:hAnsi="宋体" w:cs="宋体"/>
          <w:color w:val="auto"/>
          <w:szCs w:val="21"/>
        </w:rPr>
      </w:pPr>
      <w:r>
        <w:rPr>
          <w:rFonts w:hint="eastAsia" w:ascii="宋体" w:hAnsi="宋体" w:cs="宋体"/>
          <w:color w:val="auto"/>
          <w:szCs w:val="21"/>
        </w:rPr>
        <w:t>（6）法律法规规定的其他情形。</w:t>
      </w:r>
    </w:p>
    <w:p w14:paraId="1B1ECA2A">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18.响应文件编制的要求</w:t>
      </w:r>
    </w:p>
    <w:p w14:paraId="289F021E">
      <w:pPr>
        <w:spacing w:line="360" w:lineRule="auto"/>
        <w:ind w:firstLine="420" w:firstLineChars="200"/>
        <w:rPr>
          <w:rFonts w:ascii="宋体" w:hAnsi="宋体" w:cs="宋体"/>
          <w:color w:val="auto"/>
          <w:szCs w:val="21"/>
        </w:rPr>
      </w:pPr>
      <w:r>
        <w:rPr>
          <w:rFonts w:hint="eastAsia" w:ascii="宋体" w:hAnsi="宋体" w:cs="宋体"/>
          <w:color w:val="auto"/>
          <w:szCs w:val="21"/>
        </w:rPr>
        <w:t>18.1供应商应根据</w:t>
      </w:r>
      <w:r>
        <w:rPr>
          <w:rFonts w:hint="eastAsia" w:ascii="宋体" w:hAnsi="宋体" w:cs="宋体"/>
          <w:color w:val="auto"/>
          <w:szCs w:val="21"/>
          <w:lang w:eastAsia="zh-CN"/>
        </w:rPr>
        <w:t>采购云</w:t>
      </w:r>
      <w:r>
        <w:rPr>
          <w:rFonts w:hint="eastAsia" w:ascii="宋体" w:hAnsi="宋体" w:cs="宋体"/>
          <w:color w:val="auto"/>
          <w:szCs w:val="21"/>
        </w:rPr>
        <w:t>电子交易客户端”（请自行前往“</w:t>
      </w:r>
      <w:r>
        <w:rPr>
          <w:rFonts w:hint="eastAsia" w:ascii="宋体" w:hAnsi="宋体" w:cs="宋体"/>
          <w:color w:val="auto"/>
          <w:szCs w:val="21"/>
          <w:lang w:eastAsia="zh-CN"/>
        </w:rPr>
        <w:t>采购云</w:t>
      </w:r>
      <w:r>
        <w:rPr>
          <w:rFonts w:hint="eastAsia" w:ascii="宋体" w:hAnsi="宋体" w:cs="宋体"/>
          <w:color w:val="auto"/>
          <w:szCs w:val="21"/>
        </w:rPr>
        <w:t>”平台进行下载），并按照本项目采购文件规定的格式和顺序和“</w:t>
      </w:r>
      <w:r>
        <w:rPr>
          <w:rFonts w:hint="eastAsia" w:ascii="宋体" w:hAnsi="宋体" w:cs="宋体"/>
          <w:color w:val="auto"/>
          <w:szCs w:val="21"/>
          <w:lang w:eastAsia="zh-CN"/>
        </w:rPr>
        <w:t>采购云</w:t>
      </w:r>
      <w:r>
        <w:rPr>
          <w:rFonts w:hint="eastAsia" w:ascii="宋体" w:hAnsi="宋体" w:cs="宋体"/>
          <w:color w:val="auto"/>
          <w:szCs w:val="21"/>
        </w:rPr>
        <w:t>”平台的要求编制并加密。响应文件内容不完整、编排混乱导致投标文件被误读、漏读或者查找不到相关内容的，由此引发的后果由供应商承担。</w:t>
      </w:r>
    </w:p>
    <w:p w14:paraId="590043A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18.2响应文件电子版：具体材料见“12.2供应商须知前附表”。</w:t>
      </w:r>
    </w:p>
    <w:p w14:paraId="13F7881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18.3响应文件须由供应商在规定位置盖公章并由法定代表人或委托代理人签字，否则其响应文件按无效响应处理。</w:t>
      </w:r>
    </w:p>
    <w:p w14:paraId="364144E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18.4响应文件中标注的供应商名称应与营业执照（事业单位法人证书、执业许可证、自然人身份证）及公章一致，否则其响应文件按无效响应处理。</w:t>
      </w:r>
    </w:p>
    <w:p w14:paraId="4DD6B4B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18.5响应文件应尽量避免涂改、行间插字或删除。如果出现上述情况，改动之处应由供应商的法定代表人或其委托代理人签字或加盖公章。响应文件因涂改、行间插字或删除导致字迹潦草或表达不清所引起的后果由供应商承担。</w:t>
      </w:r>
    </w:p>
    <w:p w14:paraId="02222E6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18.6电子响应文件中须加盖供应商公章部分均采用CA签章，并根据“</w:t>
      </w:r>
      <w:r>
        <w:rPr>
          <w:rFonts w:hint="eastAsia" w:ascii="宋体" w:hAnsi="宋体" w:cs="宋体"/>
          <w:color w:val="auto"/>
          <w:szCs w:val="21"/>
          <w:lang w:eastAsia="zh-CN"/>
        </w:rPr>
        <w:t>采购云</w:t>
      </w:r>
      <w:r>
        <w:rPr>
          <w:rFonts w:hint="eastAsia" w:ascii="宋体" w:hAnsi="宋体" w:cs="宋体"/>
          <w:color w:val="auto"/>
          <w:szCs w:val="21"/>
        </w:rPr>
        <w:t>电子交易客户端”（请自行前往“</w:t>
      </w:r>
      <w:r>
        <w:rPr>
          <w:rFonts w:hint="eastAsia" w:ascii="宋体" w:hAnsi="宋体" w:cs="宋体"/>
          <w:color w:val="auto"/>
          <w:szCs w:val="21"/>
          <w:lang w:eastAsia="zh-CN"/>
        </w:rPr>
        <w:t>采购云</w:t>
      </w:r>
      <w:r>
        <w:rPr>
          <w:rFonts w:hint="eastAsia" w:ascii="宋体" w:hAnsi="宋体" w:cs="宋体"/>
          <w:color w:val="auto"/>
          <w:szCs w:val="21"/>
        </w:rPr>
        <w:t>”平台进行下载）” 及本竞争性谈判文件规定的格式和顺序编制电子响应文件并进行关联定位，以便评标委员会在评审时，点击评分项可直接定位到该评分项内容。如对竞争性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容的，由供应商自行承担。</w:t>
      </w:r>
    </w:p>
    <w:p w14:paraId="45AF234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18.7 CA签章上目前没有法人（负责人）或授权代表签字信息，供应商在响应文件中涉及到签字的位置线下签好字然后扫描或者拍照做成PDF的格式亦可。响应文件中涉及到签字的位置未按要求签字的，提供的材料视为无效。</w:t>
      </w:r>
    </w:p>
    <w:p w14:paraId="54E8C7A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18.8响应文件不得涂改，若有修改错漏处，须加盖单位公章或者法定代表人（负责人）或授权委托人签字或盖章。响应文件因字迹潦草或表达不清所引起的后果由供应商负责。</w:t>
      </w:r>
    </w:p>
    <w:p w14:paraId="35110EA9">
      <w:pPr>
        <w:wordWrap w:val="0"/>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19.电子备份响应文件的密封和标记</w:t>
      </w:r>
    </w:p>
    <w:p w14:paraId="556838A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19.1供应商应将电子备份响应文件装入到一个响应文件袋内加以密封（要求文件袋无明显缝隙露出袋内文件）；电子备份响应文件袋在每一封贴处密封签章【公章、密封章、法定代表人（负责人）、委托代理人签字等均可】。（</w:t>
      </w:r>
      <w:r>
        <w:rPr>
          <w:rFonts w:hint="eastAsia" w:ascii="宋体" w:hAnsi="宋体" w:cs="宋体"/>
          <w:b/>
          <w:color w:val="auto"/>
          <w:szCs w:val="21"/>
        </w:rPr>
        <w:t>密封要求达到不泄露供应商响应文件实质性内容为合格</w:t>
      </w:r>
      <w:r>
        <w:rPr>
          <w:rFonts w:hint="eastAsia" w:ascii="宋体" w:hAnsi="宋体" w:cs="宋体"/>
          <w:color w:val="auto"/>
          <w:szCs w:val="21"/>
        </w:rPr>
        <w:t>）。</w:t>
      </w:r>
    </w:p>
    <w:p w14:paraId="385FE89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19.2电子备份响应文件袋的包装封面上应注明供应商名称、供应商地址、响应文件名称（电子备份响应文件）、竞标项目名称、项目编号、并加盖供应商公章，并注明“截标时才能启封”。</w:t>
      </w:r>
    </w:p>
    <w:p w14:paraId="00E07CEE">
      <w:pPr>
        <w:wordWrap w:val="0"/>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20.响应文件的提交</w:t>
      </w:r>
    </w:p>
    <w:p w14:paraId="41CC0E6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20.1供应商必须在“供应商须知前附表”规定的时间和地点提交响应文件。</w:t>
      </w:r>
    </w:p>
    <w:p w14:paraId="73F57E0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20.1所有响应文件应于竞争性磋商文件中规定的时间上传递交至</w:t>
      </w:r>
      <w:r>
        <w:rPr>
          <w:rFonts w:hint="eastAsia" w:ascii="宋体" w:hAnsi="宋体" w:cs="宋体"/>
          <w:color w:val="auto"/>
          <w:szCs w:val="21"/>
          <w:lang w:eastAsia="zh-CN"/>
        </w:rPr>
        <w:t>采购云</w:t>
      </w:r>
      <w:r>
        <w:rPr>
          <w:rFonts w:hint="eastAsia" w:ascii="宋体" w:hAnsi="宋体" w:cs="宋体"/>
          <w:color w:val="auto"/>
          <w:szCs w:val="21"/>
        </w:rPr>
        <w:t>平台。还提供电子备份响应文件的，电子备份响应文件应当在响应文件递交截止时间前按要求密封并送达钦州市新华路268号江滨豪园10栋</w:t>
      </w:r>
      <w:r>
        <w:rPr>
          <w:rFonts w:hint="eastAsia" w:ascii="宋体" w:hAnsi="宋体" w:cs="宋体"/>
          <w:color w:val="auto"/>
          <w:szCs w:val="21"/>
          <w:lang w:val="en-US" w:eastAsia="zh-CN"/>
        </w:rPr>
        <w:t>27</w:t>
      </w:r>
      <w:r>
        <w:rPr>
          <w:rFonts w:hint="eastAsia" w:ascii="宋体" w:hAnsi="宋体" w:cs="宋体"/>
          <w:color w:val="auto"/>
          <w:szCs w:val="21"/>
        </w:rPr>
        <w:t>层</w:t>
      </w:r>
      <w:r>
        <w:rPr>
          <w:rFonts w:hint="eastAsia" w:ascii="宋体" w:hAnsi="宋体" w:cs="宋体"/>
          <w:color w:val="auto"/>
          <w:szCs w:val="21"/>
          <w:lang w:val="en-US" w:eastAsia="zh-CN"/>
        </w:rPr>
        <w:t>2703</w:t>
      </w:r>
      <w:r>
        <w:rPr>
          <w:rFonts w:hint="eastAsia" w:ascii="宋体" w:hAnsi="宋体" w:cs="宋体"/>
          <w:color w:val="auto"/>
          <w:szCs w:val="21"/>
        </w:rPr>
        <w:t>号广西翔正项目管理有限公司，逾期送达或未按要求密封将被拒收。电子备份响应文件应当密封包装并在包装上标注竞标项目名称、竞标单位名称并加盖公章。</w:t>
      </w:r>
    </w:p>
    <w:p w14:paraId="32620DE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邮寄地址：钦州市新华路268号江滨豪园10栋</w:t>
      </w:r>
      <w:r>
        <w:rPr>
          <w:rFonts w:hint="eastAsia" w:ascii="宋体" w:hAnsi="宋体" w:cs="宋体"/>
          <w:color w:val="auto"/>
          <w:szCs w:val="21"/>
          <w:lang w:val="en-US" w:eastAsia="zh-CN"/>
        </w:rPr>
        <w:t>27</w:t>
      </w:r>
      <w:r>
        <w:rPr>
          <w:rFonts w:hint="eastAsia" w:ascii="宋体" w:hAnsi="宋体" w:cs="宋体"/>
          <w:color w:val="auto"/>
          <w:szCs w:val="21"/>
        </w:rPr>
        <w:t>层</w:t>
      </w:r>
      <w:r>
        <w:rPr>
          <w:rFonts w:hint="eastAsia" w:ascii="宋体" w:hAnsi="宋体" w:cs="宋体"/>
          <w:color w:val="auto"/>
          <w:szCs w:val="21"/>
          <w:lang w:val="en-US" w:eastAsia="zh-CN"/>
        </w:rPr>
        <w:t>2703</w:t>
      </w:r>
      <w:r>
        <w:rPr>
          <w:rFonts w:hint="eastAsia" w:ascii="宋体" w:hAnsi="宋体" w:cs="宋体"/>
          <w:color w:val="auto"/>
          <w:szCs w:val="21"/>
        </w:rPr>
        <w:t>号广西翔正项目管理有限公司，联系人：黄博，电话：0777-2839828。</w:t>
      </w:r>
    </w:p>
    <w:p w14:paraId="5996B97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本项目拒收到付邮件，通过邮寄方式送达的，请合理安排邮寄时间，因邮寄原因未能在规定时间内送达的后果由供应商自行承担。</w:t>
      </w:r>
    </w:p>
    <w:p w14:paraId="6E9867F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20.2电子响应文件的相关说明</w:t>
      </w:r>
    </w:p>
    <w:p w14:paraId="2BB07EE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20.2.1供应商进行电子竞标应安装客户端软件，并按照采购文件和电子交易平台的要求编制并加密响应文件。供应商未按规定加密的响应文件，电子交易平台将拒收。供应商应当在响应文件递交截止时间前完成响应文件的传输递交，并可以补充、修改或者撤回响应文件。补充或者修改响应文件的，应当先行撤回原文件，补充、修改后重新传输递交。响应文件递交截止时间前未完成传输的，视为撤回响应文件。响应文件递交截止时间后递交的响应文件，电子交易平台将拒收。</w:t>
      </w:r>
    </w:p>
    <w:p w14:paraId="0CCF067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20.2.2供应商在电子交易平台传输递交响应文件后，还可以在响应文件递交截止时间前提交电子备份响应文件，若供应商未提交电子备份响应文件，其后果由供应商自行承担。</w:t>
      </w:r>
    </w:p>
    <w:p w14:paraId="7BB782E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20.2.3如有特殊情况，本项目延长截止时间和开标时间，采购人、采购代理机构和供应商的权利和义务将受到新的截止时间和开标时间的约束。</w:t>
      </w:r>
    </w:p>
    <w:p w14:paraId="6BC1A878">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21.首次响应文件的补充、修改与撤回</w:t>
      </w:r>
    </w:p>
    <w:p w14:paraId="56810F8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供应商在响应文件提交截止时间前，可以对所提交的响应文件进行补充、修改或者撤回，并书面通知采购人、采购代理机构。补充、修改的内容作为响应文件的组成部分。补充、修改的内容与响应文件不一致的，以补充、修改的内容为准。补充、修改的内容必须由供应商的法定代表人或者其委托代理人签字或者加盖公章，在规定在</w:t>
      </w:r>
      <w:r>
        <w:rPr>
          <w:rFonts w:hint="eastAsia" w:ascii="宋体" w:hAnsi="宋体" w:cs="宋体"/>
          <w:color w:val="auto"/>
          <w:szCs w:val="21"/>
          <w:lang w:eastAsia="zh-CN"/>
        </w:rPr>
        <w:t>采购云</w:t>
      </w:r>
      <w:r>
        <w:rPr>
          <w:rFonts w:hint="eastAsia" w:ascii="宋体" w:hAnsi="宋体" w:cs="宋体"/>
          <w:color w:val="auto"/>
          <w:szCs w:val="21"/>
        </w:rPr>
        <w:t>平台上进行撤回及重新上传。</w:t>
      </w:r>
    </w:p>
    <w:p w14:paraId="260D103D">
      <w:pPr>
        <w:spacing w:line="360" w:lineRule="auto"/>
        <w:ind w:firstLine="482" w:firstLineChars="200"/>
        <w:rPr>
          <w:rFonts w:ascii="黑体" w:hAnsi="黑体" w:eastAsia="黑体" w:cs="宋体"/>
          <w:b/>
          <w:bCs/>
          <w:color w:val="auto"/>
          <w:sz w:val="24"/>
        </w:rPr>
      </w:pPr>
      <w:bookmarkStart w:id="63" w:name="_Hlk45702405"/>
      <w:r>
        <w:rPr>
          <w:rFonts w:hint="eastAsia" w:ascii="黑体" w:hAnsi="黑体" w:eastAsia="黑体" w:cs="宋体"/>
          <w:b/>
          <w:bCs/>
          <w:color w:val="auto"/>
          <w:sz w:val="24"/>
        </w:rPr>
        <w:t>22. 首次响应文件的退回</w:t>
      </w:r>
    </w:p>
    <w:p w14:paraId="34E23BE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采购人和采购代理机构对所接收的响应文件除“第四章 评审程序和评定成交的标准”第3.7条规定的情形外，在响应文件提交截止时间止提交响应文件的供应商不足3家的，应当由供应商法定代表人或者委托代理人签字领回电子备份响应文件（电子备份响应文件采用邮寄方式提交的，以到付的方式寄回至原地址），除此之外采购人和采购代理机构对已开启的响应文件概不退回。</w:t>
      </w:r>
    </w:p>
    <w:p w14:paraId="74BB8E92">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23. 截止时间后的撤回</w:t>
      </w:r>
    </w:p>
    <w:p w14:paraId="59CF452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供应商在响应文件提交截止时间后向采购人、采购代理机构书面申请撤回响应文件的，将根据本须知正文17.4的规定不予退还其磋商保证金。</w:t>
      </w:r>
      <w:bookmarkEnd w:id="63"/>
    </w:p>
    <w:p w14:paraId="5F58B4B7">
      <w:pPr>
        <w:spacing w:line="360" w:lineRule="auto"/>
        <w:ind w:left="420" w:firstLine="420"/>
        <w:jc w:val="center"/>
        <w:outlineLvl w:val="1"/>
        <w:rPr>
          <w:rFonts w:hint="eastAsia" w:ascii="宋体" w:hAnsi="宋体"/>
          <w:b/>
          <w:bCs/>
          <w:color w:val="auto"/>
          <w:sz w:val="32"/>
          <w:szCs w:val="32"/>
        </w:rPr>
      </w:pPr>
      <w:r>
        <w:rPr>
          <w:rFonts w:hint="eastAsia" w:ascii="宋体" w:hAnsi="宋体"/>
          <w:b/>
          <w:bCs/>
          <w:color w:val="auto"/>
          <w:sz w:val="32"/>
          <w:szCs w:val="32"/>
        </w:rPr>
        <w:t>四、评审及磋商</w:t>
      </w:r>
    </w:p>
    <w:p w14:paraId="68B7FEA7">
      <w:pPr>
        <w:spacing w:line="360" w:lineRule="auto"/>
        <w:ind w:left="420" w:firstLine="420"/>
        <w:rPr>
          <w:rFonts w:hint="eastAsia" w:ascii="宋体" w:hAnsi="宋体"/>
          <w:color w:val="auto"/>
          <w:szCs w:val="21"/>
        </w:rPr>
      </w:pPr>
    </w:p>
    <w:p w14:paraId="4585C02E">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24.磋商小组成立</w:t>
      </w:r>
    </w:p>
    <w:p w14:paraId="05EC8C6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6D32FEB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1B7C062F">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25.</w:t>
      </w:r>
      <w:r>
        <w:rPr>
          <w:rFonts w:hint="eastAsia" w:ascii="黑体" w:hAnsi="黑体" w:eastAsia="黑体" w:cs="宋体"/>
          <w:b/>
          <w:bCs/>
          <w:color w:val="auto"/>
          <w:sz w:val="24"/>
        </w:rPr>
        <w:t>首次响应文件的开启</w:t>
      </w:r>
    </w:p>
    <w:p w14:paraId="0C6AE67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首次响应文件由磋商小组或者采购代理机构在“供应商须知前附表”规定的时间开启。</w:t>
      </w:r>
    </w:p>
    <w:p w14:paraId="75C2F28D">
      <w:pPr>
        <w:spacing w:line="360" w:lineRule="auto"/>
        <w:ind w:firstLine="482" w:firstLineChars="200"/>
        <w:rPr>
          <w:rFonts w:hint="eastAsia" w:ascii="黑体" w:hAnsi="黑体" w:eastAsia="黑体" w:cs="宋体"/>
          <w:b/>
          <w:bCs/>
          <w:color w:val="auto"/>
          <w:sz w:val="24"/>
        </w:rPr>
      </w:pPr>
      <w:r>
        <w:rPr>
          <w:rFonts w:ascii="黑体" w:hAnsi="黑体" w:eastAsia="黑体" w:cs="宋体"/>
          <w:b/>
          <w:bCs/>
          <w:color w:val="auto"/>
          <w:sz w:val="24"/>
        </w:rPr>
        <w:t>26</w:t>
      </w:r>
      <w:r>
        <w:rPr>
          <w:rFonts w:hint="eastAsia" w:ascii="黑体" w:hAnsi="黑体" w:eastAsia="黑体" w:cs="宋体"/>
          <w:b/>
          <w:bCs/>
          <w:color w:val="auto"/>
          <w:sz w:val="24"/>
        </w:rPr>
        <w:t>.评审程序、评审方法和评审标准</w:t>
      </w:r>
    </w:p>
    <w:p w14:paraId="21DEE685">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6</w:t>
      </w:r>
      <w:r>
        <w:rPr>
          <w:rFonts w:hint="eastAsia" w:ascii="宋体" w:hAnsi="宋体" w:cs="宋体"/>
          <w:color w:val="auto"/>
          <w:szCs w:val="21"/>
        </w:rPr>
        <w:t>.1本项目的评审方法为综合评分法。</w:t>
      </w:r>
    </w:p>
    <w:p w14:paraId="0EE9E761">
      <w:pPr>
        <w:spacing w:line="360" w:lineRule="auto"/>
        <w:ind w:firstLine="420" w:firstLineChars="200"/>
        <w:rPr>
          <w:rFonts w:hint="eastAsia" w:ascii="宋体" w:hAnsi="宋体" w:cs="宋体"/>
          <w:color w:val="auto"/>
          <w:szCs w:val="21"/>
        </w:rPr>
      </w:pPr>
      <w:r>
        <w:rPr>
          <w:rFonts w:ascii="宋体" w:hAnsi="宋体" w:cs="宋体"/>
          <w:color w:val="auto"/>
          <w:szCs w:val="21"/>
        </w:rPr>
        <w:t>26.2</w:t>
      </w:r>
      <w:r>
        <w:rPr>
          <w:rFonts w:hint="eastAsia" w:ascii="宋体" w:hAnsi="宋体" w:cs="宋体"/>
          <w:color w:val="auto"/>
          <w:szCs w:val="21"/>
        </w:rPr>
        <w:t>磋商小组</w:t>
      </w:r>
      <w:r>
        <w:rPr>
          <w:rFonts w:ascii="宋体" w:hAnsi="宋体" w:cs="宋体"/>
          <w:color w:val="auto"/>
          <w:szCs w:val="21"/>
        </w:rPr>
        <w:t>按照</w:t>
      </w:r>
      <w:r>
        <w:rPr>
          <w:rFonts w:hint="eastAsia" w:ascii="宋体" w:hAnsi="宋体" w:cs="宋体"/>
          <w:color w:val="auto"/>
          <w:szCs w:val="21"/>
        </w:rPr>
        <w:t>“第四章 评审程序、评审方法和评审标准”</w:t>
      </w:r>
      <w:r>
        <w:rPr>
          <w:rFonts w:ascii="宋体" w:hAnsi="宋体" w:cs="宋体"/>
          <w:color w:val="auto"/>
          <w:szCs w:val="21"/>
        </w:rPr>
        <w:t>规定的方法、评审因素、标准和程序对</w:t>
      </w:r>
      <w:r>
        <w:rPr>
          <w:rFonts w:hint="eastAsia" w:ascii="宋体" w:hAnsi="宋体" w:cs="宋体"/>
          <w:color w:val="auto"/>
          <w:szCs w:val="21"/>
        </w:rPr>
        <w:t>响应</w:t>
      </w:r>
      <w:r>
        <w:rPr>
          <w:rFonts w:ascii="宋体" w:hAnsi="宋体" w:cs="宋体"/>
          <w:color w:val="auto"/>
          <w:szCs w:val="21"/>
        </w:rPr>
        <w:t>文件进行评审。</w:t>
      </w:r>
    </w:p>
    <w:p w14:paraId="67399BD6">
      <w:pPr>
        <w:spacing w:line="360" w:lineRule="auto"/>
        <w:ind w:firstLine="482" w:firstLineChars="200"/>
        <w:rPr>
          <w:rFonts w:hint="eastAsia" w:ascii="黑体" w:hAnsi="黑体" w:eastAsia="黑体" w:cs="宋体"/>
          <w:b/>
          <w:bCs/>
          <w:color w:val="auto"/>
          <w:sz w:val="24"/>
        </w:rPr>
      </w:pPr>
      <w:r>
        <w:rPr>
          <w:rFonts w:ascii="黑体" w:hAnsi="黑体" w:eastAsia="黑体" w:cs="宋体"/>
          <w:b/>
          <w:bCs/>
          <w:color w:val="auto"/>
          <w:sz w:val="24"/>
        </w:rPr>
        <w:t>27</w:t>
      </w:r>
      <w:r>
        <w:rPr>
          <w:rFonts w:hint="eastAsia" w:ascii="黑体" w:hAnsi="黑体" w:eastAsia="黑体" w:cs="宋体"/>
          <w:b/>
          <w:bCs/>
          <w:color w:val="auto"/>
          <w:sz w:val="24"/>
        </w:rPr>
        <w:t>.确定成交供应商及结果公告</w:t>
      </w:r>
    </w:p>
    <w:p w14:paraId="1EB2E09F">
      <w:pPr>
        <w:spacing w:line="360" w:lineRule="auto"/>
        <w:ind w:firstLine="420" w:firstLineChars="200"/>
        <w:rPr>
          <w:rFonts w:hint="eastAsia" w:ascii="宋体" w:hAnsi="宋体" w:cs="宋体"/>
          <w:color w:val="auto"/>
          <w:szCs w:val="21"/>
        </w:rPr>
      </w:pPr>
      <w:r>
        <w:rPr>
          <w:rFonts w:ascii="宋体" w:hAnsi="宋体" w:cs="宋体"/>
          <w:color w:val="auto"/>
          <w:szCs w:val="21"/>
        </w:rPr>
        <w:t>27</w:t>
      </w:r>
      <w:r>
        <w:rPr>
          <w:rFonts w:hint="eastAsia" w:ascii="宋体" w:hAnsi="宋体" w:cs="宋体"/>
          <w:color w:val="auto"/>
          <w:szCs w:val="21"/>
        </w:rPr>
        <w:t>.1</w:t>
      </w:r>
      <w:r>
        <w:rPr>
          <w:rFonts w:hint="eastAsia" w:ascii="宋体" w:hAnsi="宋体" w:cs="宋体"/>
          <w:color w:val="auto"/>
          <w:kern w:val="0"/>
          <w:szCs w:val="21"/>
        </w:rPr>
        <w:t xml:space="preserve"> </w:t>
      </w:r>
      <w:r>
        <w:rPr>
          <w:rFonts w:hint="eastAsia" w:ascii="宋体" w:hAnsi="宋体" w:cs="宋体"/>
          <w:color w:val="auto"/>
          <w:szCs w:val="21"/>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50B9050">
      <w:pPr>
        <w:spacing w:line="360" w:lineRule="auto"/>
        <w:ind w:firstLine="420" w:firstLineChars="200"/>
        <w:rPr>
          <w:rFonts w:ascii="宋体" w:hAnsi="宋体" w:cs="宋体"/>
          <w:color w:val="auto"/>
          <w:szCs w:val="21"/>
        </w:rPr>
      </w:pPr>
      <w:r>
        <w:rPr>
          <w:rFonts w:ascii="宋体" w:hAnsi="宋体" w:cs="宋体"/>
          <w:color w:val="auto"/>
          <w:szCs w:val="21"/>
        </w:rPr>
        <w:t>27</w:t>
      </w:r>
      <w:r>
        <w:rPr>
          <w:rFonts w:hint="eastAsia" w:ascii="宋体" w:hAnsi="宋体" w:cs="宋体"/>
          <w:color w:val="auto"/>
          <w:szCs w:val="21"/>
        </w:rPr>
        <w:t>.2采购代理机构应当在</w:t>
      </w:r>
      <w:r>
        <w:rPr>
          <w:rFonts w:hint="eastAsia" w:ascii="宋体" w:hAnsi="宋体" w:cs="宋体"/>
          <w:color w:val="auto"/>
          <w:kern w:val="0"/>
          <w:szCs w:val="21"/>
        </w:rPr>
        <w:t>成交</w:t>
      </w:r>
      <w:r>
        <w:rPr>
          <w:rFonts w:hint="eastAsia" w:ascii="宋体" w:hAnsi="宋体" w:cs="宋体"/>
          <w:color w:val="auto"/>
          <w:szCs w:val="21"/>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64" w:name="_Hlk66782294"/>
      <w:r>
        <w:rPr>
          <w:rFonts w:hint="eastAsia" w:ascii="宋体" w:hAnsi="宋体" w:cs="Courier New"/>
          <w:color w:val="auto"/>
          <w:szCs w:val="21"/>
        </w:rPr>
        <w:t>成交供应商享受</w:t>
      </w:r>
      <w:r>
        <w:rPr>
          <w:rFonts w:hint="eastAsia" w:ascii="宋体" w:hAnsi="宋体"/>
          <w:color w:val="auto"/>
          <w:szCs w:val="21"/>
        </w:rPr>
        <w:t>《政府采购促进中小企业发展管理办法》（财库〔2020〕46号）规定的中小企业扶持</w:t>
      </w:r>
      <w:r>
        <w:rPr>
          <w:rFonts w:hint="eastAsia" w:ascii="宋体" w:hAnsi="宋体" w:cs="Courier New"/>
          <w:color w:val="auto"/>
          <w:szCs w:val="21"/>
        </w:rPr>
        <w:t>政策的，采购人、采购代理机构应当随成交结果公开成交供应商的《中小企业声明函》。</w:t>
      </w:r>
      <w:bookmarkEnd w:id="64"/>
    </w:p>
    <w:p w14:paraId="0A566E12">
      <w:pPr>
        <w:spacing w:line="360" w:lineRule="auto"/>
        <w:ind w:firstLine="420" w:firstLineChars="200"/>
        <w:rPr>
          <w:rFonts w:hint="eastAsia" w:ascii="宋体" w:hAnsi="宋体" w:cs="Courier New"/>
          <w:color w:val="auto"/>
          <w:szCs w:val="21"/>
        </w:rPr>
      </w:pPr>
      <w:r>
        <w:rPr>
          <w:rFonts w:hint="eastAsia" w:ascii="宋体" w:hAnsi="宋体" w:cs="宋体"/>
          <w:color w:val="auto"/>
          <w:szCs w:val="21"/>
        </w:rPr>
        <w:t>2</w:t>
      </w:r>
      <w:r>
        <w:rPr>
          <w:rFonts w:ascii="宋体" w:hAnsi="宋体" w:cs="宋体"/>
          <w:color w:val="auto"/>
          <w:szCs w:val="21"/>
        </w:rPr>
        <w:t>7.3</w:t>
      </w:r>
      <w:r>
        <w:rPr>
          <w:rFonts w:hint="eastAsia" w:ascii="宋体" w:hAnsi="宋体" w:cs="Courier New"/>
          <w:color w:val="auto"/>
          <w:szCs w:val="21"/>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w:t>
      </w:r>
    </w:p>
    <w:p w14:paraId="432E0654">
      <w:pPr>
        <w:spacing w:line="360" w:lineRule="auto"/>
        <w:ind w:firstLine="482" w:firstLineChars="200"/>
        <w:rPr>
          <w:rFonts w:hint="eastAsia" w:ascii="黑体" w:hAnsi="黑体" w:eastAsia="黑体" w:cs="宋体"/>
          <w:b/>
          <w:bCs/>
          <w:color w:val="auto"/>
          <w:sz w:val="24"/>
        </w:rPr>
      </w:pPr>
      <w:r>
        <w:rPr>
          <w:rFonts w:ascii="黑体" w:hAnsi="黑体" w:eastAsia="黑体" w:cs="宋体"/>
          <w:b/>
          <w:bCs/>
          <w:color w:val="auto"/>
          <w:sz w:val="24"/>
        </w:rPr>
        <w:t>28</w:t>
      </w:r>
      <w:r>
        <w:rPr>
          <w:rFonts w:hint="eastAsia" w:ascii="黑体" w:hAnsi="黑体" w:eastAsia="黑体" w:cs="宋体"/>
          <w:b/>
          <w:bCs/>
          <w:color w:val="auto"/>
          <w:sz w:val="24"/>
        </w:rPr>
        <w:t>.履约保证金</w:t>
      </w:r>
    </w:p>
    <w:p w14:paraId="2BAED9DC">
      <w:pPr>
        <w:spacing w:line="360" w:lineRule="auto"/>
        <w:ind w:firstLine="424" w:firstLineChars="202"/>
        <w:rPr>
          <w:rFonts w:hint="eastAsia" w:ascii="宋体" w:hAnsi="宋体" w:eastAsia="宋体" w:cs="宋体"/>
          <w:color w:val="auto"/>
          <w:szCs w:val="21"/>
          <w:lang w:eastAsia="zh-CN"/>
        </w:rPr>
      </w:pPr>
      <w:r>
        <w:rPr>
          <w:rFonts w:hint="eastAsia" w:ascii="宋体" w:hAnsi="宋体" w:cs="宋体"/>
          <w:color w:val="auto"/>
          <w:szCs w:val="21"/>
          <w:lang w:eastAsia="zh-CN"/>
        </w:rPr>
        <w:t>本项目不收取履约保证金</w:t>
      </w:r>
    </w:p>
    <w:p w14:paraId="4782B44B">
      <w:pPr>
        <w:spacing w:line="360" w:lineRule="auto"/>
        <w:ind w:firstLine="482" w:firstLineChars="200"/>
        <w:rPr>
          <w:rFonts w:hint="eastAsia" w:ascii="黑体" w:hAnsi="黑体" w:eastAsia="黑体" w:cs="宋体"/>
          <w:b/>
          <w:bCs/>
          <w:color w:val="auto"/>
          <w:sz w:val="24"/>
        </w:rPr>
      </w:pPr>
      <w:r>
        <w:rPr>
          <w:rFonts w:ascii="黑体" w:hAnsi="黑体" w:eastAsia="黑体" w:cs="宋体"/>
          <w:b/>
          <w:bCs/>
          <w:color w:val="auto"/>
          <w:sz w:val="24"/>
        </w:rPr>
        <w:t>29</w:t>
      </w:r>
      <w:r>
        <w:rPr>
          <w:rFonts w:hint="eastAsia" w:ascii="黑体" w:hAnsi="黑体" w:eastAsia="黑体" w:cs="宋体"/>
          <w:b/>
          <w:bCs/>
          <w:color w:val="auto"/>
          <w:sz w:val="24"/>
        </w:rPr>
        <w:t>.签订合同</w:t>
      </w:r>
    </w:p>
    <w:p w14:paraId="08107A4E">
      <w:pPr>
        <w:spacing w:line="360" w:lineRule="auto"/>
        <w:ind w:firstLine="424" w:firstLineChars="202"/>
        <w:rPr>
          <w:rFonts w:hint="eastAsia" w:ascii="宋体" w:hAnsi="宋体" w:cs="宋体"/>
          <w:color w:val="auto"/>
          <w:szCs w:val="21"/>
        </w:rPr>
      </w:pPr>
      <w:r>
        <w:rPr>
          <w:rFonts w:ascii="宋体" w:hAnsi="宋体" w:cs="宋体"/>
          <w:color w:val="auto"/>
          <w:szCs w:val="21"/>
        </w:rPr>
        <w:t>29.1</w:t>
      </w:r>
      <w:r>
        <w:rPr>
          <w:rFonts w:hint="eastAsia" w:ascii="宋体" w:hAnsi="宋体" w:cs="宋体"/>
          <w:color w:val="auto"/>
          <w:szCs w:val="21"/>
        </w:rPr>
        <w:t>成交供应商在收到成交通知书后，应当在签订合同时向采购人出示相关证明材料，具体内容详见 “供应商须知前附表”，经采购人核验合格后方可签订合同。</w:t>
      </w:r>
    </w:p>
    <w:p w14:paraId="6B5761C4">
      <w:pPr>
        <w:spacing w:line="360" w:lineRule="auto"/>
        <w:ind w:firstLine="424" w:firstLineChars="202"/>
        <w:rPr>
          <w:rFonts w:hint="eastAsia" w:ascii="宋体" w:hAnsi="宋体" w:cs="宋体"/>
          <w:color w:val="auto"/>
          <w:szCs w:val="21"/>
        </w:rPr>
      </w:pPr>
      <w:r>
        <w:rPr>
          <w:rFonts w:ascii="宋体" w:hAnsi="宋体" w:cs="宋体"/>
          <w:color w:val="auto"/>
          <w:szCs w:val="21"/>
        </w:rPr>
        <w:t>29</w:t>
      </w:r>
      <w:r>
        <w:rPr>
          <w:rFonts w:hint="eastAsia" w:ascii="宋体" w:hAnsi="宋体" w:cs="宋体"/>
          <w:color w:val="auto"/>
          <w:szCs w:val="21"/>
        </w:rPr>
        <w:t>.2 签订合同时间：按成交通知书规定的时间与采购人签订政府采购合同。</w:t>
      </w:r>
    </w:p>
    <w:p w14:paraId="52145D7D">
      <w:pPr>
        <w:spacing w:line="360" w:lineRule="auto"/>
        <w:ind w:firstLine="424" w:firstLineChars="202"/>
        <w:rPr>
          <w:rFonts w:hint="eastAsia" w:ascii="宋体" w:hAnsi="宋体" w:cs="宋体"/>
          <w:color w:val="auto"/>
          <w:szCs w:val="21"/>
        </w:rPr>
      </w:pPr>
      <w:r>
        <w:rPr>
          <w:rFonts w:ascii="宋体" w:hAnsi="宋体" w:cs="宋体"/>
          <w:color w:val="auto"/>
          <w:szCs w:val="21"/>
        </w:rPr>
        <w:t>29</w:t>
      </w:r>
      <w:r>
        <w:rPr>
          <w:rFonts w:hint="eastAsia" w:ascii="宋体" w:hAnsi="宋体" w:cs="宋体"/>
          <w:color w:val="auto"/>
          <w:szCs w:val="21"/>
        </w:rPr>
        <w:t>.3</w:t>
      </w:r>
      <w:r>
        <w:rPr>
          <w:rFonts w:hint="eastAsia" w:ascii="宋体" w:hAnsi="宋体"/>
          <w:color w:val="auto"/>
          <w:szCs w:val="21"/>
        </w:rPr>
        <w:t>成交供应商拒绝与采购人签订</w:t>
      </w:r>
      <w:r>
        <w:rPr>
          <w:rFonts w:hint="eastAsia" w:ascii="宋体" w:hAnsi="宋体" w:cs="宋体"/>
          <w:color w:val="auto"/>
          <w:szCs w:val="21"/>
        </w:rPr>
        <w:t>合同的，按照本须知正文第</w:t>
      </w:r>
      <w:r>
        <w:rPr>
          <w:rFonts w:ascii="宋体" w:hAnsi="宋体" w:cs="宋体"/>
          <w:color w:val="auto"/>
          <w:szCs w:val="21"/>
        </w:rPr>
        <w:t>27.</w:t>
      </w:r>
      <w:r>
        <w:rPr>
          <w:rFonts w:hint="eastAsia" w:ascii="宋体" w:hAnsi="宋体" w:cs="宋体"/>
          <w:color w:val="auto"/>
          <w:szCs w:val="21"/>
        </w:rPr>
        <w:t>3</w:t>
      </w:r>
      <w:r>
        <w:rPr>
          <w:rFonts w:ascii="宋体" w:hAnsi="宋体" w:cs="宋体"/>
          <w:color w:val="auto"/>
          <w:szCs w:val="21"/>
        </w:rPr>
        <w:t>条的规定</w:t>
      </w:r>
      <w:r>
        <w:rPr>
          <w:rFonts w:hint="eastAsia" w:ascii="宋体" w:hAnsi="宋体" w:cs="宋体"/>
          <w:color w:val="auto"/>
          <w:szCs w:val="21"/>
        </w:rPr>
        <w:t>执行。</w:t>
      </w:r>
    </w:p>
    <w:p w14:paraId="7EEFE593">
      <w:pPr>
        <w:spacing w:line="360" w:lineRule="auto"/>
        <w:ind w:firstLine="482" w:firstLineChars="200"/>
        <w:rPr>
          <w:rFonts w:hint="eastAsia" w:ascii="黑体" w:hAnsi="黑体" w:eastAsia="黑体" w:cs="宋体"/>
          <w:b/>
          <w:bCs/>
          <w:color w:val="auto"/>
          <w:sz w:val="24"/>
        </w:rPr>
      </w:pPr>
      <w:r>
        <w:rPr>
          <w:rFonts w:ascii="黑体" w:hAnsi="黑体" w:eastAsia="黑体" w:cs="宋体"/>
          <w:b/>
          <w:bCs/>
          <w:color w:val="auto"/>
          <w:sz w:val="24"/>
        </w:rPr>
        <w:t>3</w:t>
      </w:r>
      <w:r>
        <w:rPr>
          <w:rFonts w:hint="eastAsia" w:ascii="黑体" w:hAnsi="黑体" w:eastAsia="黑体" w:cs="宋体"/>
          <w:b/>
          <w:bCs/>
          <w:color w:val="auto"/>
          <w:sz w:val="24"/>
        </w:rPr>
        <w:t>0. 询问、质疑和投诉</w:t>
      </w:r>
    </w:p>
    <w:p w14:paraId="180018F7">
      <w:pPr>
        <w:pStyle w:val="8"/>
        <w:spacing w:line="360" w:lineRule="auto"/>
        <w:rPr>
          <w:rFonts w:hint="eastAsia" w:ascii="宋体" w:hAnsi="宋体"/>
          <w:color w:val="auto"/>
          <w:szCs w:val="21"/>
        </w:rPr>
      </w:pPr>
      <w:r>
        <w:rPr>
          <w:rFonts w:hint="eastAsia" w:ascii="宋体" w:hAnsi="宋体" w:cs="宋体"/>
          <w:color w:val="auto"/>
        </w:rPr>
        <w:t>30.1供应商对政府采购活动事项有疑问的，可以向采购人、采购代理机构提出询问，采购人或者采购代理机构应当在3个工作日内对供应商依法提出的询问作出答复，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rPr>
        <w:t>但答复的内容不得涉及商业秘密</w:t>
      </w:r>
      <w:r>
        <w:rPr>
          <w:rFonts w:hint="eastAsia" w:ascii="宋体" w:hAnsi="宋体" w:cs="宋体"/>
          <w:color w:val="auto"/>
        </w:rPr>
        <w:t>。</w:t>
      </w:r>
    </w:p>
    <w:p w14:paraId="536F798D">
      <w:pPr>
        <w:spacing w:line="360" w:lineRule="auto"/>
        <w:ind w:firstLine="420" w:firstLineChars="200"/>
        <w:rPr>
          <w:rFonts w:hint="eastAsia" w:ascii="宋体" w:hAnsi="宋体" w:cs="宋体"/>
          <w:color w:val="auto"/>
        </w:rPr>
      </w:pPr>
      <w:r>
        <w:rPr>
          <w:rFonts w:hint="eastAsia" w:ascii="宋体" w:hAnsi="宋体" w:cs="宋体"/>
          <w:color w:val="auto"/>
        </w:rPr>
        <w:t>30.2供应商认为磋商文件、采购过程或者成交结果使自己的合法权益受到损害的，应当在知道或者应知其权益受到损害之日起7个工作日内，以书面形式向采购人、采购代理机构提出质疑，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auto"/>
          <w:shd w:val="clear" w:color="auto" w:fill="FFFFFF"/>
        </w:rPr>
        <w:t>接收质疑函的方式、联系部门、联系电话和通讯地址等信息</w:t>
      </w:r>
      <w:r>
        <w:rPr>
          <w:rFonts w:hint="eastAsia" w:ascii="宋体" w:hAnsi="宋体" w:cs="Arial"/>
          <w:color w:val="auto"/>
          <w:shd w:val="clear" w:color="auto" w:fill="FFFFFF"/>
        </w:rPr>
        <w:t>详见</w:t>
      </w:r>
      <w:r>
        <w:rPr>
          <w:rFonts w:hint="eastAsia" w:ascii="宋体" w:hAnsi="宋体" w:cs="宋体"/>
          <w:color w:val="auto"/>
          <w:szCs w:val="21"/>
        </w:rPr>
        <w:t>“供应商须知前附表”</w:t>
      </w:r>
      <w:r>
        <w:rPr>
          <w:rFonts w:hint="eastAsia" w:ascii="宋体" w:hAnsi="宋体" w:cs="宋体"/>
          <w:color w:val="auto"/>
        </w:rPr>
        <w:t>。具体质疑起算时间如下：</w:t>
      </w:r>
    </w:p>
    <w:p w14:paraId="103CC989">
      <w:pPr>
        <w:spacing w:line="360" w:lineRule="auto"/>
        <w:ind w:firstLine="420" w:firstLineChars="200"/>
        <w:rPr>
          <w:rFonts w:hint="eastAsia" w:ascii="宋体" w:hAnsi="宋体" w:cs="宋体"/>
          <w:color w:val="auto"/>
        </w:rPr>
      </w:pPr>
      <w:r>
        <w:rPr>
          <w:rFonts w:hint="eastAsia" w:ascii="宋体" w:hAnsi="宋体" w:cs="宋体"/>
          <w:color w:val="auto"/>
        </w:rPr>
        <w:t>（1）对可以质疑的磋商文件提出质疑的，为收到磋商文件之日或者</w:t>
      </w:r>
      <w:r>
        <w:rPr>
          <w:rFonts w:hint="eastAsia" w:ascii="宋体" w:hAnsi="宋体"/>
          <w:color w:val="auto"/>
        </w:rPr>
        <w:t>竞争性磋商公告期限届满之日</w:t>
      </w:r>
      <w:r>
        <w:rPr>
          <w:rFonts w:hint="eastAsia" w:ascii="宋体" w:hAnsi="宋体" w:cs="宋体"/>
          <w:color w:val="auto"/>
        </w:rPr>
        <w:t>；</w:t>
      </w:r>
    </w:p>
    <w:p w14:paraId="740B959A">
      <w:pPr>
        <w:spacing w:line="360" w:lineRule="auto"/>
        <w:ind w:firstLine="420" w:firstLineChars="200"/>
        <w:rPr>
          <w:rFonts w:hint="eastAsia" w:ascii="宋体" w:hAnsi="宋体" w:cs="宋体"/>
          <w:color w:val="auto"/>
        </w:rPr>
      </w:pPr>
      <w:r>
        <w:rPr>
          <w:rFonts w:hint="eastAsia" w:ascii="宋体" w:hAnsi="宋体" w:cs="宋体"/>
          <w:color w:val="auto"/>
        </w:rPr>
        <w:t>（2）对采购过程提出质疑的，为各采购程序环节结束之日；</w:t>
      </w:r>
    </w:p>
    <w:p w14:paraId="3F11B0BC">
      <w:pPr>
        <w:spacing w:line="360" w:lineRule="auto"/>
        <w:ind w:firstLine="420" w:firstLineChars="200"/>
        <w:rPr>
          <w:rFonts w:hint="eastAsia" w:ascii="宋体" w:hAnsi="宋体" w:cs="宋体"/>
          <w:color w:val="auto"/>
        </w:rPr>
      </w:pPr>
      <w:r>
        <w:rPr>
          <w:rFonts w:hint="eastAsia" w:ascii="宋体" w:hAnsi="宋体" w:cs="宋体"/>
          <w:color w:val="auto"/>
        </w:rPr>
        <w:t>（3）对成交结果提出质疑的，为成交结果公告期限届满之日。</w:t>
      </w:r>
    </w:p>
    <w:p w14:paraId="65C391D2">
      <w:pPr>
        <w:spacing w:line="360" w:lineRule="auto"/>
        <w:ind w:firstLine="420" w:firstLineChars="200"/>
        <w:rPr>
          <w:rFonts w:hint="eastAsia" w:ascii="宋体" w:hAnsi="宋体" w:cs="宋体"/>
          <w:color w:val="auto"/>
        </w:rPr>
      </w:pPr>
      <w:r>
        <w:rPr>
          <w:rFonts w:hint="eastAsia" w:ascii="宋体" w:hAnsi="宋体" w:cs="宋体"/>
          <w:color w:val="auto"/>
        </w:rPr>
        <w:t>30.3供应商提出的询问或者质疑超出采购人对采购代理机构委托授权范围的，采购代理机构应当告知供应商向采购人提出。政府采购评审专家应当配合采购人或者采购代理机构答复供应商的询问和质疑。</w:t>
      </w:r>
    </w:p>
    <w:p w14:paraId="41E18535">
      <w:pPr>
        <w:spacing w:line="360" w:lineRule="auto"/>
        <w:ind w:firstLine="420" w:firstLineChars="200"/>
        <w:rPr>
          <w:rFonts w:hint="eastAsia" w:ascii="宋体" w:hAnsi="宋体" w:cs="宋体"/>
          <w:color w:val="auto"/>
        </w:rPr>
      </w:pPr>
      <w:r>
        <w:rPr>
          <w:rFonts w:hint="eastAsia" w:ascii="宋体" w:hAnsi="宋体" w:cs="宋体"/>
          <w:color w:val="auto"/>
        </w:rPr>
        <w:t>30.4 供应商提出质疑应当提交质疑函和必要的证明材料，针对同一采购程序环节的质疑必须在法定质疑期内一次性提出。质疑函应当包括下列内容</w:t>
      </w:r>
      <w:r>
        <w:rPr>
          <w:rFonts w:hint="eastAsia" w:hAnsi="宋体"/>
          <w:bCs/>
          <w:color w:val="auto"/>
        </w:rPr>
        <w:t>（质疑函格式后附）</w:t>
      </w:r>
      <w:r>
        <w:rPr>
          <w:rFonts w:hint="eastAsia" w:ascii="宋体" w:hAnsi="宋体" w:cs="宋体"/>
          <w:color w:val="auto"/>
        </w:rPr>
        <w:t>：</w:t>
      </w:r>
    </w:p>
    <w:p w14:paraId="71508228">
      <w:pPr>
        <w:spacing w:line="360" w:lineRule="auto"/>
        <w:ind w:firstLine="420" w:firstLineChars="200"/>
        <w:rPr>
          <w:rFonts w:hint="eastAsia" w:ascii="宋体" w:hAnsi="宋体" w:cs="宋体"/>
          <w:color w:val="auto"/>
        </w:rPr>
      </w:pPr>
      <w:r>
        <w:rPr>
          <w:rFonts w:hint="eastAsia" w:ascii="宋体" w:hAnsi="宋体" w:cs="宋体"/>
          <w:color w:val="auto"/>
        </w:rPr>
        <w:t>（1）供应商的姓名或者名称、地址、邮编、联系人及联系电话；</w:t>
      </w:r>
    </w:p>
    <w:p w14:paraId="1114D565">
      <w:pPr>
        <w:spacing w:line="360" w:lineRule="auto"/>
        <w:ind w:firstLine="420" w:firstLineChars="200"/>
        <w:rPr>
          <w:rFonts w:hint="eastAsia" w:ascii="宋体" w:hAnsi="宋体" w:cs="宋体"/>
          <w:color w:val="auto"/>
        </w:rPr>
      </w:pPr>
      <w:r>
        <w:rPr>
          <w:rFonts w:hint="eastAsia" w:ascii="宋体" w:hAnsi="宋体" w:cs="宋体"/>
          <w:color w:val="auto"/>
        </w:rPr>
        <w:t>（2）质疑项目的名称、编号；</w:t>
      </w:r>
    </w:p>
    <w:p w14:paraId="5D2E4CC5">
      <w:pPr>
        <w:spacing w:line="360" w:lineRule="auto"/>
        <w:ind w:firstLine="420" w:firstLineChars="200"/>
        <w:rPr>
          <w:rFonts w:hint="eastAsia" w:ascii="宋体" w:hAnsi="宋体" w:cs="宋体"/>
          <w:color w:val="auto"/>
        </w:rPr>
      </w:pPr>
      <w:r>
        <w:rPr>
          <w:rFonts w:hint="eastAsia" w:ascii="宋体" w:hAnsi="宋体" w:cs="宋体"/>
          <w:color w:val="auto"/>
        </w:rPr>
        <w:t>（3）具体、明确的质疑事项和与质疑事项相关的请求；</w:t>
      </w:r>
    </w:p>
    <w:p w14:paraId="7D3C184E">
      <w:pPr>
        <w:spacing w:line="360" w:lineRule="auto"/>
        <w:ind w:firstLine="420" w:firstLineChars="200"/>
        <w:rPr>
          <w:rFonts w:hint="eastAsia" w:ascii="宋体" w:hAnsi="宋体" w:cs="宋体"/>
          <w:color w:val="auto"/>
        </w:rPr>
      </w:pPr>
      <w:r>
        <w:rPr>
          <w:rFonts w:hint="eastAsia" w:ascii="宋体" w:hAnsi="宋体" w:cs="宋体"/>
          <w:color w:val="auto"/>
        </w:rPr>
        <w:t>（4）事实依据；</w:t>
      </w:r>
    </w:p>
    <w:p w14:paraId="4E72691D">
      <w:pPr>
        <w:spacing w:line="360" w:lineRule="auto"/>
        <w:ind w:firstLine="420" w:firstLineChars="200"/>
        <w:rPr>
          <w:rFonts w:hint="eastAsia" w:ascii="宋体" w:hAnsi="宋体" w:cs="宋体"/>
          <w:color w:val="auto"/>
        </w:rPr>
      </w:pPr>
      <w:r>
        <w:rPr>
          <w:rFonts w:hint="eastAsia" w:ascii="宋体" w:hAnsi="宋体" w:cs="宋体"/>
          <w:color w:val="auto"/>
        </w:rPr>
        <w:t>（5）必要的法律依据；</w:t>
      </w:r>
    </w:p>
    <w:p w14:paraId="1CABC8F0">
      <w:pPr>
        <w:spacing w:line="360" w:lineRule="auto"/>
        <w:ind w:firstLine="420" w:firstLineChars="200"/>
        <w:rPr>
          <w:rFonts w:hint="eastAsia" w:ascii="宋体" w:hAnsi="宋体" w:cs="宋体"/>
          <w:color w:val="auto"/>
        </w:rPr>
      </w:pPr>
      <w:r>
        <w:rPr>
          <w:rFonts w:hint="eastAsia" w:ascii="宋体" w:hAnsi="宋体" w:cs="宋体"/>
          <w:color w:val="auto"/>
        </w:rPr>
        <w:t>（6）提出质疑的日期。</w:t>
      </w:r>
    </w:p>
    <w:p w14:paraId="15B1EFE6">
      <w:pPr>
        <w:spacing w:line="360" w:lineRule="auto"/>
        <w:ind w:firstLine="420" w:firstLineChars="200"/>
        <w:rPr>
          <w:rFonts w:ascii="宋体" w:hAnsi="宋体" w:cs="宋体"/>
          <w:color w:val="auto"/>
        </w:rPr>
      </w:pPr>
      <w:r>
        <w:rPr>
          <w:rFonts w:hint="eastAsia" w:ascii="宋体" w:hAnsi="宋体" w:cs="宋体"/>
          <w:color w:val="auto"/>
        </w:rPr>
        <w:t>供应商为自然人的，应当由本人签字；供应商为法人或者其他组织的，应当由法定代表人、主要负责人，或者其委托代理人签字或者盖章，并加盖公章。</w:t>
      </w:r>
    </w:p>
    <w:p w14:paraId="42CA5642">
      <w:pPr>
        <w:spacing w:line="360" w:lineRule="auto"/>
        <w:ind w:firstLine="420" w:firstLineChars="200"/>
        <w:rPr>
          <w:rFonts w:hint="eastAsia" w:ascii="宋体" w:hAnsi="宋体" w:cs="宋体"/>
          <w:color w:val="auto"/>
        </w:rPr>
      </w:pPr>
      <w:r>
        <w:rPr>
          <w:rFonts w:hint="eastAsia" w:ascii="宋体" w:hAnsi="宋体" w:cs="宋体"/>
          <w:color w:val="auto"/>
        </w:rPr>
        <w:t>30</w:t>
      </w:r>
      <w:r>
        <w:rPr>
          <w:rFonts w:ascii="宋体" w:hAnsi="宋体" w:cs="宋体"/>
          <w:color w:val="auto"/>
        </w:rPr>
        <w:t>.5</w:t>
      </w:r>
      <w:r>
        <w:rPr>
          <w:rFonts w:hint="eastAsia" w:ascii="宋体" w:hAnsi="宋体" w:cs="宋体"/>
          <w:color w:val="auto"/>
        </w:rPr>
        <w:t>采购人、采购代理机构认为供应商质疑不成立，或者成立但未对成交结果构成影响的，继续开展采购活动；认为供应商质疑成立且影响或者可能影响成交结果的，按照下列情况处理：</w:t>
      </w:r>
    </w:p>
    <w:p w14:paraId="09870DA4">
      <w:pPr>
        <w:spacing w:line="360" w:lineRule="auto"/>
        <w:ind w:firstLine="420" w:firstLineChars="200"/>
        <w:rPr>
          <w:rFonts w:ascii="宋体" w:hAnsi="宋体" w:cs="宋体"/>
          <w:color w:val="auto"/>
        </w:rPr>
      </w:pPr>
      <w:r>
        <w:rPr>
          <w:rFonts w:hint="eastAsia" w:ascii="宋体" w:hAnsi="宋体" w:cs="宋体"/>
          <w:color w:val="auto"/>
        </w:rPr>
        <w:t>（1）对采购文件提出的质疑，依法通过澄清或者修改可以继续开展采购活动的，澄清或者修改采购文件后继续开展采购活动；否则应当修改采购文件后重新开展采购活动。</w:t>
      </w:r>
    </w:p>
    <w:p w14:paraId="14B90842">
      <w:pPr>
        <w:spacing w:line="360" w:lineRule="auto"/>
        <w:ind w:firstLine="420" w:firstLineChars="200"/>
        <w:rPr>
          <w:rFonts w:ascii="宋体" w:hAnsi="宋体" w:cs="宋体"/>
          <w:color w:val="auto"/>
        </w:rPr>
      </w:pPr>
      <w:r>
        <w:rPr>
          <w:rFonts w:hint="eastAsia" w:ascii="宋体" w:hAnsi="宋体" w:cs="宋体"/>
          <w:color w:val="auto"/>
        </w:rPr>
        <w:t>（2）对采购过程或者成交结果提出的质疑，合格供应商符合法定数量时，可以从合格的成交候选人中另行确定成交供应商的，应当依法另行确定成交供应商；否则应当重新开展采购活动。</w:t>
      </w:r>
    </w:p>
    <w:p w14:paraId="630F08CD">
      <w:pPr>
        <w:spacing w:line="360" w:lineRule="auto"/>
        <w:ind w:firstLine="420" w:firstLineChars="200"/>
        <w:rPr>
          <w:rFonts w:hint="eastAsia" w:ascii="宋体" w:hAnsi="宋体" w:cs="宋体"/>
          <w:color w:val="auto"/>
        </w:rPr>
      </w:pPr>
      <w:r>
        <w:rPr>
          <w:rFonts w:hint="eastAsia" w:ascii="宋体" w:hAnsi="宋体" w:cs="宋体"/>
          <w:color w:val="auto"/>
        </w:rPr>
        <w:t>质疑答复导致成交结果改变的，采购人或者采购代理机构应当将有关情况书面报告本级财政部门。</w:t>
      </w:r>
    </w:p>
    <w:p w14:paraId="37EA78C7">
      <w:pPr>
        <w:spacing w:line="360" w:lineRule="auto"/>
        <w:ind w:firstLine="420" w:firstLineChars="200"/>
        <w:rPr>
          <w:rFonts w:hint="eastAsia" w:ascii="宋体" w:hAnsi="宋体" w:cs="宋体"/>
          <w:color w:val="auto"/>
          <w:szCs w:val="21"/>
        </w:rPr>
      </w:pPr>
      <w:r>
        <w:rPr>
          <w:rFonts w:ascii="宋体" w:hAnsi="宋体" w:cs="宋体"/>
          <w:color w:val="auto"/>
        </w:rPr>
        <w:t>3</w:t>
      </w:r>
      <w:r>
        <w:rPr>
          <w:rFonts w:hint="eastAsia" w:ascii="宋体" w:hAnsi="宋体" w:cs="宋体"/>
          <w:color w:val="auto"/>
        </w:rPr>
        <w:t>0.</w:t>
      </w:r>
      <w:r>
        <w:rPr>
          <w:rFonts w:ascii="宋体" w:hAnsi="宋体" w:cs="宋体"/>
          <w:color w:val="auto"/>
        </w:rPr>
        <w:t>6</w:t>
      </w:r>
      <w:r>
        <w:rPr>
          <w:rFonts w:hint="eastAsia" w:ascii="宋体" w:hAnsi="宋体" w:cs="宋体"/>
          <w:color w:val="auto"/>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1BCBB47B">
      <w:pPr>
        <w:spacing w:line="360" w:lineRule="auto"/>
        <w:ind w:firstLine="482" w:firstLineChars="200"/>
        <w:rPr>
          <w:rFonts w:hint="eastAsia" w:ascii="黑体" w:hAnsi="黑体" w:eastAsia="黑体" w:cs="宋体"/>
          <w:b/>
          <w:bCs/>
          <w:color w:val="auto"/>
          <w:sz w:val="24"/>
        </w:rPr>
      </w:pPr>
      <w:r>
        <w:rPr>
          <w:rFonts w:ascii="黑体" w:hAnsi="黑体" w:eastAsia="黑体" w:cs="宋体"/>
          <w:b/>
          <w:bCs/>
          <w:color w:val="auto"/>
          <w:sz w:val="24"/>
        </w:rPr>
        <w:t>3</w:t>
      </w:r>
      <w:r>
        <w:rPr>
          <w:rFonts w:hint="eastAsia" w:ascii="黑体" w:hAnsi="黑体" w:eastAsia="黑体" w:cs="宋体"/>
          <w:b/>
          <w:bCs/>
          <w:color w:val="auto"/>
          <w:sz w:val="24"/>
        </w:rPr>
        <w:t>1.其他内容</w:t>
      </w:r>
    </w:p>
    <w:p w14:paraId="1BE02AFE">
      <w:pPr>
        <w:tabs>
          <w:tab w:val="left" w:pos="2835"/>
        </w:tabs>
        <w:spacing w:line="360" w:lineRule="auto"/>
        <w:ind w:firstLine="420" w:firstLineChars="200"/>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1.1代理服务收取标准及缴费账户详见“供应商须知前附表”，供应商为联合体的，可以由联合体中的一方或者多方共同交纳代理服务费。</w:t>
      </w:r>
    </w:p>
    <w:p w14:paraId="5EAA0C1A">
      <w:pPr>
        <w:tabs>
          <w:tab w:val="left" w:pos="2835"/>
        </w:tabs>
        <w:spacing w:line="360" w:lineRule="auto"/>
        <w:ind w:firstLine="420" w:firstLineChars="200"/>
        <w:rPr>
          <w:rFonts w:hint="eastAsia" w:ascii="宋体" w:hAnsi="宋体" w:cs="宋体"/>
          <w:color w:val="auto"/>
          <w:szCs w:val="21"/>
        </w:rPr>
      </w:pPr>
      <w:r>
        <w:rPr>
          <w:rFonts w:ascii="宋体" w:hAnsi="宋体" w:cs="宋体"/>
          <w:color w:val="auto"/>
          <w:szCs w:val="21"/>
        </w:rPr>
        <w:t>3</w:t>
      </w:r>
      <w:r>
        <w:rPr>
          <w:rFonts w:hint="eastAsia" w:ascii="宋体" w:hAnsi="宋体" w:cs="宋体"/>
          <w:color w:val="auto"/>
          <w:szCs w:val="21"/>
        </w:rPr>
        <w:t>1</w:t>
      </w:r>
      <w:r>
        <w:rPr>
          <w:rFonts w:ascii="宋体" w:hAnsi="宋体" w:cs="宋体"/>
          <w:color w:val="auto"/>
          <w:szCs w:val="21"/>
        </w:rPr>
        <w:t>.2</w:t>
      </w:r>
      <w:r>
        <w:rPr>
          <w:rFonts w:hint="eastAsia" w:ascii="宋体" w:hAnsi="宋体" w:cs="宋体"/>
          <w:color w:val="auto"/>
          <w:szCs w:val="21"/>
        </w:rPr>
        <w:t>代理服务费收费计算标准：</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04AC6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14:paraId="08BF13F8">
            <w:pPr>
              <w:spacing w:line="360" w:lineRule="auto"/>
              <w:rPr>
                <w:rFonts w:hint="eastAsia" w:ascii="宋体" w:hAnsi="宋体" w:cs="宋体"/>
                <w:color w:val="auto"/>
                <w:szCs w:val="21"/>
              </w:rPr>
            </w:pPr>
            <w:r>
              <w:rPr>
                <w:rFonts w:hint="eastAsia" w:ascii="宋体" w:hAnsi="宋体" w:cs="宋体"/>
                <w:color w:val="auto"/>
                <w:szCs w:val="21"/>
              </w:rPr>
              <w:t xml:space="preserve">               费率</w:t>
            </w:r>
          </w:p>
          <w:p w14:paraId="0B9E6DD7">
            <w:pPr>
              <w:spacing w:line="360" w:lineRule="auto"/>
              <w:rPr>
                <w:rFonts w:hint="eastAsia" w:ascii="宋体" w:hAnsi="宋体" w:cs="宋体"/>
                <w:color w:val="auto"/>
                <w:szCs w:val="21"/>
              </w:rPr>
            </w:pPr>
            <w:r>
              <w:rPr>
                <w:rFonts w:hint="eastAsia" w:ascii="宋体" w:hAnsi="宋体" w:cs="宋体"/>
                <w:color w:val="auto"/>
                <w:szCs w:val="21"/>
              </w:rPr>
              <w:t>金额</w:t>
            </w:r>
          </w:p>
        </w:tc>
        <w:tc>
          <w:tcPr>
            <w:tcW w:w="1659" w:type="dxa"/>
            <w:noWrap w:val="0"/>
            <w:vAlign w:val="center"/>
          </w:tcPr>
          <w:p w14:paraId="3F0998EB">
            <w:pPr>
              <w:spacing w:line="360" w:lineRule="auto"/>
              <w:ind w:firstLine="105" w:firstLineChars="50"/>
              <w:jc w:val="center"/>
              <w:rPr>
                <w:rFonts w:hint="eastAsia" w:ascii="宋体" w:hAnsi="宋体" w:cs="宋体"/>
                <w:color w:val="auto"/>
                <w:szCs w:val="21"/>
              </w:rPr>
            </w:pPr>
            <w:r>
              <w:rPr>
                <w:rFonts w:hint="eastAsia" w:ascii="宋体" w:hAnsi="宋体" w:cs="宋体"/>
                <w:color w:val="auto"/>
                <w:szCs w:val="21"/>
              </w:rPr>
              <w:t>货物类</w:t>
            </w:r>
          </w:p>
        </w:tc>
        <w:tc>
          <w:tcPr>
            <w:tcW w:w="1532" w:type="dxa"/>
            <w:noWrap w:val="0"/>
            <w:vAlign w:val="center"/>
          </w:tcPr>
          <w:p w14:paraId="7F73751B">
            <w:pPr>
              <w:spacing w:line="360" w:lineRule="auto"/>
              <w:jc w:val="center"/>
              <w:rPr>
                <w:rFonts w:hint="eastAsia" w:ascii="宋体" w:hAnsi="宋体" w:cs="宋体"/>
                <w:color w:val="auto"/>
                <w:szCs w:val="21"/>
              </w:rPr>
            </w:pPr>
            <w:r>
              <w:rPr>
                <w:rFonts w:hint="eastAsia" w:ascii="宋体" w:hAnsi="宋体" w:cs="宋体"/>
                <w:color w:val="auto"/>
                <w:szCs w:val="21"/>
              </w:rPr>
              <w:t>服务类</w:t>
            </w:r>
          </w:p>
        </w:tc>
        <w:tc>
          <w:tcPr>
            <w:tcW w:w="1546" w:type="dxa"/>
            <w:noWrap w:val="0"/>
            <w:vAlign w:val="center"/>
          </w:tcPr>
          <w:p w14:paraId="50CF5FF8">
            <w:pPr>
              <w:spacing w:line="360" w:lineRule="auto"/>
              <w:jc w:val="center"/>
              <w:rPr>
                <w:rFonts w:hint="eastAsia" w:ascii="宋体" w:hAnsi="宋体" w:cs="宋体"/>
                <w:color w:val="auto"/>
                <w:szCs w:val="21"/>
              </w:rPr>
            </w:pPr>
            <w:r>
              <w:rPr>
                <w:rFonts w:hint="eastAsia" w:ascii="宋体" w:hAnsi="宋体" w:cs="宋体"/>
                <w:color w:val="auto"/>
                <w:szCs w:val="21"/>
              </w:rPr>
              <w:t>工程类</w:t>
            </w:r>
          </w:p>
        </w:tc>
      </w:tr>
      <w:tr w14:paraId="26046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C9F55EC">
            <w:pPr>
              <w:spacing w:line="360" w:lineRule="auto"/>
              <w:rPr>
                <w:rFonts w:hint="eastAsia" w:ascii="宋体" w:hAnsi="宋体" w:cs="宋体"/>
                <w:color w:val="auto"/>
                <w:szCs w:val="21"/>
              </w:rPr>
            </w:pPr>
            <w:r>
              <w:rPr>
                <w:rFonts w:hint="eastAsia" w:ascii="宋体" w:hAnsi="宋体" w:cs="宋体"/>
                <w:color w:val="auto"/>
                <w:szCs w:val="21"/>
              </w:rPr>
              <w:t>100万元以下</w:t>
            </w:r>
          </w:p>
        </w:tc>
        <w:tc>
          <w:tcPr>
            <w:tcW w:w="1659" w:type="dxa"/>
            <w:noWrap w:val="0"/>
            <w:vAlign w:val="top"/>
          </w:tcPr>
          <w:p w14:paraId="073EF271">
            <w:pPr>
              <w:spacing w:line="360" w:lineRule="auto"/>
              <w:rPr>
                <w:rFonts w:hint="eastAsia" w:ascii="宋体" w:hAnsi="宋体" w:cs="宋体"/>
                <w:color w:val="auto"/>
                <w:szCs w:val="21"/>
              </w:rPr>
            </w:pPr>
            <w:r>
              <w:rPr>
                <w:rFonts w:hint="eastAsia" w:ascii="宋体" w:hAnsi="宋体" w:cs="宋体"/>
                <w:color w:val="auto"/>
                <w:kern w:val="0"/>
                <w:szCs w:val="21"/>
              </w:rPr>
              <w:t xml:space="preserve">  1.5%                </w:t>
            </w:r>
          </w:p>
        </w:tc>
        <w:tc>
          <w:tcPr>
            <w:tcW w:w="1532" w:type="dxa"/>
            <w:noWrap w:val="0"/>
            <w:vAlign w:val="top"/>
          </w:tcPr>
          <w:p w14:paraId="5210F106">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1.5%</w:t>
            </w:r>
          </w:p>
        </w:tc>
        <w:tc>
          <w:tcPr>
            <w:tcW w:w="1546" w:type="dxa"/>
            <w:noWrap w:val="0"/>
            <w:vAlign w:val="top"/>
          </w:tcPr>
          <w:p w14:paraId="4B643C54">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 xml:space="preserve">1.0% </w:t>
            </w:r>
          </w:p>
        </w:tc>
      </w:tr>
      <w:tr w14:paraId="4C8BB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2F36A0B">
            <w:pPr>
              <w:spacing w:line="360" w:lineRule="auto"/>
              <w:rPr>
                <w:rFonts w:hint="eastAsia" w:ascii="宋体" w:hAnsi="宋体" w:cs="宋体"/>
                <w:color w:val="auto"/>
                <w:szCs w:val="21"/>
              </w:rPr>
            </w:pPr>
            <w:r>
              <w:rPr>
                <w:rFonts w:hint="eastAsia" w:ascii="宋体" w:hAnsi="宋体" w:cs="宋体"/>
                <w:color w:val="auto"/>
                <w:szCs w:val="21"/>
              </w:rPr>
              <w:t>100～500万元</w:t>
            </w:r>
          </w:p>
        </w:tc>
        <w:tc>
          <w:tcPr>
            <w:tcW w:w="1659" w:type="dxa"/>
            <w:noWrap w:val="0"/>
            <w:vAlign w:val="top"/>
          </w:tcPr>
          <w:p w14:paraId="29A04501">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 xml:space="preserve">1.1%                 </w:t>
            </w:r>
          </w:p>
        </w:tc>
        <w:tc>
          <w:tcPr>
            <w:tcW w:w="1532" w:type="dxa"/>
            <w:noWrap w:val="0"/>
            <w:vAlign w:val="top"/>
          </w:tcPr>
          <w:p w14:paraId="289370F7">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0.8%</w:t>
            </w:r>
          </w:p>
        </w:tc>
        <w:tc>
          <w:tcPr>
            <w:tcW w:w="1546" w:type="dxa"/>
            <w:noWrap w:val="0"/>
            <w:vAlign w:val="top"/>
          </w:tcPr>
          <w:p w14:paraId="0C289BB8">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 xml:space="preserve">0.7% </w:t>
            </w:r>
          </w:p>
        </w:tc>
      </w:tr>
      <w:tr w14:paraId="31565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2E8C751">
            <w:pPr>
              <w:spacing w:line="360" w:lineRule="auto"/>
              <w:rPr>
                <w:rFonts w:hint="eastAsia" w:ascii="宋体" w:hAnsi="宋体" w:cs="宋体"/>
                <w:color w:val="auto"/>
                <w:szCs w:val="21"/>
              </w:rPr>
            </w:pPr>
            <w:r>
              <w:rPr>
                <w:rFonts w:hint="eastAsia" w:ascii="宋体" w:hAnsi="宋体" w:cs="宋体"/>
                <w:color w:val="auto"/>
                <w:szCs w:val="21"/>
              </w:rPr>
              <w:t>500～1000万元</w:t>
            </w:r>
          </w:p>
        </w:tc>
        <w:tc>
          <w:tcPr>
            <w:tcW w:w="1659" w:type="dxa"/>
            <w:noWrap w:val="0"/>
            <w:vAlign w:val="top"/>
          </w:tcPr>
          <w:p w14:paraId="7D9169E3">
            <w:pPr>
              <w:spacing w:line="360" w:lineRule="auto"/>
              <w:rPr>
                <w:rFonts w:hint="eastAsia" w:ascii="宋体" w:hAnsi="宋体" w:cs="宋体"/>
                <w:color w:val="auto"/>
                <w:szCs w:val="21"/>
              </w:rPr>
            </w:pPr>
            <w:r>
              <w:rPr>
                <w:rFonts w:hint="eastAsia" w:ascii="宋体" w:hAnsi="宋体" w:cs="宋体"/>
                <w:color w:val="auto"/>
                <w:kern w:val="0"/>
                <w:szCs w:val="21"/>
              </w:rPr>
              <w:t xml:space="preserve">  0.8%                </w:t>
            </w:r>
          </w:p>
        </w:tc>
        <w:tc>
          <w:tcPr>
            <w:tcW w:w="1532" w:type="dxa"/>
            <w:noWrap w:val="0"/>
            <w:vAlign w:val="top"/>
          </w:tcPr>
          <w:p w14:paraId="7D586472">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0.45%</w:t>
            </w:r>
          </w:p>
        </w:tc>
        <w:tc>
          <w:tcPr>
            <w:tcW w:w="1546" w:type="dxa"/>
            <w:noWrap w:val="0"/>
            <w:vAlign w:val="top"/>
          </w:tcPr>
          <w:p w14:paraId="5E10A403">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0.55%</w:t>
            </w:r>
          </w:p>
        </w:tc>
      </w:tr>
      <w:tr w14:paraId="2BF87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CCC0940">
            <w:pPr>
              <w:spacing w:line="360" w:lineRule="auto"/>
              <w:rPr>
                <w:rFonts w:hint="eastAsia" w:ascii="宋体" w:hAnsi="宋体" w:cs="宋体"/>
                <w:color w:val="auto"/>
                <w:szCs w:val="21"/>
              </w:rPr>
            </w:pPr>
            <w:r>
              <w:rPr>
                <w:rFonts w:hint="eastAsia" w:ascii="宋体" w:hAnsi="宋体" w:cs="宋体"/>
                <w:color w:val="auto"/>
                <w:szCs w:val="21"/>
              </w:rPr>
              <w:t>1000～5000万元</w:t>
            </w:r>
          </w:p>
        </w:tc>
        <w:tc>
          <w:tcPr>
            <w:tcW w:w="1659" w:type="dxa"/>
            <w:noWrap w:val="0"/>
            <w:vAlign w:val="top"/>
          </w:tcPr>
          <w:p w14:paraId="6A3E0878">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 xml:space="preserve">0.5%                </w:t>
            </w:r>
          </w:p>
        </w:tc>
        <w:tc>
          <w:tcPr>
            <w:tcW w:w="1532" w:type="dxa"/>
            <w:noWrap w:val="0"/>
            <w:vAlign w:val="top"/>
          </w:tcPr>
          <w:p w14:paraId="6C28F024">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0.25%</w:t>
            </w:r>
          </w:p>
        </w:tc>
        <w:tc>
          <w:tcPr>
            <w:tcW w:w="1546" w:type="dxa"/>
            <w:noWrap w:val="0"/>
            <w:vAlign w:val="top"/>
          </w:tcPr>
          <w:p w14:paraId="23C3AEBB">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 xml:space="preserve">0.35% </w:t>
            </w:r>
          </w:p>
        </w:tc>
      </w:tr>
      <w:tr w14:paraId="32076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580A13B">
            <w:pPr>
              <w:spacing w:line="360" w:lineRule="auto"/>
              <w:rPr>
                <w:rFonts w:hint="eastAsia" w:ascii="宋体" w:hAnsi="宋体" w:cs="宋体"/>
                <w:color w:val="auto"/>
                <w:szCs w:val="21"/>
              </w:rPr>
            </w:pPr>
            <w:r>
              <w:rPr>
                <w:rFonts w:hint="eastAsia" w:ascii="宋体" w:hAnsi="宋体" w:cs="宋体"/>
                <w:color w:val="auto"/>
                <w:szCs w:val="21"/>
              </w:rPr>
              <w:t>5000万元～1亿元</w:t>
            </w:r>
          </w:p>
        </w:tc>
        <w:tc>
          <w:tcPr>
            <w:tcW w:w="1659" w:type="dxa"/>
            <w:noWrap w:val="0"/>
            <w:vAlign w:val="top"/>
          </w:tcPr>
          <w:p w14:paraId="5A7EBAF5">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 xml:space="preserve">0.25%                 </w:t>
            </w:r>
          </w:p>
        </w:tc>
        <w:tc>
          <w:tcPr>
            <w:tcW w:w="1532" w:type="dxa"/>
            <w:noWrap w:val="0"/>
            <w:vAlign w:val="top"/>
          </w:tcPr>
          <w:p w14:paraId="3D24C098">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0.1%</w:t>
            </w:r>
          </w:p>
        </w:tc>
        <w:tc>
          <w:tcPr>
            <w:tcW w:w="1546" w:type="dxa"/>
            <w:noWrap w:val="0"/>
            <w:vAlign w:val="top"/>
          </w:tcPr>
          <w:p w14:paraId="2EB25667">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0.2%</w:t>
            </w:r>
          </w:p>
        </w:tc>
      </w:tr>
      <w:tr w14:paraId="54DE9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2BB77EE">
            <w:pPr>
              <w:spacing w:line="360" w:lineRule="auto"/>
              <w:rPr>
                <w:rFonts w:hint="eastAsia" w:ascii="宋体" w:hAnsi="宋体" w:cs="宋体"/>
                <w:color w:val="auto"/>
                <w:szCs w:val="21"/>
              </w:rPr>
            </w:pPr>
            <w:r>
              <w:rPr>
                <w:rFonts w:hint="eastAsia" w:ascii="宋体" w:hAnsi="宋体" w:cs="宋体"/>
                <w:color w:val="auto"/>
                <w:szCs w:val="21"/>
              </w:rPr>
              <w:t>1～5亿元</w:t>
            </w:r>
          </w:p>
        </w:tc>
        <w:tc>
          <w:tcPr>
            <w:tcW w:w="1659" w:type="dxa"/>
            <w:noWrap w:val="0"/>
            <w:vAlign w:val="top"/>
          </w:tcPr>
          <w:p w14:paraId="565CB149">
            <w:pPr>
              <w:spacing w:line="360" w:lineRule="auto"/>
              <w:ind w:firstLine="210" w:firstLineChars="100"/>
              <w:rPr>
                <w:rFonts w:hint="eastAsia" w:ascii="宋体" w:hAnsi="宋体" w:cs="宋体"/>
                <w:color w:val="auto"/>
                <w:szCs w:val="21"/>
              </w:rPr>
            </w:pPr>
            <w:r>
              <w:rPr>
                <w:rFonts w:hint="eastAsia" w:ascii="宋体" w:hAnsi="宋体" w:cs="宋体"/>
                <w:color w:val="auto"/>
                <w:szCs w:val="21"/>
              </w:rPr>
              <w:t>0.05%</w:t>
            </w:r>
          </w:p>
        </w:tc>
        <w:tc>
          <w:tcPr>
            <w:tcW w:w="1532" w:type="dxa"/>
            <w:noWrap w:val="0"/>
            <w:vAlign w:val="top"/>
          </w:tcPr>
          <w:p w14:paraId="4C4A8B75">
            <w:pPr>
              <w:spacing w:line="360" w:lineRule="auto"/>
              <w:rPr>
                <w:rFonts w:hint="eastAsia" w:ascii="宋体" w:hAnsi="宋体" w:cs="宋体"/>
                <w:color w:val="auto"/>
                <w:szCs w:val="21"/>
              </w:rPr>
            </w:pPr>
            <w:r>
              <w:rPr>
                <w:rFonts w:hint="eastAsia" w:ascii="宋体" w:hAnsi="宋体" w:cs="宋体"/>
                <w:color w:val="auto"/>
                <w:szCs w:val="21"/>
              </w:rPr>
              <w:t xml:space="preserve">  0.05%</w:t>
            </w:r>
          </w:p>
        </w:tc>
        <w:tc>
          <w:tcPr>
            <w:tcW w:w="1546" w:type="dxa"/>
            <w:noWrap w:val="0"/>
            <w:vAlign w:val="top"/>
          </w:tcPr>
          <w:p w14:paraId="5BF9A5F8">
            <w:pPr>
              <w:spacing w:line="360" w:lineRule="auto"/>
              <w:rPr>
                <w:rFonts w:hint="eastAsia" w:ascii="宋体" w:hAnsi="宋体" w:cs="宋体"/>
                <w:color w:val="auto"/>
                <w:szCs w:val="21"/>
              </w:rPr>
            </w:pPr>
            <w:r>
              <w:rPr>
                <w:rFonts w:hint="eastAsia" w:ascii="宋体" w:hAnsi="宋体" w:cs="宋体"/>
                <w:color w:val="auto"/>
                <w:szCs w:val="21"/>
              </w:rPr>
              <w:t xml:space="preserve">  0.05%</w:t>
            </w:r>
          </w:p>
        </w:tc>
      </w:tr>
      <w:tr w14:paraId="03501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3516982">
            <w:pPr>
              <w:spacing w:line="360" w:lineRule="auto"/>
              <w:rPr>
                <w:rFonts w:hint="eastAsia" w:ascii="宋体" w:hAnsi="宋体" w:cs="宋体"/>
                <w:color w:val="auto"/>
                <w:szCs w:val="21"/>
              </w:rPr>
            </w:pPr>
            <w:r>
              <w:rPr>
                <w:rFonts w:hint="eastAsia" w:ascii="宋体" w:hAnsi="宋体" w:cs="宋体"/>
                <w:color w:val="auto"/>
                <w:szCs w:val="21"/>
              </w:rPr>
              <w:t>5～10亿元</w:t>
            </w:r>
          </w:p>
        </w:tc>
        <w:tc>
          <w:tcPr>
            <w:tcW w:w="1659" w:type="dxa"/>
            <w:noWrap w:val="0"/>
            <w:vAlign w:val="top"/>
          </w:tcPr>
          <w:p w14:paraId="691596E5">
            <w:pPr>
              <w:spacing w:line="360" w:lineRule="auto"/>
              <w:ind w:firstLine="105" w:firstLineChars="50"/>
              <w:rPr>
                <w:rFonts w:hint="eastAsia" w:ascii="宋体" w:hAnsi="宋体" w:cs="宋体"/>
                <w:color w:val="auto"/>
                <w:szCs w:val="21"/>
              </w:rPr>
            </w:pPr>
            <w:r>
              <w:rPr>
                <w:rFonts w:hint="eastAsia" w:ascii="宋体" w:hAnsi="宋体" w:cs="宋体"/>
                <w:color w:val="auto"/>
                <w:szCs w:val="21"/>
              </w:rPr>
              <w:t>0.035%</w:t>
            </w:r>
          </w:p>
        </w:tc>
        <w:tc>
          <w:tcPr>
            <w:tcW w:w="1532" w:type="dxa"/>
            <w:noWrap w:val="0"/>
            <w:vAlign w:val="top"/>
          </w:tcPr>
          <w:p w14:paraId="2AF54C00">
            <w:pPr>
              <w:spacing w:line="360" w:lineRule="auto"/>
              <w:rPr>
                <w:rFonts w:hint="eastAsia" w:ascii="宋体" w:hAnsi="宋体" w:cs="宋体"/>
                <w:color w:val="auto"/>
                <w:szCs w:val="21"/>
              </w:rPr>
            </w:pPr>
            <w:r>
              <w:rPr>
                <w:rFonts w:hint="eastAsia" w:ascii="宋体" w:hAnsi="宋体" w:cs="宋体"/>
                <w:color w:val="auto"/>
                <w:szCs w:val="21"/>
              </w:rPr>
              <w:t xml:space="preserve">  0.035%</w:t>
            </w:r>
          </w:p>
        </w:tc>
        <w:tc>
          <w:tcPr>
            <w:tcW w:w="1546" w:type="dxa"/>
            <w:noWrap w:val="0"/>
            <w:vAlign w:val="top"/>
          </w:tcPr>
          <w:p w14:paraId="43A07033">
            <w:pPr>
              <w:spacing w:line="360" w:lineRule="auto"/>
              <w:ind w:firstLine="105" w:firstLineChars="50"/>
              <w:rPr>
                <w:rFonts w:hint="eastAsia" w:ascii="宋体" w:hAnsi="宋体" w:cs="宋体"/>
                <w:color w:val="auto"/>
                <w:szCs w:val="21"/>
              </w:rPr>
            </w:pPr>
            <w:r>
              <w:rPr>
                <w:rFonts w:hint="eastAsia" w:ascii="宋体" w:hAnsi="宋体" w:cs="宋体"/>
                <w:color w:val="auto"/>
                <w:szCs w:val="21"/>
              </w:rPr>
              <w:t>0.035%</w:t>
            </w:r>
          </w:p>
        </w:tc>
      </w:tr>
      <w:tr w14:paraId="1834E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EEA5CB0">
            <w:pPr>
              <w:spacing w:line="360" w:lineRule="auto"/>
              <w:rPr>
                <w:rFonts w:hint="eastAsia" w:ascii="宋体" w:hAnsi="宋体" w:cs="宋体"/>
                <w:color w:val="auto"/>
                <w:szCs w:val="21"/>
              </w:rPr>
            </w:pPr>
            <w:r>
              <w:rPr>
                <w:rFonts w:hint="eastAsia" w:ascii="宋体" w:hAnsi="宋体" w:cs="宋体"/>
                <w:color w:val="auto"/>
                <w:szCs w:val="21"/>
              </w:rPr>
              <w:t>10～50亿元</w:t>
            </w:r>
          </w:p>
        </w:tc>
        <w:tc>
          <w:tcPr>
            <w:tcW w:w="1659" w:type="dxa"/>
            <w:noWrap w:val="0"/>
            <w:vAlign w:val="top"/>
          </w:tcPr>
          <w:p w14:paraId="484AE833">
            <w:pPr>
              <w:spacing w:line="360" w:lineRule="auto"/>
              <w:ind w:firstLine="105" w:firstLineChars="50"/>
              <w:rPr>
                <w:rFonts w:hint="eastAsia" w:ascii="宋体" w:hAnsi="宋体" w:cs="宋体"/>
                <w:color w:val="auto"/>
                <w:szCs w:val="21"/>
              </w:rPr>
            </w:pPr>
            <w:r>
              <w:rPr>
                <w:rFonts w:hint="eastAsia" w:ascii="宋体" w:hAnsi="宋体" w:cs="宋体"/>
                <w:color w:val="auto"/>
                <w:szCs w:val="21"/>
              </w:rPr>
              <w:t>0.008%</w:t>
            </w:r>
          </w:p>
        </w:tc>
        <w:tc>
          <w:tcPr>
            <w:tcW w:w="1532" w:type="dxa"/>
            <w:noWrap w:val="0"/>
            <w:vAlign w:val="top"/>
          </w:tcPr>
          <w:p w14:paraId="6D0A790B">
            <w:pPr>
              <w:spacing w:line="360" w:lineRule="auto"/>
              <w:ind w:firstLine="210" w:firstLineChars="100"/>
              <w:rPr>
                <w:rFonts w:hint="eastAsia" w:ascii="宋体" w:hAnsi="宋体" w:cs="宋体"/>
                <w:color w:val="auto"/>
                <w:szCs w:val="21"/>
              </w:rPr>
            </w:pPr>
            <w:r>
              <w:rPr>
                <w:rFonts w:hint="eastAsia" w:ascii="宋体" w:hAnsi="宋体" w:cs="宋体"/>
                <w:color w:val="auto"/>
                <w:szCs w:val="21"/>
              </w:rPr>
              <w:t>0.008%</w:t>
            </w:r>
          </w:p>
        </w:tc>
        <w:tc>
          <w:tcPr>
            <w:tcW w:w="1546" w:type="dxa"/>
            <w:noWrap w:val="0"/>
            <w:vAlign w:val="top"/>
          </w:tcPr>
          <w:p w14:paraId="20977A56">
            <w:pPr>
              <w:spacing w:line="360" w:lineRule="auto"/>
              <w:ind w:firstLine="105" w:firstLineChars="50"/>
              <w:rPr>
                <w:rFonts w:hint="eastAsia" w:ascii="宋体" w:hAnsi="宋体" w:cs="宋体"/>
                <w:color w:val="auto"/>
                <w:szCs w:val="21"/>
              </w:rPr>
            </w:pPr>
            <w:r>
              <w:rPr>
                <w:rFonts w:hint="eastAsia" w:ascii="宋体" w:hAnsi="宋体" w:cs="宋体"/>
                <w:color w:val="auto"/>
                <w:szCs w:val="21"/>
              </w:rPr>
              <w:t>0.008%</w:t>
            </w:r>
          </w:p>
        </w:tc>
      </w:tr>
      <w:tr w14:paraId="68C9A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FE1FBD8">
            <w:pPr>
              <w:spacing w:line="360" w:lineRule="auto"/>
              <w:rPr>
                <w:rFonts w:hint="eastAsia" w:ascii="宋体" w:hAnsi="宋体" w:cs="宋体"/>
                <w:color w:val="auto"/>
                <w:szCs w:val="21"/>
              </w:rPr>
            </w:pPr>
            <w:r>
              <w:rPr>
                <w:rFonts w:hint="eastAsia" w:ascii="宋体" w:hAnsi="宋体" w:cs="宋体"/>
                <w:color w:val="auto"/>
                <w:szCs w:val="21"/>
              </w:rPr>
              <w:t>50～100亿元</w:t>
            </w:r>
          </w:p>
        </w:tc>
        <w:tc>
          <w:tcPr>
            <w:tcW w:w="1659" w:type="dxa"/>
            <w:noWrap w:val="0"/>
            <w:vAlign w:val="top"/>
          </w:tcPr>
          <w:p w14:paraId="11C1A77A">
            <w:pPr>
              <w:spacing w:line="360" w:lineRule="auto"/>
              <w:rPr>
                <w:rFonts w:hint="eastAsia" w:ascii="宋体" w:hAnsi="宋体" w:cs="宋体"/>
                <w:color w:val="auto"/>
                <w:szCs w:val="21"/>
              </w:rPr>
            </w:pPr>
            <w:r>
              <w:rPr>
                <w:rFonts w:hint="eastAsia" w:ascii="宋体" w:hAnsi="宋体" w:cs="宋体"/>
                <w:color w:val="auto"/>
                <w:szCs w:val="21"/>
              </w:rPr>
              <w:t xml:space="preserve"> 0.006%</w:t>
            </w:r>
          </w:p>
        </w:tc>
        <w:tc>
          <w:tcPr>
            <w:tcW w:w="1532" w:type="dxa"/>
            <w:noWrap w:val="0"/>
            <w:vAlign w:val="top"/>
          </w:tcPr>
          <w:p w14:paraId="7AA96228">
            <w:pPr>
              <w:spacing w:line="360" w:lineRule="auto"/>
              <w:ind w:firstLine="210" w:firstLineChars="100"/>
              <w:rPr>
                <w:rFonts w:hint="eastAsia" w:ascii="宋体" w:hAnsi="宋体" w:cs="宋体"/>
                <w:color w:val="auto"/>
                <w:szCs w:val="21"/>
              </w:rPr>
            </w:pPr>
            <w:r>
              <w:rPr>
                <w:rFonts w:hint="eastAsia" w:ascii="宋体" w:hAnsi="宋体" w:cs="宋体"/>
                <w:color w:val="auto"/>
                <w:szCs w:val="21"/>
              </w:rPr>
              <w:t>0.006%</w:t>
            </w:r>
          </w:p>
        </w:tc>
        <w:tc>
          <w:tcPr>
            <w:tcW w:w="1546" w:type="dxa"/>
            <w:noWrap w:val="0"/>
            <w:vAlign w:val="top"/>
          </w:tcPr>
          <w:p w14:paraId="13F0EF28">
            <w:pPr>
              <w:spacing w:line="360" w:lineRule="auto"/>
              <w:ind w:firstLine="105" w:firstLineChars="50"/>
              <w:rPr>
                <w:rFonts w:hint="eastAsia" w:ascii="宋体" w:hAnsi="宋体" w:cs="宋体"/>
                <w:color w:val="auto"/>
                <w:szCs w:val="21"/>
              </w:rPr>
            </w:pPr>
            <w:r>
              <w:rPr>
                <w:rFonts w:hint="eastAsia" w:ascii="宋体" w:hAnsi="宋体" w:cs="宋体"/>
                <w:color w:val="auto"/>
                <w:szCs w:val="21"/>
              </w:rPr>
              <w:t>0.006%</w:t>
            </w:r>
          </w:p>
        </w:tc>
      </w:tr>
      <w:tr w14:paraId="3B335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08ECEF2">
            <w:pPr>
              <w:spacing w:line="360" w:lineRule="auto"/>
              <w:rPr>
                <w:rFonts w:hint="eastAsia" w:ascii="宋体" w:hAnsi="宋体" w:cs="宋体"/>
                <w:color w:val="auto"/>
                <w:szCs w:val="21"/>
              </w:rPr>
            </w:pPr>
            <w:r>
              <w:rPr>
                <w:rFonts w:hint="eastAsia" w:ascii="宋体" w:hAnsi="宋体" w:cs="宋体"/>
                <w:color w:val="auto"/>
                <w:szCs w:val="21"/>
              </w:rPr>
              <w:t>100亿以上</w:t>
            </w:r>
          </w:p>
        </w:tc>
        <w:tc>
          <w:tcPr>
            <w:tcW w:w="1659" w:type="dxa"/>
            <w:noWrap w:val="0"/>
            <w:vAlign w:val="top"/>
          </w:tcPr>
          <w:p w14:paraId="7B83881F">
            <w:pPr>
              <w:spacing w:line="360" w:lineRule="auto"/>
              <w:rPr>
                <w:rFonts w:hint="eastAsia" w:ascii="宋体" w:hAnsi="宋体" w:cs="宋体"/>
                <w:color w:val="auto"/>
                <w:szCs w:val="21"/>
              </w:rPr>
            </w:pPr>
            <w:r>
              <w:rPr>
                <w:rFonts w:hint="eastAsia" w:ascii="宋体" w:hAnsi="宋体" w:cs="宋体"/>
                <w:color w:val="auto"/>
                <w:szCs w:val="21"/>
              </w:rPr>
              <w:t xml:space="preserve"> 0.004%</w:t>
            </w:r>
          </w:p>
        </w:tc>
        <w:tc>
          <w:tcPr>
            <w:tcW w:w="1532" w:type="dxa"/>
            <w:noWrap w:val="0"/>
            <w:vAlign w:val="top"/>
          </w:tcPr>
          <w:p w14:paraId="07122C1C">
            <w:pPr>
              <w:spacing w:line="360" w:lineRule="auto"/>
              <w:ind w:firstLine="210" w:firstLineChars="100"/>
              <w:rPr>
                <w:rFonts w:hint="eastAsia" w:ascii="宋体" w:hAnsi="宋体" w:cs="宋体"/>
                <w:color w:val="auto"/>
                <w:szCs w:val="21"/>
              </w:rPr>
            </w:pPr>
            <w:r>
              <w:rPr>
                <w:rFonts w:hint="eastAsia" w:ascii="宋体" w:hAnsi="宋体" w:cs="宋体"/>
                <w:color w:val="auto"/>
                <w:szCs w:val="21"/>
              </w:rPr>
              <w:t>0.004%</w:t>
            </w:r>
          </w:p>
        </w:tc>
        <w:tc>
          <w:tcPr>
            <w:tcW w:w="1546" w:type="dxa"/>
            <w:noWrap w:val="0"/>
            <w:vAlign w:val="top"/>
          </w:tcPr>
          <w:p w14:paraId="12D4E120">
            <w:pPr>
              <w:spacing w:line="360" w:lineRule="auto"/>
              <w:ind w:firstLine="105" w:firstLineChars="50"/>
              <w:rPr>
                <w:rFonts w:hint="eastAsia" w:ascii="宋体" w:hAnsi="宋体" w:cs="宋体"/>
                <w:color w:val="auto"/>
                <w:szCs w:val="21"/>
              </w:rPr>
            </w:pPr>
            <w:r>
              <w:rPr>
                <w:rFonts w:hint="eastAsia" w:ascii="宋体" w:hAnsi="宋体" w:cs="宋体"/>
                <w:color w:val="auto"/>
                <w:szCs w:val="21"/>
              </w:rPr>
              <w:t>0.004%</w:t>
            </w:r>
          </w:p>
        </w:tc>
      </w:tr>
    </w:tbl>
    <w:p w14:paraId="34670AEE">
      <w:pPr>
        <w:spacing w:line="360" w:lineRule="auto"/>
        <w:ind w:firstLine="420" w:firstLineChars="200"/>
        <w:rPr>
          <w:rFonts w:ascii="宋体" w:hAnsi="宋体" w:cs="宋体"/>
          <w:color w:val="auto"/>
        </w:rPr>
      </w:pPr>
      <w:r>
        <w:rPr>
          <w:rFonts w:ascii="宋体" w:hAnsi="宋体" w:cs="宋体"/>
          <w:color w:val="auto"/>
        </w:rPr>
        <w:t>注：</w:t>
      </w:r>
    </w:p>
    <w:p w14:paraId="5969CDE7">
      <w:pPr>
        <w:spacing w:line="360" w:lineRule="auto"/>
        <w:ind w:firstLine="420" w:firstLineChars="200"/>
        <w:rPr>
          <w:rFonts w:ascii="宋体" w:hAnsi="宋体" w:cs="宋体"/>
          <w:color w:val="auto"/>
        </w:rPr>
      </w:pPr>
      <w:r>
        <w:rPr>
          <w:rFonts w:hint="eastAsia" w:ascii="宋体" w:hAnsi="宋体" w:cs="宋体"/>
          <w:color w:val="auto"/>
        </w:rPr>
        <w:t>（1）</w:t>
      </w:r>
      <w:r>
        <w:rPr>
          <w:rFonts w:ascii="宋体" w:hAnsi="宋体" w:cs="宋体"/>
          <w:color w:val="auto"/>
        </w:rPr>
        <w:t>按本表费率计算的收费为</w:t>
      </w:r>
      <w:r>
        <w:rPr>
          <w:rFonts w:hint="eastAsia" w:ascii="宋体" w:hAnsi="宋体" w:cs="宋体"/>
          <w:color w:val="auto"/>
        </w:rPr>
        <w:t>采购</w:t>
      </w:r>
      <w:r>
        <w:rPr>
          <w:rFonts w:ascii="宋体" w:hAnsi="宋体" w:cs="宋体"/>
          <w:color w:val="auto"/>
        </w:rPr>
        <w:t>代理的收费基准价格</w:t>
      </w:r>
      <w:r>
        <w:rPr>
          <w:rFonts w:hint="eastAsia" w:ascii="宋体" w:hAnsi="宋体" w:cs="宋体"/>
          <w:color w:val="auto"/>
        </w:rPr>
        <w:t>；</w:t>
      </w:r>
    </w:p>
    <w:p w14:paraId="516596C0">
      <w:pPr>
        <w:spacing w:line="360" w:lineRule="auto"/>
        <w:ind w:firstLine="420" w:firstLineChars="200"/>
        <w:rPr>
          <w:rFonts w:ascii="宋体" w:hAnsi="宋体" w:cs="宋体"/>
          <w:color w:val="auto"/>
        </w:rPr>
      </w:pPr>
      <w:r>
        <w:rPr>
          <w:rFonts w:hint="eastAsia" w:ascii="宋体" w:hAnsi="宋体" w:cs="宋体"/>
          <w:color w:val="auto"/>
        </w:rPr>
        <w:t>（2）采购</w:t>
      </w:r>
      <w:r>
        <w:rPr>
          <w:rFonts w:ascii="宋体" w:hAnsi="宋体" w:cs="宋体"/>
          <w:color w:val="auto"/>
        </w:rPr>
        <w:t>代理收费按差额定率累进法计算。</w:t>
      </w:r>
    </w:p>
    <w:p w14:paraId="4860093A">
      <w:pPr>
        <w:spacing w:line="360" w:lineRule="auto"/>
        <w:ind w:firstLine="420" w:firstLineChars="200"/>
        <w:rPr>
          <w:rFonts w:ascii="宋体" w:hAnsi="宋体" w:cs="宋体"/>
          <w:color w:val="auto"/>
        </w:rPr>
      </w:pPr>
      <w:r>
        <w:rPr>
          <w:rFonts w:ascii="宋体" w:hAnsi="宋体" w:cs="宋体"/>
          <w:color w:val="auto"/>
        </w:rPr>
        <w:t>例如：某</w:t>
      </w:r>
      <w:r>
        <w:rPr>
          <w:rFonts w:hint="eastAsia" w:ascii="宋体" w:hAnsi="宋体" w:cs="宋体"/>
          <w:color w:val="auto"/>
        </w:rPr>
        <w:t>服务采购</w:t>
      </w:r>
      <w:r>
        <w:rPr>
          <w:rFonts w:ascii="宋体" w:hAnsi="宋体" w:cs="宋体"/>
          <w:color w:val="auto"/>
        </w:rPr>
        <w:t>代理业务</w:t>
      </w:r>
      <w:r>
        <w:rPr>
          <w:rFonts w:hint="eastAsia" w:ascii="宋体" w:hAnsi="宋体" w:cs="宋体"/>
          <w:color w:val="auto"/>
        </w:rPr>
        <w:t>成交</w:t>
      </w:r>
      <w:r>
        <w:rPr>
          <w:rFonts w:ascii="宋体" w:hAnsi="宋体" w:cs="宋体"/>
          <w:color w:val="auto"/>
        </w:rPr>
        <w:t>金额</w:t>
      </w:r>
      <w:r>
        <w:rPr>
          <w:rFonts w:hint="eastAsia" w:ascii="宋体" w:hAnsi="宋体" w:cs="宋体"/>
          <w:color w:val="auto"/>
        </w:rPr>
        <w:t>或者暂定价</w:t>
      </w:r>
      <w:r>
        <w:rPr>
          <w:rFonts w:ascii="宋体" w:hAnsi="宋体" w:cs="宋体"/>
          <w:color w:val="auto"/>
        </w:rPr>
        <w:t>为150万元，计算</w:t>
      </w:r>
      <w:r>
        <w:rPr>
          <w:rFonts w:hint="eastAsia" w:ascii="宋体" w:hAnsi="宋体" w:cs="宋体"/>
          <w:color w:val="auto"/>
        </w:rPr>
        <w:t>采购</w:t>
      </w:r>
      <w:r>
        <w:rPr>
          <w:rFonts w:ascii="宋体" w:hAnsi="宋体" w:cs="宋体"/>
          <w:color w:val="auto"/>
        </w:rPr>
        <w:t>代理收费额如下：</w:t>
      </w:r>
    </w:p>
    <w:p w14:paraId="4CC2B091">
      <w:pPr>
        <w:spacing w:line="360" w:lineRule="auto"/>
        <w:ind w:firstLine="420" w:firstLineChars="200"/>
        <w:rPr>
          <w:rFonts w:ascii="宋体" w:hAnsi="宋体" w:cs="宋体"/>
          <w:color w:val="auto"/>
        </w:rPr>
      </w:pPr>
      <w:r>
        <w:rPr>
          <w:rFonts w:ascii="宋体" w:hAnsi="宋体" w:cs="宋体"/>
          <w:color w:val="auto"/>
        </w:rPr>
        <w:t>100 万元 ×l.5 %＝ 1.5 万元</w:t>
      </w:r>
    </w:p>
    <w:p w14:paraId="39FF7C08">
      <w:pPr>
        <w:spacing w:line="360" w:lineRule="auto"/>
        <w:ind w:firstLine="420" w:firstLineChars="200"/>
        <w:rPr>
          <w:rFonts w:ascii="宋体" w:hAnsi="宋体" w:cs="宋体"/>
          <w:color w:val="auto"/>
        </w:rPr>
      </w:pPr>
      <w:r>
        <w:rPr>
          <w:rFonts w:ascii="宋体" w:hAnsi="宋体" w:cs="宋体"/>
          <w:color w:val="auto"/>
        </w:rPr>
        <w:t>（ 150 － 100 ）万元 ×0.8%＝ 0.4万元</w:t>
      </w:r>
    </w:p>
    <w:p w14:paraId="18B70B2B">
      <w:pPr>
        <w:spacing w:line="360" w:lineRule="auto"/>
        <w:ind w:firstLine="420" w:firstLineChars="200"/>
        <w:rPr>
          <w:rFonts w:ascii="宋体" w:hAnsi="宋体" w:cs="宋体"/>
          <w:color w:val="auto"/>
        </w:rPr>
      </w:pPr>
      <w:r>
        <w:rPr>
          <w:rFonts w:ascii="宋体" w:hAnsi="宋体" w:cs="宋体"/>
          <w:color w:val="auto"/>
        </w:rPr>
        <w:t>合计收费＝ 1.5 ＋ 0.4＝ 1.9 万元</w:t>
      </w:r>
    </w:p>
    <w:p w14:paraId="7B25528F">
      <w:pPr>
        <w:spacing w:line="360" w:lineRule="auto"/>
        <w:ind w:firstLine="482" w:firstLineChars="200"/>
        <w:rPr>
          <w:rFonts w:hint="eastAsia" w:ascii="黑体" w:hAnsi="黑体" w:eastAsia="黑体" w:cs="宋体"/>
          <w:b/>
          <w:bCs/>
          <w:color w:val="auto"/>
          <w:sz w:val="24"/>
        </w:rPr>
      </w:pPr>
      <w:r>
        <w:rPr>
          <w:rFonts w:hint="eastAsia" w:ascii="黑体" w:hAnsi="黑体" w:eastAsia="黑体" w:cs="宋体"/>
          <w:b/>
          <w:bCs/>
          <w:color w:val="auto"/>
          <w:sz w:val="24"/>
        </w:rPr>
        <w:t>32</w:t>
      </w:r>
      <w:r>
        <w:rPr>
          <w:rFonts w:ascii="黑体" w:hAnsi="黑体" w:eastAsia="黑体" w:cs="宋体"/>
          <w:b/>
          <w:bCs/>
          <w:color w:val="auto"/>
          <w:sz w:val="24"/>
        </w:rPr>
        <w:t>.需要补充的其他内容</w:t>
      </w:r>
    </w:p>
    <w:p w14:paraId="78F66F7E">
      <w:pPr>
        <w:pStyle w:val="18"/>
        <w:spacing w:line="360" w:lineRule="auto"/>
        <w:ind w:firstLine="420" w:firstLineChars="200"/>
        <w:textAlignment w:val="center"/>
        <w:rPr>
          <w:rFonts w:hint="eastAsia" w:hAnsi="宋体" w:cs="宋体"/>
          <w:color w:val="auto"/>
          <w:kern w:val="2"/>
          <w:sz w:val="21"/>
        </w:rPr>
      </w:pPr>
      <w:r>
        <w:rPr>
          <w:rFonts w:hint="eastAsia" w:hAnsi="宋体" w:cs="宋体"/>
          <w:color w:val="auto"/>
          <w:kern w:val="2"/>
          <w:sz w:val="21"/>
        </w:rPr>
        <w:t>32</w:t>
      </w:r>
      <w:r>
        <w:rPr>
          <w:rFonts w:hAnsi="宋体" w:cs="宋体"/>
          <w:color w:val="auto"/>
          <w:kern w:val="2"/>
          <w:sz w:val="21"/>
        </w:rPr>
        <w:t>.1</w:t>
      </w:r>
      <w:r>
        <w:rPr>
          <w:rFonts w:hint="eastAsia" w:hAnsi="宋体" w:cs="宋体"/>
          <w:color w:val="auto"/>
          <w:kern w:val="2"/>
          <w:sz w:val="21"/>
        </w:rPr>
        <w:t>本磋商文件解释规则详见“供应商须知前附表”。</w:t>
      </w:r>
    </w:p>
    <w:p w14:paraId="17B2FB3B">
      <w:pPr>
        <w:pStyle w:val="18"/>
        <w:spacing w:line="360" w:lineRule="auto"/>
        <w:ind w:firstLine="420" w:firstLineChars="200"/>
        <w:textAlignment w:val="center"/>
        <w:rPr>
          <w:rFonts w:hAnsi="宋体" w:cs="宋体"/>
          <w:color w:val="auto"/>
          <w:kern w:val="2"/>
          <w:sz w:val="21"/>
        </w:rPr>
      </w:pPr>
      <w:r>
        <w:rPr>
          <w:rFonts w:hAnsi="宋体" w:cs="宋体"/>
          <w:color w:val="auto"/>
          <w:kern w:val="2"/>
          <w:sz w:val="21"/>
        </w:rPr>
        <w:t>3</w:t>
      </w:r>
      <w:r>
        <w:rPr>
          <w:rFonts w:hint="eastAsia" w:hAnsi="宋体" w:cs="宋体"/>
          <w:color w:val="auto"/>
          <w:kern w:val="2"/>
          <w:sz w:val="21"/>
        </w:rPr>
        <w:t>2</w:t>
      </w:r>
      <w:r>
        <w:rPr>
          <w:rFonts w:hAnsi="宋体" w:cs="宋体"/>
          <w:color w:val="auto"/>
          <w:kern w:val="2"/>
          <w:sz w:val="21"/>
        </w:rPr>
        <w:t>.2</w:t>
      </w:r>
      <w:r>
        <w:rPr>
          <w:rFonts w:hint="eastAsia" w:hAnsi="宋体" w:cs="宋体"/>
          <w:color w:val="auto"/>
          <w:kern w:val="2"/>
          <w:sz w:val="21"/>
        </w:rPr>
        <w:t xml:space="preserve"> 其他事项详见“供应商须知前附表”。</w:t>
      </w:r>
    </w:p>
    <w:p w14:paraId="1ABA5D23">
      <w:pPr>
        <w:pStyle w:val="18"/>
        <w:spacing w:line="360" w:lineRule="auto"/>
        <w:ind w:firstLine="420" w:firstLineChars="200"/>
        <w:textAlignment w:val="center"/>
        <w:rPr>
          <w:rFonts w:hint="eastAsia" w:hAnsi="宋体" w:cs="宋体"/>
          <w:color w:val="auto"/>
          <w:kern w:val="2"/>
          <w:sz w:val="21"/>
        </w:rPr>
      </w:pPr>
      <w:r>
        <w:rPr>
          <w:rFonts w:hint="eastAsia" w:hAnsi="宋体" w:cs="宋体"/>
          <w:color w:val="auto"/>
          <w:kern w:val="2"/>
          <w:sz w:val="21"/>
        </w:rPr>
        <w:t>32</w:t>
      </w:r>
      <w:r>
        <w:rPr>
          <w:rFonts w:hAnsi="宋体" w:cs="宋体"/>
          <w:color w:val="auto"/>
          <w:kern w:val="2"/>
          <w:sz w:val="21"/>
        </w:rPr>
        <w:t>.3</w:t>
      </w:r>
      <w:r>
        <w:rPr>
          <w:rFonts w:hint="eastAsia" w:hAnsi="宋体" w:cs="宋体"/>
          <w:color w:val="auto"/>
          <w:kern w:val="2"/>
          <w:sz w:val="21"/>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22C51456">
      <w:pPr>
        <w:pStyle w:val="18"/>
        <w:spacing w:line="360" w:lineRule="auto"/>
        <w:ind w:firstLine="420" w:firstLineChars="200"/>
        <w:contextualSpacing/>
        <w:rPr>
          <w:rFonts w:hint="eastAsia" w:hAnsi="宋体"/>
          <w:color w:val="auto"/>
          <w:sz w:val="21"/>
        </w:rPr>
      </w:pPr>
      <w:r>
        <w:rPr>
          <w:rFonts w:hint="eastAsia" w:hAnsi="宋体"/>
          <w:color w:val="auto"/>
          <w:sz w:val="21"/>
        </w:rPr>
        <w:t>（1）在货物采购项目中，货物由中小企业制造，即货物由中小企业生产且使用该中小企业商号或者注册商标，不对其中涉及的工程承建商和服务的承接商作出要求；</w:t>
      </w:r>
    </w:p>
    <w:p w14:paraId="18169B1F">
      <w:pPr>
        <w:pStyle w:val="18"/>
        <w:spacing w:line="360" w:lineRule="auto"/>
        <w:ind w:firstLine="420" w:firstLineChars="200"/>
        <w:contextualSpacing/>
        <w:rPr>
          <w:rFonts w:hint="eastAsia" w:hAnsi="宋体"/>
          <w:color w:val="auto"/>
          <w:sz w:val="21"/>
        </w:rPr>
      </w:pPr>
      <w:r>
        <w:rPr>
          <w:rFonts w:hint="eastAsia" w:hAnsi="宋体"/>
          <w:color w:val="auto"/>
          <w:sz w:val="21"/>
        </w:rPr>
        <w:t>（2）在工程采购项目中，工程由中小企业承建，即工程施工单位为中小企业，不对其中涉及的货物的制造商和服务的承接商作出要求；</w:t>
      </w:r>
    </w:p>
    <w:p w14:paraId="310E5A2B">
      <w:pPr>
        <w:pStyle w:val="18"/>
        <w:spacing w:line="360" w:lineRule="auto"/>
        <w:ind w:firstLine="420" w:firstLineChars="200"/>
        <w:contextualSpacing/>
        <w:rPr>
          <w:rFonts w:hint="eastAsia" w:hAnsi="宋体"/>
          <w:color w:val="auto"/>
          <w:sz w:val="21"/>
        </w:rPr>
      </w:pPr>
      <w:r>
        <w:rPr>
          <w:rFonts w:hint="eastAsia" w:hAnsi="宋体"/>
          <w:color w:val="auto"/>
          <w:sz w:val="21"/>
        </w:rPr>
        <w:t>（3）在服务采购项目中，服务由中小企业承接，即提供服务的人员为中小企业依照《中华人民共和国劳动合同法》订立劳动合同的从业人员，不对其中涉及的货物的制造商和工程承建商作出要求。</w:t>
      </w:r>
    </w:p>
    <w:p w14:paraId="20B44AB8">
      <w:pPr>
        <w:pStyle w:val="18"/>
        <w:spacing w:line="360" w:lineRule="auto"/>
        <w:ind w:firstLine="420" w:firstLineChars="200"/>
        <w:textAlignment w:val="center"/>
        <w:rPr>
          <w:rFonts w:hint="eastAsia" w:hAnsi="宋体" w:cs="宋体"/>
          <w:color w:val="auto"/>
          <w:kern w:val="2"/>
          <w:sz w:val="21"/>
        </w:rPr>
      </w:pPr>
      <w:r>
        <w:rPr>
          <w:rFonts w:hint="eastAsia" w:hAnsi="宋体" w:cs="宋体"/>
          <w:color w:val="auto"/>
          <w:kern w:val="2"/>
          <w:sz w:val="21"/>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00F4CAB5">
      <w:pPr>
        <w:pStyle w:val="18"/>
        <w:spacing w:line="360" w:lineRule="auto"/>
        <w:ind w:firstLine="420" w:firstLineChars="200"/>
        <w:textAlignment w:val="center"/>
        <w:rPr>
          <w:rFonts w:hint="eastAsia" w:hAnsi="宋体" w:cs="宋体"/>
          <w:color w:val="auto"/>
          <w:kern w:val="2"/>
          <w:sz w:val="21"/>
        </w:rPr>
      </w:pPr>
      <w:r>
        <w:rPr>
          <w:rFonts w:hint="eastAsia" w:hAnsi="宋体" w:cs="宋体"/>
          <w:color w:val="auto"/>
          <w:kern w:val="2"/>
          <w:sz w:val="21"/>
        </w:rPr>
        <w:t>依据本磋商文件规定享受扶持政策获得政府采购合同的，小微企业不得将合同分包给大中型企业，中型企业不得将合同分包给大型企业。</w:t>
      </w:r>
    </w:p>
    <w:p w14:paraId="29FB3A51">
      <w:pPr>
        <w:pStyle w:val="3"/>
        <w:jc w:val="center"/>
        <w:rPr>
          <w:rFonts w:hint="eastAsia"/>
          <w:color w:val="auto"/>
        </w:rPr>
      </w:pPr>
      <w:bookmarkStart w:id="65" w:name="_Toc74323458"/>
    </w:p>
    <w:p w14:paraId="4C323782">
      <w:pPr>
        <w:rPr>
          <w:rFonts w:hint="eastAsia"/>
          <w:color w:val="auto"/>
        </w:rPr>
      </w:pPr>
    </w:p>
    <w:p w14:paraId="12A15B35">
      <w:pPr>
        <w:rPr>
          <w:rFonts w:hint="eastAsia"/>
          <w:color w:val="auto"/>
        </w:rPr>
      </w:pPr>
    </w:p>
    <w:p w14:paraId="1EEF95FB">
      <w:pPr>
        <w:rPr>
          <w:rFonts w:hint="eastAsia"/>
          <w:color w:val="auto"/>
        </w:rPr>
      </w:pPr>
    </w:p>
    <w:p w14:paraId="014F0004">
      <w:pPr>
        <w:rPr>
          <w:rFonts w:hint="eastAsia"/>
          <w:color w:val="auto"/>
        </w:rPr>
      </w:pPr>
    </w:p>
    <w:p w14:paraId="05E3CF36">
      <w:pPr>
        <w:rPr>
          <w:rFonts w:hint="eastAsia"/>
          <w:color w:val="auto"/>
        </w:rPr>
      </w:pPr>
    </w:p>
    <w:p w14:paraId="0BB1D85A">
      <w:pPr>
        <w:rPr>
          <w:rFonts w:hint="eastAsia"/>
          <w:color w:val="auto"/>
        </w:rPr>
      </w:pPr>
    </w:p>
    <w:p w14:paraId="32D8250C">
      <w:pPr>
        <w:rPr>
          <w:rFonts w:hint="eastAsia"/>
          <w:color w:val="auto"/>
        </w:rPr>
      </w:pPr>
    </w:p>
    <w:p w14:paraId="5C68AA13">
      <w:pPr>
        <w:pStyle w:val="3"/>
        <w:jc w:val="center"/>
        <w:rPr>
          <w:rFonts w:hint="eastAsia"/>
          <w:color w:val="auto"/>
        </w:rPr>
      </w:pPr>
      <w:r>
        <w:rPr>
          <w:rFonts w:hint="eastAsia"/>
          <w:color w:val="auto"/>
        </w:rPr>
        <w:t>第三章 采购需求</w:t>
      </w:r>
      <w:bookmarkEnd w:id="65"/>
    </w:p>
    <w:p w14:paraId="02C921D2">
      <w:pPr>
        <w:spacing w:line="440" w:lineRule="exact"/>
        <w:jc w:val="center"/>
        <w:rPr>
          <w:rFonts w:hint="eastAsia" w:ascii="宋体" w:hAnsi="宋体"/>
          <w:b/>
          <w:color w:val="auto"/>
          <w:sz w:val="32"/>
          <w:szCs w:val="32"/>
        </w:rPr>
      </w:pPr>
      <w:r>
        <w:rPr>
          <w:rFonts w:hint="eastAsia" w:ascii="宋体" w:hAnsi="宋体"/>
          <w:b/>
          <w:color w:val="auto"/>
          <w:sz w:val="32"/>
          <w:szCs w:val="32"/>
        </w:rPr>
        <w:t>采购项目技术规格、参数及要求</w:t>
      </w:r>
    </w:p>
    <w:p w14:paraId="5EE81221">
      <w:pPr>
        <w:spacing w:line="360" w:lineRule="auto"/>
        <w:jc w:val="left"/>
        <w:rPr>
          <w:rFonts w:hint="eastAsia" w:ascii="宋体" w:hAnsi="宋体" w:cs="宋体"/>
          <w:color w:val="auto"/>
          <w:szCs w:val="21"/>
        </w:rPr>
      </w:pPr>
      <w:r>
        <w:rPr>
          <w:rFonts w:hint="eastAsia" w:ascii="宋体" w:hAnsi="宋体" w:cs="宋体"/>
          <w:color w:val="auto"/>
          <w:szCs w:val="21"/>
        </w:rPr>
        <w:t>说明：</w:t>
      </w:r>
    </w:p>
    <w:p w14:paraId="3C217123">
      <w:pPr>
        <w:spacing w:line="400" w:lineRule="exact"/>
        <w:ind w:firstLine="482" w:firstLineChars="200"/>
        <w:jc w:val="left"/>
        <w:rPr>
          <w:rFonts w:hint="eastAsia" w:ascii="宋体" w:hAnsi="宋体" w:eastAsia="宋体" w:cs="宋体"/>
          <w:b/>
          <w:color w:val="000000"/>
          <w:sz w:val="24"/>
        </w:rPr>
      </w:pPr>
      <w:r>
        <w:rPr>
          <w:rFonts w:hint="eastAsia" w:ascii="宋体" w:hAnsi="宋体" w:eastAsia="宋体" w:cs="宋体"/>
          <w:b/>
          <w:color w:val="000000"/>
          <w:sz w:val="24"/>
        </w:rPr>
        <w:t>1. 为落实政府采购政策需满足的要求：</w:t>
      </w:r>
      <w:r>
        <w:rPr>
          <w:rFonts w:hint="eastAsia" w:ascii="宋体" w:hAnsi="宋体" w:eastAsia="宋体" w:cs="宋体"/>
          <w:b/>
          <w:color w:val="000000"/>
          <w:sz w:val="24"/>
          <w:szCs w:val="24"/>
        </w:rPr>
        <w:t>本招标文件所称中小企业必须符合《政府采购促进中小企业发展管理办法》（财库〔2020〕46号）的规定。</w:t>
      </w:r>
    </w:p>
    <w:p w14:paraId="51B61693">
      <w:pPr>
        <w:pStyle w:val="6"/>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2.“实质性要求”是指招标文件中已经指明不满足则投标无效的条款，或者不能负偏离的条款，或者采购需求中带“▲”的条款。</w:t>
      </w:r>
    </w:p>
    <w:p w14:paraId="6917DC30">
      <w:pPr>
        <w:adjustRightInd w:val="0"/>
        <w:snapToGrid w:val="0"/>
        <w:spacing w:line="520" w:lineRule="atLeast"/>
        <w:ind w:firstLine="482" w:firstLineChars="200"/>
        <w:jc w:val="left"/>
        <w:rPr>
          <w:rFonts w:ascii="宋体" w:hAnsi="宋体" w:cs="宋体"/>
          <w:b/>
          <w:bCs/>
          <w:color w:val="000000"/>
          <w:sz w:val="24"/>
        </w:rPr>
      </w:pPr>
      <w:r>
        <w:rPr>
          <w:rFonts w:hint="eastAsia" w:ascii="宋体" w:hAnsi="宋体" w:eastAsia="宋体" w:cs="宋体"/>
          <w:b/>
          <w:color w:val="000000"/>
          <w:sz w:val="24"/>
          <w:szCs w:val="24"/>
          <w:lang w:val="en-US" w:eastAsia="zh-CN"/>
        </w:rPr>
        <w:t>3.</w:t>
      </w:r>
      <w:r>
        <w:rPr>
          <w:color w:val="000000"/>
          <w:sz w:val="24"/>
        </w:rPr>
        <w:t>供应商必须自行为其磋商产品侵犯</w:t>
      </w:r>
      <w:r>
        <w:rPr>
          <w:rFonts w:hint="eastAsia"/>
          <w:color w:val="000000"/>
          <w:sz w:val="24"/>
        </w:rPr>
        <w:t>他人的知识产权或者专利成果的行为</w:t>
      </w:r>
      <w:r>
        <w:rPr>
          <w:color w:val="000000"/>
          <w:sz w:val="24"/>
        </w:rPr>
        <w:t>承担相应法律责任</w:t>
      </w:r>
      <w:r>
        <w:rPr>
          <w:rFonts w:hint="eastAsia"/>
          <w:color w:val="000000"/>
          <w:sz w:val="24"/>
        </w:rPr>
        <w:t>。</w:t>
      </w:r>
    </w:p>
    <w:p w14:paraId="345ECD17">
      <w:pPr>
        <w:rPr>
          <w:rFonts w:hint="eastAsia" w:ascii="宋体" w:hAnsi="宋体" w:eastAsia="宋体" w:cs="宋体"/>
          <w:b/>
          <w:color w:val="000000"/>
          <w:sz w:val="24"/>
          <w:szCs w:val="24"/>
          <w:lang w:val="en-US" w:eastAsia="zh-CN"/>
        </w:rPr>
      </w:pPr>
    </w:p>
    <w:p w14:paraId="07C7F197">
      <w:pPr>
        <w:ind w:firstLine="480" w:firstLineChars="200"/>
        <w:rPr>
          <w:rFonts w:hint="default" w:eastAsia="宋体"/>
          <w:lang w:val="en-US" w:eastAsia="zh-CN"/>
        </w:rPr>
      </w:pPr>
      <w:r>
        <w:rPr>
          <w:rFonts w:hint="eastAsia"/>
          <w:sz w:val="24"/>
          <w:lang w:val="en-US" w:eastAsia="zh-CN"/>
        </w:rPr>
        <w:t>4.</w:t>
      </w:r>
      <w:r>
        <w:rPr>
          <w:rFonts w:hint="eastAsia"/>
          <w:sz w:val="24"/>
        </w:rPr>
        <w:t>本项目采购标的对应的中小企业划分标准所属是</w:t>
      </w:r>
      <w:r>
        <w:rPr>
          <w:rFonts w:hint="eastAsia"/>
          <w:b/>
          <w:bCs/>
          <w:sz w:val="24"/>
          <w:u w:val="single"/>
        </w:rPr>
        <w:t xml:space="preserve">    </w:t>
      </w:r>
      <w:r>
        <w:rPr>
          <w:rFonts w:hint="eastAsia" w:ascii="宋体" w:hAnsi="宋体" w:cs="宋体"/>
          <w:b/>
          <w:bCs/>
          <w:sz w:val="24"/>
          <w:u w:val="single"/>
        </w:rPr>
        <w:t>软件和信息技术服务业</w:t>
      </w:r>
      <w:r>
        <w:rPr>
          <w:rFonts w:hint="eastAsia"/>
          <w:b/>
          <w:bCs/>
          <w:sz w:val="24"/>
          <w:u w:val="single"/>
        </w:rPr>
        <w:t xml:space="preserve">      </w:t>
      </w:r>
      <w:r>
        <w:rPr>
          <w:rFonts w:hint="eastAsia"/>
          <w:sz w:val="24"/>
        </w:rPr>
        <w:t>行业。</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423"/>
        <w:gridCol w:w="731"/>
        <w:gridCol w:w="413"/>
        <w:gridCol w:w="783"/>
        <w:gridCol w:w="5807"/>
      </w:tblGrid>
      <w:tr w14:paraId="0D6F1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noWrap w:val="0"/>
            <w:vAlign w:val="center"/>
          </w:tcPr>
          <w:p w14:paraId="75DFD426">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项号</w:t>
            </w:r>
          </w:p>
        </w:tc>
        <w:tc>
          <w:tcPr>
            <w:tcW w:w="1567" w:type="dxa"/>
            <w:gridSpan w:val="3"/>
            <w:noWrap w:val="0"/>
            <w:vAlign w:val="center"/>
          </w:tcPr>
          <w:p w14:paraId="62564BC4">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服务名称</w:t>
            </w:r>
          </w:p>
        </w:tc>
        <w:tc>
          <w:tcPr>
            <w:tcW w:w="783" w:type="dxa"/>
            <w:noWrap w:val="0"/>
            <w:vAlign w:val="center"/>
          </w:tcPr>
          <w:p w14:paraId="044DD88C">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数量</w:t>
            </w:r>
          </w:p>
        </w:tc>
        <w:tc>
          <w:tcPr>
            <w:tcW w:w="5807" w:type="dxa"/>
            <w:noWrap w:val="0"/>
            <w:vAlign w:val="center"/>
          </w:tcPr>
          <w:p w14:paraId="34FFA1E7">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项目需要及技术需求</w:t>
            </w:r>
          </w:p>
        </w:tc>
      </w:tr>
      <w:tr w14:paraId="12FF6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noWrap w:val="0"/>
            <w:vAlign w:val="center"/>
          </w:tcPr>
          <w:p w14:paraId="760FABBC">
            <w:pPr>
              <w:keepNext w:val="0"/>
              <w:keepLines w:val="0"/>
              <w:pageBreakBefore w:val="0"/>
              <w:kinsoku/>
              <w:wordWrap/>
              <w:overflowPunct/>
              <w:topLinePunct w:val="0"/>
              <w:autoSpaceDE/>
              <w:autoSpaceDN/>
              <w:bidi w:val="0"/>
              <w:snapToGrid w:val="0"/>
              <w:spacing w:line="360" w:lineRule="auto"/>
              <w:jc w:val="center"/>
              <w:textAlignment w:val="auto"/>
              <w:outlineLvl w:val="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w:t>
            </w:r>
          </w:p>
        </w:tc>
        <w:tc>
          <w:tcPr>
            <w:tcW w:w="1567" w:type="dxa"/>
            <w:gridSpan w:val="3"/>
            <w:noWrap w:val="0"/>
            <w:vAlign w:val="center"/>
          </w:tcPr>
          <w:p w14:paraId="347C9779">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钦州幼儿师范高等专科学校图书馆25万册电子图书服务采购</w:t>
            </w:r>
          </w:p>
        </w:tc>
        <w:tc>
          <w:tcPr>
            <w:tcW w:w="783" w:type="dxa"/>
            <w:noWrap w:val="0"/>
            <w:vAlign w:val="center"/>
          </w:tcPr>
          <w:p w14:paraId="2830A20F">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1项</w:t>
            </w:r>
          </w:p>
        </w:tc>
        <w:tc>
          <w:tcPr>
            <w:tcW w:w="5807" w:type="dxa"/>
            <w:noWrap w:val="0"/>
            <w:vAlign w:val="center"/>
          </w:tcPr>
          <w:p w14:paraId="1D8D1299">
            <w:pPr>
              <w:keepNext w:val="0"/>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一、项目概况</w:t>
            </w:r>
          </w:p>
          <w:p w14:paraId="7E4A61C4">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bookmarkStart w:id="66" w:name="_Hlk199874974"/>
            <w:r>
              <w:rPr>
                <w:rFonts w:hint="eastAsia" w:ascii="宋体" w:hAnsi="宋体" w:eastAsia="宋体" w:cs="宋体"/>
                <w:color w:val="auto"/>
                <w:sz w:val="21"/>
                <w:szCs w:val="21"/>
                <w:highlight w:val="none"/>
              </w:rPr>
              <w:t>（一）项目名称：钦州幼专图书馆2025年电子图书服务采购</w:t>
            </w:r>
          </w:p>
          <w:bookmarkEnd w:id="66"/>
          <w:p w14:paraId="41CD5751">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（二）采购内容：电子图书远程包库服务和本地镜像服务采购</w:t>
            </w:r>
          </w:p>
          <w:p w14:paraId="715F4FD3">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（三）项目预算：50万元</w:t>
            </w:r>
          </w:p>
          <w:p w14:paraId="42728068">
            <w:pPr>
              <w:pStyle w:val="18"/>
              <w:keepNext w:val="0"/>
              <w:keepLines w:val="0"/>
              <w:pageBreakBefore w:val="0"/>
              <w:numPr>
                <w:ilvl w:val="0"/>
                <w:numId w:val="0"/>
              </w:numPr>
              <w:kinsoku/>
              <w:wordWrap/>
              <w:overflowPunct/>
              <w:topLinePunct w:val="0"/>
              <w:autoSpaceDE/>
              <w:autoSpaceDN/>
              <w:bidi w:val="0"/>
              <w:spacing w:line="360" w:lineRule="auto"/>
              <w:ind w:left="562" w:leftChars="0"/>
              <w:textAlignment w:val="auto"/>
              <w:rPr>
                <w:rFonts w:hint="eastAsia" w:ascii="宋体" w:hAnsi="宋体" w:eastAsia="宋体" w:cs="宋体"/>
                <w:b/>
                <w:bCs/>
                <w:color w:val="auto"/>
                <w:sz w:val="21"/>
                <w:szCs w:val="21"/>
                <w:highlight w:val="none"/>
              </w:rPr>
            </w:pPr>
            <w:bookmarkStart w:id="67" w:name="_Hlk109919412"/>
            <w:r>
              <w:rPr>
                <w:rFonts w:hint="eastAsia" w:ascii="宋体" w:hAnsi="宋体" w:eastAsia="宋体" w:cs="宋体"/>
                <w:b/>
                <w:bCs/>
                <w:color w:val="auto"/>
                <w:sz w:val="21"/>
                <w:szCs w:val="21"/>
                <w:highlight w:val="none"/>
                <w:lang w:eastAsia="zh-CN"/>
              </w:rPr>
              <w:t>二、</w:t>
            </w:r>
            <w:r>
              <w:rPr>
                <w:rFonts w:hint="eastAsia" w:ascii="宋体" w:hAnsi="宋体" w:eastAsia="宋体" w:cs="宋体"/>
                <w:b/>
                <w:bCs/>
                <w:color w:val="auto"/>
                <w:sz w:val="21"/>
                <w:szCs w:val="21"/>
                <w:highlight w:val="none"/>
              </w:rPr>
              <w:t>招标需求</w:t>
            </w:r>
          </w:p>
          <w:bookmarkEnd w:id="67"/>
          <w:p w14:paraId="286DBAE7">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highlight w:val="none"/>
              </w:rPr>
            </w:pPr>
            <w:bookmarkStart w:id="68" w:name="_Hlk199874851"/>
            <w:r>
              <w:rPr>
                <w:rFonts w:hint="eastAsia" w:ascii="宋体" w:hAnsi="宋体" w:eastAsia="宋体" w:cs="宋体"/>
                <w:color w:val="auto"/>
                <w:sz w:val="21"/>
                <w:szCs w:val="21"/>
                <w:highlight w:val="none"/>
              </w:rPr>
              <w:t>（一）数量及服务方式</w:t>
            </w:r>
          </w:p>
          <w:p w14:paraId="6E5D305C">
            <w:pPr>
              <w:pStyle w:val="10"/>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服务方式：远程包库服务和本地镜像服务</w:t>
            </w:r>
          </w:p>
          <w:p w14:paraId="5D028EEB">
            <w:pPr>
              <w:pStyle w:val="10"/>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本地镜像数量：电子图书25万册</w:t>
            </w:r>
          </w:p>
          <w:bookmarkEnd w:id="68"/>
          <w:p w14:paraId="6479BB84">
            <w:pPr>
              <w:keepNext w:val="0"/>
              <w:keepLines w:val="0"/>
              <w:pageBreakBefore w:val="0"/>
              <w:kinsoku/>
              <w:wordWrap/>
              <w:overflowPunct/>
              <w:topLinePunct w:val="0"/>
              <w:autoSpaceDE/>
              <w:autoSpaceDN/>
              <w:bidi w:val="0"/>
              <w:spacing w:line="360" w:lineRule="auto"/>
              <w:ind w:left="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（二）内容需求：</w:t>
            </w:r>
          </w:p>
          <w:p w14:paraId="6BE66FD5">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1、远程包库服务部分：</w:t>
            </w:r>
          </w:p>
          <w:p w14:paraId="1F66F5AF">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（1）数据资源：</w:t>
            </w:r>
          </w:p>
          <w:p w14:paraId="60CF3A45">
            <w:pPr>
              <w:pStyle w:val="52"/>
              <w:keepNext w:val="0"/>
              <w:keepLines w:val="0"/>
              <w:pageBreakBefore w:val="0"/>
              <w:kinsoku/>
              <w:wordWrap/>
              <w:overflowPunct/>
              <w:topLinePunct w:val="0"/>
              <w:autoSpaceDE/>
              <w:autoSpaceDN/>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▲电子图书：在线访问服务方式，书籍总量不少于20万册，电子图书为EPUB格式。</w:t>
            </w:r>
          </w:p>
          <w:p w14:paraId="4A03C782">
            <w:pPr>
              <w:pStyle w:val="52"/>
              <w:keepNext w:val="0"/>
              <w:keepLines w:val="0"/>
              <w:pageBreakBefore w:val="0"/>
              <w:kinsoku/>
              <w:wordWrap/>
              <w:overflowPunct/>
              <w:topLinePunct w:val="0"/>
              <w:autoSpaceDE/>
              <w:autoSpaceDN/>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▲有声图书：在线访问服务方式，提供不少于50万集有声图书资源库，有声图书为真人真声录制的MP3格式。</w:t>
            </w:r>
          </w:p>
          <w:p w14:paraId="6699DA41">
            <w:pPr>
              <w:pStyle w:val="52"/>
              <w:keepNext w:val="0"/>
              <w:keepLines w:val="0"/>
              <w:pageBreakBefore w:val="0"/>
              <w:kinsoku/>
              <w:wordWrap/>
              <w:overflowPunct/>
              <w:topLinePunct w:val="0"/>
              <w:autoSpaceDE/>
              <w:autoSpaceDN/>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资源年更新量：电子图书不少于20000册，有声图书馆更新不少于3万集。</w:t>
            </w:r>
          </w:p>
          <w:p w14:paraId="02E1A84E">
            <w:pPr>
              <w:pStyle w:val="52"/>
              <w:keepNext w:val="0"/>
              <w:keepLines w:val="0"/>
              <w:pageBreakBefore w:val="0"/>
              <w:kinsoku/>
              <w:wordWrap/>
              <w:overflowPunct/>
              <w:topLinePunct w:val="0"/>
              <w:autoSpaceDE/>
              <w:autoSpaceDN/>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4.▲书籍扉页须包含明确的版权信息来源，所用的字体均为正版授权字体，并提供截图及授权证明。</w:t>
            </w:r>
          </w:p>
          <w:p w14:paraId="37B5D551">
            <w:pPr>
              <w:pStyle w:val="52"/>
              <w:keepNext w:val="0"/>
              <w:keepLines w:val="0"/>
              <w:pageBreakBefore w:val="0"/>
              <w:kinsoku/>
              <w:wordWrap/>
              <w:overflowPunct/>
              <w:topLinePunct w:val="0"/>
              <w:autoSpaceDE/>
              <w:autoSpaceDN/>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资源版权保障：电子图书均为正版图书，供应商或原厂须具有以下主流出版：商务印书馆、三联书店、后浪出版、上海译文、人民邮电出版社、果麦文化、读客文化、电子工业出版社、机械工业出版社、浙江文艺出版社、北京师范大学出版社、广东花城出版社、二十一世纪出版社；听书均为优质、正版授权资源，供应商或原厂须具有以下主流版权方授权：磨铁（有声）、后浪（有声）、上海译文（有声）、中国科学技术（有声）、新华先锋（有声）、理想国（有声）、人民邮电（有声）、中国科学技术（有声）、北京竹石（有声）、紫图图书（有声）。</w:t>
            </w:r>
          </w:p>
          <w:p w14:paraId="4F5022F5">
            <w:pPr>
              <w:pStyle w:val="52"/>
              <w:keepNext w:val="0"/>
              <w:keepLines w:val="0"/>
              <w:pageBreakBefore w:val="0"/>
              <w:kinsoku/>
              <w:wordWrap/>
              <w:overflowPunct/>
              <w:topLinePunct w:val="0"/>
              <w:autoSpaceDE/>
              <w:autoSpaceDN/>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6.名家资源保障：电子图书应收录以下名家作品，包含马伯庸、金宇澄、林语堂、史铁生、李娟、老舍、鲁迅、杨绛、钱穆、黄仁宇。</w:t>
            </w:r>
          </w:p>
          <w:p w14:paraId="40AB1DBF">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rPr>
              <w:t>资源品质保障：为保障资源质量，应包含茅盾文学奖、鲁迅文学奖、文津图书、诺贝尔奖、中国好书、中国出版政府奖、中华优秀出版物奖等十四</w:t>
            </w:r>
            <w:r>
              <w:rPr>
                <w:rFonts w:hint="eastAsia" w:ascii="宋体" w:hAnsi="宋体" w:cs="宋体"/>
                <w:color w:val="auto"/>
                <w:kern w:val="0"/>
                <w:sz w:val="21"/>
                <w:szCs w:val="21"/>
                <w:highlight w:val="none"/>
                <w:lang w:val="en-US" w:eastAsia="zh-CN"/>
              </w:rPr>
              <w:t>项</w:t>
            </w:r>
            <w:r>
              <w:rPr>
                <w:rFonts w:hint="eastAsia" w:ascii="宋体" w:hAnsi="宋体" w:eastAsia="宋体" w:cs="宋体"/>
                <w:color w:val="auto"/>
                <w:kern w:val="0"/>
                <w:sz w:val="21"/>
                <w:szCs w:val="21"/>
                <w:highlight w:val="none"/>
              </w:rPr>
              <w:t>国内外大奖图书不少于500本，重复获奖书籍按1本计算；豆瓣高分8.0以上、当当、京东、亚马逊等近5年畅销榜图书、经典名著不少于1万册，所供书目不重合。</w:t>
            </w:r>
          </w:p>
          <w:p w14:paraId="709DA75F">
            <w:pPr>
              <w:pStyle w:val="52"/>
              <w:keepNext w:val="0"/>
              <w:keepLines w:val="0"/>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）技术需求：</w:t>
            </w:r>
          </w:p>
          <w:p w14:paraId="3B269F61">
            <w:pPr>
              <w:pStyle w:val="52"/>
              <w:keepNext w:val="0"/>
              <w:keepLines w:val="0"/>
              <w:pageBreakBefore w:val="0"/>
              <w:kinsoku/>
              <w:wordWrap/>
              <w:overflowPunct/>
              <w:topLinePunct w:val="0"/>
              <w:autoSpaceDE/>
              <w:autoSpaceDN/>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1.支持收藏图书、听书功能；收藏记录在平台PC端、微信/H5端账号体系同步。</w:t>
            </w:r>
          </w:p>
          <w:p w14:paraId="3CFC008F">
            <w:pPr>
              <w:pStyle w:val="52"/>
              <w:keepNext w:val="0"/>
              <w:keepLines w:val="0"/>
              <w:pageBreakBefore w:val="0"/>
              <w:kinsoku/>
              <w:wordWrap/>
              <w:overflowPunct/>
              <w:topLinePunct w:val="0"/>
              <w:autoSpaceDE/>
              <w:autoSpaceDN/>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2.支持图书、听书资源检索；支持书名、作者等关键字搜索。</w:t>
            </w:r>
          </w:p>
          <w:p w14:paraId="475909A9">
            <w:pPr>
              <w:pStyle w:val="52"/>
              <w:keepNext w:val="0"/>
              <w:keepLines w:val="0"/>
              <w:pageBreakBefore w:val="0"/>
              <w:kinsoku/>
              <w:wordWrap/>
              <w:overflowPunct/>
              <w:topLinePunct w:val="0"/>
              <w:autoSpaceDE/>
              <w:autoSpaceDN/>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3.在线朗读支持调节朗读速度，可以定时关闭。</w:t>
            </w:r>
          </w:p>
          <w:p w14:paraId="0388CE87">
            <w:pPr>
              <w:pStyle w:val="52"/>
              <w:keepNext w:val="0"/>
              <w:keepLines w:val="0"/>
              <w:pageBreakBefore w:val="0"/>
              <w:kinsoku/>
              <w:wordWrap/>
              <w:overflowPunct/>
              <w:topLinePunct w:val="0"/>
              <w:autoSpaceDE/>
              <w:autoSpaceDN/>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提供读者阅读行为及阅读数据，支持多终端统一后台数据反馈。支持阅读人数、阅读书籍数量、阅读时长统计，支持阅读书籍热度排行、读者阅读时长排行等统计，整体数据可在后台呈现，支持以曲线图形态展示。</w:t>
            </w:r>
          </w:p>
          <w:p w14:paraId="72B01727">
            <w:pPr>
              <w:pStyle w:val="52"/>
              <w:keepNext w:val="0"/>
              <w:keepLines w:val="0"/>
              <w:pageBreakBefore w:val="0"/>
              <w:kinsoku/>
              <w:wordWrap/>
              <w:overflowPunct/>
              <w:topLinePunct w:val="0"/>
              <w:autoSpaceDE/>
              <w:autoSpaceDN/>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▲系统平台采用互联网访问模式、无需使用VPN等第三方系统，支持提供APP、H5、PC、小程序全终端进行阅读，支持用户体系对接及接口对接。</w:t>
            </w:r>
          </w:p>
          <w:p w14:paraId="32D03454">
            <w:pPr>
              <w:pStyle w:val="52"/>
              <w:keepNext w:val="0"/>
              <w:keepLines w:val="0"/>
              <w:pageBreakBefore w:val="0"/>
              <w:kinsoku/>
              <w:wordWrap/>
              <w:overflowPunct/>
              <w:topLinePunct w:val="0"/>
              <w:autoSpaceDE/>
              <w:autoSpaceDN/>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6.APP端阅读功能：书城支持个性化推荐信息流功能，所有图书支持 3D 仿真翻页效果，支持播放背景音乐、支持阅读时进行关键词搜索、批注、划线、词典、搜索、百科、纠错、翻译功能、支持资源分享至朋友圈、同时支持手机导入外部书籍阅读功能、实体书扫码搜索、每日书籍推荐日历功能。</w:t>
            </w:r>
          </w:p>
          <w:p w14:paraId="27AD163B">
            <w:pPr>
              <w:pStyle w:val="52"/>
              <w:keepNext w:val="0"/>
              <w:keepLines w:val="0"/>
              <w:pageBreakBefore w:val="0"/>
              <w:kinsoku/>
              <w:wordWrap/>
              <w:overflowPunct/>
              <w:topLinePunct w:val="0"/>
              <w:autoSpaceDE/>
              <w:autoSpaceDN/>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7.H5端阅读功能：与APP端账号体系同步，阅读页支持自定义排版（行间距、字体、字号）、展示效果（翻页模式、背景色、亮度、护眼模式）、支持用户做笔记（原文划线、写批注、加书签）功能。</w:t>
            </w:r>
          </w:p>
          <w:p w14:paraId="5359A596">
            <w:pPr>
              <w:pStyle w:val="52"/>
              <w:keepNext w:val="0"/>
              <w:keepLines w:val="0"/>
              <w:pageBreakBefore w:val="0"/>
              <w:kinsoku/>
              <w:wordWrap/>
              <w:overflowPunct/>
              <w:topLinePunct w:val="0"/>
              <w:autoSpaceDE/>
              <w:autoSpaceDN/>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专属个性化书城：首页的书城内容支持根据机构需求定制个性化书城，支持开屏启动画面的定制，书城千人千面，平台内包含数据推荐模块，根据用户偏好个性化推荐，可自主设定周阅读计划，系统须具备阅读计划提醒功能。</w:t>
            </w:r>
          </w:p>
          <w:p w14:paraId="7CBF6299">
            <w:pPr>
              <w:pStyle w:val="52"/>
              <w:keepNext w:val="0"/>
              <w:keepLines w:val="0"/>
              <w:pageBreakBefore w:val="0"/>
              <w:kinsoku/>
              <w:wordWrap/>
              <w:overflowPunct/>
              <w:topLinePunct w:val="0"/>
              <w:autoSpaceDE/>
              <w:autoSpaceDN/>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 ▲电子图书和有声书须在同一平台上稳定运行。该平台无并发数限制，能满足千万级以上日活跃用户的高并发访问需求，保障服务的连续性与稳定性。</w:t>
            </w:r>
          </w:p>
          <w:p w14:paraId="0FAC0D34">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10.平台内置活动功能，支持开展各类线上阅读推广活动，支持每年提供72期微信公众号推文及专题内容推送。</w:t>
            </w:r>
          </w:p>
          <w:p w14:paraId="42B7572F">
            <w:pPr>
              <w:keepNext w:val="0"/>
              <w:keepLines w:val="0"/>
              <w:pageBreakBefore w:val="0"/>
              <w:widowControl/>
              <w:kinsoku/>
              <w:wordWrap/>
              <w:overflowPunct/>
              <w:topLinePunct w:val="0"/>
              <w:autoSpaceDE/>
              <w:autoSpaceDN/>
              <w:bidi w:val="0"/>
              <w:spacing w:line="360" w:lineRule="auto"/>
              <w:ind w:firstLine="422" w:firstLineChars="20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2、本地镜像部分：</w:t>
            </w:r>
          </w:p>
          <w:p w14:paraId="2C676A2A">
            <w:pPr>
              <w:keepNext w:val="0"/>
              <w:keepLines w:val="0"/>
              <w:pageBreakBefore w:val="0"/>
              <w:widowControl/>
              <w:kinsoku/>
              <w:wordWrap/>
              <w:overflowPunct/>
              <w:topLinePunct w:val="0"/>
              <w:autoSpaceDE/>
              <w:autoSpaceDN/>
              <w:bidi w:val="0"/>
              <w:spacing w:line="360" w:lineRule="auto"/>
              <w:ind w:firstLine="422" w:firstLineChars="20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（1）数据资源：</w:t>
            </w:r>
          </w:p>
          <w:p w14:paraId="55CD1FB2">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1.图书数量：图书按照中图法22大分类，根据使用单位需求提供不低于150万种正版图书电子目录供使用单位挑选，镜像数字图书馆平台局域网内访问镜像数字资源，</w:t>
            </w:r>
            <w:r>
              <w:rPr>
                <w:rFonts w:hint="eastAsia" w:ascii="宋体" w:hAnsi="宋体" w:eastAsia="宋体" w:cs="宋体"/>
                <w:color w:val="auto"/>
                <w:sz w:val="21"/>
                <w:szCs w:val="21"/>
                <w:highlight w:val="none"/>
              </w:rPr>
              <w:t>镜像资源永久使用。</w:t>
            </w:r>
          </w:p>
          <w:p w14:paraId="17DEC3C5">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2.图书格式：图书主要以pdf 国际公开标准格式保存为主，不可为私人模式以保持图书原有的版式，电子书资源质量高，并能越放大越清晰，图书“页”不可为图片格式压缩，以免造成占用存储容量过多和具有分辨率相关性；</w:t>
            </w:r>
          </w:p>
          <w:p w14:paraId="74EB73DA">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3.图书种类：马列、哲学、社会科学、法律、文学、艺术、工业技术、自然科学、交通运输等根据使用方自选决定。</w:t>
            </w:r>
          </w:p>
          <w:p w14:paraId="6B30A846">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4.图书选择：根据使用单位需求提供中图法22大分类图书供使用单位挑选；</w:t>
            </w:r>
          </w:p>
          <w:p w14:paraId="606628EB">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5.支持文字提取功能，以便用户提取复制其中某一段文字；</w:t>
            </w:r>
          </w:p>
          <w:p w14:paraId="12F72EDD">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6.阅读方式：图书可在线全文阅读及具备二维码扫描功能，可以扫描到手机等移动设备在线阅读图书。</w:t>
            </w:r>
          </w:p>
          <w:p w14:paraId="6377E226">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7.平台系统对合法IP范围不限注册用户数、并发数和在线浏览数；</w:t>
            </w:r>
          </w:p>
          <w:p w14:paraId="3743A28C">
            <w:pPr>
              <w:keepNext w:val="0"/>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（2）技术需求:</w:t>
            </w:r>
          </w:p>
          <w:p w14:paraId="52B1A349">
            <w:pPr>
              <w:pStyle w:val="18"/>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1.平台系统对合法IP范围不限注册用户数、并发数和在线浏览数；</w:t>
            </w:r>
          </w:p>
          <w:p w14:paraId="767E36F7">
            <w:pPr>
              <w:pStyle w:val="18"/>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平台图书按照中图法进行二级学科分类，系统平台具有图书列表、个人书房、高级搜索、读书活动、个人收藏、阅读排行榜，下载排行榜按照日、周、月各个排行，图书推荐，图书收藏排行榜、访问人次、资源总量等功能；                                                    </w:t>
            </w:r>
          </w:p>
          <w:p w14:paraId="587B28CF">
            <w:pPr>
              <w:pStyle w:val="18"/>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3.分类：可以显示中图法22大分类和全部图书分类；</w:t>
            </w:r>
          </w:p>
          <w:p w14:paraId="28BEB16A">
            <w:pPr>
              <w:pStyle w:val="18"/>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4.个人书房：显示读者登录的用户名及个人信息，可以将自己喜欢的图书添加到个人书房，显示个人浏览图书足迹、个人阅读量、收藏量、下载量，以及可添加必读书目；</w:t>
            </w:r>
          </w:p>
          <w:p w14:paraId="4DFDD6B9">
            <w:pPr>
              <w:pStyle w:val="18"/>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5.图书检索：采用流行的分类树方式组织图书，可以快速找到您所需要的某一类全部书目。查询功能强大，可以根据图书的名称、作者、关键词、类型、ISBN编号等进行快速查询；</w:t>
            </w:r>
          </w:p>
          <w:p w14:paraId="20A1E9FE">
            <w:pPr>
              <w:pStyle w:val="18"/>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读书活动：分为三部分，最新活动、最热活动和经典活动。每部分活动可自定义添加图片、标题，同时显示活动时间、活动类型、主办单位、活动内容等信息，系统可以统计活动书单，提交作品数量以及参与人数，并且活动主题可自动切换。最新作品和优秀作品可在活动主题下方进行相应的体现展示；</w:t>
            </w:r>
          </w:p>
          <w:p w14:paraId="6AE66183">
            <w:pPr>
              <w:pStyle w:val="18"/>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7.新书通报：显示最新的上传的图书，可以推荐到首页；</w:t>
            </w:r>
          </w:p>
          <w:p w14:paraId="680406F0">
            <w:pPr>
              <w:pStyle w:val="18"/>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8.统计功能：平台可自动统计图书的阅读量、收藏量和下载量，同时平台可自动统计访问平台人数总量；</w:t>
            </w:r>
          </w:p>
          <w:p w14:paraId="3DEECBA2">
            <w:pPr>
              <w:pStyle w:val="18"/>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9.热门图书：根据读者搜索阅读图书的热门程度，图书会显示到首页；</w:t>
            </w:r>
          </w:p>
          <w:p w14:paraId="52C43F36">
            <w:pPr>
              <w:pStyle w:val="18"/>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10.图书推荐排行榜：好书推荐可在首页展示，阅读越多的书籍按阅读量置顶供大家快速分享查阅；</w:t>
            </w:r>
          </w:p>
          <w:p w14:paraId="47BDEA45">
            <w:pPr>
              <w:pStyle w:val="18"/>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11.图书阅读排行榜：图书阅读的次数越多，越靠前显示，越容易引起阅读兴趣；</w:t>
            </w:r>
          </w:p>
          <w:p w14:paraId="21ED424F">
            <w:pPr>
              <w:pStyle w:val="18"/>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12.阅读方式：系统在展示平台界面必须针对现代文图书都有二维码扫码功能，且扫码后，可将资源下载到任意载体。阅读过程中，可以随时收藏图书；</w:t>
            </w:r>
          </w:p>
          <w:p w14:paraId="78F43F8B">
            <w:pPr>
              <w:pStyle w:val="18"/>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13.现代图书采用中图法分类、现代文平台同时支持客户自定义分类</w:t>
            </w:r>
            <w:r>
              <w:rPr>
                <w:rFonts w:hint="eastAsia" w:ascii="宋体" w:hAnsi="宋体" w:eastAsia="宋体" w:cs="宋体"/>
                <w:color w:val="auto"/>
                <w:kern w:val="0"/>
                <w:sz w:val="21"/>
                <w:szCs w:val="21"/>
                <w:highlight w:val="none"/>
                <w:lang w:eastAsia="zh-CN"/>
              </w:rPr>
              <w:t>；</w:t>
            </w:r>
          </w:p>
          <w:p w14:paraId="1FA73456">
            <w:pPr>
              <w:pStyle w:val="18"/>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14.后台管理包含系统管理、会员管理、图片管理、资源上传、图书管理、访问管理、活动管理、必读书目、阅读统计等模块功能</w:t>
            </w:r>
            <w:r>
              <w:rPr>
                <w:rFonts w:hint="eastAsia" w:ascii="宋体" w:hAnsi="宋体" w:eastAsia="宋体" w:cs="宋体"/>
                <w:color w:val="auto"/>
                <w:kern w:val="0"/>
                <w:sz w:val="21"/>
                <w:szCs w:val="21"/>
                <w:highlight w:val="none"/>
                <w:lang w:eastAsia="zh-CN"/>
              </w:rPr>
              <w:t>；</w:t>
            </w:r>
          </w:p>
          <w:p w14:paraId="3B996804">
            <w:pPr>
              <w:pStyle w:val="18"/>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15.系统管理具有用户管理、角色管理、菜单管理、推荐类型、图书分类、图书评论、logo设置等功能</w:t>
            </w:r>
            <w:r>
              <w:rPr>
                <w:rFonts w:hint="eastAsia" w:ascii="宋体" w:hAnsi="宋体" w:eastAsia="宋体" w:cs="宋体"/>
                <w:color w:val="auto"/>
                <w:kern w:val="0"/>
                <w:sz w:val="21"/>
                <w:szCs w:val="21"/>
                <w:highlight w:val="none"/>
                <w:lang w:eastAsia="zh-CN"/>
              </w:rPr>
              <w:t>；</w:t>
            </w:r>
          </w:p>
          <w:p w14:paraId="22638C6B">
            <w:pPr>
              <w:pStyle w:val="18"/>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16.会员管理具有会员账号的新建、导入、批量删除、修改等功能</w:t>
            </w:r>
            <w:r>
              <w:rPr>
                <w:rFonts w:hint="eastAsia" w:ascii="宋体" w:hAnsi="宋体" w:eastAsia="宋体" w:cs="宋体"/>
                <w:color w:val="auto"/>
                <w:kern w:val="0"/>
                <w:sz w:val="21"/>
                <w:szCs w:val="21"/>
                <w:highlight w:val="none"/>
                <w:lang w:eastAsia="zh-CN"/>
              </w:rPr>
              <w:t>；</w:t>
            </w:r>
          </w:p>
          <w:p w14:paraId="20BDCC24">
            <w:pPr>
              <w:pStyle w:val="18"/>
              <w:keepNext w:val="0"/>
              <w:keepLines w:val="0"/>
              <w:pageBreakBefore w:val="0"/>
              <w:kinsoku/>
              <w:wordWrap/>
              <w:overflowPunct/>
              <w:topLinePunct w:val="0"/>
              <w:autoSpaceDE/>
              <w:autoSpaceDN/>
              <w:bidi w:val="0"/>
              <w:spacing w:line="360" w:lineRule="auto"/>
              <w:ind w:left="562"/>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17.图片管理：轮播图片的新增、修改、删除</w:t>
            </w:r>
            <w:r>
              <w:rPr>
                <w:rFonts w:hint="eastAsia" w:ascii="宋体" w:hAnsi="宋体" w:eastAsia="宋体" w:cs="宋体"/>
                <w:color w:val="auto"/>
                <w:kern w:val="0"/>
                <w:sz w:val="21"/>
                <w:szCs w:val="21"/>
                <w:highlight w:val="none"/>
                <w:lang w:eastAsia="zh-CN"/>
              </w:rPr>
              <w:t>；</w:t>
            </w:r>
          </w:p>
          <w:p w14:paraId="3855434C">
            <w:pPr>
              <w:pStyle w:val="18"/>
              <w:keepNext w:val="0"/>
              <w:keepLines w:val="0"/>
              <w:pageBreakBefore w:val="0"/>
              <w:kinsoku/>
              <w:wordWrap/>
              <w:overflowPunct/>
              <w:topLinePunct w:val="0"/>
              <w:autoSpaceDE/>
              <w:autoSpaceDN/>
              <w:bidi w:val="0"/>
              <w:spacing w:line="360" w:lineRule="auto"/>
              <w:ind w:left="562"/>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18.资源上传：用户单位的图书资源上传</w:t>
            </w:r>
            <w:r>
              <w:rPr>
                <w:rFonts w:hint="eastAsia" w:ascii="宋体" w:hAnsi="宋体" w:eastAsia="宋体" w:cs="宋体"/>
                <w:color w:val="auto"/>
                <w:kern w:val="0"/>
                <w:sz w:val="21"/>
                <w:szCs w:val="21"/>
                <w:highlight w:val="none"/>
                <w:lang w:eastAsia="zh-CN"/>
              </w:rPr>
              <w:t>；</w:t>
            </w:r>
          </w:p>
          <w:p w14:paraId="13132660">
            <w:pPr>
              <w:pStyle w:val="18"/>
              <w:keepNext w:val="0"/>
              <w:keepLines w:val="0"/>
              <w:pageBreakBefore w:val="0"/>
              <w:kinsoku/>
              <w:wordWrap/>
              <w:overflowPunct/>
              <w:topLinePunct w:val="0"/>
              <w:autoSpaceDE/>
              <w:autoSpaceDN/>
              <w:bidi w:val="0"/>
              <w:spacing w:line="360" w:lineRule="auto"/>
              <w:ind w:firstLine="630" w:firstLineChars="3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19.图书管理：图书资源的管理，以及图书资源的信息内容查询</w:t>
            </w:r>
            <w:r>
              <w:rPr>
                <w:rFonts w:hint="eastAsia" w:ascii="宋体" w:hAnsi="宋体" w:eastAsia="宋体" w:cs="宋体"/>
                <w:color w:val="auto"/>
                <w:kern w:val="0"/>
                <w:sz w:val="21"/>
                <w:szCs w:val="21"/>
                <w:highlight w:val="none"/>
                <w:lang w:eastAsia="zh-CN"/>
              </w:rPr>
              <w:t>；</w:t>
            </w:r>
          </w:p>
          <w:p w14:paraId="4CA4D3AA">
            <w:pPr>
              <w:pStyle w:val="18"/>
              <w:keepNext w:val="0"/>
              <w:keepLines w:val="0"/>
              <w:pageBreakBefore w:val="0"/>
              <w:kinsoku/>
              <w:wordWrap/>
              <w:overflowPunct/>
              <w:topLinePunct w:val="0"/>
              <w:autoSpaceDE/>
              <w:autoSpaceDN/>
              <w:bidi w:val="0"/>
              <w:spacing w:line="360" w:lineRule="auto"/>
              <w:ind w:left="562"/>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20.访问管理：IP限制管理设置</w:t>
            </w:r>
            <w:r>
              <w:rPr>
                <w:rFonts w:hint="eastAsia" w:ascii="宋体" w:hAnsi="宋体" w:eastAsia="宋体" w:cs="宋体"/>
                <w:color w:val="auto"/>
                <w:kern w:val="0"/>
                <w:sz w:val="21"/>
                <w:szCs w:val="21"/>
                <w:highlight w:val="none"/>
                <w:lang w:eastAsia="zh-CN"/>
              </w:rPr>
              <w:t>；</w:t>
            </w:r>
          </w:p>
          <w:p w14:paraId="25870DEA">
            <w:pPr>
              <w:pStyle w:val="18"/>
              <w:keepNext w:val="0"/>
              <w:keepLines w:val="0"/>
              <w:pageBreakBefore w:val="0"/>
              <w:kinsoku/>
              <w:wordWrap/>
              <w:overflowPunct/>
              <w:topLinePunct w:val="0"/>
              <w:autoSpaceDE/>
              <w:autoSpaceDN/>
              <w:bidi w:val="0"/>
              <w:spacing w:line="360" w:lineRule="auto"/>
              <w:ind w:firstLine="630" w:firstLineChars="3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21.活动管理：读书活动分布管理，读者作品审核、删除的管理</w:t>
            </w:r>
            <w:r>
              <w:rPr>
                <w:rFonts w:hint="eastAsia" w:ascii="宋体" w:hAnsi="宋体" w:eastAsia="宋体" w:cs="宋体"/>
                <w:color w:val="auto"/>
                <w:kern w:val="0"/>
                <w:sz w:val="21"/>
                <w:szCs w:val="21"/>
                <w:highlight w:val="none"/>
                <w:lang w:eastAsia="zh-CN"/>
              </w:rPr>
              <w:t>；</w:t>
            </w:r>
          </w:p>
          <w:p w14:paraId="6DB0EC00">
            <w:pPr>
              <w:pStyle w:val="18"/>
              <w:keepNext w:val="0"/>
              <w:keepLines w:val="0"/>
              <w:pageBreakBefore w:val="0"/>
              <w:kinsoku/>
              <w:wordWrap/>
              <w:overflowPunct/>
              <w:topLinePunct w:val="0"/>
              <w:autoSpaceDE/>
              <w:autoSpaceDN/>
              <w:bidi w:val="0"/>
              <w:spacing w:line="360" w:lineRule="auto"/>
              <w:ind w:left="562"/>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22.必读书目:必读书目的推荐和删除</w:t>
            </w:r>
            <w:r>
              <w:rPr>
                <w:rFonts w:hint="eastAsia" w:ascii="宋体" w:hAnsi="宋体" w:eastAsia="宋体" w:cs="宋体"/>
                <w:color w:val="auto"/>
                <w:kern w:val="0"/>
                <w:sz w:val="21"/>
                <w:szCs w:val="21"/>
                <w:highlight w:val="none"/>
                <w:lang w:eastAsia="zh-CN"/>
              </w:rPr>
              <w:t>；</w:t>
            </w:r>
          </w:p>
          <w:p w14:paraId="77A6F561">
            <w:pPr>
              <w:pStyle w:val="8"/>
              <w:keepNext w:val="0"/>
              <w:keepLines w:val="0"/>
              <w:pageBreakBefore w:val="0"/>
              <w:numPr>
                <w:ilvl w:val="0"/>
                <w:numId w:val="0"/>
              </w:numPr>
              <w:kinsoku/>
              <w:wordWrap/>
              <w:overflowPunct/>
              <w:topLinePunct w:val="0"/>
              <w:autoSpaceDE/>
              <w:autoSpaceDN/>
              <w:bidi w:val="0"/>
              <w:spacing w:line="360" w:lineRule="auto"/>
              <w:ind w:firstLine="630" w:firstLine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23.阅读统计具有阅读明细、部门汇总、用户汇总、图书汇总、月汇总表、年汇总表、分类汇总、下载统计等数据统计分析功能。</w:t>
            </w:r>
          </w:p>
        </w:tc>
      </w:tr>
      <w:tr w14:paraId="075C1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3" w:type="dxa"/>
            <w:gridSpan w:val="6"/>
            <w:noWrap w:val="0"/>
            <w:vAlign w:val="center"/>
          </w:tcPr>
          <w:p w14:paraId="7DEE4522">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二、涉及项目的其他要求</w:t>
            </w:r>
          </w:p>
        </w:tc>
      </w:tr>
      <w:tr w14:paraId="685CF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0" w:type="dxa"/>
            <w:gridSpan w:val="3"/>
            <w:noWrap w:val="0"/>
            <w:vAlign w:val="center"/>
          </w:tcPr>
          <w:p w14:paraId="155BCD03">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▲采购预算金额</w:t>
            </w:r>
          </w:p>
        </w:tc>
        <w:tc>
          <w:tcPr>
            <w:tcW w:w="7003" w:type="dxa"/>
            <w:gridSpan w:val="3"/>
            <w:noWrap w:val="0"/>
            <w:vAlign w:val="center"/>
          </w:tcPr>
          <w:p w14:paraId="70B6B8DD">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500000</w:t>
            </w:r>
            <w:r>
              <w:rPr>
                <w:rFonts w:hint="eastAsia" w:ascii="宋体" w:hAnsi="宋体" w:eastAsia="宋体" w:cs="宋体"/>
                <w:color w:val="auto"/>
                <w:sz w:val="21"/>
                <w:szCs w:val="21"/>
                <w:highlight w:val="none"/>
              </w:rPr>
              <w:t>元</w:t>
            </w:r>
          </w:p>
        </w:tc>
      </w:tr>
      <w:tr w14:paraId="00225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3" w:type="dxa"/>
            <w:gridSpan w:val="6"/>
            <w:noWrap w:val="0"/>
            <w:vAlign w:val="center"/>
          </w:tcPr>
          <w:p w14:paraId="1983C55D">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三</w:t>
            </w:r>
            <w:r>
              <w:rPr>
                <w:rFonts w:hint="eastAsia" w:ascii="宋体" w:hAnsi="宋体" w:eastAsia="宋体" w:cs="宋体"/>
                <w:b/>
                <w:color w:val="auto"/>
                <w:sz w:val="21"/>
                <w:szCs w:val="21"/>
                <w:highlight w:val="none"/>
              </w:rPr>
              <w:t>、商务条款</w:t>
            </w:r>
          </w:p>
        </w:tc>
      </w:tr>
      <w:tr w14:paraId="40FC1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9" w:type="dxa"/>
            <w:gridSpan w:val="2"/>
            <w:noWrap w:val="0"/>
            <w:vAlign w:val="center"/>
          </w:tcPr>
          <w:p w14:paraId="11840162">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▲服务期限及服务地点</w:t>
            </w:r>
          </w:p>
        </w:tc>
        <w:tc>
          <w:tcPr>
            <w:tcW w:w="7734" w:type="dxa"/>
            <w:gridSpan w:val="4"/>
            <w:noWrap w:val="0"/>
            <w:vAlign w:val="center"/>
          </w:tcPr>
          <w:p w14:paraId="04F4BD0E">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服务期限</w:t>
            </w:r>
            <w:r>
              <w:rPr>
                <w:rFonts w:hint="eastAsia" w:ascii="宋体" w:hAnsi="宋体" w:eastAsia="宋体" w:cs="宋体"/>
                <w:color w:val="auto"/>
                <w:sz w:val="21"/>
                <w:szCs w:val="21"/>
                <w:highlight w:val="none"/>
                <w:lang w:val="en-US" w:eastAsia="zh-CN"/>
              </w:rPr>
              <w:t>：合同签订之日起30日内完成。</w:t>
            </w:r>
          </w:p>
          <w:p w14:paraId="6F87E178">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2.交货地点：学校指定地点。</w:t>
            </w:r>
          </w:p>
        </w:tc>
      </w:tr>
      <w:tr w14:paraId="671F9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9" w:type="dxa"/>
            <w:gridSpan w:val="2"/>
            <w:noWrap w:val="0"/>
            <w:vAlign w:val="center"/>
          </w:tcPr>
          <w:p w14:paraId="5D83AB62">
            <w:pPr>
              <w:pStyle w:val="18"/>
              <w:keepNext w:val="0"/>
              <w:keepLines w:val="0"/>
              <w:pageBreakBefore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bidi="ar-SA"/>
              </w:rPr>
              <w:t>付款条件</w:t>
            </w:r>
          </w:p>
        </w:tc>
        <w:tc>
          <w:tcPr>
            <w:tcW w:w="7734" w:type="dxa"/>
            <w:gridSpan w:val="4"/>
            <w:noWrap w:val="0"/>
            <w:vAlign w:val="center"/>
          </w:tcPr>
          <w:p w14:paraId="59F56AB5">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本合同项下的全部服务完毕并经最终验收合格后60日内甲方向乙方一次性支付合同总金额的100%。甲方付款前，乙方应向甲方提供《请款函》和开具等额有效的增值税发票，甲方未收到《请款函》和发票的，有权不予支付相应款项直至乙方提供合格《请款函》和发票，并不承担延迟付款责任。</w:t>
            </w:r>
          </w:p>
        </w:tc>
      </w:tr>
      <w:tr w14:paraId="2FEF9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9" w:type="dxa"/>
            <w:gridSpan w:val="2"/>
            <w:noWrap w:val="0"/>
            <w:vAlign w:val="center"/>
          </w:tcPr>
          <w:p w14:paraId="700915DB">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投标报价要求</w:t>
            </w:r>
          </w:p>
        </w:tc>
        <w:tc>
          <w:tcPr>
            <w:tcW w:w="7734" w:type="dxa"/>
            <w:gridSpan w:val="4"/>
            <w:noWrap w:val="0"/>
            <w:vAlign w:val="center"/>
          </w:tcPr>
          <w:p w14:paraId="4AF12132">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本项目报价包含完成本服务项目所需的相关费用，包括</w:t>
            </w:r>
            <w:r>
              <w:rPr>
                <w:rFonts w:hint="eastAsia" w:ascii="宋体" w:hAnsi="宋体" w:eastAsia="宋体" w:cs="宋体"/>
                <w:color w:val="auto"/>
                <w:sz w:val="21"/>
                <w:szCs w:val="21"/>
                <w:highlight w:val="none"/>
              </w:rPr>
              <w:t>人工费和所需的</w:t>
            </w:r>
            <w:r>
              <w:rPr>
                <w:rFonts w:hint="eastAsia" w:ascii="宋体" w:hAnsi="宋体" w:eastAsia="宋体" w:cs="宋体"/>
                <w:color w:val="auto"/>
                <w:sz w:val="21"/>
                <w:szCs w:val="21"/>
                <w:highlight w:val="none"/>
                <w:lang w:eastAsia="zh-CN"/>
              </w:rPr>
              <w:t>现场勘察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效果制作、技术支持、</w:t>
            </w:r>
            <w:r>
              <w:rPr>
                <w:rFonts w:hint="eastAsia" w:ascii="宋体" w:hAnsi="宋体" w:eastAsia="宋体" w:cs="宋体"/>
                <w:color w:val="auto"/>
                <w:sz w:val="21"/>
                <w:szCs w:val="21"/>
                <w:highlight w:val="none"/>
              </w:rPr>
              <w:t>设备、运输、材料费用，利润、应缴税费、保险以及服务合同包含的所有风险、责任等各项应有费用的全包价。</w:t>
            </w:r>
          </w:p>
        </w:tc>
      </w:tr>
      <w:tr w14:paraId="21000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9" w:type="dxa"/>
            <w:gridSpan w:val="2"/>
            <w:noWrap w:val="0"/>
            <w:vAlign w:val="center"/>
          </w:tcPr>
          <w:p w14:paraId="0574D5B5">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▲质保期</w:t>
            </w:r>
          </w:p>
        </w:tc>
        <w:tc>
          <w:tcPr>
            <w:tcW w:w="7734" w:type="dxa"/>
            <w:gridSpan w:val="4"/>
            <w:noWrap w:val="0"/>
            <w:vAlign w:val="center"/>
          </w:tcPr>
          <w:p w14:paraId="2740844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自验收之日起，软件至少提供1年的免费升级服务。免费升级包括应用系统的维护、功能完善、性能提升、故障检测，并保证软件的正常运行。</w:t>
            </w:r>
          </w:p>
        </w:tc>
      </w:tr>
      <w:tr w14:paraId="1C86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9" w:type="dxa"/>
            <w:gridSpan w:val="2"/>
            <w:noWrap w:val="0"/>
            <w:vAlign w:val="center"/>
          </w:tcPr>
          <w:p w14:paraId="5A393EBD">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售后服务要求</w:t>
            </w:r>
          </w:p>
        </w:tc>
        <w:tc>
          <w:tcPr>
            <w:tcW w:w="7734" w:type="dxa"/>
            <w:gridSpan w:val="4"/>
            <w:noWrap w:val="0"/>
            <w:vAlign w:val="center"/>
          </w:tcPr>
          <w:p w14:paraId="2BCE0ECE">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售后服务：1.版权保证及承诺责任: 乙方已妥善解决好该资源所有的版权等相关知识产权问题。如在甲方合理使用过程中因版权等相关知识产权问题引起法律纠纷，乙方承担所有责任并消除所有不良影响。</w:t>
            </w:r>
            <w:r>
              <w:rPr>
                <w:rFonts w:hint="eastAsia" w:ascii="宋体" w:hAnsi="宋体" w:eastAsia="宋体" w:cs="宋体"/>
                <w:color w:val="auto"/>
                <w:sz w:val="21"/>
                <w:szCs w:val="21"/>
                <w:highlight w:val="none"/>
                <w:lang w:eastAsia="zh-CN"/>
              </w:rPr>
              <w:br w:type="textWrapping"/>
            </w:r>
            <w:r>
              <w:rPr>
                <w:rFonts w:hint="eastAsia" w:ascii="宋体" w:hAnsi="宋体" w:eastAsia="宋体" w:cs="宋体"/>
                <w:color w:val="auto"/>
                <w:sz w:val="21"/>
                <w:szCs w:val="21"/>
                <w:highlight w:val="none"/>
                <w:lang w:eastAsia="zh-CN"/>
              </w:rPr>
              <w:t>2.访问服务承诺：故障反应时间不超过6小时，故障解决时间不超过24小时。乙方不能按时响应并解决故障的，乙方应当赔偿甲方因迟延解决故障造成的损失。乙方连续或者累计三次不能按时响应并解决故障的，甲方有权解除合同，并要求乙方退还甲方的已付款项，甲方还有权要求乙方赔偿甲方损失。</w:t>
            </w:r>
            <w:r>
              <w:rPr>
                <w:rFonts w:hint="eastAsia" w:ascii="宋体" w:hAnsi="宋体" w:eastAsia="宋体" w:cs="宋体"/>
                <w:color w:val="auto"/>
                <w:sz w:val="21"/>
                <w:szCs w:val="21"/>
                <w:highlight w:val="none"/>
                <w:lang w:eastAsia="zh-CN"/>
              </w:rPr>
              <w:br w:type="textWrapping"/>
            </w:r>
            <w:r>
              <w:rPr>
                <w:rFonts w:hint="eastAsia" w:ascii="宋体" w:hAnsi="宋体" w:eastAsia="宋体" w:cs="宋体"/>
                <w:color w:val="auto"/>
                <w:sz w:val="21"/>
                <w:szCs w:val="21"/>
                <w:highlight w:val="none"/>
                <w:lang w:eastAsia="zh-CN"/>
              </w:rPr>
              <w:t>乙方每年向甲方通报2次使用信息，每年1月向甲方提交上年度使用报表。</w:t>
            </w:r>
          </w:p>
        </w:tc>
      </w:tr>
      <w:tr w14:paraId="7441D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9" w:type="dxa"/>
            <w:gridSpan w:val="2"/>
            <w:noWrap w:val="0"/>
            <w:vAlign w:val="center"/>
          </w:tcPr>
          <w:p w14:paraId="51B7DADA">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验收标准、规范</w:t>
            </w:r>
          </w:p>
          <w:p w14:paraId="152297C1">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1"/>
                <w:szCs w:val="21"/>
                <w:highlight w:val="none"/>
                <w:lang w:val="en-US" w:eastAsia="zh-CN" w:bidi="ar-SA"/>
              </w:rPr>
            </w:pPr>
          </w:p>
        </w:tc>
        <w:tc>
          <w:tcPr>
            <w:tcW w:w="7734" w:type="dxa"/>
            <w:gridSpan w:val="4"/>
            <w:noWrap w:val="0"/>
            <w:vAlign w:val="center"/>
          </w:tcPr>
          <w:p w14:paraId="4B3A4E0E">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1、验收过程中所产生的一切费用均由成交人承担。报价时应考虑相关费用。</w:t>
            </w:r>
          </w:p>
          <w:p w14:paraId="64E53E55">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成交人在项目验收时由采购单位对照采购文件的服务内容及指标全面核对检验，如不符合采购文件的技术要求以及提供虚假承诺的，按相关规定做违约处理，成交人承担所有责任和费用，采购人保留进一步追究责任的权利。</w:t>
            </w:r>
          </w:p>
          <w:p w14:paraId="0D27C2CD">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2、服务标准：符合国际、国家及行业有关规范和标准。</w:t>
            </w:r>
          </w:p>
        </w:tc>
      </w:tr>
      <w:tr w14:paraId="35AD5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9" w:type="dxa"/>
            <w:gridSpan w:val="2"/>
            <w:noWrap w:val="0"/>
            <w:vAlign w:val="center"/>
          </w:tcPr>
          <w:p w14:paraId="1B77703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培训要求</w:t>
            </w:r>
          </w:p>
        </w:tc>
        <w:tc>
          <w:tcPr>
            <w:tcW w:w="7734" w:type="dxa"/>
            <w:gridSpan w:val="4"/>
            <w:noWrap w:val="0"/>
            <w:vAlign w:val="center"/>
          </w:tcPr>
          <w:p w14:paraId="656115C3">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1、成交供应商应派专业技术人员对采购人的相关操作人员行使用操作等技术的培训，直至采购人的相关操作人员能独立工作。</w:t>
            </w:r>
          </w:p>
          <w:p w14:paraId="4D9263DB">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2、成交供应商须提供相应的培训计划及应用技术支持计划。</w:t>
            </w:r>
          </w:p>
          <w:p w14:paraId="1009F061">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3、采购单位可根据实际情况决定培训的时间、人数、地点和培训方式。</w:t>
            </w:r>
          </w:p>
        </w:tc>
      </w:tr>
      <w:tr w14:paraId="46F55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9" w:type="dxa"/>
            <w:gridSpan w:val="2"/>
            <w:noWrap w:val="0"/>
            <w:vAlign w:val="center"/>
          </w:tcPr>
          <w:p w14:paraId="36C419D9">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其它要求</w:t>
            </w:r>
          </w:p>
        </w:tc>
        <w:tc>
          <w:tcPr>
            <w:tcW w:w="7734" w:type="dxa"/>
            <w:gridSpan w:val="4"/>
            <w:noWrap w:val="0"/>
            <w:vAlign w:val="center"/>
          </w:tcPr>
          <w:p w14:paraId="6F7D8A99">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ascii="宋体" w:hAnsi="宋体" w:cs="宋体"/>
                <w:color w:val="auto"/>
                <w:kern w:val="2"/>
                <w:sz w:val="21"/>
                <w:szCs w:val="21"/>
                <w:highlight w:val="none"/>
                <w:lang w:val="en-US" w:eastAsia="zh-CN" w:bidi="ar-SA"/>
              </w:rPr>
              <w:t>中标供应商在签订合同前需提供供应商或</w:t>
            </w:r>
            <w:r>
              <w:rPr>
                <w:rFonts w:hint="eastAsia" w:ascii="宋体" w:hAnsi="宋体" w:eastAsia="宋体" w:cs="宋体"/>
                <w:color w:val="auto"/>
                <w:kern w:val="2"/>
                <w:sz w:val="21"/>
                <w:szCs w:val="21"/>
                <w:highlight w:val="none"/>
                <w:lang w:val="en-US" w:eastAsia="zh-CN" w:bidi="ar-SA"/>
              </w:rPr>
              <w:t>生产厂商有效</w:t>
            </w:r>
            <w:r>
              <w:rPr>
                <w:rFonts w:hint="eastAsia" w:ascii="宋体" w:hAnsi="宋体" w:cs="宋体"/>
                <w:color w:val="auto"/>
                <w:kern w:val="2"/>
                <w:sz w:val="21"/>
                <w:szCs w:val="21"/>
                <w:highlight w:val="none"/>
                <w:lang w:val="en-US" w:eastAsia="zh-CN" w:bidi="ar-SA"/>
              </w:rPr>
              <w:t>的</w:t>
            </w:r>
            <w:r>
              <w:rPr>
                <w:rFonts w:hint="eastAsia" w:ascii="宋体" w:hAnsi="宋体" w:eastAsia="宋体" w:cs="宋体"/>
                <w:color w:val="auto"/>
                <w:kern w:val="2"/>
                <w:sz w:val="21"/>
                <w:szCs w:val="21"/>
                <w:highlight w:val="none"/>
                <w:lang w:val="en-US" w:eastAsia="zh-CN" w:bidi="ar-SA"/>
              </w:rPr>
              <w:t>《中华人民共和国网络出版服务许可证》《网络文化经营许可证》；电子书制作方具备有效期内证书：《电子出版物制作许可证》；响应产品具备有效的：《三级安全等级测评报告》。</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非生产厂家的，应出具生产厂家的授权证明。</w:t>
            </w:r>
          </w:p>
          <w:p w14:paraId="4362AF3D">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2.供应商有电子书加工制作软件相关自有知识产权，提供相应的软件著作权或专利证书，软件著作权不少于3项，专利不少于2项。</w:t>
            </w:r>
          </w:p>
          <w:p w14:paraId="426C9EC8">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为保障资源质量，供应商或原厂家应提供包括但不限于以下13个出版社或版权方授权：商务印书馆、三联书店、后浪出版、上海译文、人民邮电出版社、果麦文化、读客文化、电子工业出版社、机械工业出版社、浙江文艺出版社、北京师范大学出版社、广东花城出版社、二十一世纪出版社。</w:t>
            </w:r>
          </w:p>
          <w:p w14:paraId="2553F5E8">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为保障资源质量，供应商或原厂家应提供包括但不限于以下10个主流有声版权方授权，包括磨铁（有声）、后浪（有声）、上海译文（有声）、中国科学技术（有声）、新华先锋（有声）、理想国（有声）、人民邮电（有声）、中国科学技术（有声）、北京竹石（有声）、紫图图书（有声）。</w:t>
            </w:r>
          </w:p>
        </w:tc>
      </w:tr>
      <w:tr w14:paraId="13B0E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3" w:type="dxa"/>
            <w:gridSpan w:val="6"/>
            <w:noWrap w:val="0"/>
            <w:vAlign w:val="center"/>
          </w:tcPr>
          <w:p w14:paraId="0FA2DD61">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四、采购人对项目的特殊要求及说明</w:t>
            </w:r>
          </w:p>
        </w:tc>
      </w:tr>
      <w:tr w14:paraId="781FF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9" w:type="dxa"/>
            <w:gridSpan w:val="2"/>
            <w:noWrap w:val="0"/>
            <w:vAlign w:val="center"/>
          </w:tcPr>
          <w:p w14:paraId="790ECF8E">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其他说明</w:t>
            </w:r>
          </w:p>
        </w:tc>
        <w:tc>
          <w:tcPr>
            <w:tcW w:w="7734" w:type="dxa"/>
            <w:gridSpan w:val="4"/>
            <w:noWrap w:val="0"/>
            <w:vAlign w:val="center"/>
          </w:tcPr>
          <w:p w14:paraId="2B43B398">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为避免供应商不良诚信记录的发生，及配合采购单位政府采购项目执行和备案，未在采购云注册的供应商可在获取竞争性磋商文件后登录采购云进行注册，如在操作过程中遇到问题或者需要技术支持，请致电采购云客服热线：400-881-7190。</w:t>
            </w:r>
          </w:p>
        </w:tc>
      </w:tr>
      <w:tr w14:paraId="7AAE1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9" w:type="dxa"/>
            <w:gridSpan w:val="2"/>
            <w:noWrap w:val="0"/>
            <w:vAlign w:val="center"/>
          </w:tcPr>
          <w:p w14:paraId="7B73CE1C">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 xml:space="preserve">规范标准 </w:t>
            </w:r>
          </w:p>
        </w:tc>
        <w:tc>
          <w:tcPr>
            <w:tcW w:w="7734" w:type="dxa"/>
            <w:gridSpan w:val="4"/>
            <w:noWrap w:val="0"/>
            <w:vAlign w:val="center"/>
          </w:tcPr>
          <w:p w14:paraId="539A63C5">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采购标的需执行的国家标准、行业标准、地方标准或者其他标准、规范。多项标准的， 按最新标准或较高标准执行。</w:t>
            </w:r>
          </w:p>
        </w:tc>
      </w:tr>
    </w:tbl>
    <w:p w14:paraId="7E690AB6">
      <w:pPr>
        <w:spacing w:line="360" w:lineRule="auto"/>
        <w:ind w:firstLine="426" w:firstLineChars="202"/>
        <w:jc w:val="left"/>
        <w:rPr>
          <w:rFonts w:hint="eastAsia" w:ascii="宋体" w:hAnsi="宋体" w:cs="宋体"/>
          <w:b/>
          <w:bCs/>
          <w:color w:val="auto"/>
          <w:szCs w:val="21"/>
        </w:rPr>
      </w:pPr>
    </w:p>
    <w:p w14:paraId="511F7678">
      <w:pPr>
        <w:spacing w:line="360" w:lineRule="exact"/>
        <w:rPr>
          <w:rFonts w:hint="eastAsia" w:ascii="宋体" w:hAnsi="宋体" w:cs="宋体"/>
          <w:b/>
          <w:color w:val="auto"/>
          <w:szCs w:val="21"/>
        </w:rPr>
      </w:pPr>
      <w:r>
        <w:rPr>
          <w:rFonts w:hint="eastAsia" w:ascii="宋体" w:hAnsi="宋体" w:cs="宋体"/>
          <w:b/>
          <w:color w:val="auto"/>
          <w:szCs w:val="21"/>
        </w:rPr>
        <w:t xml:space="preserve">    </w:t>
      </w:r>
    </w:p>
    <w:p w14:paraId="6CFCD762">
      <w:pPr>
        <w:spacing w:line="360" w:lineRule="exact"/>
        <w:rPr>
          <w:rStyle w:val="49"/>
          <w:rFonts w:hint="eastAsia" w:ascii="宋体" w:hAnsi="宋体"/>
          <w:b/>
          <w:color w:val="auto"/>
          <w:sz w:val="24"/>
        </w:rPr>
      </w:pPr>
      <w:r>
        <w:rPr>
          <w:rFonts w:hint="eastAsia" w:ascii="Times New Roman" w:hAnsi="宋体" w:eastAsia="宋体" w:cs="Times New Roman"/>
          <w:color w:val="auto"/>
          <w:kern w:val="2"/>
          <w:sz w:val="21"/>
          <w:szCs w:val="21"/>
          <w:highlight w:val="none"/>
          <w:lang w:val="en-US" w:eastAsia="zh-CN" w:bidi="ar-SA"/>
        </w:rPr>
        <w:t xml:space="preserve"> </w:t>
      </w:r>
      <w:bookmarkStart w:id="69" w:name="_Toc74323459"/>
    </w:p>
    <w:p w14:paraId="616133C7">
      <w:pPr>
        <w:spacing w:line="360" w:lineRule="exact"/>
        <w:rPr>
          <w:rStyle w:val="49"/>
          <w:rFonts w:hint="eastAsia" w:ascii="宋体" w:hAnsi="宋体"/>
          <w:b/>
          <w:color w:val="auto"/>
          <w:sz w:val="24"/>
        </w:rPr>
      </w:pPr>
    </w:p>
    <w:p w14:paraId="7203AFC1">
      <w:pPr>
        <w:spacing w:line="360" w:lineRule="exact"/>
        <w:rPr>
          <w:rStyle w:val="49"/>
          <w:rFonts w:hint="eastAsia" w:ascii="宋体" w:hAnsi="宋体"/>
          <w:b/>
          <w:color w:val="auto"/>
          <w:sz w:val="24"/>
        </w:rPr>
      </w:pPr>
    </w:p>
    <w:p w14:paraId="7B007A0A">
      <w:pPr>
        <w:spacing w:line="360" w:lineRule="exact"/>
        <w:rPr>
          <w:rStyle w:val="49"/>
          <w:rFonts w:hint="eastAsia" w:ascii="宋体" w:hAnsi="宋体"/>
          <w:b/>
          <w:color w:val="auto"/>
          <w:sz w:val="24"/>
        </w:rPr>
      </w:pPr>
    </w:p>
    <w:p w14:paraId="4FEFDDE0">
      <w:pPr>
        <w:spacing w:line="360" w:lineRule="exact"/>
        <w:rPr>
          <w:rStyle w:val="49"/>
          <w:rFonts w:hint="eastAsia" w:ascii="宋体" w:hAnsi="宋体"/>
          <w:b/>
          <w:color w:val="auto"/>
          <w:sz w:val="24"/>
        </w:rPr>
      </w:pPr>
    </w:p>
    <w:p w14:paraId="2692B81F">
      <w:pPr>
        <w:spacing w:line="360" w:lineRule="exact"/>
        <w:rPr>
          <w:rStyle w:val="49"/>
          <w:rFonts w:hint="eastAsia" w:ascii="宋体" w:hAnsi="宋体"/>
          <w:b/>
          <w:color w:val="auto"/>
          <w:sz w:val="24"/>
        </w:rPr>
      </w:pPr>
    </w:p>
    <w:p w14:paraId="308EA7A0">
      <w:pPr>
        <w:spacing w:line="360" w:lineRule="exact"/>
        <w:rPr>
          <w:rStyle w:val="49"/>
          <w:rFonts w:hint="eastAsia" w:ascii="宋体" w:hAnsi="宋体"/>
          <w:b/>
          <w:color w:val="auto"/>
          <w:sz w:val="24"/>
        </w:rPr>
      </w:pPr>
    </w:p>
    <w:p w14:paraId="4CBFD786">
      <w:pPr>
        <w:spacing w:line="360" w:lineRule="exact"/>
        <w:rPr>
          <w:rStyle w:val="49"/>
          <w:rFonts w:hint="eastAsia" w:ascii="宋体" w:hAnsi="宋体"/>
          <w:b/>
          <w:color w:val="auto"/>
          <w:sz w:val="24"/>
        </w:rPr>
      </w:pPr>
    </w:p>
    <w:p w14:paraId="1298F644">
      <w:pPr>
        <w:pStyle w:val="3"/>
        <w:jc w:val="both"/>
        <w:rPr>
          <w:rFonts w:hint="eastAsia"/>
          <w:color w:val="auto"/>
        </w:rPr>
      </w:pPr>
      <w:r>
        <w:rPr>
          <w:rFonts w:hint="eastAsia"/>
          <w:color w:val="auto"/>
        </w:rPr>
        <w:br w:type="page"/>
      </w:r>
      <w:r>
        <w:rPr>
          <w:rFonts w:hint="eastAsia"/>
          <w:color w:val="auto"/>
        </w:rPr>
        <w:t>第四章  评审程序、评审方法和评审标准</w:t>
      </w:r>
      <w:bookmarkEnd w:id="69"/>
    </w:p>
    <w:p w14:paraId="0CF60A61">
      <w:pPr>
        <w:spacing w:line="360" w:lineRule="auto"/>
        <w:jc w:val="center"/>
        <w:outlineLvl w:val="1"/>
        <w:rPr>
          <w:rFonts w:hint="eastAsia" w:ascii="宋体" w:hAnsi="宋体"/>
          <w:b/>
          <w:color w:val="auto"/>
          <w:sz w:val="32"/>
          <w:szCs w:val="32"/>
        </w:rPr>
      </w:pPr>
      <w:r>
        <w:rPr>
          <w:rFonts w:hint="eastAsia" w:ascii="宋体" w:hAnsi="宋体"/>
          <w:b/>
          <w:color w:val="auto"/>
          <w:sz w:val="32"/>
          <w:szCs w:val="32"/>
        </w:rPr>
        <w:t>一、评审程序和评审方法</w:t>
      </w:r>
    </w:p>
    <w:p w14:paraId="01BA789F">
      <w:pPr>
        <w:spacing w:line="360" w:lineRule="auto"/>
        <w:ind w:firstLine="482" w:firstLineChars="200"/>
        <w:rPr>
          <w:rFonts w:hint="eastAsia" w:ascii="黑体" w:hAnsi="黑体" w:eastAsia="黑体" w:cs="宋体"/>
          <w:b/>
          <w:bCs/>
          <w:color w:val="auto"/>
          <w:sz w:val="24"/>
        </w:rPr>
      </w:pPr>
      <w:r>
        <w:rPr>
          <w:rFonts w:ascii="黑体" w:hAnsi="黑体" w:eastAsia="黑体" w:cs="宋体"/>
          <w:b/>
          <w:bCs/>
          <w:color w:val="auto"/>
          <w:sz w:val="24"/>
        </w:rPr>
        <w:t>1</w:t>
      </w:r>
      <w:r>
        <w:rPr>
          <w:rFonts w:hint="eastAsia" w:ascii="黑体" w:hAnsi="黑体" w:eastAsia="黑体" w:cs="宋体"/>
          <w:b/>
          <w:bCs/>
          <w:color w:val="auto"/>
          <w:sz w:val="24"/>
        </w:rPr>
        <w:t>.资格审查</w:t>
      </w:r>
    </w:p>
    <w:p w14:paraId="524CE091">
      <w:pPr>
        <w:snapToGrid w:val="0"/>
        <w:spacing w:line="360" w:lineRule="auto"/>
        <w:ind w:firstLine="420" w:firstLineChars="200"/>
        <w:rPr>
          <w:rFonts w:ascii="宋体" w:hAnsi="宋体"/>
          <w:color w:val="auto"/>
          <w:szCs w:val="21"/>
        </w:rPr>
      </w:pPr>
      <w:r>
        <w:rPr>
          <w:rFonts w:ascii="宋体" w:hAnsi="宋体" w:cs="宋体"/>
          <w:color w:val="auto"/>
          <w:szCs w:val="21"/>
        </w:rPr>
        <w:t>1</w:t>
      </w:r>
      <w:r>
        <w:rPr>
          <w:rFonts w:hint="eastAsia" w:ascii="宋体" w:hAnsi="宋体" w:cs="宋体"/>
          <w:color w:val="auto"/>
          <w:szCs w:val="21"/>
        </w:rPr>
        <w:t>.1</w:t>
      </w:r>
      <w:r>
        <w:rPr>
          <w:rFonts w:hint="eastAsia" w:ascii="宋体" w:hAnsi="宋体"/>
          <w:color w:val="auto"/>
          <w:szCs w:val="21"/>
        </w:rPr>
        <w:t>响应文件开启后，磋商小组依法对供应商的资格证明文件进行审查。</w:t>
      </w:r>
    </w:p>
    <w:p w14:paraId="04E84D30">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注：采购人或者采购代理机构在资格审查结束前，对供应商进行信用查询。</w:t>
      </w:r>
    </w:p>
    <w:p w14:paraId="2414302B">
      <w:pPr>
        <w:snapToGrid w:val="0"/>
        <w:spacing w:line="360" w:lineRule="auto"/>
        <w:ind w:firstLine="420" w:firstLineChars="200"/>
        <w:jc w:val="left"/>
        <w:outlineLvl w:val="2"/>
        <w:rPr>
          <w:rFonts w:hint="eastAsia" w:ascii="宋体" w:hAnsi="宋体" w:cs="宋体"/>
          <w:color w:val="auto"/>
          <w:szCs w:val="21"/>
        </w:rPr>
      </w:pPr>
      <w:r>
        <w:rPr>
          <w:rFonts w:hint="eastAsia" w:ascii="宋体" w:hAnsi="宋体" w:cs="宋体"/>
          <w:color w:val="auto"/>
          <w:szCs w:val="21"/>
        </w:rPr>
        <w:t xml:space="preserve">（1）查询渠道：通过网上查询。 </w:t>
      </w:r>
    </w:p>
    <w:p w14:paraId="1765E8F6">
      <w:pPr>
        <w:snapToGrid w:val="0"/>
        <w:spacing w:line="360" w:lineRule="auto"/>
        <w:ind w:firstLine="420" w:firstLineChars="200"/>
        <w:jc w:val="left"/>
        <w:outlineLvl w:val="2"/>
        <w:rPr>
          <w:rFonts w:hint="eastAsia" w:ascii="宋体" w:hAnsi="宋体" w:cs="宋体"/>
          <w:color w:val="auto"/>
          <w:szCs w:val="21"/>
        </w:rPr>
      </w:pPr>
      <w:r>
        <w:rPr>
          <w:rFonts w:hint="eastAsia" w:ascii="宋体" w:hAnsi="宋体" w:cs="宋体"/>
          <w:color w:val="auto"/>
          <w:szCs w:val="21"/>
        </w:rPr>
        <w:t xml:space="preserve">（2）信用查询截止时点：资格审查结束前。 </w:t>
      </w:r>
    </w:p>
    <w:p w14:paraId="6FF11D35">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 xml:space="preserve">查询记录和证据留存方式：网上打印留存 </w:t>
      </w:r>
    </w:p>
    <w:p w14:paraId="1AA51B2C">
      <w:pPr>
        <w:snapToGrid w:val="0"/>
        <w:spacing w:line="360" w:lineRule="auto"/>
        <w:ind w:firstLine="420" w:firstLineChars="200"/>
        <w:jc w:val="left"/>
        <w:outlineLvl w:val="2"/>
        <w:rPr>
          <w:rFonts w:hint="eastAsia" w:ascii="宋体" w:hAnsi="宋体" w:cs="宋体"/>
          <w:color w:val="auto"/>
          <w:szCs w:val="21"/>
        </w:rPr>
      </w:pPr>
      <w:r>
        <w:rPr>
          <w:rFonts w:hint="eastAsia" w:ascii="宋体" w:hAnsi="宋体" w:cs="宋体"/>
          <w:color w:val="auto"/>
          <w:szCs w:val="21"/>
        </w:rPr>
        <w:t xml:space="preserve">（3）信用信息使用规则： </w:t>
      </w:r>
    </w:p>
    <w:p w14:paraId="4D5C46A2">
      <w:pPr>
        <w:snapToGrid w:val="0"/>
        <w:spacing w:line="360" w:lineRule="auto"/>
        <w:ind w:firstLine="420" w:firstLineChars="200"/>
        <w:jc w:val="left"/>
        <w:rPr>
          <w:rFonts w:hint="eastAsia" w:ascii="宋体" w:hAnsi="宋体" w:cs="宋体"/>
          <w:color w:val="auto"/>
          <w:szCs w:val="21"/>
        </w:rPr>
      </w:pPr>
      <w:r>
        <w:rPr>
          <w:rFonts w:ascii="宋体" w:hAnsi="宋体" w:cs="宋体"/>
          <w:color w:val="auto"/>
          <w:szCs w:val="21"/>
        </w:rPr>
        <w:t>1</w:t>
      </w:r>
      <w:r>
        <w:rPr>
          <w:rFonts w:hint="eastAsia" w:ascii="宋体" w:hAnsi="宋体" w:cs="宋体"/>
          <w:color w:val="auto"/>
          <w:szCs w:val="21"/>
        </w:rPr>
        <w:t>.2资格审查标准为本磋商文件中载明对供应商资格要求的条件。资格审查采用合格制，凡符合磋商文件规定的供应商资格要求的响应文件均通过资格审查。</w:t>
      </w:r>
    </w:p>
    <w:p w14:paraId="3C8EAEF2">
      <w:pPr>
        <w:spacing w:line="360" w:lineRule="auto"/>
        <w:ind w:firstLine="420" w:firstLineChars="200"/>
        <w:rPr>
          <w:rFonts w:hint="eastAsia" w:ascii="宋体" w:hAnsi="宋体" w:cs="宋体"/>
          <w:color w:val="auto"/>
          <w:szCs w:val="21"/>
        </w:rPr>
      </w:pPr>
      <w:r>
        <w:rPr>
          <w:rFonts w:ascii="宋体" w:hAnsi="宋体" w:cs="宋体"/>
          <w:color w:val="auto"/>
          <w:szCs w:val="21"/>
        </w:rPr>
        <w:t>1</w:t>
      </w:r>
      <w:r>
        <w:rPr>
          <w:rFonts w:hint="eastAsia" w:ascii="宋体" w:hAnsi="宋体" w:cs="宋体"/>
          <w:color w:val="auto"/>
          <w:szCs w:val="21"/>
        </w:rPr>
        <w:t>.3供应商有下列情形之一的，资格审查不通过，其响应文件按无效响应处理：</w:t>
      </w:r>
    </w:p>
    <w:p w14:paraId="5A011068">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）不具备磋商文件中规定的资格要求的；</w:t>
      </w:r>
    </w:p>
    <w:p w14:paraId="5C7DE63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（2）未按磋商文件规定的方式获取本磋商文件的供应商；</w:t>
      </w:r>
    </w:p>
    <w:p w14:paraId="25DF023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）响应文件的资格证明文件缺少任一项“供应商须知前附表”资格证明文件规定的“必须提供”的文件资料的；</w:t>
      </w:r>
    </w:p>
    <w:p w14:paraId="13FF957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）响应文件中的资格证明文件出现任一项不符合“供应商须知前附表”资格证明文件规定的“必须提供”的文件资料要求或者无效的；</w:t>
      </w:r>
    </w:p>
    <w:p w14:paraId="0AF7298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）同一合同项下的不同供应商，单位负责人为同一人或者存在直接控股、管理关系的；为本项目提供过整体设计、规范编制或者项目管理、监理、检测等服务的供应商，再参加该采购项目的其他采购活动的。</w:t>
      </w:r>
    </w:p>
    <w:p w14:paraId="4C811E4B">
      <w:pPr>
        <w:spacing w:line="360" w:lineRule="auto"/>
        <w:ind w:firstLine="420" w:firstLineChars="200"/>
        <w:rPr>
          <w:rFonts w:hint="eastAsia" w:ascii="宋体" w:hAnsi="宋体" w:cs="宋体"/>
          <w:color w:val="auto"/>
          <w:szCs w:val="21"/>
        </w:rPr>
      </w:pPr>
      <w:r>
        <w:rPr>
          <w:rFonts w:ascii="宋体" w:hAnsi="宋体" w:cs="宋体"/>
          <w:color w:val="auto"/>
          <w:szCs w:val="21"/>
        </w:rPr>
        <w:t>1</w:t>
      </w:r>
      <w:r>
        <w:rPr>
          <w:rFonts w:hint="eastAsia" w:ascii="宋体" w:hAnsi="宋体" w:cs="宋体"/>
          <w:color w:val="auto"/>
          <w:szCs w:val="21"/>
        </w:rPr>
        <w:t>.4通过资格审查的合格供应商不足3家的，不得进入符合性审查环节，</w:t>
      </w:r>
      <w:r>
        <w:rPr>
          <w:rFonts w:hint="eastAsia" w:ascii="宋体" w:hAnsi="宋体"/>
          <w:color w:val="auto"/>
          <w:szCs w:val="21"/>
        </w:rPr>
        <w:t>采购人或者采购代理机构应当重新开展采购活动。</w:t>
      </w:r>
    </w:p>
    <w:p w14:paraId="0D31BE17">
      <w:pPr>
        <w:spacing w:line="360" w:lineRule="auto"/>
        <w:ind w:firstLine="482" w:firstLineChars="200"/>
        <w:rPr>
          <w:rFonts w:hint="eastAsia" w:ascii="黑体" w:hAnsi="黑体" w:eastAsia="黑体" w:cs="宋体"/>
          <w:b/>
          <w:bCs/>
          <w:color w:val="auto"/>
          <w:sz w:val="24"/>
        </w:rPr>
      </w:pPr>
      <w:r>
        <w:rPr>
          <w:rFonts w:ascii="黑体" w:hAnsi="黑体" w:eastAsia="黑体" w:cs="宋体"/>
          <w:b/>
          <w:bCs/>
          <w:color w:val="auto"/>
          <w:sz w:val="24"/>
        </w:rPr>
        <w:t>2</w:t>
      </w:r>
      <w:r>
        <w:rPr>
          <w:rFonts w:hint="eastAsia" w:ascii="黑体" w:hAnsi="黑体" w:eastAsia="黑体" w:cs="宋体"/>
          <w:b/>
          <w:bCs/>
          <w:color w:val="auto"/>
          <w:sz w:val="24"/>
        </w:rPr>
        <w:t>.符合性审查</w:t>
      </w:r>
    </w:p>
    <w:p w14:paraId="650F382E">
      <w:pPr>
        <w:spacing w:line="360" w:lineRule="auto"/>
        <w:ind w:firstLine="420" w:firstLineChars="200"/>
        <w:rPr>
          <w:rFonts w:hint="eastAsia" w:ascii="宋体" w:hAnsi="宋体" w:cs="宋体"/>
          <w:color w:val="auto"/>
          <w:szCs w:val="21"/>
        </w:rPr>
      </w:pPr>
      <w:bookmarkStart w:id="70" w:name="_Hlk42528882"/>
      <w:r>
        <w:rPr>
          <w:rFonts w:ascii="宋体" w:hAnsi="宋体" w:cs="宋体"/>
          <w:color w:val="auto"/>
          <w:szCs w:val="21"/>
        </w:rPr>
        <w:t>2.1</w:t>
      </w:r>
      <w:r>
        <w:rPr>
          <w:rFonts w:hint="eastAsia" w:ascii="宋体" w:hAnsi="宋体" w:cs="宋体"/>
          <w:color w:val="auto"/>
          <w:szCs w:val="21"/>
        </w:rPr>
        <w:t>由磋商小组对</w:t>
      </w:r>
      <w:r>
        <w:rPr>
          <w:rFonts w:hint="eastAsia" w:ascii="宋体" w:hAnsi="宋体"/>
          <w:color w:val="auto"/>
          <w:szCs w:val="21"/>
        </w:rPr>
        <w:t>通过资格审查的合格供应商</w:t>
      </w:r>
      <w:r>
        <w:rPr>
          <w:rFonts w:hint="eastAsia" w:ascii="宋体" w:hAnsi="宋体" w:cs="宋体"/>
          <w:color w:val="auto"/>
          <w:szCs w:val="21"/>
        </w:rPr>
        <w:t>的响应文件的竞标报价、商务、技术等实质性要求进行符合性审查，以确定其是否满足磋商文件的实质性要求。</w:t>
      </w:r>
    </w:p>
    <w:bookmarkEnd w:id="70"/>
    <w:p w14:paraId="4780137B">
      <w:pPr>
        <w:spacing w:line="360" w:lineRule="auto"/>
        <w:ind w:firstLine="420" w:firstLineChars="200"/>
        <w:rPr>
          <w:rFonts w:ascii="宋体" w:hAnsi="宋体" w:cs="宋体"/>
          <w:color w:val="auto"/>
          <w:szCs w:val="21"/>
        </w:rPr>
      </w:pPr>
      <w:r>
        <w:rPr>
          <w:rFonts w:ascii="宋体" w:hAnsi="宋体" w:cs="宋体"/>
          <w:color w:val="auto"/>
          <w:szCs w:val="21"/>
        </w:rPr>
        <w:t>2.2</w:t>
      </w:r>
      <w:r>
        <w:rPr>
          <w:rFonts w:hint="eastAsia" w:ascii="宋体" w:hAnsi="宋体" w:cs="宋体"/>
          <w:color w:val="auto"/>
          <w:szCs w:val="21"/>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FBB0B3C">
      <w:pPr>
        <w:spacing w:line="360" w:lineRule="auto"/>
        <w:ind w:firstLine="420" w:firstLineChars="200"/>
        <w:rPr>
          <w:rFonts w:ascii="宋体" w:hAnsi="宋体" w:cs="宋体"/>
          <w:color w:val="auto"/>
          <w:spacing w:val="-6"/>
          <w:szCs w:val="21"/>
        </w:rPr>
      </w:pPr>
      <w:r>
        <w:rPr>
          <w:rFonts w:ascii="宋体" w:hAnsi="宋体" w:cs="宋体"/>
          <w:color w:val="auto"/>
          <w:szCs w:val="21"/>
        </w:rPr>
        <w:t>2</w:t>
      </w: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磋商小组要求供应商澄清、说明或者更正响应文件应当以书面形式作出。供应商的澄清、说明或者更正应当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者加盖公章。由委托代理人签字的，</w:t>
      </w:r>
      <w:r>
        <w:rPr>
          <w:rFonts w:hint="eastAsia" w:ascii="宋体" w:hAnsi="宋体" w:cs="宋体"/>
          <w:bCs/>
          <w:color w:val="auto"/>
          <w:szCs w:val="21"/>
        </w:rPr>
        <w:t>若委托代理人不是响应文件中授权的委托代理人时，必须同时出示有效的授权委托书原件</w:t>
      </w:r>
      <w:r>
        <w:rPr>
          <w:rFonts w:hint="eastAsia" w:ascii="宋体" w:hAnsi="宋体" w:cs="宋体"/>
          <w:color w:val="auto"/>
          <w:spacing w:val="-6"/>
          <w:szCs w:val="21"/>
        </w:rPr>
        <w:t>。供应商为自然人的，必须由本人签字并附身份证明。</w:t>
      </w:r>
    </w:p>
    <w:p w14:paraId="59C4A91B">
      <w:pPr>
        <w:spacing w:line="360" w:lineRule="auto"/>
        <w:ind w:firstLine="396" w:firstLineChars="200"/>
        <w:rPr>
          <w:rFonts w:hint="eastAsia" w:ascii="宋体" w:hAnsi="宋体" w:cs="宋体"/>
          <w:color w:val="auto"/>
          <w:szCs w:val="21"/>
        </w:rPr>
      </w:pPr>
      <w:r>
        <w:rPr>
          <w:rFonts w:ascii="宋体" w:hAnsi="宋体" w:cs="宋体"/>
          <w:color w:val="auto"/>
          <w:spacing w:val="-6"/>
          <w:szCs w:val="21"/>
        </w:rPr>
        <w:t>2.4</w:t>
      </w:r>
      <w:r>
        <w:rPr>
          <w:rFonts w:hint="eastAsia" w:ascii="宋体" w:hAnsi="宋体" w:cs="宋体"/>
          <w:color w:val="auto"/>
          <w:szCs w:val="21"/>
        </w:rPr>
        <w:t xml:space="preserve">首次响应文件报价出现前后不一致的，按照下列规定修正： </w:t>
      </w:r>
    </w:p>
    <w:p w14:paraId="050A3E7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（1）响应文件中报价表内容与响应文件中相应内容不一致的，以报价表为准；</w:t>
      </w:r>
    </w:p>
    <w:p w14:paraId="4CD57E8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（2）大写金额和小写金额不一致的，以大写金额为准；</w:t>
      </w:r>
    </w:p>
    <w:p w14:paraId="6652869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（3）单价金额小数点或者百分比有明显错位的，以报价表的总价为准，并修改单价；</w:t>
      </w:r>
    </w:p>
    <w:p w14:paraId="2F0EEF1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（4）总价金额与按单价汇总金额不一致的，以单价金额计算结果为准。</w:t>
      </w:r>
    </w:p>
    <w:p w14:paraId="613DAF0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同时出现两种以上不一致的，按照以上（1）-（4）规定的顺序逐条进行修正。修正后的报价经供应商确认后产生约束力，供应商不确认的，其响应文件按无效响应处理。</w:t>
      </w:r>
    </w:p>
    <w:p w14:paraId="2E0933E2">
      <w:pPr>
        <w:spacing w:line="360" w:lineRule="auto"/>
        <w:ind w:firstLine="420" w:firstLineChars="200"/>
        <w:rPr>
          <w:rFonts w:hint="eastAsia" w:ascii="宋体" w:hAnsi="宋体" w:cs="宋体"/>
          <w:color w:val="auto"/>
          <w:szCs w:val="21"/>
        </w:rPr>
      </w:pPr>
      <w:r>
        <w:rPr>
          <w:rFonts w:ascii="宋体" w:hAnsi="宋体" w:cs="宋体"/>
          <w:color w:val="auto"/>
          <w:szCs w:val="21"/>
        </w:rPr>
        <w:t>2</w:t>
      </w: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商务技术报价评审</w:t>
      </w:r>
    </w:p>
    <w:p w14:paraId="3AADBC2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在评审时，如发现下列情形之一的，将被视为响应文件无效处理：</w:t>
      </w:r>
    </w:p>
    <w:p w14:paraId="5B967219">
      <w:pPr>
        <w:spacing w:line="360" w:lineRule="auto"/>
        <w:ind w:firstLine="420" w:firstLineChars="200"/>
        <w:rPr>
          <w:rFonts w:ascii="宋体" w:hAnsi="宋体" w:cs="宋体"/>
          <w:color w:val="auto"/>
          <w:szCs w:val="21"/>
        </w:rPr>
      </w:pPr>
      <w:r>
        <w:rPr>
          <w:rFonts w:hint="eastAsia" w:ascii="宋体" w:hAnsi="宋体" w:cs="宋体"/>
          <w:color w:val="auto"/>
          <w:szCs w:val="21"/>
        </w:rPr>
        <w:t>（1）商务技术评审</w:t>
      </w:r>
    </w:p>
    <w:p w14:paraId="616B8E1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1）提供响应文件正、副本数量不足；</w:t>
      </w:r>
    </w:p>
    <w:p w14:paraId="29B853B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2）响应文件未按磋商文件要求签署、盖章；</w:t>
      </w:r>
    </w:p>
    <w:p w14:paraId="3DB1D80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3）委托代理人未能出具有效身份证或者出具的身份证与授权委托书中的信息不符的； </w:t>
      </w:r>
    </w:p>
    <w:p w14:paraId="1C11BA0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4）提交的磋商保证金无效的或者未按照磋商文件的规定提交磋商保证金；</w:t>
      </w:r>
    </w:p>
    <w:p w14:paraId="09BD7BE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5）响应文件未提供任一项“供应商须知前附表” 报价商务技术文件中 “必须提供”或者“委托时必须提供”的文件资料；响应文件提供的报价商务技术文件出现任一项不符合“供应商须知前附表” 报价商务技术文件中 “必须提供”或者“委托时必须提供”文件资料要求的规定或者提供的报价商务技术文件无效。</w:t>
      </w:r>
    </w:p>
    <w:p w14:paraId="343032DA">
      <w:pPr>
        <w:spacing w:line="360" w:lineRule="auto"/>
        <w:ind w:firstLine="420" w:firstLineChars="200"/>
        <w:rPr>
          <w:rFonts w:hint="eastAsia" w:ascii="宋体" w:hAnsi="宋体" w:cs="宋体"/>
          <w:color w:val="auto"/>
          <w:szCs w:val="21"/>
        </w:rPr>
      </w:pPr>
      <w:r>
        <w:rPr>
          <w:rFonts w:ascii="宋体" w:hAnsi="宋体" w:cs="宋体"/>
          <w:color w:val="auto"/>
          <w:szCs w:val="21"/>
        </w:rPr>
        <w:t>6</w:t>
      </w:r>
      <w:r>
        <w:rPr>
          <w:rFonts w:hint="eastAsia" w:ascii="宋体" w:hAnsi="宋体" w:cs="宋体"/>
          <w:color w:val="auto"/>
          <w:szCs w:val="21"/>
        </w:rPr>
        <w:t>）商务要求允许负偏离的条款数超过“供应商须知前附表”规定项数的；</w:t>
      </w:r>
    </w:p>
    <w:p w14:paraId="361DABF0">
      <w:pPr>
        <w:spacing w:line="360" w:lineRule="auto"/>
        <w:ind w:firstLine="420" w:firstLineChars="200"/>
        <w:rPr>
          <w:rFonts w:hint="eastAsia" w:ascii="宋体" w:hAnsi="宋体" w:cs="宋体"/>
          <w:color w:val="auto"/>
          <w:szCs w:val="21"/>
        </w:rPr>
      </w:pPr>
      <w:r>
        <w:rPr>
          <w:rFonts w:ascii="宋体" w:hAnsi="宋体" w:cs="宋体"/>
          <w:color w:val="auto"/>
          <w:szCs w:val="21"/>
        </w:rPr>
        <w:t>7</w:t>
      </w:r>
      <w:r>
        <w:rPr>
          <w:rFonts w:hint="eastAsia" w:ascii="宋体" w:hAnsi="宋体" w:cs="宋体"/>
          <w:color w:val="auto"/>
          <w:szCs w:val="21"/>
        </w:rPr>
        <w:t>）未对竞标有效期作出响应或者响应文件承诺的竞标有效期不满足磋商文件要求；</w:t>
      </w:r>
    </w:p>
    <w:p w14:paraId="61A35AF3">
      <w:pPr>
        <w:spacing w:line="360" w:lineRule="auto"/>
        <w:ind w:firstLine="420" w:firstLineChars="200"/>
        <w:rPr>
          <w:rFonts w:hint="eastAsia" w:ascii="宋体" w:hAnsi="宋体" w:cs="宋体"/>
          <w:color w:val="auto"/>
          <w:szCs w:val="21"/>
        </w:rPr>
      </w:pPr>
      <w:r>
        <w:rPr>
          <w:rFonts w:ascii="宋体" w:hAnsi="宋体" w:cs="宋体"/>
          <w:color w:val="auto"/>
          <w:szCs w:val="21"/>
        </w:rPr>
        <w:t>8</w:t>
      </w:r>
      <w:r>
        <w:rPr>
          <w:rFonts w:hint="eastAsia" w:ascii="宋体" w:hAnsi="宋体" w:cs="宋体"/>
          <w:color w:val="auto"/>
          <w:szCs w:val="21"/>
        </w:rPr>
        <w:t>）响应文件的实质性内容未使用中文表述、使用计量单位不符合磋商文件要求；</w:t>
      </w:r>
    </w:p>
    <w:p w14:paraId="103F59C5">
      <w:pPr>
        <w:spacing w:line="360" w:lineRule="auto"/>
        <w:ind w:firstLine="420" w:firstLineChars="200"/>
        <w:rPr>
          <w:rFonts w:hint="eastAsia" w:ascii="宋体" w:hAnsi="宋体" w:cs="宋体"/>
          <w:color w:val="auto"/>
          <w:szCs w:val="21"/>
        </w:rPr>
      </w:pPr>
      <w:r>
        <w:rPr>
          <w:rFonts w:ascii="宋体" w:hAnsi="宋体" w:cs="宋体"/>
          <w:color w:val="auto"/>
          <w:szCs w:val="21"/>
        </w:rPr>
        <w:t>9</w:t>
      </w:r>
      <w:r>
        <w:rPr>
          <w:rFonts w:hint="eastAsia" w:ascii="宋体" w:hAnsi="宋体" w:cs="宋体"/>
          <w:color w:val="auto"/>
          <w:szCs w:val="21"/>
        </w:rPr>
        <w:t>）响应文件中的文件资料因填写不齐全或者内容虚假或者出现其他情形而导致被磋商小组认定无效；</w:t>
      </w:r>
    </w:p>
    <w:p w14:paraId="32A772B6">
      <w:pPr>
        <w:spacing w:line="360" w:lineRule="auto"/>
        <w:ind w:firstLine="420" w:firstLineChars="200"/>
        <w:rPr>
          <w:rFonts w:hint="eastAsia" w:ascii="宋体" w:hAnsi="宋体" w:cs="宋体"/>
          <w:color w:val="auto"/>
          <w:szCs w:val="21"/>
        </w:rPr>
      </w:pPr>
      <w:r>
        <w:rPr>
          <w:rFonts w:ascii="宋体" w:hAnsi="宋体" w:cs="宋体"/>
          <w:color w:val="auto"/>
          <w:szCs w:val="21"/>
        </w:rPr>
        <w:t>10</w:t>
      </w:r>
      <w:r>
        <w:rPr>
          <w:rFonts w:hint="eastAsia" w:ascii="宋体" w:hAnsi="宋体" w:cs="宋体"/>
          <w:color w:val="auto"/>
          <w:szCs w:val="21"/>
        </w:rPr>
        <w:t>）响应文件含有采购人不能接受的附加条件；</w:t>
      </w:r>
    </w:p>
    <w:p w14:paraId="7540A87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w:t>
      </w:r>
      <w:r>
        <w:rPr>
          <w:rFonts w:ascii="宋体" w:hAnsi="宋体" w:cs="宋体"/>
          <w:color w:val="auto"/>
          <w:szCs w:val="21"/>
        </w:rPr>
        <w:t>1</w:t>
      </w:r>
      <w:r>
        <w:rPr>
          <w:rFonts w:hint="eastAsia" w:ascii="宋体" w:hAnsi="宋体" w:cs="宋体"/>
          <w:color w:val="auto"/>
          <w:szCs w:val="21"/>
        </w:rPr>
        <w:t>）属于“供应商须知正文”第7.</w:t>
      </w:r>
      <w:r>
        <w:rPr>
          <w:rFonts w:ascii="宋体" w:hAnsi="宋体" w:cs="宋体"/>
          <w:color w:val="auto"/>
          <w:szCs w:val="21"/>
        </w:rPr>
        <w:t>5</w:t>
      </w:r>
      <w:r>
        <w:rPr>
          <w:rFonts w:hint="eastAsia" w:ascii="宋体" w:hAnsi="宋体" w:cs="宋体"/>
          <w:color w:val="auto"/>
          <w:szCs w:val="21"/>
        </w:rPr>
        <w:t>条情形；</w:t>
      </w:r>
    </w:p>
    <w:p w14:paraId="4A3B7A37">
      <w:pPr>
        <w:spacing w:line="360" w:lineRule="auto"/>
        <w:ind w:firstLine="420" w:firstLineChars="200"/>
        <w:rPr>
          <w:rFonts w:hint="eastAsia" w:ascii="宋体" w:hAnsi="宋体" w:cs="宋体"/>
          <w:color w:val="auto"/>
          <w:szCs w:val="21"/>
        </w:rPr>
      </w:pPr>
      <w:r>
        <w:rPr>
          <w:rFonts w:ascii="宋体" w:hAnsi="宋体" w:cs="宋体"/>
          <w:color w:val="auto"/>
          <w:szCs w:val="21"/>
        </w:rPr>
        <w:t>1</w:t>
      </w:r>
      <w:r>
        <w:rPr>
          <w:rFonts w:hint="eastAsia" w:ascii="宋体" w:hAnsi="宋体" w:cs="宋体"/>
          <w:color w:val="auto"/>
          <w:szCs w:val="21"/>
        </w:rPr>
        <w:t>2）技术要求允许负偏离的条款数超过“供应商须知前附表”规定项数；</w:t>
      </w:r>
    </w:p>
    <w:p w14:paraId="342F4EBA">
      <w:pPr>
        <w:spacing w:line="360" w:lineRule="auto"/>
        <w:ind w:firstLine="420" w:firstLineChars="200"/>
        <w:rPr>
          <w:rFonts w:hint="eastAsia" w:ascii="宋体" w:hAnsi="宋体" w:cs="宋体"/>
          <w:color w:val="auto"/>
          <w:szCs w:val="21"/>
        </w:rPr>
      </w:pPr>
      <w:r>
        <w:rPr>
          <w:rFonts w:ascii="宋体" w:hAnsi="宋体" w:cs="宋体"/>
          <w:color w:val="auto"/>
          <w:szCs w:val="21"/>
        </w:rPr>
        <w:t>1</w:t>
      </w:r>
      <w:r>
        <w:rPr>
          <w:rFonts w:hint="eastAsia" w:ascii="宋体" w:hAnsi="宋体" w:cs="宋体"/>
          <w:color w:val="auto"/>
          <w:szCs w:val="21"/>
        </w:rPr>
        <w:t>3）虚假竞标，或者出现其他情形而导致被磋商小组认定无效；</w:t>
      </w:r>
    </w:p>
    <w:p w14:paraId="73B5C639">
      <w:pPr>
        <w:spacing w:line="360" w:lineRule="auto"/>
        <w:ind w:firstLine="420" w:firstLineChars="200"/>
        <w:rPr>
          <w:rFonts w:hint="eastAsia" w:ascii="宋体" w:hAnsi="宋体" w:cs="宋体"/>
          <w:color w:val="auto"/>
          <w:szCs w:val="21"/>
        </w:rPr>
      </w:pPr>
      <w:r>
        <w:rPr>
          <w:rFonts w:ascii="宋体" w:hAnsi="宋体" w:cs="宋体"/>
          <w:color w:val="auto"/>
          <w:szCs w:val="21"/>
        </w:rPr>
        <w:t>1</w:t>
      </w:r>
      <w:r>
        <w:rPr>
          <w:rFonts w:hint="eastAsia" w:ascii="宋体" w:hAnsi="宋体" w:cs="宋体"/>
          <w:color w:val="auto"/>
          <w:szCs w:val="21"/>
        </w:rPr>
        <w:t>4）</w:t>
      </w:r>
      <w:bookmarkStart w:id="71" w:name="_Hlk71704147"/>
      <w:r>
        <w:rPr>
          <w:rFonts w:hint="eastAsia" w:ascii="宋体" w:hAnsi="宋体" w:cs="宋体"/>
          <w:color w:val="auto"/>
          <w:szCs w:val="21"/>
        </w:rPr>
        <w:t>磋商文件未载明允许提供备选（替代）竞标方案或明确不允许提供备选（替代）竞标方案时，供应商提供了备选（替代）竞标方案的；</w:t>
      </w:r>
      <w:bookmarkEnd w:id="71"/>
    </w:p>
    <w:p w14:paraId="72444445">
      <w:pPr>
        <w:spacing w:line="360" w:lineRule="auto"/>
        <w:ind w:firstLine="420" w:firstLineChars="200"/>
        <w:rPr>
          <w:rFonts w:ascii="宋体" w:hAnsi="宋体" w:cs="宋体"/>
          <w:color w:val="auto"/>
          <w:szCs w:val="21"/>
        </w:rPr>
      </w:pPr>
      <w:r>
        <w:rPr>
          <w:rFonts w:ascii="宋体" w:hAnsi="宋体" w:cs="宋体"/>
          <w:color w:val="auto"/>
          <w:szCs w:val="21"/>
        </w:rPr>
        <w:t>15</w:t>
      </w:r>
      <w:r>
        <w:rPr>
          <w:rFonts w:hint="eastAsia" w:ascii="宋体" w:hAnsi="宋体" w:cs="宋体"/>
          <w:color w:val="auto"/>
          <w:szCs w:val="21"/>
        </w:rPr>
        <w:t>）响应文件标注的项目名称或者项目编号与磋商文件标注的项目名称或者项目编号不一致的；</w:t>
      </w:r>
    </w:p>
    <w:p w14:paraId="5460A89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w:t>
      </w:r>
      <w:r>
        <w:rPr>
          <w:rFonts w:ascii="宋体" w:hAnsi="宋体" w:cs="宋体"/>
          <w:color w:val="auto"/>
          <w:szCs w:val="21"/>
        </w:rPr>
        <w:t>6</w:t>
      </w:r>
      <w:r>
        <w:rPr>
          <w:rFonts w:hint="eastAsia" w:ascii="宋体" w:hAnsi="宋体" w:cs="宋体"/>
          <w:color w:val="auto"/>
          <w:szCs w:val="21"/>
        </w:rPr>
        <w:t>）竞争性磋商文件明确不允许分包，响应文件拟分包的；</w:t>
      </w:r>
    </w:p>
    <w:p w14:paraId="4EFB1E79">
      <w:pPr>
        <w:spacing w:line="360" w:lineRule="auto"/>
        <w:ind w:firstLine="420" w:firstLineChars="200"/>
        <w:rPr>
          <w:rFonts w:ascii="宋体" w:hAnsi="宋体" w:cs="宋体"/>
          <w:color w:val="auto"/>
          <w:szCs w:val="21"/>
        </w:rPr>
      </w:pPr>
      <w:r>
        <w:rPr>
          <w:rFonts w:ascii="宋体" w:hAnsi="宋体" w:cs="宋体"/>
          <w:color w:val="auto"/>
          <w:szCs w:val="21"/>
        </w:rPr>
        <w:t>17</w:t>
      </w:r>
      <w:r>
        <w:rPr>
          <w:rFonts w:hint="eastAsia" w:ascii="宋体" w:hAnsi="宋体" w:cs="宋体"/>
          <w:color w:val="auto"/>
          <w:szCs w:val="21"/>
        </w:rPr>
        <w:t>）未响应磋商文件实质性要求；</w:t>
      </w:r>
    </w:p>
    <w:p w14:paraId="6CB4DF2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w:t>
      </w:r>
      <w:r>
        <w:rPr>
          <w:rFonts w:ascii="宋体" w:hAnsi="宋体" w:cs="宋体"/>
          <w:color w:val="auto"/>
          <w:szCs w:val="21"/>
        </w:rPr>
        <w:t>8</w:t>
      </w:r>
      <w:r>
        <w:rPr>
          <w:rFonts w:hint="eastAsia" w:ascii="宋体" w:hAnsi="宋体" w:cs="宋体"/>
          <w:color w:val="auto"/>
          <w:szCs w:val="21"/>
        </w:rPr>
        <w:t>）法律、法规和磋商文件规定的其他无效情形。</w:t>
      </w:r>
    </w:p>
    <w:p w14:paraId="67EB41E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）报价评审</w:t>
      </w:r>
    </w:p>
    <w:p w14:paraId="34384CD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w:t>
      </w:r>
      <w:r>
        <w:rPr>
          <w:rFonts w:ascii="宋体" w:hAnsi="宋体" w:cs="宋体"/>
          <w:color w:val="auto"/>
          <w:szCs w:val="21"/>
        </w:rPr>
        <w:t xml:space="preserve"> </w:t>
      </w:r>
      <w:r>
        <w:rPr>
          <w:rFonts w:hint="eastAsia" w:ascii="宋体" w:hAnsi="宋体" w:cs="宋体"/>
          <w:color w:val="auto"/>
          <w:szCs w:val="21"/>
        </w:rPr>
        <w:t>响应文件未提供“供应商须知前附表” 报价商务技术文件中规定的“竞标报价表”；</w:t>
      </w:r>
    </w:p>
    <w:p w14:paraId="28A9AC1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2）未采用人民币报价或者未按照磋商文件标明的币种报价；</w:t>
      </w:r>
    </w:p>
    <w:p w14:paraId="471D2E0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167CB23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4）最后报价超过所竞标分标规定的采购预算金额或者最高限价的（如本项目公布了最高限价）；</w:t>
      </w:r>
      <w:bookmarkStart w:id="72" w:name="_Hlk42596405"/>
      <w:r>
        <w:rPr>
          <w:rFonts w:hint="eastAsia" w:ascii="宋体" w:hAnsi="宋体" w:cs="宋体"/>
          <w:color w:val="auto"/>
          <w:szCs w:val="21"/>
        </w:rPr>
        <w:t xml:space="preserve"> </w:t>
      </w:r>
      <w:bookmarkEnd w:id="72"/>
    </w:p>
    <w:p w14:paraId="69C54E2F">
      <w:pPr>
        <w:spacing w:line="360" w:lineRule="auto"/>
        <w:ind w:firstLine="420" w:firstLineChars="200"/>
        <w:rPr>
          <w:rFonts w:ascii="宋体" w:hAnsi="宋体" w:cs="宋体"/>
          <w:color w:val="auto"/>
          <w:szCs w:val="21"/>
        </w:rPr>
      </w:pPr>
      <w:r>
        <w:rPr>
          <w:rFonts w:hint="eastAsia" w:ascii="宋体" w:hAnsi="宋体" w:cs="宋体"/>
          <w:color w:val="auto"/>
          <w:szCs w:val="21"/>
        </w:rPr>
        <w:t>5）修正后的报价，供应商不确认的；或者经供应商确认修正后的最后报价超过所竞标分标规定的采购预算金额或者最高限价（如本项目公布了最高限价）；</w:t>
      </w:r>
    </w:p>
    <w:p w14:paraId="14E0888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w:t>
      </w:r>
      <w:r>
        <w:rPr>
          <w:rFonts w:hint="eastAsia" w:ascii="宋体" w:hAnsi="宋体"/>
          <w:color w:val="auto"/>
          <w:szCs w:val="21"/>
        </w:rPr>
        <w:t>响应文件响应的标的数量及单位与竞争性磋商文件要求实质性不一致的。</w:t>
      </w:r>
    </w:p>
    <w:p w14:paraId="28CEAF23">
      <w:pPr>
        <w:spacing w:line="360" w:lineRule="auto"/>
        <w:ind w:firstLine="420" w:firstLineChars="200"/>
        <w:rPr>
          <w:rFonts w:hint="eastAsia" w:ascii="宋体" w:hAnsi="宋体" w:cs="宋体"/>
          <w:color w:val="auto"/>
          <w:szCs w:val="21"/>
        </w:rPr>
      </w:pPr>
      <w:r>
        <w:rPr>
          <w:rFonts w:ascii="宋体" w:hAnsi="宋体" w:cs="宋体"/>
          <w:color w:val="auto"/>
          <w:szCs w:val="21"/>
        </w:rPr>
        <w:t>2.6</w:t>
      </w:r>
      <w:r>
        <w:rPr>
          <w:rFonts w:hint="eastAsia" w:ascii="宋体" w:hAnsi="宋体" w:cs="宋体"/>
          <w:color w:val="auto"/>
          <w:szCs w:val="21"/>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3A3C915A">
      <w:pPr>
        <w:spacing w:line="360" w:lineRule="auto"/>
        <w:ind w:firstLine="420" w:firstLineChars="200"/>
        <w:rPr>
          <w:rFonts w:hint="eastAsia" w:ascii="宋体" w:hAnsi="宋体" w:cs="宋体"/>
          <w:color w:val="auto"/>
          <w:szCs w:val="21"/>
        </w:rPr>
      </w:pPr>
      <w:r>
        <w:rPr>
          <w:rFonts w:ascii="宋体" w:hAnsi="宋体" w:cs="宋体"/>
          <w:color w:val="auto"/>
          <w:szCs w:val="21"/>
        </w:rPr>
        <w:t>2.7</w:t>
      </w:r>
      <w:r>
        <w:rPr>
          <w:rFonts w:hint="eastAsia" w:ascii="宋体" w:hAnsi="宋体"/>
          <w:color w:val="auto"/>
          <w:szCs w:val="21"/>
        </w:rPr>
        <w:t>通过符合性审查的合格供应商不足3家的，不得进入磋商环节，采购人或者采购代理机构应当重新开展采购活动。</w:t>
      </w:r>
    </w:p>
    <w:p w14:paraId="2987D57A">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3</w:t>
      </w:r>
      <w:r>
        <w:rPr>
          <w:rFonts w:hint="eastAsia" w:ascii="黑体" w:hAnsi="黑体" w:eastAsia="黑体" w:cs="宋体"/>
          <w:b/>
          <w:bCs/>
          <w:color w:val="auto"/>
          <w:sz w:val="24"/>
        </w:rPr>
        <w:t>.磋商程序</w:t>
      </w:r>
    </w:p>
    <w:p w14:paraId="19265226">
      <w:pPr>
        <w:spacing w:line="360" w:lineRule="auto"/>
        <w:ind w:firstLine="420" w:firstLineChars="200"/>
        <w:rPr>
          <w:rFonts w:hint="eastAsia" w:ascii="宋体" w:hAnsi="宋体" w:cs="宋体"/>
          <w:color w:val="auto"/>
          <w:szCs w:val="21"/>
        </w:rPr>
      </w:pPr>
      <w:r>
        <w:rPr>
          <w:rFonts w:hint="eastAsia" w:ascii="宋体" w:hAnsi="宋体" w:cs="宋体"/>
          <w:color w:val="auto"/>
          <w:kern w:val="0"/>
          <w:szCs w:val="21"/>
        </w:rPr>
        <w:t>3</w:t>
      </w:r>
      <w:r>
        <w:rPr>
          <w:rFonts w:ascii="宋体" w:hAnsi="宋体" w:cs="宋体"/>
          <w:color w:val="auto"/>
          <w:kern w:val="0"/>
          <w:szCs w:val="21"/>
        </w:rPr>
        <w:t>.1</w:t>
      </w:r>
      <w:r>
        <w:rPr>
          <w:rFonts w:hint="eastAsia" w:ascii="宋体" w:hAnsi="宋体" w:cs="宋体"/>
          <w:color w:val="auto"/>
          <w:kern w:val="0"/>
          <w:szCs w:val="21"/>
        </w:rPr>
        <w:t>磋商小组按照“供应商须知前附表”</w:t>
      </w:r>
      <w:r>
        <w:rPr>
          <w:rFonts w:hint="eastAsia" w:ascii="宋体" w:hAnsi="宋体" w:cs="宋体"/>
          <w:color w:val="auto"/>
          <w:szCs w:val="21"/>
        </w:rPr>
        <w:t xml:space="preserve"> </w:t>
      </w:r>
      <w:r>
        <w:rPr>
          <w:rFonts w:hint="eastAsia" w:ascii="宋体" w:hAnsi="宋体" w:cs="宋体"/>
          <w:color w:val="auto"/>
          <w:kern w:val="0"/>
          <w:szCs w:val="21"/>
        </w:rPr>
        <w:t>确定的</w:t>
      </w:r>
      <w:r>
        <w:rPr>
          <w:rFonts w:hint="eastAsia" w:ascii="宋体" w:hAnsi="宋体" w:cs="宋体"/>
          <w:color w:val="auto"/>
          <w:szCs w:val="21"/>
        </w:rPr>
        <w:t>顺序，集中与单一供应商分别进行磋商，并给予所有参加磋商的供应商平等的磋商机会。</w:t>
      </w:r>
      <w:r>
        <w:rPr>
          <w:rFonts w:ascii="宋体" w:hAnsi="宋体" w:cs="宋体"/>
          <w:color w:val="auto"/>
          <w:szCs w:val="21"/>
        </w:rPr>
        <w:t>3.2</w:t>
      </w:r>
      <w:r>
        <w:rPr>
          <w:rFonts w:hint="eastAsia" w:ascii="宋体" w:hAnsi="宋体" w:cs="宋体"/>
          <w:color w:val="auto"/>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22FE2830">
      <w:pPr>
        <w:spacing w:line="360" w:lineRule="auto"/>
        <w:ind w:firstLine="420" w:firstLineChars="200"/>
        <w:rPr>
          <w:rFonts w:hint="eastAsia" w:ascii="宋体" w:hAnsi="宋体" w:cs="宋体"/>
          <w:color w:val="auto"/>
          <w:szCs w:val="21"/>
        </w:rPr>
      </w:pPr>
      <w:r>
        <w:rPr>
          <w:rFonts w:ascii="宋体" w:hAnsi="宋体" w:cs="宋体"/>
          <w:color w:val="auto"/>
          <w:szCs w:val="21"/>
        </w:rPr>
        <w:t>3.3</w:t>
      </w:r>
      <w:r>
        <w:rPr>
          <w:rFonts w:hint="eastAsia" w:ascii="宋体" w:hAnsi="宋体" w:cs="宋体"/>
          <w:color w:val="auto"/>
          <w:szCs w:val="21"/>
        </w:rPr>
        <w:t>对磋商文件作出的实质性变动是磋商文件的有效组成部分，由磋商小组及时以书面形式同时通知所有参加磋商的供应商。</w:t>
      </w:r>
    </w:p>
    <w:p w14:paraId="40347446">
      <w:pPr>
        <w:spacing w:line="360" w:lineRule="auto"/>
        <w:ind w:firstLine="420" w:firstLineChars="200"/>
        <w:rPr>
          <w:rFonts w:hint="eastAsia" w:ascii="宋体" w:hAnsi="宋体" w:cs="宋体"/>
          <w:color w:val="auto"/>
          <w:szCs w:val="21"/>
        </w:rPr>
      </w:pPr>
      <w:r>
        <w:rPr>
          <w:rFonts w:ascii="宋体" w:hAnsi="宋体" w:cs="宋体"/>
          <w:color w:val="auto"/>
          <w:szCs w:val="21"/>
        </w:rPr>
        <w:t>3.4</w:t>
      </w:r>
      <w:r>
        <w:rPr>
          <w:rFonts w:hint="eastAsia" w:ascii="宋体" w:hAnsi="宋体" w:cs="宋体"/>
          <w:color w:val="auto"/>
          <w:szCs w:val="21"/>
        </w:rPr>
        <w:t>供应商必须按照磋商文件的变动情况和磋商小组的要求重新提交响应文件，并由其法定代表人或者授权代表签字或者加盖公章。由委托代理人签字的，</w:t>
      </w:r>
      <w:r>
        <w:rPr>
          <w:rFonts w:hint="eastAsia" w:ascii="宋体" w:hAnsi="宋体" w:cs="宋体"/>
          <w:bCs/>
          <w:color w:val="auto"/>
          <w:szCs w:val="21"/>
        </w:rPr>
        <w:t>若委托代理人不是响应文件中授权的委托代理人时，必须同时出示有效的授权委托书原件</w:t>
      </w:r>
      <w:r>
        <w:rPr>
          <w:rFonts w:hint="eastAsia" w:ascii="宋体" w:hAnsi="宋体" w:cs="宋体"/>
          <w:color w:val="auto"/>
          <w:szCs w:val="21"/>
        </w:rPr>
        <w:t>。供应商为自然人的，必须由本人签字并附身份证明。参加磋商的供应商未在规定时间内重新提交响应文件的，视同退出磋商。</w:t>
      </w:r>
    </w:p>
    <w:p w14:paraId="5CC5CBB2">
      <w:pPr>
        <w:spacing w:line="360" w:lineRule="auto"/>
        <w:ind w:firstLine="420" w:firstLineChars="200"/>
        <w:rPr>
          <w:rFonts w:hint="eastAsia" w:ascii="宋体" w:hAnsi="宋体" w:cs="宋体"/>
          <w:color w:val="auto"/>
          <w:szCs w:val="21"/>
        </w:rPr>
      </w:pPr>
      <w:r>
        <w:rPr>
          <w:rFonts w:ascii="宋体" w:hAnsi="宋体" w:cs="宋体"/>
          <w:color w:val="auto"/>
          <w:szCs w:val="21"/>
        </w:rPr>
        <w:t>3.5</w:t>
      </w:r>
      <w:r>
        <w:rPr>
          <w:rFonts w:hint="eastAsia" w:ascii="宋体" w:hAnsi="宋体" w:cs="宋体"/>
          <w:color w:val="auto"/>
          <w:szCs w:val="21"/>
        </w:rPr>
        <w:t>磋商中，</w:t>
      </w:r>
      <w:r>
        <w:rPr>
          <w:rFonts w:hint="eastAsia" w:ascii="宋体" w:hAnsi="宋体" w:cs="宋体"/>
          <w:color w:val="auto"/>
          <w:spacing w:val="-6"/>
          <w:szCs w:val="21"/>
        </w:rPr>
        <w:t>磋商的任何一方不得透露与磋商有关的其他供应商的技术资料、价格和其他信息。</w:t>
      </w:r>
    </w:p>
    <w:p w14:paraId="46C250E0">
      <w:pPr>
        <w:widowControl/>
        <w:tabs>
          <w:tab w:val="left" w:pos="540"/>
        </w:tabs>
        <w:spacing w:line="360" w:lineRule="auto"/>
        <w:ind w:firstLine="420" w:firstLineChars="200"/>
        <w:jc w:val="left"/>
        <w:rPr>
          <w:rFonts w:hint="eastAsia" w:ascii="宋体" w:hAnsi="宋体" w:cs="宋体"/>
          <w:color w:val="auto"/>
          <w:szCs w:val="21"/>
        </w:rPr>
      </w:pPr>
      <w:r>
        <w:rPr>
          <w:rFonts w:ascii="宋体" w:hAnsi="宋体" w:cs="宋体"/>
          <w:color w:val="auto"/>
          <w:szCs w:val="21"/>
        </w:rPr>
        <w:t>3.6</w:t>
      </w:r>
      <w:r>
        <w:rPr>
          <w:rFonts w:hint="eastAsia" w:ascii="宋体" w:hAnsi="宋体" w:cs="宋体"/>
          <w:color w:val="auto"/>
          <w:szCs w:val="21"/>
        </w:rPr>
        <w:t>采购代理机构对磋商过程和重要磋商内容进行记录，磋商双方在记录上签字确认。</w:t>
      </w:r>
    </w:p>
    <w:p w14:paraId="37FEDBAC">
      <w:pPr>
        <w:widowControl/>
        <w:tabs>
          <w:tab w:val="left" w:pos="540"/>
        </w:tabs>
        <w:spacing w:line="360" w:lineRule="auto"/>
        <w:ind w:firstLine="420" w:firstLineChars="200"/>
        <w:jc w:val="left"/>
        <w:rPr>
          <w:rFonts w:ascii="宋体" w:hAnsi="宋体" w:cs="宋体"/>
          <w:color w:val="auto"/>
          <w:szCs w:val="21"/>
        </w:rPr>
      </w:pPr>
      <w:r>
        <w:rPr>
          <w:rFonts w:ascii="宋体" w:hAnsi="宋体" w:cs="宋体"/>
          <w:color w:val="auto"/>
          <w:szCs w:val="21"/>
        </w:rPr>
        <w:t>3.7</w:t>
      </w:r>
      <w:r>
        <w:rPr>
          <w:rFonts w:hint="eastAsia" w:ascii="宋体" w:hAnsi="宋体" w:cs="宋体"/>
          <w:color w:val="auto"/>
          <w:szCs w:val="21"/>
        </w:rPr>
        <w:t>磋商过程中重新提交的响应文件，供应商可以在开启前补充、修改。</w:t>
      </w:r>
    </w:p>
    <w:p w14:paraId="2DCF1341">
      <w:pPr>
        <w:widowControl/>
        <w:tabs>
          <w:tab w:val="left" w:pos="540"/>
        </w:tabs>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3</w:t>
      </w:r>
      <w:r>
        <w:rPr>
          <w:rFonts w:ascii="宋体" w:hAnsi="宋体" w:cs="宋体"/>
          <w:color w:val="auto"/>
          <w:szCs w:val="21"/>
        </w:rPr>
        <w:t>.8</w:t>
      </w:r>
      <w:r>
        <w:rPr>
          <w:color w:val="auto"/>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6109E39A">
      <w:pPr>
        <w:tabs>
          <w:tab w:val="left" w:pos="2835"/>
        </w:tabs>
        <w:spacing w:line="360" w:lineRule="auto"/>
        <w:ind w:firstLine="420" w:firstLineChars="200"/>
        <w:rPr>
          <w:rFonts w:hint="eastAsia" w:ascii="宋体" w:hAnsi="宋体" w:cs="宋体"/>
          <w:color w:val="auto"/>
          <w:szCs w:val="21"/>
        </w:rPr>
      </w:pPr>
      <w:r>
        <w:rPr>
          <w:rFonts w:ascii="宋体" w:hAnsi="宋体" w:cs="宋体"/>
          <w:color w:val="auto"/>
          <w:szCs w:val="21"/>
        </w:rPr>
        <w:t>3.9</w:t>
      </w:r>
      <w:r>
        <w:rPr>
          <w:rFonts w:hint="eastAsia" w:ascii="宋体" w:hAnsi="宋体"/>
          <w:color w:val="auto"/>
          <w:szCs w:val="21"/>
        </w:rPr>
        <w:t>对磋商过程提交的响应文件进行有效性、完整性和响应程度审查，通过审查的合格供应商不足3家的，采购人或者采购代理机构应当重新开展采购活动。</w:t>
      </w:r>
    </w:p>
    <w:p w14:paraId="5668CEA3">
      <w:pPr>
        <w:spacing w:line="360" w:lineRule="auto"/>
        <w:ind w:firstLine="482" w:firstLineChars="200"/>
        <w:rPr>
          <w:rFonts w:ascii="宋体" w:hAnsi="宋体" w:cs="宋体"/>
          <w:color w:val="auto"/>
          <w:szCs w:val="21"/>
        </w:rPr>
      </w:pPr>
      <w:r>
        <w:rPr>
          <w:rFonts w:ascii="黑体" w:hAnsi="黑体" w:eastAsia="黑体" w:cs="宋体"/>
          <w:b/>
          <w:bCs/>
          <w:color w:val="auto"/>
          <w:sz w:val="24"/>
        </w:rPr>
        <w:t>4.</w:t>
      </w:r>
      <w:r>
        <w:rPr>
          <w:rFonts w:hint="eastAsia" w:ascii="黑体" w:hAnsi="黑体" w:eastAsia="黑体" w:cs="宋体"/>
          <w:b/>
          <w:bCs/>
          <w:color w:val="auto"/>
          <w:sz w:val="24"/>
        </w:rPr>
        <w:t xml:space="preserve"> 最后报价</w:t>
      </w:r>
    </w:p>
    <w:p w14:paraId="3F950273">
      <w:pPr>
        <w:spacing w:line="360" w:lineRule="auto"/>
        <w:ind w:firstLine="420" w:firstLineChars="200"/>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.1</w:t>
      </w:r>
      <w:r>
        <w:rPr>
          <w:rFonts w:hint="eastAsia" w:ascii="宋体" w:hAnsi="宋体" w:cs="宋体"/>
          <w:color w:val="auto"/>
          <w:szCs w:val="21"/>
        </w:rPr>
        <w:t>磋商文件能够详细列明采购标的的技术、服务要求的，磋商结束后，由磋商小组要求所有继续参加磋商的供应商在规定时间内密封提交最后报价，除本章第</w:t>
      </w:r>
      <w:r>
        <w:rPr>
          <w:rFonts w:ascii="宋体" w:hAnsi="宋体" w:cs="宋体"/>
          <w:color w:val="auto"/>
          <w:szCs w:val="21"/>
        </w:rPr>
        <w:t>4.3</w:t>
      </w:r>
      <w:r>
        <w:rPr>
          <w:rFonts w:hint="eastAsia" w:ascii="宋体" w:hAnsi="宋体" w:cs="宋体"/>
          <w:color w:val="auto"/>
          <w:szCs w:val="21"/>
        </w:rPr>
        <w:t>条外，提交最后报价的供应商不得少于3家，否则必须重新采购。</w:t>
      </w:r>
    </w:p>
    <w:p w14:paraId="13290E52">
      <w:pPr>
        <w:spacing w:line="360" w:lineRule="auto"/>
        <w:ind w:firstLine="420" w:firstLineChars="200"/>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.2</w:t>
      </w:r>
      <w:r>
        <w:rPr>
          <w:rFonts w:hint="eastAsia" w:ascii="宋体" w:hAnsi="宋体" w:cs="宋体"/>
          <w:color w:val="auto"/>
          <w:szCs w:val="21"/>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66817671">
      <w:pPr>
        <w:spacing w:line="360" w:lineRule="auto"/>
        <w:ind w:firstLine="420" w:firstLineChars="200"/>
        <w:rPr>
          <w:rFonts w:hint="eastAsia" w:ascii="宋体" w:hAnsi="宋体" w:cs="宋体"/>
          <w:color w:val="auto"/>
          <w:szCs w:val="21"/>
        </w:rPr>
      </w:pPr>
      <w:r>
        <w:rPr>
          <w:rFonts w:ascii="宋体" w:hAnsi="宋体" w:cs="宋体"/>
          <w:color w:val="auto"/>
          <w:szCs w:val="21"/>
        </w:rPr>
        <w:t>4.3</w:t>
      </w:r>
      <w:r>
        <w:rPr>
          <w:rFonts w:hint="eastAsia" w:ascii="宋体" w:hAnsi="宋体" w:cs="宋体"/>
          <w:color w:val="auto"/>
          <w:szCs w:val="21"/>
        </w:rPr>
        <w:t xml:space="preserve"> 最后报价是供应商响应文件的有效组成部分。符合《政府采购竞争性磋商采购方式管理暂行办法》（财库〔2014〕214号）第三条第四项“市场竞争不充分的科研项目，以及需要扶持的科技成果转化项目”和</w:t>
      </w:r>
      <w:r>
        <w:rPr>
          <w:color w:val="auto"/>
        </w:rPr>
        <w:t>本章第3.8条情形的，</w:t>
      </w:r>
      <w:r>
        <w:rPr>
          <w:rFonts w:hint="eastAsia" w:ascii="宋体" w:hAnsi="宋体" w:cs="宋体"/>
          <w:color w:val="auto"/>
          <w:szCs w:val="21"/>
        </w:rPr>
        <w:t>提交最后报价的供应商可以为2家。</w:t>
      </w:r>
    </w:p>
    <w:p w14:paraId="0DF88EB4">
      <w:pPr>
        <w:spacing w:line="360" w:lineRule="auto"/>
        <w:ind w:firstLine="420" w:firstLineChars="200"/>
        <w:rPr>
          <w:rFonts w:hint="eastAsia" w:ascii="宋体" w:hAnsi="宋体" w:cs="宋体"/>
          <w:color w:val="auto"/>
          <w:szCs w:val="21"/>
        </w:rPr>
      </w:pPr>
      <w:r>
        <w:rPr>
          <w:rFonts w:ascii="宋体" w:hAnsi="宋体" w:cs="宋体"/>
          <w:color w:val="auto"/>
          <w:szCs w:val="21"/>
        </w:rPr>
        <w:t>4.4</w:t>
      </w:r>
      <w:r>
        <w:rPr>
          <w:rFonts w:hint="eastAsia" w:ascii="宋体" w:hAnsi="宋体" w:cs="宋体"/>
          <w:color w:val="auto"/>
          <w:szCs w:val="21"/>
        </w:rPr>
        <w:t>已经提交响应文件的供应商，在提交最后报价之前，可以根据磋商情况退出磋商，退出磋商的供应商的响应文件按无效响应处理。采购人、采购代理机构将退还退出磋商的供应商的保证金。</w:t>
      </w:r>
    </w:p>
    <w:p w14:paraId="7343EC31">
      <w:pPr>
        <w:spacing w:line="360" w:lineRule="auto"/>
        <w:ind w:firstLine="420" w:firstLineChars="200"/>
        <w:rPr>
          <w:rFonts w:ascii="宋体" w:hAnsi="宋体" w:cs="宋体"/>
          <w:color w:val="auto"/>
          <w:szCs w:val="21"/>
        </w:rPr>
      </w:pPr>
      <w:r>
        <w:rPr>
          <w:rFonts w:ascii="宋体" w:hAnsi="宋体" w:cs="宋体"/>
          <w:color w:val="auto"/>
          <w:szCs w:val="21"/>
        </w:rPr>
        <w:t>4.5</w:t>
      </w:r>
      <w:r>
        <w:rPr>
          <w:rFonts w:hint="eastAsia" w:ascii="宋体" w:hAnsi="宋体" w:cs="宋体"/>
          <w:color w:val="auto"/>
          <w:szCs w:val="21"/>
        </w:rPr>
        <w:t>供应商未在规定时间内提交最后报价的，视同退出磋商。</w:t>
      </w:r>
    </w:p>
    <w:p w14:paraId="14353252">
      <w:pPr>
        <w:spacing w:line="360" w:lineRule="auto"/>
        <w:ind w:firstLine="420" w:firstLineChars="200"/>
        <w:rPr>
          <w:rFonts w:hint="eastAsia" w:ascii="宋体" w:hAnsi="宋体" w:cs="宋体"/>
          <w:color w:val="auto"/>
          <w:szCs w:val="21"/>
        </w:rPr>
      </w:pPr>
      <w:r>
        <w:rPr>
          <w:rFonts w:ascii="宋体" w:hAnsi="宋体" w:cs="宋体"/>
          <w:color w:val="auto"/>
          <w:szCs w:val="21"/>
        </w:rPr>
        <w:t>4.6</w:t>
      </w:r>
      <w:r>
        <w:rPr>
          <w:rFonts w:hint="eastAsia" w:ascii="宋体" w:hAnsi="宋体" w:cs="宋体"/>
          <w:color w:val="auto"/>
          <w:szCs w:val="21"/>
        </w:rPr>
        <w:t>磋商小组收齐某一分标最后报价后统一开启，磋商小组对最后报价进行有效性、完整性和响应程度的审查。</w:t>
      </w:r>
    </w:p>
    <w:p w14:paraId="0FD74315">
      <w:pPr>
        <w:spacing w:line="360" w:lineRule="auto"/>
        <w:ind w:firstLine="420" w:firstLineChars="200"/>
        <w:rPr>
          <w:rFonts w:hint="eastAsia" w:ascii="宋体" w:hAnsi="宋体" w:cs="宋体"/>
          <w:color w:val="auto"/>
          <w:szCs w:val="21"/>
        </w:rPr>
      </w:pPr>
      <w:r>
        <w:rPr>
          <w:rFonts w:ascii="宋体" w:hAnsi="宋体" w:cs="宋体"/>
          <w:color w:val="auto"/>
          <w:szCs w:val="21"/>
        </w:rPr>
        <w:t>4.7</w:t>
      </w:r>
      <w:r>
        <w:rPr>
          <w:rFonts w:hint="eastAsia" w:ascii="宋体" w:hAnsi="宋体" w:cs="宋体"/>
          <w:color w:val="auto"/>
          <w:szCs w:val="21"/>
        </w:rPr>
        <w:t>响应文件最后报价出现前后不一致的，按照本章第</w:t>
      </w:r>
      <w:r>
        <w:rPr>
          <w:rFonts w:ascii="宋体" w:hAnsi="宋体" w:cs="宋体"/>
          <w:color w:val="auto"/>
          <w:szCs w:val="21"/>
        </w:rPr>
        <w:t>2.4</w:t>
      </w:r>
      <w:r>
        <w:rPr>
          <w:rFonts w:hint="eastAsia" w:ascii="宋体" w:hAnsi="宋体" w:cs="宋体"/>
          <w:color w:val="auto"/>
          <w:szCs w:val="21"/>
        </w:rPr>
        <w:t xml:space="preserve">条的规定修正。 </w:t>
      </w:r>
    </w:p>
    <w:p w14:paraId="5EDAD637">
      <w:pPr>
        <w:spacing w:line="360" w:lineRule="auto"/>
        <w:ind w:firstLine="420" w:firstLineChars="200"/>
        <w:rPr>
          <w:rFonts w:hint="eastAsia" w:ascii="宋体" w:hAnsi="宋体" w:cs="宋体"/>
          <w:color w:val="auto"/>
          <w:szCs w:val="21"/>
        </w:rPr>
      </w:pPr>
      <w:r>
        <w:rPr>
          <w:rFonts w:ascii="宋体" w:hAnsi="宋体" w:cs="宋体"/>
          <w:color w:val="auto"/>
          <w:szCs w:val="21"/>
        </w:rPr>
        <w:t>4.8</w:t>
      </w:r>
      <w:r>
        <w:rPr>
          <w:rFonts w:hint="eastAsia" w:ascii="宋体" w:hAnsi="宋体" w:cs="宋体"/>
          <w:color w:val="auto"/>
          <w:szCs w:val="21"/>
        </w:rPr>
        <w:t>经供应商确认修正后的最后报价作为评审及签订合同的依据。</w:t>
      </w:r>
    </w:p>
    <w:p w14:paraId="2404E66A">
      <w:pPr>
        <w:spacing w:line="360" w:lineRule="auto"/>
        <w:ind w:firstLine="420" w:firstLineChars="200"/>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9</w:t>
      </w:r>
      <w:r>
        <w:rPr>
          <w:rFonts w:hint="eastAsia" w:ascii="宋体" w:hAnsi="宋体" w:cs="宋体"/>
          <w:color w:val="auto"/>
          <w:szCs w:val="21"/>
        </w:rPr>
        <w:t>供应商出现最后报价按无效响应处理或者响应文件按无效处理时</w:t>
      </w:r>
      <w:r>
        <w:rPr>
          <w:rFonts w:hint="eastAsia" w:ascii="宋体" w:hAnsi="宋体"/>
          <w:color w:val="auto"/>
          <w:sz w:val="22"/>
          <w:szCs w:val="22"/>
        </w:rPr>
        <w:t>，磋商小组应当告知有关供应商</w:t>
      </w:r>
      <w:r>
        <w:rPr>
          <w:rFonts w:hint="eastAsia" w:ascii="宋体" w:hAnsi="宋体" w:cs="宋体"/>
          <w:color w:val="auto"/>
          <w:szCs w:val="21"/>
        </w:rPr>
        <w:t>。</w:t>
      </w:r>
    </w:p>
    <w:p w14:paraId="4E6675F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w:t>
      </w:r>
      <w:r>
        <w:rPr>
          <w:rFonts w:ascii="宋体" w:hAnsi="宋体" w:cs="宋体"/>
          <w:color w:val="auto"/>
          <w:szCs w:val="21"/>
        </w:rPr>
        <w:t>.10</w:t>
      </w:r>
      <w:r>
        <w:rPr>
          <w:rFonts w:hint="eastAsia" w:ascii="宋体" w:hAnsi="宋体" w:cs="宋体"/>
          <w:color w:val="auto"/>
          <w:szCs w:val="21"/>
        </w:rPr>
        <w:t>最后报价结束后，磋商小组不得再与供应商进行任何形式的商谈。</w:t>
      </w:r>
    </w:p>
    <w:p w14:paraId="02FB66C9">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5</w:t>
      </w:r>
      <w:r>
        <w:rPr>
          <w:rFonts w:ascii="黑体" w:hAnsi="黑体" w:eastAsia="黑体" w:cs="宋体"/>
          <w:b/>
          <w:bCs/>
          <w:color w:val="auto"/>
          <w:sz w:val="24"/>
        </w:rPr>
        <w:t>.</w:t>
      </w:r>
      <w:r>
        <w:rPr>
          <w:rFonts w:hint="eastAsia" w:ascii="黑体" w:hAnsi="黑体" w:eastAsia="黑体" w:cs="宋体"/>
          <w:b/>
          <w:bCs/>
          <w:color w:val="auto"/>
          <w:sz w:val="24"/>
        </w:rPr>
        <w:t>比较与评价</w:t>
      </w:r>
    </w:p>
    <w:p w14:paraId="4D3A12A0">
      <w:pPr>
        <w:spacing w:line="360" w:lineRule="auto"/>
        <w:ind w:firstLine="420" w:firstLineChars="200"/>
        <w:rPr>
          <w:rFonts w:hint="eastAsia" w:ascii="宋体" w:hAnsi="宋体" w:cs="宋体"/>
          <w:color w:val="auto"/>
          <w:szCs w:val="21"/>
        </w:rPr>
      </w:pPr>
      <w:r>
        <w:rPr>
          <w:rFonts w:ascii="宋体" w:hAnsi="宋体" w:cs="宋体"/>
          <w:color w:val="auto"/>
          <w:szCs w:val="21"/>
        </w:rPr>
        <w:t>5.1</w:t>
      </w:r>
      <w:r>
        <w:rPr>
          <w:rFonts w:hint="eastAsia" w:ascii="宋体" w:hAnsi="宋体" w:cs="宋体"/>
          <w:color w:val="auto"/>
          <w:szCs w:val="21"/>
        </w:rPr>
        <w:t>评审方法：综合评分法。</w:t>
      </w:r>
    </w:p>
    <w:p w14:paraId="2B95B866">
      <w:pPr>
        <w:spacing w:line="360" w:lineRule="auto"/>
        <w:ind w:firstLine="420" w:firstLineChars="200"/>
        <w:rPr>
          <w:rFonts w:hint="eastAsia" w:ascii="宋体" w:hAnsi="宋体" w:cs="宋体"/>
          <w:color w:val="auto"/>
          <w:szCs w:val="21"/>
        </w:rPr>
      </w:pPr>
      <w:r>
        <w:rPr>
          <w:rFonts w:ascii="宋体" w:hAnsi="宋体" w:cs="宋体"/>
          <w:color w:val="auto"/>
          <w:szCs w:val="21"/>
        </w:rPr>
        <w:t>5.2</w:t>
      </w:r>
      <w:r>
        <w:rPr>
          <w:rFonts w:hint="eastAsia" w:ascii="宋体" w:hAnsi="宋体" w:cs="宋体"/>
          <w:color w:val="auto"/>
          <w:szCs w:val="21"/>
        </w:rPr>
        <w:t>经磋商确定最终采购需求和提交最后报价的供应商后，由磋商小组采用综合评分法对提交最后报价的供应商的响应文件和最后报价进行综合评分。</w:t>
      </w:r>
    </w:p>
    <w:p w14:paraId="1C076910">
      <w:pPr>
        <w:spacing w:line="360" w:lineRule="auto"/>
        <w:ind w:firstLine="420" w:firstLineChars="200"/>
        <w:rPr>
          <w:rFonts w:hint="eastAsia" w:ascii="宋体" w:hAnsi="宋体" w:cs="宋体"/>
          <w:color w:val="auto"/>
          <w:szCs w:val="21"/>
        </w:rPr>
      </w:pPr>
      <w:r>
        <w:rPr>
          <w:rFonts w:ascii="宋体" w:hAnsi="宋体" w:cs="宋体"/>
          <w:color w:val="auto"/>
          <w:szCs w:val="21"/>
        </w:rPr>
        <w:t>5.3</w:t>
      </w:r>
      <w:r>
        <w:rPr>
          <w:rFonts w:hint="eastAsia" w:ascii="宋体" w:hAnsi="宋体" w:cs="宋体"/>
          <w:color w:val="auto"/>
          <w:szCs w:val="21"/>
        </w:rPr>
        <w:t>评审时，磋商小组各成员应当独立对每个有效响应的文件进行评价、打分，然后汇总每个供应商每项评分因素的得分。</w:t>
      </w:r>
    </w:p>
    <w:p w14:paraId="13F9874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（1）磋商小组按照磋商文件中规定的评审标准计算各供应商的报价得分。项目评审过程中，不得去掉最后报价中的最高报价和最低报价。</w:t>
      </w:r>
    </w:p>
    <w:p w14:paraId="7932A2E6">
      <w:pPr>
        <w:spacing w:line="360" w:lineRule="auto"/>
        <w:ind w:firstLine="420" w:firstLineChars="200"/>
        <w:rPr>
          <w:rFonts w:ascii="宋体" w:hAnsi="宋体" w:cs="宋体"/>
          <w:color w:val="auto"/>
          <w:szCs w:val="21"/>
        </w:rPr>
      </w:pPr>
      <w:r>
        <w:rPr>
          <w:rFonts w:hint="eastAsia" w:ascii="宋体" w:hAnsi="宋体" w:cs="宋体"/>
          <w:color w:val="auto"/>
          <w:szCs w:val="21"/>
        </w:rPr>
        <w:t>（2）各供应商的得分为磋商小组所有成员的有效评分的算术平均数。</w:t>
      </w:r>
    </w:p>
    <w:p w14:paraId="05AA35FC">
      <w:pPr>
        <w:spacing w:line="360" w:lineRule="auto"/>
        <w:ind w:firstLine="420" w:firstLineChars="200"/>
        <w:rPr>
          <w:rFonts w:ascii="宋体" w:hAnsi="宋体" w:cs="宋体"/>
          <w:color w:val="auto"/>
          <w:szCs w:val="21"/>
        </w:rPr>
      </w:pPr>
      <w:r>
        <w:rPr>
          <w:rFonts w:ascii="宋体" w:hAnsi="宋体" w:cs="宋体"/>
          <w:color w:val="auto"/>
          <w:szCs w:val="21"/>
        </w:rPr>
        <w:t>5.4</w:t>
      </w:r>
      <w:r>
        <w:rPr>
          <w:rFonts w:hint="eastAsia" w:ascii="宋体" w:hAnsi="宋体" w:cs="宋体"/>
          <w:color w:val="auto"/>
          <w:szCs w:val="21"/>
        </w:rPr>
        <w:t>评审价为供应商的最后报价进行政策性扣除后的价格，评审价只是作为评审时使用。最终成交供应商的成交金额等于最后报价（如有修正，以确认修正后的最后报价为准）。</w:t>
      </w:r>
    </w:p>
    <w:p w14:paraId="32EF7489">
      <w:pPr>
        <w:spacing w:line="360" w:lineRule="auto"/>
        <w:ind w:firstLine="420" w:firstLineChars="200"/>
        <w:rPr>
          <w:rFonts w:hint="eastAsia" w:ascii="宋体" w:hAnsi="宋体"/>
          <w:color w:val="auto"/>
          <w:kern w:val="0"/>
          <w:szCs w:val="21"/>
        </w:rPr>
      </w:pPr>
      <w:r>
        <w:rPr>
          <w:rFonts w:ascii="宋体" w:hAnsi="宋体" w:cs="宋体"/>
          <w:color w:val="auto"/>
          <w:szCs w:val="21"/>
        </w:rPr>
        <w:t>5.5</w:t>
      </w:r>
      <w:r>
        <w:rPr>
          <w:rFonts w:hint="eastAsia" w:ascii="宋体" w:hAnsi="宋体" w:cs="宋体"/>
          <w:color w:val="auto"/>
          <w:szCs w:val="21"/>
        </w:rPr>
        <w:t>由磋商小组根据综合评分情况，按照评审得分由高到低顺序推荐3名以上成交候选供应商，并编写评</w:t>
      </w:r>
      <w:r>
        <w:rPr>
          <w:rFonts w:hint="eastAsia" w:ascii="宋体" w:hAnsi="宋体"/>
          <w:color w:val="auto"/>
          <w:kern w:val="0"/>
          <w:szCs w:val="21"/>
        </w:rPr>
        <w:t>审报告。符合本章第</w:t>
      </w:r>
      <w:r>
        <w:rPr>
          <w:rFonts w:ascii="宋体" w:hAnsi="宋体"/>
          <w:color w:val="auto"/>
          <w:kern w:val="0"/>
          <w:szCs w:val="21"/>
        </w:rPr>
        <w:t>4.3</w:t>
      </w:r>
      <w:r>
        <w:rPr>
          <w:rFonts w:hint="eastAsia" w:ascii="宋体" w:hAnsi="宋体"/>
          <w:color w:val="auto"/>
          <w:kern w:val="0"/>
          <w:szCs w:val="21"/>
        </w:rPr>
        <w:t>条情形的，可以推荐2家成交候选供应商。评审得分相同的，按照最后报价由低到高的顺序推荐。评审得分且最后报价相同的，按照技术指标优劣顺序推荐。</w:t>
      </w:r>
    </w:p>
    <w:p w14:paraId="3140AB43">
      <w:pPr>
        <w:spacing w:line="360" w:lineRule="auto"/>
        <w:ind w:firstLine="420" w:firstLineChars="200"/>
        <w:rPr>
          <w:rFonts w:hint="eastAsia" w:ascii="宋体" w:hAnsi="宋体" w:cs="宋体"/>
          <w:color w:val="auto"/>
          <w:szCs w:val="21"/>
        </w:rPr>
      </w:pPr>
      <w:r>
        <w:rPr>
          <w:rFonts w:ascii="宋体" w:hAnsi="宋体"/>
          <w:color w:val="auto"/>
          <w:kern w:val="0"/>
          <w:szCs w:val="21"/>
        </w:rPr>
        <w:t>5.6</w:t>
      </w:r>
      <w:r>
        <w:rPr>
          <w:rFonts w:hint="eastAsia" w:ascii="宋体" w:hAnsi="宋体"/>
          <w:color w:val="auto"/>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B7FCB30">
      <w:pPr>
        <w:spacing w:line="360" w:lineRule="auto"/>
        <w:jc w:val="center"/>
        <w:outlineLvl w:val="1"/>
        <w:rPr>
          <w:rFonts w:ascii="宋体" w:hAnsi="宋体"/>
          <w:b/>
          <w:color w:val="auto"/>
          <w:sz w:val="32"/>
          <w:szCs w:val="32"/>
        </w:rPr>
      </w:pPr>
      <w:r>
        <w:rPr>
          <w:rFonts w:hint="eastAsia" w:ascii="宋体" w:hAnsi="宋体"/>
          <w:b/>
          <w:color w:val="auto"/>
          <w:sz w:val="32"/>
          <w:szCs w:val="32"/>
        </w:rPr>
        <w:t>二、评审标准</w:t>
      </w:r>
    </w:p>
    <w:tbl>
      <w:tblPr>
        <w:tblStyle w:val="27"/>
        <w:tblpPr w:leftFromText="180" w:rightFromText="180" w:vertAnchor="text" w:horzAnchor="page" w:tblpX="1295" w:tblpY="934"/>
        <w:tblOverlap w:val="never"/>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637"/>
        <w:gridCol w:w="6368"/>
      </w:tblGrid>
      <w:tr w14:paraId="6C037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30" w:type="dxa"/>
            <w:noWrap w:val="0"/>
            <w:vAlign w:val="center"/>
          </w:tcPr>
          <w:p w14:paraId="05197D05">
            <w:pPr>
              <w:keepNext w:val="0"/>
              <w:keepLines w:val="0"/>
              <w:pageBreakBefore w:val="0"/>
              <w:kinsoku/>
              <w:wordWrap/>
              <w:overflowPunct/>
              <w:topLinePunct w:val="0"/>
              <w:autoSpaceDE/>
              <w:autoSpaceDN/>
              <w:bidi w:val="0"/>
              <w:adjustRightInd w:val="0"/>
              <w:spacing w:line="300" w:lineRule="exact"/>
              <w:jc w:val="center"/>
              <w:textAlignment w:val="baseline"/>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2637" w:type="dxa"/>
            <w:noWrap w:val="0"/>
            <w:vAlign w:val="center"/>
          </w:tcPr>
          <w:p w14:paraId="3F84315C">
            <w:pPr>
              <w:keepNext w:val="0"/>
              <w:keepLines w:val="0"/>
              <w:pageBreakBefore w:val="0"/>
              <w:kinsoku/>
              <w:wordWrap/>
              <w:overflowPunct/>
              <w:topLinePunct w:val="0"/>
              <w:autoSpaceDE/>
              <w:autoSpaceDN/>
              <w:bidi w:val="0"/>
              <w:adjustRightInd w:val="0"/>
              <w:spacing w:line="300" w:lineRule="exact"/>
              <w:jc w:val="center"/>
              <w:textAlignment w:val="baseline"/>
              <w:rPr>
                <w:rFonts w:hint="eastAsia" w:ascii="宋体" w:hAnsi="宋体" w:eastAsia="宋体" w:cs="宋体"/>
                <w:color w:val="auto"/>
                <w:sz w:val="21"/>
                <w:szCs w:val="21"/>
              </w:rPr>
            </w:pPr>
            <w:r>
              <w:rPr>
                <w:rFonts w:hint="eastAsia" w:ascii="宋体" w:hAnsi="宋体" w:eastAsia="宋体" w:cs="宋体"/>
                <w:b/>
                <w:color w:val="auto"/>
                <w:sz w:val="21"/>
                <w:szCs w:val="21"/>
              </w:rPr>
              <w:t>评审因素</w:t>
            </w:r>
          </w:p>
        </w:tc>
        <w:tc>
          <w:tcPr>
            <w:tcW w:w="6368" w:type="dxa"/>
            <w:noWrap w:val="0"/>
            <w:vAlign w:val="center"/>
          </w:tcPr>
          <w:p w14:paraId="74D97FFF">
            <w:pPr>
              <w:keepNext w:val="0"/>
              <w:keepLines w:val="0"/>
              <w:pageBreakBefore w:val="0"/>
              <w:kinsoku/>
              <w:wordWrap/>
              <w:overflowPunct/>
              <w:topLinePunct w:val="0"/>
              <w:autoSpaceDE/>
              <w:autoSpaceDN/>
              <w:bidi w:val="0"/>
              <w:adjustRightInd w:val="0"/>
              <w:spacing w:line="300" w:lineRule="exact"/>
              <w:jc w:val="center"/>
              <w:textAlignment w:val="baseline"/>
              <w:rPr>
                <w:rFonts w:hint="eastAsia" w:ascii="宋体" w:hAnsi="宋体" w:eastAsia="宋体" w:cs="宋体"/>
                <w:b/>
                <w:color w:val="auto"/>
                <w:sz w:val="21"/>
                <w:szCs w:val="21"/>
              </w:rPr>
            </w:pPr>
            <w:r>
              <w:rPr>
                <w:rFonts w:hint="eastAsia" w:ascii="宋体" w:hAnsi="宋体" w:eastAsia="宋体" w:cs="宋体"/>
                <w:b/>
                <w:color w:val="auto"/>
                <w:sz w:val="21"/>
                <w:szCs w:val="21"/>
              </w:rPr>
              <w:t>评审标准</w:t>
            </w:r>
          </w:p>
        </w:tc>
      </w:tr>
      <w:tr w14:paraId="5679D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30" w:type="dxa"/>
            <w:noWrap w:val="0"/>
            <w:vAlign w:val="center"/>
          </w:tcPr>
          <w:p w14:paraId="4F066F8A">
            <w:pPr>
              <w:keepNext w:val="0"/>
              <w:keepLines w:val="0"/>
              <w:pageBreakBefore w:val="0"/>
              <w:kinsoku/>
              <w:wordWrap/>
              <w:overflowPunct/>
              <w:topLinePunct w:val="0"/>
              <w:autoSpaceDE/>
              <w:autoSpaceDN/>
              <w:bidi w:val="0"/>
              <w:adjustRightInd w:val="0"/>
              <w:spacing w:line="300" w:lineRule="exact"/>
              <w:jc w:val="center"/>
              <w:textAlignment w:val="baseline"/>
              <w:rPr>
                <w:rFonts w:hint="eastAsia" w:ascii="宋体" w:hAnsi="宋体" w:eastAsia="宋体" w:cs="宋体"/>
                <w:b/>
                <w:color w:val="auto"/>
                <w:sz w:val="21"/>
                <w:szCs w:val="21"/>
              </w:rPr>
            </w:pPr>
            <w:r>
              <w:rPr>
                <w:rFonts w:hint="eastAsia" w:ascii="宋体" w:hAnsi="宋体" w:eastAsia="宋体" w:cs="宋体"/>
                <w:b/>
                <w:color w:val="auto"/>
                <w:sz w:val="21"/>
                <w:szCs w:val="21"/>
              </w:rPr>
              <w:t>1</w:t>
            </w:r>
          </w:p>
        </w:tc>
        <w:tc>
          <w:tcPr>
            <w:tcW w:w="2637" w:type="dxa"/>
            <w:noWrap w:val="0"/>
            <w:vAlign w:val="center"/>
          </w:tcPr>
          <w:p w14:paraId="5BBA58E9">
            <w:pPr>
              <w:keepNext w:val="0"/>
              <w:keepLines w:val="0"/>
              <w:pageBreakBefore w:val="0"/>
              <w:kinsoku/>
              <w:wordWrap/>
              <w:overflowPunct/>
              <w:topLinePunct w:val="0"/>
              <w:autoSpaceDE/>
              <w:autoSpaceDN/>
              <w:bidi w:val="0"/>
              <w:adjustRightInd w:val="0"/>
              <w:spacing w:line="300" w:lineRule="exact"/>
              <w:jc w:val="center"/>
              <w:textAlignment w:val="baseline"/>
              <w:rPr>
                <w:rFonts w:hint="eastAsia" w:ascii="宋体" w:hAnsi="宋体" w:eastAsia="宋体" w:cs="宋体"/>
                <w:b/>
                <w:color w:val="auto"/>
                <w:sz w:val="21"/>
                <w:szCs w:val="21"/>
              </w:rPr>
            </w:pPr>
            <w:bookmarkStart w:id="73" w:name="OLE_LINK17"/>
            <w:r>
              <w:rPr>
                <w:rFonts w:hint="eastAsia" w:ascii="宋体" w:hAnsi="宋体" w:eastAsia="宋体" w:cs="宋体"/>
                <w:b/>
                <w:color w:val="auto"/>
                <w:sz w:val="21"/>
                <w:szCs w:val="21"/>
              </w:rPr>
              <w:t>价格分（满分</w:t>
            </w:r>
            <w:r>
              <w:rPr>
                <w:rFonts w:hint="eastAsia" w:ascii="宋体" w:hAnsi="宋体" w:eastAsia="宋体" w:cs="宋体"/>
                <w:b/>
                <w:color w:val="auto"/>
                <w:sz w:val="21"/>
                <w:szCs w:val="21"/>
                <w:lang w:val="en-US" w:eastAsia="zh-CN"/>
              </w:rPr>
              <w:t>20</w:t>
            </w:r>
            <w:r>
              <w:rPr>
                <w:rFonts w:hint="eastAsia" w:ascii="宋体" w:hAnsi="宋体" w:eastAsia="宋体" w:cs="宋体"/>
                <w:b/>
                <w:color w:val="auto"/>
                <w:sz w:val="21"/>
                <w:szCs w:val="21"/>
              </w:rPr>
              <w:t>分）</w:t>
            </w:r>
            <w:bookmarkEnd w:id="73"/>
          </w:p>
        </w:tc>
        <w:tc>
          <w:tcPr>
            <w:tcW w:w="6368" w:type="dxa"/>
            <w:noWrap w:val="0"/>
            <w:vAlign w:val="center"/>
          </w:tcPr>
          <w:p w14:paraId="351B8B98">
            <w:pPr>
              <w:keepNext w:val="0"/>
              <w:keepLines w:val="0"/>
              <w:pageBreakBefore w:val="0"/>
              <w:kinsoku/>
              <w:wordWrap/>
              <w:overflowPunct/>
              <w:topLinePunct w:val="0"/>
              <w:autoSpaceDE/>
              <w:autoSpaceDN/>
              <w:bidi w:val="0"/>
              <w:spacing w:line="300" w:lineRule="exact"/>
              <w:ind w:firstLine="42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（1）评标价为供应商的投标报价进行政策性扣除后的价格，评标价只是作为评标时使用。最终成交人的成交金额＝最终报价。</w:t>
            </w:r>
          </w:p>
          <w:p w14:paraId="152778C9">
            <w:pPr>
              <w:keepNext w:val="0"/>
              <w:keepLines w:val="0"/>
              <w:pageBreakBefore w:val="0"/>
              <w:kinsoku/>
              <w:wordWrap/>
              <w:overflowPunct/>
              <w:topLinePunct w:val="0"/>
              <w:autoSpaceDE/>
              <w:autoSpaceDN/>
              <w:bidi w:val="0"/>
              <w:spacing w:line="300" w:lineRule="exact"/>
              <w:ind w:firstLine="42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（2）按照</w:t>
            </w:r>
            <w:r>
              <w:rPr>
                <w:rFonts w:hint="eastAsia" w:ascii="宋体" w:hAnsi="宋体" w:eastAsia="宋体" w:cs="宋体"/>
                <w:color w:val="auto"/>
                <w:kern w:val="0"/>
                <w:sz w:val="21"/>
                <w:szCs w:val="21"/>
              </w:rPr>
              <w:t>《政府采购促进中小企业发展管理办法》的通知（财库﹝2020﹞46 号）</w:t>
            </w:r>
            <w:r>
              <w:rPr>
                <w:rFonts w:hint="eastAsia" w:ascii="宋体" w:hAnsi="宋体" w:eastAsia="宋体" w:cs="宋体"/>
                <w:bCs/>
                <w:color w:val="auto"/>
                <w:kern w:val="0"/>
                <w:sz w:val="21"/>
                <w:szCs w:val="21"/>
              </w:rPr>
              <w:t>之规定，供应商为小型或微型企业，并在其响应文件中提供《中小企业声明函》，对其投标价格给予</w:t>
            </w:r>
            <w:r>
              <w:rPr>
                <w:rFonts w:hint="eastAsia" w:ascii="宋体" w:hAnsi="宋体" w:eastAsia="宋体" w:cs="宋体"/>
                <w:bCs/>
                <w:color w:val="auto"/>
                <w:kern w:val="0"/>
                <w:sz w:val="21"/>
                <w:szCs w:val="21"/>
                <w:lang w:val="en-US" w:eastAsia="zh-CN"/>
              </w:rPr>
              <w:t>20</w:t>
            </w:r>
            <w:r>
              <w:rPr>
                <w:rFonts w:hint="eastAsia" w:ascii="宋体" w:hAnsi="宋体" w:eastAsia="宋体" w:cs="宋体"/>
                <w:bCs/>
                <w:color w:val="auto"/>
                <w:kern w:val="0"/>
                <w:sz w:val="21"/>
                <w:szCs w:val="21"/>
              </w:rPr>
              <w:t>%的扣除。</w:t>
            </w:r>
          </w:p>
          <w:p w14:paraId="1544EA00">
            <w:pPr>
              <w:keepNext w:val="0"/>
              <w:keepLines w:val="0"/>
              <w:pageBreakBefore w:val="0"/>
              <w:kinsoku/>
              <w:wordWrap/>
              <w:overflowPunct/>
              <w:topLinePunct w:val="0"/>
              <w:autoSpaceDE/>
              <w:autoSpaceDN/>
              <w:bidi w:val="0"/>
              <w:spacing w:line="300" w:lineRule="exact"/>
              <w:ind w:firstLine="42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14:paraId="3340C093">
            <w:pPr>
              <w:keepNext w:val="0"/>
              <w:keepLines w:val="0"/>
              <w:pageBreakBefore w:val="0"/>
              <w:kinsoku/>
              <w:wordWrap/>
              <w:overflowPunct/>
              <w:topLinePunct w:val="0"/>
              <w:autoSpaceDE/>
              <w:autoSpaceDN/>
              <w:bidi w:val="0"/>
              <w:spacing w:line="300" w:lineRule="exact"/>
              <w:ind w:firstLine="42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9A92D17">
            <w:pPr>
              <w:keepNext w:val="0"/>
              <w:keepLines w:val="0"/>
              <w:pageBreakBefore w:val="0"/>
              <w:kinsoku/>
              <w:wordWrap/>
              <w:overflowPunct/>
              <w:topLinePunct w:val="0"/>
              <w:autoSpaceDE/>
              <w:autoSpaceDN/>
              <w:bidi w:val="0"/>
              <w:spacing w:line="300" w:lineRule="exact"/>
              <w:ind w:firstLine="42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（5）政策性扣除计算方法。</w:t>
            </w:r>
          </w:p>
          <w:p w14:paraId="0855A404">
            <w:pPr>
              <w:keepNext w:val="0"/>
              <w:keepLines w:val="0"/>
              <w:pageBreakBefore w:val="0"/>
              <w:kinsoku/>
              <w:wordWrap/>
              <w:overflowPunct/>
              <w:topLinePunct w:val="0"/>
              <w:autoSpaceDE/>
              <w:autoSpaceDN/>
              <w:bidi w:val="0"/>
              <w:spacing w:line="300" w:lineRule="exact"/>
              <w:ind w:firstLine="42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供应商被评定为监狱企业或残疾人福利性单位或小型或微型企业的，该供应商的投标报价给予</w:t>
            </w:r>
            <w:r>
              <w:rPr>
                <w:rFonts w:hint="eastAsia" w:ascii="宋体" w:hAnsi="宋体" w:eastAsia="宋体" w:cs="宋体"/>
                <w:bCs/>
                <w:color w:val="auto"/>
                <w:kern w:val="0"/>
                <w:sz w:val="21"/>
                <w:szCs w:val="21"/>
                <w:lang w:val="en-US" w:eastAsia="zh-CN"/>
              </w:rPr>
              <w:t>20</w:t>
            </w:r>
            <w:r>
              <w:rPr>
                <w:rFonts w:hint="eastAsia" w:ascii="宋体" w:hAnsi="宋体" w:eastAsia="宋体" w:cs="宋体"/>
                <w:bCs/>
                <w:color w:val="auto"/>
                <w:kern w:val="0"/>
                <w:sz w:val="21"/>
                <w:szCs w:val="21"/>
              </w:rPr>
              <w:t>%的扣除，扣除后的价格为评标报价，即该评标报价=该投标报价×（1-</w:t>
            </w:r>
            <w:r>
              <w:rPr>
                <w:rFonts w:hint="eastAsia" w:ascii="宋体" w:hAnsi="宋体" w:eastAsia="宋体" w:cs="宋体"/>
                <w:bCs/>
                <w:color w:val="auto"/>
                <w:kern w:val="0"/>
                <w:sz w:val="21"/>
                <w:szCs w:val="21"/>
                <w:lang w:val="en-US" w:eastAsia="zh-CN"/>
              </w:rPr>
              <w:t>20</w:t>
            </w:r>
            <w:r>
              <w:rPr>
                <w:rFonts w:hint="eastAsia" w:ascii="宋体" w:hAnsi="宋体" w:eastAsia="宋体" w:cs="宋体"/>
                <w:bCs/>
                <w:color w:val="auto"/>
                <w:kern w:val="0"/>
                <w:sz w:val="21"/>
                <w:szCs w:val="21"/>
              </w:rPr>
              <w:t>%）；大中型企业和其他自然人、法人或者其他组织与小型、微型企业组成联合体投标，且联合体协议中约定小型、微型企业的协议合同金额占到联合体协议合同总金额30%以上的，联合体投标价给予</w:t>
            </w:r>
            <w:r>
              <w:rPr>
                <w:rFonts w:hint="eastAsia" w:ascii="宋体" w:hAnsi="宋体" w:eastAsia="宋体" w:cs="宋体"/>
                <w:bCs/>
                <w:color w:val="auto"/>
                <w:kern w:val="0"/>
                <w:sz w:val="21"/>
                <w:szCs w:val="21"/>
                <w:lang w:val="en-US" w:eastAsia="zh-CN"/>
              </w:rPr>
              <w:t>4</w:t>
            </w:r>
            <w:r>
              <w:rPr>
                <w:rFonts w:hint="eastAsia" w:ascii="宋体" w:hAnsi="宋体" w:eastAsia="宋体" w:cs="宋体"/>
                <w:bCs/>
                <w:color w:val="auto"/>
                <w:kern w:val="0"/>
                <w:sz w:val="21"/>
                <w:szCs w:val="21"/>
              </w:rPr>
              <w:t>%的扣除，扣除后的价格为评标价，即该评标报价=该投标报价×（1-</w:t>
            </w:r>
            <w:r>
              <w:rPr>
                <w:rFonts w:hint="eastAsia" w:ascii="宋体" w:hAnsi="宋体" w:eastAsia="宋体" w:cs="宋体"/>
                <w:bCs/>
                <w:color w:val="auto"/>
                <w:kern w:val="0"/>
                <w:sz w:val="21"/>
                <w:szCs w:val="21"/>
                <w:lang w:val="en-US" w:eastAsia="zh-CN"/>
              </w:rPr>
              <w:t>4</w:t>
            </w:r>
            <w:r>
              <w:rPr>
                <w:rFonts w:hint="eastAsia" w:ascii="宋体" w:hAnsi="宋体" w:eastAsia="宋体" w:cs="宋体"/>
                <w:bCs/>
                <w:color w:val="auto"/>
                <w:kern w:val="0"/>
                <w:sz w:val="21"/>
                <w:szCs w:val="21"/>
              </w:rPr>
              <w:t>%）；除上述情况外，评标报价=投标报价。</w:t>
            </w:r>
          </w:p>
          <w:p w14:paraId="2CA1B09E">
            <w:pPr>
              <w:keepNext w:val="0"/>
              <w:keepLines w:val="0"/>
              <w:pageBreakBefore w:val="0"/>
              <w:kinsoku/>
              <w:wordWrap/>
              <w:overflowPunct/>
              <w:topLinePunct w:val="0"/>
              <w:autoSpaceDE/>
              <w:autoSpaceDN/>
              <w:bidi w:val="0"/>
              <w:spacing w:line="300" w:lineRule="exact"/>
              <w:ind w:firstLine="42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（6）以进入综合评分环节的最低的评标报价为基准价，基准价报价得分为</w:t>
            </w:r>
            <w:r>
              <w:rPr>
                <w:rFonts w:hint="eastAsia" w:ascii="宋体" w:hAnsi="宋体" w:eastAsia="宋体" w:cs="宋体"/>
                <w:bCs/>
                <w:color w:val="auto"/>
                <w:kern w:val="0"/>
                <w:sz w:val="21"/>
                <w:szCs w:val="21"/>
                <w:lang w:val="en-US" w:eastAsia="zh-CN"/>
              </w:rPr>
              <w:t>20</w:t>
            </w:r>
            <w:r>
              <w:rPr>
                <w:rFonts w:hint="eastAsia" w:ascii="宋体" w:hAnsi="宋体" w:eastAsia="宋体" w:cs="宋体"/>
                <w:bCs/>
                <w:color w:val="auto"/>
                <w:kern w:val="0"/>
                <w:sz w:val="21"/>
                <w:szCs w:val="21"/>
              </w:rPr>
              <w:t>分。</w:t>
            </w:r>
          </w:p>
          <w:p w14:paraId="3C43D89D">
            <w:pPr>
              <w:keepNext w:val="0"/>
              <w:keepLines w:val="0"/>
              <w:pageBreakBefore w:val="0"/>
              <w:kinsoku/>
              <w:wordWrap/>
              <w:overflowPunct/>
              <w:topLinePunct w:val="0"/>
              <w:autoSpaceDE/>
              <w:autoSpaceDN/>
              <w:bidi w:val="0"/>
              <w:spacing w:line="300" w:lineRule="exact"/>
              <w:ind w:firstLine="42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（7）价格分计算公式：某供应商价格分=基准价/某供应商评标报价金额×</w:t>
            </w:r>
            <w:r>
              <w:rPr>
                <w:rFonts w:hint="eastAsia" w:ascii="宋体" w:hAnsi="宋体" w:eastAsia="宋体" w:cs="宋体"/>
                <w:bCs/>
                <w:color w:val="auto"/>
                <w:kern w:val="0"/>
                <w:sz w:val="21"/>
                <w:szCs w:val="21"/>
                <w:lang w:val="en-US" w:eastAsia="zh-CN"/>
              </w:rPr>
              <w:t>20</w:t>
            </w:r>
            <w:r>
              <w:rPr>
                <w:rFonts w:hint="eastAsia" w:ascii="宋体" w:hAnsi="宋体" w:eastAsia="宋体" w:cs="宋体"/>
                <w:bCs/>
                <w:color w:val="auto"/>
                <w:kern w:val="0"/>
                <w:sz w:val="21"/>
                <w:szCs w:val="21"/>
              </w:rPr>
              <w:t>分。</w:t>
            </w:r>
          </w:p>
        </w:tc>
      </w:tr>
      <w:tr w14:paraId="4B13F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30" w:type="dxa"/>
            <w:noWrap w:val="0"/>
            <w:vAlign w:val="center"/>
          </w:tcPr>
          <w:p w14:paraId="7F772194">
            <w:pPr>
              <w:keepNext w:val="0"/>
              <w:keepLines w:val="0"/>
              <w:pageBreakBefore w:val="0"/>
              <w:widowControl/>
              <w:kinsoku/>
              <w:wordWrap/>
              <w:overflowPunct/>
              <w:topLinePunct w:val="0"/>
              <w:autoSpaceDE/>
              <w:autoSpaceDN/>
              <w:bidi w:val="0"/>
              <w:adjustRightInd w:val="0"/>
              <w:snapToGrid w:val="0"/>
              <w:spacing w:line="300" w:lineRule="exact"/>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2</w:t>
            </w:r>
          </w:p>
        </w:tc>
        <w:tc>
          <w:tcPr>
            <w:tcW w:w="2637" w:type="dxa"/>
            <w:noWrap w:val="0"/>
            <w:vAlign w:val="center"/>
          </w:tcPr>
          <w:p w14:paraId="39B0155F">
            <w:pPr>
              <w:keepNext w:val="0"/>
              <w:keepLines w:val="0"/>
              <w:pageBreakBefore w:val="0"/>
              <w:widowControl/>
              <w:suppressLineNumbers w:val="0"/>
              <w:kinsoku/>
              <w:wordWrap/>
              <w:overflowPunct/>
              <w:topLinePunct w:val="0"/>
              <w:autoSpaceDE/>
              <w:autoSpaceDN/>
              <w:bidi w:val="0"/>
              <w:spacing w:line="300" w:lineRule="exact"/>
              <w:jc w:val="left"/>
              <w:rPr>
                <w:rFonts w:hint="eastAsia" w:ascii="宋体" w:hAnsi="宋体" w:eastAsia="宋体" w:cs="宋体"/>
                <w:b/>
                <w:color w:val="auto"/>
                <w:sz w:val="21"/>
                <w:szCs w:val="21"/>
              </w:rPr>
            </w:pPr>
            <w:r>
              <w:rPr>
                <w:rFonts w:hint="eastAsia" w:ascii="宋体" w:hAnsi="宋体" w:eastAsia="宋体" w:cs="宋体"/>
                <w:b/>
                <w:color w:val="auto"/>
                <w:sz w:val="21"/>
                <w:szCs w:val="21"/>
              </w:rPr>
              <w:t>需求响应程度分（满分</w:t>
            </w:r>
            <w:r>
              <w:rPr>
                <w:rFonts w:hint="eastAsia" w:ascii="宋体" w:hAnsi="宋体" w:eastAsia="宋体" w:cs="宋体"/>
                <w:b/>
                <w:color w:val="auto"/>
                <w:sz w:val="21"/>
                <w:szCs w:val="21"/>
                <w:lang w:val="en-US" w:eastAsia="zh-CN"/>
              </w:rPr>
              <w:t>1</w:t>
            </w:r>
            <w:r>
              <w:rPr>
                <w:rFonts w:hint="eastAsia" w:ascii="宋体" w:hAnsi="宋体" w:cs="宋体"/>
                <w:b/>
                <w:color w:val="auto"/>
                <w:sz w:val="21"/>
                <w:szCs w:val="21"/>
                <w:lang w:val="en-US" w:eastAsia="zh-CN"/>
              </w:rPr>
              <w:t>5</w:t>
            </w:r>
            <w:r>
              <w:rPr>
                <w:rFonts w:hint="eastAsia" w:ascii="宋体" w:hAnsi="宋体" w:eastAsia="宋体" w:cs="宋体"/>
                <w:b/>
                <w:color w:val="auto"/>
                <w:sz w:val="21"/>
                <w:szCs w:val="21"/>
              </w:rPr>
              <w:t>分）</w:t>
            </w:r>
          </w:p>
        </w:tc>
        <w:tc>
          <w:tcPr>
            <w:tcW w:w="6368" w:type="dxa"/>
            <w:noWrap w:val="0"/>
            <w:vAlign w:val="top"/>
          </w:tcPr>
          <w:p w14:paraId="0379E5B7">
            <w:pPr>
              <w:keepNext w:val="0"/>
              <w:keepLines w:val="0"/>
              <w:pageBreakBefore w:val="0"/>
              <w:kinsoku/>
              <w:wordWrap/>
              <w:overflowPunct/>
              <w:topLinePunct w:val="0"/>
              <w:autoSpaceDE/>
              <w:autoSpaceDN/>
              <w:bidi w:val="0"/>
              <w:spacing w:line="30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根据供应商对采购需求中</w:t>
            </w:r>
            <w:r>
              <w:rPr>
                <w:rFonts w:hint="eastAsia" w:ascii="宋体" w:hAnsi="宋体" w:eastAsia="宋体" w:cs="宋体"/>
                <w:color w:val="auto"/>
                <w:sz w:val="21"/>
                <w:szCs w:val="21"/>
                <w:highlight w:val="none"/>
              </w:rPr>
              <w:t>项目需要及技术需求</w:t>
            </w:r>
            <w:r>
              <w:rPr>
                <w:rFonts w:hint="eastAsia" w:ascii="宋体" w:hAnsi="宋体" w:eastAsia="宋体" w:cs="宋体"/>
                <w:color w:val="auto"/>
                <w:sz w:val="21"/>
                <w:szCs w:val="21"/>
                <w:highlight w:val="none"/>
                <w:lang w:eastAsia="zh-CN"/>
              </w:rPr>
              <w:t>第</w:t>
            </w:r>
            <w:r>
              <w:rPr>
                <w:rFonts w:hint="eastAsia" w:ascii="宋体" w:hAnsi="宋体" w:eastAsia="宋体" w:cs="宋体"/>
                <w:sz w:val="21"/>
                <w:szCs w:val="21"/>
              </w:rPr>
              <w:t>（二）</w:t>
            </w:r>
            <w:r>
              <w:rPr>
                <w:rFonts w:hint="eastAsia" w:ascii="宋体" w:hAnsi="宋体" w:eastAsia="宋体" w:cs="宋体"/>
                <w:bCs/>
                <w:color w:val="auto"/>
                <w:kern w:val="0"/>
                <w:sz w:val="21"/>
                <w:szCs w:val="21"/>
              </w:rPr>
              <w:t>内容需求不带★条款的响应程度进行评审，共47项，全部满足（或优于）得1</w:t>
            </w:r>
            <w:r>
              <w:rPr>
                <w:rFonts w:hint="eastAsia" w:ascii="宋体" w:hAnsi="宋体" w:cs="宋体"/>
                <w:bCs/>
                <w:color w:val="auto"/>
                <w:kern w:val="0"/>
                <w:sz w:val="21"/>
                <w:szCs w:val="21"/>
                <w:lang w:val="en-US" w:eastAsia="zh-CN"/>
              </w:rPr>
              <w:t>5</w:t>
            </w:r>
            <w:r>
              <w:rPr>
                <w:rFonts w:hint="eastAsia" w:ascii="宋体" w:hAnsi="宋体" w:eastAsia="宋体" w:cs="宋体"/>
                <w:bCs/>
                <w:color w:val="auto"/>
                <w:kern w:val="0"/>
                <w:sz w:val="21"/>
                <w:szCs w:val="21"/>
              </w:rPr>
              <w:t>分。其中</w:t>
            </w:r>
            <w:r>
              <w:rPr>
                <w:rFonts w:hint="eastAsia" w:ascii="宋体" w:hAnsi="宋体" w:eastAsia="宋体" w:cs="宋体"/>
                <w:bCs/>
                <w:color w:val="auto"/>
                <w:kern w:val="0"/>
                <w:sz w:val="21"/>
                <w:szCs w:val="21"/>
                <w:lang w:val="en-US" w:eastAsia="zh-CN"/>
              </w:rPr>
              <w:t>1、</w:t>
            </w:r>
            <w:r>
              <w:rPr>
                <w:rFonts w:hint="eastAsia" w:ascii="宋体" w:hAnsi="宋体" w:eastAsia="宋体" w:cs="宋体"/>
                <w:bCs/>
                <w:color w:val="auto"/>
                <w:kern w:val="0"/>
                <w:sz w:val="21"/>
                <w:szCs w:val="21"/>
              </w:rPr>
              <w:t>▲条款（共6项）每满足（或</w:t>
            </w:r>
            <w:r>
              <w:rPr>
                <w:rFonts w:hint="eastAsia" w:ascii="宋体" w:hAnsi="宋体" w:eastAsia="宋体" w:cs="宋体"/>
                <w:bCs/>
                <w:color w:val="auto"/>
                <w:kern w:val="0"/>
                <w:sz w:val="21"/>
                <w:szCs w:val="21"/>
                <w:lang w:val="en-US" w:eastAsia="zh-CN"/>
              </w:rPr>
              <w:t>优于标书要求并被磋商小组认可的</w:t>
            </w:r>
            <w:r>
              <w:rPr>
                <w:rFonts w:hint="eastAsia" w:ascii="宋体" w:hAnsi="宋体" w:eastAsia="宋体" w:cs="宋体"/>
                <w:bCs/>
                <w:color w:val="auto"/>
                <w:kern w:val="0"/>
                <w:sz w:val="21"/>
                <w:szCs w:val="21"/>
              </w:rPr>
              <w:t>）</w:t>
            </w:r>
            <w:r>
              <w:rPr>
                <w:rFonts w:hint="eastAsia" w:ascii="宋体" w:hAnsi="宋体" w:eastAsia="宋体" w:cs="宋体"/>
                <w:bCs/>
                <w:color w:val="auto"/>
                <w:kern w:val="0"/>
                <w:sz w:val="21"/>
                <w:szCs w:val="21"/>
                <w:lang w:val="en-US" w:eastAsia="zh-CN"/>
              </w:rPr>
              <w:t>1项3分，共9分。</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注：▲条款需提供证明材料，无法提供不得分</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w:t>
            </w:r>
            <w:r>
              <w:rPr>
                <w:rFonts w:hint="eastAsia" w:ascii="宋体" w:hAnsi="宋体" w:eastAsia="宋体" w:cs="宋体"/>
                <w:bCs/>
                <w:color w:val="auto"/>
                <w:kern w:val="0"/>
                <w:sz w:val="21"/>
                <w:szCs w:val="21"/>
                <w:lang w:val="en-US" w:eastAsia="zh-CN"/>
              </w:rPr>
              <w:t>2、</w:t>
            </w:r>
            <w:r>
              <w:rPr>
                <w:rFonts w:hint="eastAsia" w:ascii="宋体" w:hAnsi="宋体" w:eastAsia="宋体" w:cs="宋体"/>
                <w:bCs/>
                <w:color w:val="auto"/>
                <w:kern w:val="0"/>
                <w:sz w:val="21"/>
                <w:szCs w:val="21"/>
              </w:rPr>
              <w:t>非</w:t>
            </w:r>
            <w:bookmarkStart w:id="74" w:name="OLE_LINK1"/>
            <w:r>
              <w:rPr>
                <w:rFonts w:hint="eastAsia" w:ascii="宋体" w:hAnsi="宋体" w:eastAsia="宋体" w:cs="宋体"/>
                <w:bCs/>
                <w:color w:val="auto"/>
                <w:kern w:val="0"/>
                <w:sz w:val="21"/>
                <w:szCs w:val="21"/>
              </w:rPr>
              <w:t>▲条款</w:t>
            </w:r>
            <w:bookmarkEnd w:id="74"/>
            <w:r>
              <w:rPr>
                <w:rFonts w:hint="eastAsia" w:ascii="宋体" w:hAnsi="宋体" w:eastAsia="宋体" w:cs="宋体"/>
                <w:bCs/>
                <w:color w:val="auto"/>
                <w:kern w:val="0"/>
                <w:sz w:val="21"/>
                <w:szCs w:val="21"/>
              </w:rPr>
              <w:t xml:space="preserve">（共41项）,全部满足（或优于）得6分，每少一项减0.5分，扣完为止。 </w:t>
            </w:r>
          </w:p>
          <w:p w14:paraId="48F4DF44">
            <w:pPr>
              <w:keepNext w:val="0"/>
              <w:keepLines w:val="0"/>
              <w:pageBreakBefore w:val="0"/>
              <w:kinsoku/>
              <w:wordWrap/>
              <w:overflowPunct/>
              <w:topLinePunct w:val="0"/>
              <w:autoSpaceDE/>
              <w:autoSpaceDN/>
              <w:bidi w:val="0"/>
              <w:spacing w:line="30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注：以《</w:t>
            </w:r>
            <w:r>
              <w:rPr>
                <w:rFonts w:hint="eastAsia" w:ascii="宋体" w:hAnsi="宋体" w:cs="宋体"/>
                <w:color w:val="auto"/>
                <w:szCs w:val="21"/>
                <w:highlight w:val="none"/>
              </w:rPr>
              <w:t>技术要求偏离表</w:t>
            </w:r>
            <w:r>
              <w:rPr>
                <w:rFonts w:hint="eastAsia" w:ascii="宋体" w:hAnsi="宋体" w:eastAsia="宋体" w:cs="宋体"/>
                <w:bCs/>
                <w:color w:val="auto"/>
                <w:kern w:val="0"/>
                <w:sz w:val="21"/>
                <w:szCs w:val="21"/>
              </w:rPr>
              <w:t>》响应情况做为评审依据，要求提供相关材料的，须提供材料。</w:t>
            </w:r>
          </w:p>
        </w:tc>
      </w:tr>
      <w:tr w14:paraId="50AD8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30" w:type="dxa"/>
            <w:noWrap w:val="0"/>
            <w:vAlign w:val="center"/>
          </w:tcPr>
          <w:p w14:paraId="6DDE0614">
            <w:pPr>
              <w:keepNext w:val="0"/>
              <w:keepLines w:val="0"/>
              <w:pageBreakBefore w:val="0"/>
              <w:widowControl/>
              <w:kinsoku/>
              <w:wordWrap/>
              <w:overflowPunct/>
              <w:topLinePunct w:val="0"/>
              <w:autoSpaceDE/>
              <w:autoSpaceDN/>
              <w:bidi w:val="0"/>
              <w:adjustRightInd w:val="0"/>
              <w:snapToGrid w:val="0"/>
              <w:spacing w:line="300" w:lineRule="exact"/>
              <w:jc w:val="center"/>
              <w:rPr>
                <w:rFonts w:hint="default"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3</w:t>
            </w:r>
          </w:p>
        </w:tc>
        <w:tc>
          <w:tcPr>
            <w:tcW w:w="2637" w:type="dxa"/>
            <w:noWrap w:val="0"/>
            <w:vAlign w:val="center"/>
          </w:tcPr>
          <w:p w14:paraId="469A4C65">
            <w:pPr>
              <w:keepNext w:val="0"/>
              <w:keepLines w:val="0"/>
              <w:pageBreakBefore w:val="0"/>
              <w:widowControl/>
              <w:suppressLineNumbers w:val="0"/>
              <w:kinsoku/>
              <w:wordWrap/>
              <w:overflowPunct/>
              <w:topLinePunct w:val="0"/>
              <w:autoSpaceDE/>
              <w:autoSpaceDN/>
              <w:bidi w:val="0"/>
              <w:spacing w:line="300" w:lineRule="exact"/>
              <w:jc w:val="left"/>
              <w:rPr>
                <w:rFonts w:hint="eastAsia" w:ascii="宋体" w:hAnsi="宋体" w:eastAsia="宋体" w:cs="宋体"/>
                <w:b/>
                <w:color w:val="auto"/>
                <w:sz w:val="21"/>
                <w:szCs w:val="21"/>
              </w:rPr>
            </w:pPr>
            <w:r>
              <w:rPr>
                <w:rFonts w:hint="eastAsia" w:ascii="宋体" w:hAnsi="宋体" w:eastAsia="宋体" w:cs="宋体"/>
                <w:b/>
                <w:color w:val="auto"/>
                <w:sz w:val="21"/>
                <w:szCs w:val="21"/>
              </w:rPr>
              <w:t>服务方案分（满分</w:t>
            </w:r>
            <w:r>
              <w:rPr>
                <w:rFonts w:hint="eastAsia" w:ascii="宋体" w:hAnsi="宋体" w:cs="宋体"/>
                <w:b/>
                <w:color w:val="auto"/>
                <w:sz w:val="21"/>
                <w:szCs w:val="21"/>
                <w:lang w:val="en-US" w:eastAsia="zh-CN"/>
              </w:rPr>
              <w:t>12</w:t>
            </w:r>
            <w:r>
              <w:rPr>
                <w:rFonts w:hint="eastAsia" w:ascii="宋体" w:hAnsi="宋体" w:eastAsia="宋体" w:cs="宋体"/>
                <w:b/>
                <w:color w:val="auto"/>
                <w:sz w:val="21"/>
                <w:szCs w:val="21"/>
              </w:rPr>
              <w:t>分）</w:t>
            </w:r>
          </w:p>
        </w:tc>
        <w:tc>
          <w:tcPr>
            <w:tcW w:w="6368" w:type="dxa"/>
            <w:noWrap w:val="0"/>
            <w:vAlign w:val="top"/>
          </w:tcPr>
          <w:p w14:paraId="5500E562">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eastAsia="宋体" w:cs="宋体"/>
                <w:spacing w:val="12"/>
                <w:sz w:val="21"/>
                <w:szCs w:val="21"/>
              </w:rPr>
            </w:pPr>
            <w:r>
              <w:rPr>
                <w:rFonts w:hint="eastAsia" w:ascii="宋体" w:hAnsi="宋体" w:eastAsia="宋体" w:cs="宋体"/>
                <w:spacing w:val="12"/>
                <w:sz w:val="21"/>
                <w:szCs w:val="21"/>
                <w:lang w:val="en-US" w:eastAsia="zh-CN"/>
              </w:rPr>
              <w:t>一</w:t>
            </w:r>
            <w:r>
              <w:rPr>
                <w:rFonts w:hint="eastAsia" w:ascii="宋体" w:hAnsi="宋体" w:eastAsia="宋体" w:cs="宋体"/>
                <w:spacing w:val="12"/>
                <w:sz w:val="21"/>
                <w:szCs w:val="21"/>
              </w:rPr>
              <w:t>档（</w:t>
            </w:r>
            <w:r>
              <w:rPr>
                <w:rFonts w:hint="eastAsia" w:ascii="宋体" w:hAnsi="宋体" w:cs="宋体"/>
                <w:spacing w:val="12"/>
                <w:sz w:val="21"/>
                <w:szCs w:val="21"/>
                <w:lang w:val="en-US" w:eastAsia="zh-CN"/>
              </w:rPr>
              <w:t>3</w:t>
            </w:r>
            <w:r>
              <w:rPr>
                <w:rFonts w:hint="eastAsia" w:ascii="宋体" w:hAnsi="宋体" w:eastAsia="宋体" w:cs="宋体"/>
                <w:spacing w:val="12"/>
                <w:sz w:val="21"/>
                <w:szCs w:val="21"/>
              </w:rPr>
              <w:t>分）：项目</w:t>
            </w:r>
            <w:r>
              <w:rPr>
                <w:rFonts w:hint="eastAsia" w:ascii="宋体" w:hAnsi="宋体" w:eastAsia="宋体" w:cs="宋体"/>
                <w:spacing w:val="12"/>
                <w:sz w:val="21"/>
                <w:szCs w:val="21"/>
                <w:lang w:eastAsia="zh-CN"/>
              </w:rPr>
              <w:t>服务</w:t>
            </w:r>
            <w:r>
              <w:rPr>
                <w:rFonts w:hint="eastAsia" w:ascii="宋体" w:hAnsi="宋体" w:eastAsia="宋体" w:cs="宋体"/>
                <w:spacing w:val="12"/>
                <w:sz w:val="21"/>
                <w:szCs w:val="21"/>
              </w:rPr>
              <w:t>方案包括：读物设计、制作标准、资源更新规划、极端情况服务经验等内容的其中一项或几项，内容不完全；</w:t>
            </w:r>
          </w:p>
          <w:p w14:paraId="7F8029A4">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eastAsia="宋体" w:cs="宋体"/>
                <w:spacing w:val="12"/>
                <w:sz w:val="21"/>
                <w:szCs w:val="21"/>
              </w:rPr>
            </w:pPr>
            <w:r>
              <w:rPr>
                <w:rFonts w:hint="eastAsia" w:ascii="宋体" w:hAnsi="宋体" w:eastAsia="宋体" w:cs="宋体"/>
                <w:spacing w:val="12"/>
                <w:sz w:val="21"/>
                <w:szCs w:val="21"/>
              </w:rPr>
              <w:t>二档（</w:t>
            </w:r>
            <w:r>
              <w:rPr>
                <w:rFonts w:hint="eastAsia" w:ascii="宋体" w:hAnsi="宋体" w:eastAsia="宋体" w:cs="宋体"/>
                <w:spacing w:val="12"/>
                <w:sz w:val="21"/>
                <w:szCs w:val="21"/>
                <w:lang w:val="en-US" w:eastAsia="zh-CN"/>
              </w:rPr>
              <w:t>6</w:t>
            </w:r>
            <w:r>
              <w:rPr>
                <w:rFonts w:hint="eastAsia" w:ascii="宋体" w:hAnsi="宋体" w:eastAsia="宋体" w:cs="宋体"/>
                <w:spacing w:val="12"/>
                <w:sz w:val="21"/>
                <w:szCs w:val="21"/>
              </w:rPr>
              <w:t>分）：项目</w:t>
            </w:r>
            <w:r>
              <w:rPr>
                <w:rFonts w:hint="eastAsia" w:ascii="宋体" w:hAnsi="宋体" w:eastAsia="宋体" w:cs="宋体"/>
                <w:spacing w:val="12"/>
                <w:sz w:val="21"/>
                <w:szCs w:val="21"/>
                <w:lang w:eastAsia="zh-CN"/>
              </w:rPr>
              <w:t>服务</w:t>
            </w:r>
            <w:r>
              <w:rPr>
                <w:rFonts w:hint="eastAsia" w:ascii="宋体" w:hAnsi="宋体" w:eastAsia="宋体" w:cs="宋体"/>
                <w:spacing w:val="12"/>
                <w:sz w:val="21"/>
                <w:szCs w:val="21"/>
              </w:rPr>
              <w:t>方案包括：读物设计、制作标准、资源更新规划、极端情况服务经验等内容，但内容简单，部分内容未结合项目实际需求，仅能满足采购需求；</w:t>
            </w:r>
          </w:p>
          <w:p w14:paraId="6E2A3500">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eastAsia="宋体" w:cs="宋体"/>
                <w:spacing w:val="12"/>
                <w:sz w:val="21"/>
                <w:szCs w:val="21"/>
              </w:rPr>
            </w:pPr>
            <w:r>
              <w:rPr>
                <w:rFonts w:hint="eastAsia" w:ascii="宋体" w:hAnsi="宋体" w:eastAsia="宋体" w:cs="宋体"/>
                <w:spacing w:val="12"/>
                <w:sz w:val="21"/>
                <w:szCs w:val="21"/>
              </w:rPr>
              <w:t>三档（</w:t>
            </w:r>
            <w:r>
              <w:rPr>
                <w:rFonts w:hint="eastAsia" w:ascii="宋体" w:hAnsi="宋体" w:eastAsia="宋体" w:cs="宋体"/>
                <w:spacing w:val="12"/>
                <w:sz w:val="21"/>
                <w:szCs w:val="21"/>
                <w:lang w:val="en-US" w:eastAsia="zh-CN"/>
              </w:rPr>
              <w:t>9</w:t>
            </w:r>
            <w:r>
              <w:rPr>
                <w:rFonts w:hint="eastAsia" w:ascii="宋体" w:hAnsi="宋体" w:eastAsia="宋体" w:cs="宋体"/>
                <w:spacing w:val="12"/>
                <w:sz w:val="21"/>
                <w:szCs w:val="21"/>
              </w:rPr>
              <w:t>分）：项目实施方案包括：人员组织、工作内容、技术培训、读物设计、制作标准、资源更新规划、极端情况服务经验方面内容等，实施方案具有可操作性、合理明了，具有较强的可行性，完全满足采购需求；</w:t>
            </w:r>
          </w:p>
          <w:p w14:paraId="72AA8A97">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eastAsia="宋体" w:cs="宋体"/>
                <w:bCs/>
                <w:color w:val="FF0000"/>
                <w:kern w:val="0"/>
                <w:sz w:val="21"/>
                <w:szCs w:val="21"/>
              </w:rPr>
            </w:pPr>
            <w:r>
              <w:rPr>
                <w:rFonts w:hint="eastAsia" w:ascii="宋体" w:hAnsi="宋体" w:eastAsia="宋体" w:cs="宋体"/>
                <w:spacing w:val="12"/>
                <w:sz w:val="21"/>
                <w:szCs w:val="21"/>
              </w:rPr>
              <w:t>四档（</w:t>
            </w:r>
            <w:r>
              <w:rPr>
                <w:rFonts w:hint="eastAsia" w:ascii="宋体" w:hAnsi="宋体" w:eastAsia="宋体" w:cs="宋体"/>
                <w:spacing w:val="12"/>
                <w:sz w:val="21"/>
                <w:szCs w:val="21"/>
                <w:lang w:val="en-US" w:eastAsia="zh-CN"/>
              </w:rPr>
              <w:t>12</w:t>
            </w:r>
            <w:r>
              <w:rPr>
                <w:rFonts w:hint="eastAsia" w:ascii="宋体" w:hAnsi="宋体" w:eastAsia="宋体" w:cs="宋体"/>
                <w:spacing w:val="12"/>
                <w:sz w:val="21"/>
                <w:szCs w:val="21"/>
              </w:rPr>
              <w:t>分）：项目实施方案包括：人员组织、工作内容、技术培训、读物设计、制作标准、资源更新规划、极端情况服务经验、项目验收方面科学性、完整性、可操作性、合理性针对性强，针对本项目的具体情况，提出了具体的可行性</w:t>
            </w:r>
            <w:r>
              <w:rPr>
                <w:rFonts w:hint="eastAsia" w:ascii="宋体" w:hAnsi="宋体" w:eastAsia="宋体" w:cs="宋体"/>
                <w:spacing w:val="12"/>
                <w:sz w:val="21"/>
                <w:szCs w:val="21"/>
                <w:lang w:eastAsia="zh-CN"/>
              </w:rPr>
              <w:t>服务</w:t>
            </w:r>
            <w:r>
              <w:rPr>
                <w:rFonts w:hint="eastAsia" w:ascii="宋体" w:hAnsi="宋体" w:eastAsia="宋体" w:cs="宋体"/>
                <w:spacing w:val="12"/>
                <w:sz w:val="21"/>
                <w:szCs w:val="21"/>
              </w:rPr>
              <w:t>方案，且方案部分内容优于采购需求。</w:t>
            </w:r>
          </w:p>
        </w:tc>
      </w:tr>
      <w:tr w14:paraId="29477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30" w:type="dxa"/>
            <w:noWrap w:val="0"/>
            <w:vAlign w:val="center"/>
          </w:tcPr>
          <w:p w14:paraId="2EC1CD8B">
            <w:pPr>
              <w:keepNext w:val="0"/>
              <w:keepLines w:val="0"/>
              <w:pageBreakBefore w:val="0"/>
              <w:widowControl/>
              <w:kinsoku/>
              <w:wordWrap/>
              <w:overflowPunct/>
              <w:topLinePunct w:val="0"/>
              <w:autoSpaceDE/>
              <w:autoSpaceDN/>
              <w:bidi w:val="0"/>
              <w:adjustRightInd w:val="0"/>
              <w:snapToGrid w:val="0"/>
              <w:spacing w:line="300" w:lineRule="exact"/>
              <w:jc w:val="center"/>
              <w:rPr>
                <w:rFonts w:hint="default"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4</w:t>
            </w:r>
          </w:p>
        </w:tc>
        <w:tc>
          <w:tcPr>
            <w:tcW w:w="2637" w:type="dxa"/>
            <w:noWrap w:val="0"/>
            <w:vAlign w:val="center"/>
          </w:tcPr>
          <w:p w14:paraId="3A8176F1">
            <w:pPr>
              <w:keepNext w:val="0"/>
              <w:keepLines w:val="0"/>
              <w:pageBreakBefore w:val="0"/>
              <w:widowControl/>
              <w:suppressLineNumbers w:val="0"/>
              <w:kinsoku/>
              <w:wordWrap/>
              <w:overflowPunct/>
              <w:topLinePunct w:val="0"/>
              <w:autoSpaceDE/>
              <w:autoSpaceDN/>
              <w:bidi w:val="0"/>
              <w:spacing w:line="300" w:lineRule="exact"/>
              <w:jc w:val="left"/>
              <w:rPr>
                <w:rFonts w:hint="eastAsia" w:ascii="宋体" w:hAnsi="宋体" w:eastAsia="宋体" w:cs="宋体"/>
                <w:b/>
                <w:color w:val="auto"/>
                <w:sz w:val="21"/>
                <w:szCs w:val="21"/>
              </w:rPr>
            </w:pPr>
            <w:r>
              <w:rPr>
                <w:rFonts w:hint="eastAsia" w:ascii="宋体" w:hAnsi="宋体" w:eastAsia="宋体" w:cs="宋体"/>
                <w:b/>
                <w:color w:val="auto"/>
                <w:sz w:val="21"/>
                <w:szCs w:val="21"/>
              </w:rPr>
              <w:t>保障方案分（满分</w:t>
            </w:r>
            <w:r>
              <w:rPr>
                <w:rFonts w:hint="eastAsia" w:ascii="宋体" w:hAnsi="宋体" w:cs="宋体"/>
                <w:b/>
                <w:color w:val="auto"/>
                <w:sz w:val="21"/>
                <w:szCs w:val="21"/>
                <w:lang w:val="en-US" w:eastAsia="zh-CN"/>
              </w:rPr>
              <w:t>10</w:t>
            </w:r>
            <w:r>
              <w:rPr>
                <w:rFonts w:hint="eastAsia" w:ascii="宋体" w:hAnsi="宋体" w:eastAsia="宋体" w:cs="宋体"/>
                <w:b/>
                <w:color w:val="auto"/>
                <w:sz w:val="21"/>
                <w:szCs w:val="21"/>
              </w:rPr>
              <w:t>分）</w:t>
            </w:r>
          </w:p>
        </w:tc>
        <w:tc>
          <w:tcPr>
            <w:tcW w:w="6368" w:type="dxa"/>
            <w:noWrap w:val="0"/>
            <w:vAlign w:val="top"/>
          </w:tcPr>
          <w:p w14:paraId="1ACCC47F">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eastAsia="宋体" w:cs="宋体"/>
                <w:spacing w:val="12"/>
                <w:sz w:val="21"/>
                <w:szCs w:val="21"/>
              </w:rPr>
            </w:pPr>
            <w:r>
              <w:rPr>
                <w:rFonts w:hint="eastAsia" w:ascii="宋体" w:hAnsi="宋体" w:eastAsia="宋体" w:cs="宋体"/>
                <w:spacing w:val="12"/>
                <w:sz w:val="21"/>
                <w:szCs w:val="21"/>
                <w:lang w:val="en-US" w:eastAsia="zh-CN"/>
              </w:rPr>
              <w:t>一</w:t>
            </w:r>
            <w:r>
              <w:rPr>
                <w:rFonts w:hint="eastAsia" w:ascii="宋体" w:hAnsi="宋体" w:eastAsia="宋体" w:cs="宋体"/>
                <w:spacing w:val="12"/>
                <w:sz w:val="21"/>
                <w:szCs w:val="21"/>
              </w:rPr>
              <w:t>档（</w:t>
            </w:r>
            <w:r>
              <w:rPr>
                <w:rFonts w:hint="eastAsia" w:ascii="宋体" w:hAnsi="宋体" w:eastAsia="宋体" w:cs="宋体"/>
                <w:spacing w:val="12"/>
                <w:sz w:val="21"/>
                <w:szCs w:val="21"/>
                <w:lang w:val="en-US" w:eastAsia="zh-CN"/>
              </w:rPr>
              <w:t>3</w:t>
            </w:r>
            <w:r>
              <w:rPr>
                <w:rFonts w:hint="eastAsia" w:ascii="宋体" w:hAnsi="宋体" w:eastAsia="宋体" w:cs="宋体"/>
                <w:spacing w:val="12"/>
                <w:sz w:val="21"/>
                <w:szCs w:val="21"/>
              </w:rPr>
              <w:t>分）：项目保障方案包括：</w:t>
            </w:r>
            <w:r>
              <w:rPr>
                <w:rFonts w:hint="default" w:ascii="宋体" w:hAnsi="宋体" w:eastAsia="宋体" w:cs="宋体"/>
                <w:spacing w:val="12"/>
                <w:sz w:val="21"/>
                <w:szCs w:val="21"/>
                <w:lang w:val="en-US" w:eastAsia="zh-CN"/>
              </w:rPr>
              <w:t>组织架构设计</w:t>
            </w:r>
            <w:r>
              <w:rPr>
                <w:rFonts w:hint="eastAsia" w:ascii="宋体" w:hAnsi="宋体" w:eastAsia="宋体" w:cs="宋体"/>
                <w:spacing w:val="12"/>
                <w:sz w:val="21"/>
                <w:szCs w:val="21"/>
                <w:lang w:val="en-US" w:eastAsia="zh-CN"/>
              </w:rPr>
              <w:t>、制度体系建设、管理方案、</w:t>
            </w:r>
            <w:r>
              <w:rPr>
                <w:rFonts w:hint="default" w:ascii="宋体" w:hAnsi="宋体" w:eastAsia="宋体" w:cs="宋体"/>
                <w:spacing w:val="12"/>
                <w:sz w:val="21"/>
                <w:szCs w:val="21"/>
                <w:lang w:val="en-US" w:eastAsia="zh-CN"/>
              </w:rPr>
              <w:t>数据安全保障</w:t>
            </w:r>
            <w:r>
              <w:rPr>
                <w:rFonts w:hint="eastAsia" w:ascii="宋体" w:hAnsi="宋体" w:eastAsia="宋体" w:cs="宋体"/>
                <w:spacing w:val="12"/>
                <w:sz w:val="21"/>
                <w:szCs w:val="21"/>
              </w:rPr>
              <w:t>等内容</w:t>
            </w:r>
            <w:r>
              <w:rPr>
                <w:rFonts w:hint="eastAsia" w:ascii="宋体" w:hAnsi="宋体" w:eastAsia="宋体" w:cs="宋体"/>
                <w:spacing w:val="12"/>
                <w:sz w:val="21"/>
                <w:szCs w:val="21"/>
                <w:lang w:eastAsia="zh-CN"/>
              </w:rPr>
              <w:t>，</w:t>
            </w:r>
            <w:r>
              <w:rPr>
                <w:rFonts w:hint="eastAsia" w:ascii="宋体" w:hAnsi="宋体" w:eastAsia="宋体" w:cs="宋体"/>
                <w:spacing w:val="12"/>
                <w:sz w:val="21"/>
                <w:szCs w:val="21"/>
              </w:rPr>
              <w:t>保障方案较简单，实操性不强；</w:t>
            </w:r>
          </w:p>
          <w:p w14:paraId="01C5F5E7">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eastAsia="宋体" w:cs="宋体"/>
                <w:spacing w:val="12"/>
                <w:sz w:val="21"/>
                <w:szCs w:val="21"/>
                <w:lang w:eastAsia="zh-CN"/>
              </w:rPr>
            </w:pPr>
            <w:r>
              <w:rPr>
                <w:rFonts w:hint="eastAsia" w:ascii="宋体" w:hAnsi="宋体" w:eastAsia="宋体" w:cs="宋体"/>
                <w:spacing w:val="12"/>
                <w:sz w:val="21"/>
                <w:szCs w:val="21"/>
              </w:rPr>
              <w:t>二档（</w:t>
            </w:r>
            <w:r>
              <w:rPr>
                <w:rFonts w:hint="eastAsia" w:ascii="宋体" w:hAnsi="宋体" w:eastAsia="宋体" w:cs="宋体"/>
                <w:spacing w:val="12"/>
                <w:sz w:val="21"/>
                <w:szCs w:val="21"/>
                <w:lang w:val="en-US" w:eastAsia="zh-CN"/>
              </w:rPr>
              <w:t>6</w:t>
            </w:r>
            <w:r>
              <w:rPr>
                <w:rFonts w:hint="eastAsia" w:ascii="宋体" w:hAnsi="宋体" w:eastAsia="宋体" w:cs="宋体"/>
                <w:spacing w:val="12"/>
                <w:sz w:val="21"/>
                <w:szCs w:val="21"/>
              </w:rPr>
              <w:t>分）：项目保障方案包括：</w:t>
            </w:r>
            <w:r>
              <w:rPr>
                <w:rFonts w:hint="default" w:ascii="宋体" w:hAnsi="宋体" w:eastAsia="宋体" w:cs="宋体"/>
                <w:spacing w:val="12"/>
                <w:sz w:val="21"/>
                <w:szCs w:val="21"/>
                <w:lang w:val="en-US" w:eastAsia="zh-CN"/>
              </w:rPr>
              <w:t>组织架构设计</w:t>
            </w:r>
            <w:r>
              <w:rPr>
                <w:rFonts w:hint="eastAsia" w:ascii="宋体" w:hAnsi="宋体" w:eastAsia="宋体" w:cs="宋体"/>
                <w:spacing w:val="12"/>
                <w:sz w:val="21"/>
                <w:szCs w:val="21"/>
                <w:lang w:val="en-US" w:eastAsia="zh-CN"/>
              </w:rPr>
              <w:t>、制度体系建设、管理方案、</w:t>
            </w:r>
            <w:r>
              <w:rPr>
                <w:rFonts w:hint="default" w:ascii="宋体" w:hAnsi="宋体" w:eastAsia="宋体" w:cs="宋体"/>
                <w:spacing w:val="12"/>
                <w:sz w:val="21"/>
                <w:szCs w:val="21"/>
                <w:lang w:val="en-US" w:eastAsia="zh-CN"/>
              </w:rPr>
              <w:t>数据安全保障</w:t>
            </w:r>
            <w:r>
              <w:rPr>
                <w:rFonts w:hint="eastAsia" w:ascii="宋体" w:hAnsi="宋体" w:eastAsia="宋体" w:cs="宋体"/>
                <w:spacing w:val="12"/>
                <w:sz w:val="21"/>
                <w:szCs w:val="21"/>
                <w:lang w:val="en-US" w:eastAsia="zh-CN"/>
              </w:rPr>
              <w:t>、</w:t>
            </w:r>
            <w:r>
              <w:rPr>
                <w:rFonts w:hint="default" w:ascii="宋体" w:hAnsi="宋体" w:eastAsia="宋体" w:cs="宋体"/>
                <w:spacing w:val="12"/>
                <w:sz w:val="21"/>
                <w:szCs w:val="21"/>
                <w:lang w:val="en-US" w:eastAsia="zh-CN"/>
              </w:rPr>
              <w:t>技术兼容性保障</w:t>
            </w:r>
            <w:r>
              <w:rPr>
                <w:rFonts w:hint="eastAsia" w:ascii="宋体" w:hAnsi="宋体" w:eastAsia="宋体" w:cs="宋体"/>
                <w:spacing w:val="12"/>
                <w:sz w:val="21"/>
                <w:szCs w:val="21"/>
                <w:lang w:val="en-US" w:eastAsia="zh-CN"/>
              </w:rPr>
              <w:t>、</w:t>
            </w:r>
            <w:r>
              <w:rPr>
                <w:rFonts w:hint="default" w:ascii="宋体" w:hAnsi="宋体" w:eastAsia="宋体" w:cs="宋体"/>
                <w:spacing w:val="12"/>
                <w:sz w:val="21"/>
                <w:szCs w:val="21"/>
                <w:lang w:val="en-US" w:eastAsia="zh-CN"/>
              </w:rPr>
              <w:t>版权保护措施</w:t>
            </w:r>
            <w:r>
              <w:rPr>
                <w:rFonts w:hint="eastAsia" w:ascii="宋体" w:hAnsi="宋体" w:eastAsia="宋体" w:cs="宋体"/>
                <w:spacing w:val="12"/>
                <w:sz w:val="21"/>
                <w:szCs w:val="21"/>
                <w:lang w:val="en-US" w:eastAsia="zh-CN"/>
              </w:rPr>
              <w:t>等</w:t>
            </w:r>
            <w:r>
              <w:rPr>
                <w:rFonts w:hint="eastAsia" w:ascii="宋体" w:hAnsi="宋体" w:eastAsia="宋体" w:cs="宋体"/>
                <w:spacing w:val="12"/>
                <w:sz w:val="21"/>
                <w:szCs w:val="21"/>
              </w:rPr>
              <w:t>内容，保障方案较详细，内容丰富步骤细致，实操性较好</w:t>
            </w:r>
            <w:r>
              <w:rPr>
                <w:rFonts w:hint="eastAsia" w:ascii="宋体" w:hAnsi="宋体" w:eastAsia="宋体" w:cs="宋体"/>
                <w:spacing w:val="12"/>
                <w:sz w:val="21"/>
                <w:szCs w:val="21"/>
                <w:lang w:eastAsia="zh-CN"/>
              </w:rPr>
              <w:t>；</w:t>
            </w:r>
          </w:p>
          <w:p w14:paraId="1E94CB12">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eastAsia="宋体" w:cs="宋体"/>
                <w:bCs/>
                <w:color w:val="FF0000"/>
                <w:kern w:val="0"/>
                <w:sz w:val="21"/>
                <w:szCs w:val="21"/>
              </w:rPr>
            </w:pPr>
            <w:r>
              <w:rPr>
                <w:rFonts w:hint="eastAsia" w:ascii="宋体" w:hAnsi="宋体" w:eastAsia="宋体" w:cs="宋体"/>
                <w:spacing w:val="12"/>
                <w:sz w:val="21"/>
                <w:szCs w:val="21"/>
              </w:rPr>
              <w:t>三档（</w:t>
            </w:r>
            <w:r>
              <w:rPr>
                <w:rFonts w:hint="eastAsia" w:ascii="宋体" w:hAnsi="宋体" w:eastAsia="宋体" w:cs="宋体"/>
                <w:spacing w:val="12"/>
                <w:sz w:val="21"/>
                <w:szCs w:val="21"/>
                <w:lang w:val="en-US" w:eastAsia="zh-CN"/>
              </w:rPr>
              <w:t>10</w:t>
            </w:r>
            <w:r>
              <w:rPr>
                <w:rFonts w:hint="eastAsia" w:ascii="宋体" w:hAnsi="宋体" w:eastAsia="宋体" w:cs="宋体"/>
                <w:spacing w:val="12"/>
                <w:sz w:val="21"/>
                <w:szCs w:val="21"/>
              </w:rPr>
              <w:t>分）：项目保障方案包括：</w:t>
            </w:r>
            <w:r>
              <w:rPr>
                <w:rFonts w:hint="default" w:ascii="宋体" w:hAnsi="宋体" w:eastAsia="宋体" w:cs="宋体"/>
                <w:spacing w:val="12"/>
                <w:sz w:val="21"/>
                <w:szCs w:val="21"/>
                <w:lang w:val="en-US" w:eastAsia="zh-CN"/>
              </w:rPr>
              <w:t>组织架构设计</w:t>
            </w:r>
            <w:r>
              <w:rPr>
                <w:rFonts w:hint="eastAsia" w:ascii="宋体" w:hAnsi="宋体" w:eastAsia="宋体" w:cs="宋体"/>
                <w:spacing w:val="12"/>
                <w:sz w:val="21"/>
                <w:szCs w:val="21"/>
                <w:lang w:val="en-US" w:eastAsia="zh-CN"/>
              </w:rPr>
              <w:t>、制度体系建设、管理方案、</w:t>
            </w:r>
            <w:r>
              <w:rPr>
                <w:rFonts w:hint="default" w:ascii="宋体" w:hAnsi="宋体" w:eastAsia="宋体" w:cs="宋体"/>
                <w:spacing w:val="12"/>
                <w:sz w:val="21"/>
                <w:szCs w:val="21"/>
                <w:lang w:val="en-US" w:eastAsia="zh-CN"/>
              </w:rPr>
              <w:t>数据安全保障</w:t>
            </w:r>
            <w:r>
              <w:rPr>
                <w:rFonts w:hint="eastAsia" w:ascii="宋体" w:hAnsi="宋体" w:eastAsia="宋体" w:cs="宋体"/>
                <w:spacing w:val="12"/>
                <w:sz w:val="21"/>
                <w:szCs w:val="21"/>
                <w:lang w:val="en-US" w:eastAsia="zh-CN"/>
              </w:rPr>
              <w:t>、</w:t>
            </w:r>
            <w:r>
              <w:rPr>
                <w:rFonts w:hint="default" w:ascii="宋体" w:hAnsi="宋体" w:eastAsia="宋体" w:cs="宋体"/>
                <w:spacing w:val="12"/>
                <w:sz w:val="21"/>
                <w:szCs w:val="21"/>
                <w:lang w:val="en-US" w:eastAsia="zh-CN"/>
              </w:rPr>
              <w:t>技术兼容性保障</w:t>
            </w:r>
            <w:r>
              <w:rPr>
                <w:rFonts w:hint="eastAsia" w:ascii="宋体" w:hAnsi="宋体" w:eastAsia="宋体" w:cs="宋体"/>
                <w:spacing w:val="12"/>
                <w:sz w:val="21"/>
                <w:szCs w:val="21"/>
                <w:lang w:val="en-US" w:eastAsia="zh-CN"/>
              </w:rPr>
              <w:t>、</w:t>
            </w:r>
            <w:r>
              <w:rPr>
                <w:rFonts w:hint="default" w:ascii="宋体" w:hAnsi="宋体" w:eastAsia="宋体" w:cs="宋体"/>
                <w:spacing w:val="12"/>
                <w:sz w:val="21"/>
                <w:szCs w:val="21"/>
                <w:lang w:val="en-US" w:eastAsia="zh-CN"/>
              </w:rPr>
              <w:t>版权保护措施</w:t>
            </w:r>
            <w:r>
              <w:rPr>
                <w:rFonts w:hint="eastAsia" w:ascii="宋体" w:hAnsi="宋体" w:eastAsia="宋体" w:cs="宋体"/>
                <w:spacing w:val="12"/>
                <w:sz w:val="21"/>
                <w:szCs w:val="21"/>
                <w:lang w:val="en-US" w:eastAsia="zh-CN"/>
              </w:rPr>
              <w:t>、</w:t>
            </w:r>
            <w:r>
              <w:rPr>
                <w:rFonts w:hint="eastAsia" w:ascii="宋体" w:hAnsi="宋体" w:eastAsia="宋体" w:cs="宋体"/>
                <w:spacing w:val="12"/>
                <w:sz w:val="21"/>
                <w:szCs w:val="21"/>
              </w:rPr>
              <w:t>统计、维护方案</w:t>
            </w:r>
            <w:r>
              <w:rPr>
                <w:rFonts w:hint="eastAsia" w:ascii="宋体" w:hAnsi="宋体" w:eastAsia="宋体" w:cs="宋体"/>
                <w:spacing w:val="12"/>
                <w:sz w:val="21"/>
                <w:szCs w:val="21"/>
                <w:lang w:val="en-US" w:eastAsia="zh-CN"/>
              </w:rPr>
              <w:t>等</w:t>
            </w:r>
            <w:r>
              <w:rPr>
                <w:rFonts w:hint="eastAsia" w:ascii="宋体" w:hAnsi="宋体" w:eastAsia="宋体" w:cs="宋体"/>
                <w:spacing w:val="12"/>
                <w:sz w:val="21"/>
                <w:szCs w:val="21"/>
              </w:rPr>
              <w:t>内容，针对本项目提出合理、可行的特色保障方案，内容丰富步骤细致，操作方案合理，实操性强。</w:t>
            </w:r>
          </w:p>
        </w:tc>
      </w:tr>
      <w:tr w14:paraId="232C8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30" w:type="dxa"/>
            <w:noWrap w:val="0"/>
            <w:vAlign w:val="center"/>
          </w:tcPr>
          <w:p w14:paraId="0CC1EEBA">
            <w:pPr>
              <w:keepNext w:val="0"/>
              <w:keepLines w:val="0"/>
              <w:pageBreakBefore w:val="0"/>
              <w:widowControl/>
              <w:kinsoku/>
              <w:wordWrap/>
              <w:overflowPunct/>
              <w:topLinePunct w:val="0"/>
              <w:autoSpaceDE/>
              <w:autoSpaceDN/>
              <w:bidi w:val="0"/>
              <w:adjustRightInd w:val="0"/>
              <w:snapToGrid w:val="0"/>
              <w:spacing w:line="300" w:lineRule="exact"/>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5</w:t>
            </w:r>
          </w:p>
        </w:tc>
        <w:tc>
          <w:tcPr>
            <w:tcW w:w="2637" w:type="dxa"/>
            <w:noWrap w:val="0"/>
            <w:vAlign w:val="center"/>
          </w:tcPr>
          <w:p w14:paraId="1C320A6B">
            <w:pPr>
              <w:keepNext w:val="0"/>
              <w:keepLines w:val="0"/>
              <w:pageBreakBefore w:val="0"/>
              <w:widowControl/>
              <w:suppressLineNumbers w:val="0"/>
              <w:kinsoku/>
              <w:wordWrap/>
              <w:overflowPunct/>
              <w:topLinePunct w:val="0"/>
              <w:autoSpaceDE/>
              <w:autoSpaceDN/>
              <w:bidi w:val="0"/>
              <w:spacing w:line="300" w:lineRule="exact"/>
              <w:jc w:val="left"/>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rPr>
              <w:t>图书来源合法授权分（满分</w:t>
            </w:r>
            <w:r>
              <w:rPr>
                <w:rFonts w:hint="eastAsia" w:ascii="宋体" w:hAnsi="宋体" w:eastAsia="宋体" w:cs="宋体"/>
                <w:b/>
                <w:color w:val="auto"/>
                <w:sz w:val="21"/>
                <w:szCs w:val="21"/>
                <w:lang w:val="en-US" w:eastAsia="zh-CN"/>
              </w:rPr>
              <w:t>1</w:t>
            </w:r>
            <w:r>
              <w:rPr>
                <w:rFonts w:hint="eastAsia" w:ascii="宋体" w:hAnsi="宋体" w:cs="宋体"/>
                <w:b/>
                <w:color w:val="auto"/>
                <w:sz w:val="21"/>
                <w:szCs w:val="21"/>
                <w:lang w:val="en-US" w:eastAsia="zh-CN"/>
              </w:rPr>
              <w:t>3</w:t>
            </w:r>
            <w:r>
              <w:rPr>
                <w:rFonts w:hint="eastAsia" w:ascii="宋体" w:hAnsi="宋体" w:eastAsia="宋体" w:cs="宋体"/>
                <w:b/>
                <w:color w:val="auto"/>
                <w:sz w:val="21"/>
                <w:szCs w:val="21"/>
              </w:rPr>
              <w:t>分）</w:t>
            </w:r>
          </w:p>
        </w:tc>
        <w:tc>
          <w:tcPr>
            <w:tcW w:w="6368" w:type="dxa"/>
            <w:noWrap w:val="0"/>
            <w:vAlign w:val="top"/>
          </w:tcPr>
          <w:p w14:paraId="4288838E">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供应商或原厂家的出版社或版权方授权包括但不限于以下13个出版社或版权方授权：商务印书馆、三联书店、后浪出版、上海译文、人民邮电出版社、果麦文化、读客文化、电子工业出版社、机械工业出版社、浙江文艺出版社、北京师范大学出版社、广东花城出版社、二十一世纪出版社。每项得1分，最多得13分。</w:t>
            </w:r>
          </w:p>
          <w:p w14:paraId="10B50EA0">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eastAsia="宋体" w:cs="宋体"/>
                <w:spacing w:val="12"/>
                <w:sz w:val="21"/>
                <w:szCs w:val="21"/>
                <w:lang w:val="en-US" w:eastAsia="zh-CN"/>
              </w:rPr>
            </w:pPr>
            <w:r>
              <w:rPr>
                <w:rFonts w:hint="eastAsia" w:ascii="宋体" w:hAnsi="宋体" w:eastAsia="宋体" w:cs="宋体"/>
                <w:b/>
                <w:bCs/>
                <w:spacing w:val="12"/>
                <w:sz w:val="21"/>
                <w:szCs w:val="21"/>
                <w:lang w:val="en-US" w:eastAsia="zh-CN"/>
              </w:rPr>
              <w:t>注：提供相关授权证明材料，不提供或无法认定不得分。</w:t>
            </w:r>
          </w:p>
        </w:tc>
      </w:tr>
      <w:tr w14:paraId="43833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30" w:type="dxa"/>
            <w:noWrap w:val="0"/>
            <w:vAlign w:val="center"/>
          </w:tcPr>
          <w:p w14:paraId="39CD1343">
            <w:pPr>
              <w:keepNext w:val="0"/>
              <w:keepLines w:val="0"/>
              <w:pageBreakBefore w:val="0"/>
              <w:widowControl/>
              <w:kinsoku/>
              <w:wordWrap/>
              <w:overflowPunct/>
              <w:topLinePunct w:val="0"/>
              <w:autoSpaceDE/>
              <w:autoSpaceDN/>
              <w:bidi w:val="0"/>
              <w:adjustRightInd w:val="0"/>
              <w:snapToGrid w:val="0"/>
              <w:spacing w:line="300" w:lineRule="exact"/>
              <w:jc w:val="center"/>
              <w:rPr>
                <w:rFonts w:hint="eastAsia" w:ascii="宋体" w:hAnsi="宋体" w:eastAsia="宋体" w:cs="宋体"/>
                <w:b/>
                <w:color w:val="auto"/>
                <w:sz w:val="21"/>
                <w:szCs w:val="21"/>
                <w:lang w:eastAsia="zh-CN"/>
              </w:rPr>
            </w:pPr>
            <w:r>
              <w:rPr>
                <w:rFonts w:hint="eastAsia" w:ascii="宋体" w:hAnsi="宋体" w:eastAsia="宋体" w:cs="宋体"/>
                <w:b/>
                <w:bCs/>
                <w:color w:val="auto"/>
                <w:kern w:val="0"/>
                <w:sz w:val="21"/>
                <w:szCs w:val="21"/>
                <w:lang w:val="en-US" w:eastAsia="zh-CN"/>
              </w:rPr>
              <w:t>6</w:t>
            </w:r>
          </w:p>
        </w:tc>
        <w:tc>
          <w:tcPr>
            <w:tcW w:w="2637" w:type="dxa"/>
            <w:noWrap w:val="0"/>
            <w:vAlign w:val="center"/>
          </w:tcPr>
          <w:p w14:paraId="05E3E905">
            <w:pPr>
              <w:keepNext w:val="0"/>
              <w:keepLines w:val="0"/>
              <w:pageBreakBefore w:val="0"/>
              <w:widowControl/>
              <w:suppressLineNumbers w:val="0"/>
              <w:kinsoku/>
              <w:wordWrap/>
              <w:overflowPunct/>
              <w:topLinePunct w:val="0"/>
              <w:autoSpaceDE/>
              <w:autoSpaceDN/>
              <w:bidi w:val="0"/>
              <w:spacing w:line="300" w:lineRule="exact"/>
              <w:jc w:val="left"/>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rPr>
              <w:t>有声图书来源合法授权分（满分</w:t>
            </w:r>
            <w:r>
              <w:rPr>
                <w:rFonts w:hint="eastAsia" w:ascii="宋体" w:hAnsi="宋体" w:eastAsia="宋体" w:cs="宋体"/>
                <w:b/>
                <w:color w:val="auto"/>
                <w:sz w:val="21"/>
                <w:szCs w:val="21"/>
                <w:lang w:val="en-US" w:eastAsia="zh-CN"/>
              </w:rPr>
              <w:t>1</w:t>
            </w:r>
            <w:r>
              <w:rPr>
                <w:rFonts w:hint="eastAsia" w:ascii="宋体" w:hAnsi="宋体" w:cs="宋体"/>
                <w:b/>
                <w:color w:val="auto"/>
                <w:sz w:val="21"/>
                <w:szCs w:val="21"/>
                <w:lang w:val="en-US" w:eastAsia="zh-CN"/>
              </w:rPr>
              <w:t>0</w:t>
            </w:r>
            <w:r>
              <w:rPr>
                <w:rFonts w:hint="eastAsia" w:ascii="宋体" w:hAnsi="宋体" w:eastAsia="宋体" w:cs="宋体"/>
                <w:b/>
                <w:color w:val="auto"/>
                <w:sz w:val="21"/>
                <w:szCs w:val="21"/>
              </w:rPr>
              <w:t>分）</w:t>
            </w:r>
          </w:p>
        </w:tc>
        <w:tc>
          <w:tcPr>
            <w:tcW w:w="6368" w:type="dxa"/>
            <w:noWrap w:val="0"/>
            <w:vAlign w:val="top"/>
          </w:tcPr>
          <w:p w14:paraId="3A56A9AF">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供应商或原厂家的出版社或版权方授权包括但不限于以下10个主流有声版权方授权，包括磨铁（有声）、后浪（有声）、上海译文（有声）、中国科学技术（有声）、新华先锋（有声）、理想国（有声）、人民邮电（有声）、中国科学技术（有声）、北京竹石（有声）、紫图图书（有声）。每项得1分，最多得10分。</w:t>
            </w:r>
          </w:p>
          <w:p w14:paraId="10DA54E9">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eastAsia="宋体" w:cs="宋体"/>
                <w:spacing w:val="12"/>
                <w:sz w:val="21"/>
                <w:szCs w:val="21"/>
                <w:lang w:val="en-US" w:eastAsia="zh-CN"/>
              </w:rPr>
            </w:pPr>
            <w:r>
              <w:rPr>
                <w:rFonts w:hint="eastAsia" w:ascii="宋体" w:hAnsi="宋体" w:eastAsia="宋体" w:cs="宋体"/>
                <w:b/>
                <w:bCs/>
                <w:spacing w:val="12"/>
                <w:sz w:val="21"/>
                <w:szCs w:val="21"/>
                <w:lang w:val="en-US" w:eastAsia="zh-CN"/>
              </w:rPr>
              <w:t>注：提供相关授权证明材料，不提供或无法认定不得分。</w:t>
            </w:r>
          </w:p>
        </w:tc>
      </w:tr>
      <w:tr w14:paraId="0FB8A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30" w:type="dxa"/>
            <w:noWrap w:val="0"/>
            <w:vAlign w:val="center"/>
          </w:tcPr>
          <w:p w14:paraId="674EFDD8">
            <w:pPr>
              <w:keepNext w:val="0"/>
              <w:keepLines w:val="0"/>
              <w:pageBreakBefore w:val="0"/>
              <w:widowControl/>
              <w:kinsoku/>
              <w:wordWrap/>
              <w:overflowPunct/>
              <w:topLinePunct w:val="0"/>
              <w:autoSpaceDE/>
              <w:autoSpaceDN/>
              <w:bidi w:val="0"/>
              <w:adjustRightInd w:val="0"/>
              <w:snapToGrid w:val="0"/>
              <w:spacing w:line="300" w:lineRule="exact"/>
              <w:jc w:val="center"/>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7</w:t>
            </w:r>
          </w:p>
        </w:tc>
        <w:tc>
          <w:tcPr>
            <w:tcW w:w="2637" w:type="dxa"/>
            <w:noWrap w:val="0"/>
            <w:vAlign w:val="center"/>
          </w:tcPr>
          <w:p w14:paraId="1B896542">
            <w:pPr>
              <w:keepNext w:val="0"/>
              <w:keepLines w:val="0"/>
              <w:pageBreakBefore w:val="0"/>
              <w:widowControl/>
              <w:suppressLineNumbers w:val="0"/>
              <w:kinsoku/>
              <w:wordWrap/>
              <w:overflowPunct/>
              <w:topLinePunct w:val="0"/>
              <w:autoSpaceDE/>
              <w:autoSpaceDN/>
              <w:bidi w:val="0"/>
              <w:spacing w:line="300" w:lineRule="exact"/>
              <w:jc w:val="left"/>
              <w:rPr>
                <w:rFonts w:hint="eastAsia" w:ascii="宋体" w:hAnsi="宋体" w:eastAsia="宋体" w:cs="宋体"/>
                <w:b/>
                <w:color w:val="auto"/>
                <w:sz w:val="21"/>
                <w:szCs w:val="21"/>
              </w:rPr>
            </w:pPr>
            <w:r>
              <w:rPr>
                <w:rFonts w:hint="eastAsia" w:ascii="宋体" w:hAnsi="宋体" w:eastAsia="宋体" w:cs="宋体"/>
                <w:b/>
                <w:color w:val="auto"/>
                <w:sz w:val="21"/>
                <w:szCs w:val="21"/>
              </w:rPr>
              <w:t>认证评价分（满分</w:t>
            </w:r>
            <w:r>
              <w:rPr>
                <w:rFonts w:hint="eastAsia" w:ascii="宋体" w:hAnsi="宋体" w:eastAsia="宋体" w:cs="宋体"/>
                <w:b/>
                <w:color w:val="auto"/>
                <w:sz w:val="21"/>
                <w:szCs w:val="21"/>
                <w:lang w:val="en-US" w:eastAsia="zh-CN"/>
              </w:rPr>
              <w:t>4</w:t>
            </w:r>
            <w:r>
              <w:rPr>
                <w:rFonts w:hint="eastAsia" w:ascii="宋体" w:hAnsi="宋体" w:eastAsia="宋体" w:cs="宋体"/>
                <w:b/>
                <w:color w:val="auto"/>
                <w:sz w:val="21"/>
                <w:szCs w:val="21"/>
              </w:rPr>
              <w:t>分）</w:t>
            </w:r>
          </w:p>
        </w:tc>
        <w:tc>
          <w:tcPr>
            <w:tcW w:w="6368" w:type="dxa"/>
            <w:noWrap w:val="0"/>
            <w:vAlign w:val="top"/>
          </w:tcPr>
          <w:p w14:paraId="66A2883E">
            <w:pPr>
              <w:keepNext w:val="0"/>
              <w:keepLines w:val="0"/>
              <w:pageBreakBefore w:val="0"/>
              <w:kinsoku/>
              <w:wordWrap/>
              <w:overflowPunct/>
              <w:topLinePunct w:val="0"/>
              <w:autoSpaceDE/>
              <w:autoSpaceDN/>
              <w:bidi w:val="0"/>
              <w:spacing w:line="300" w:lineRule="exact"/>
              <w:ind w:firstLine="420" w:firstLineChars="20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供应商或原厂家具备有效期内的《网络文化经营许可证》，得1分；电子书制作方具备有效期内的《电子出版物制作许可证》，得2分；响应产品具备有效的《三级安全等级测评报告》，得1分。本项最高得4分。</w:t>
            </w:r>
          </w:p>
          <w:p w14:paraId="2AFB8A2B">
            <w:pPr>
              <w:keepNext w:val="0"/>
              <w:keepLines w:val="0"/>
              <w:pageBreakBefore w:val="0"/>
              <w:kinsoku/>
              <w:wordWrap/>
              <w:overflowPunct/>
              <w:topLinePunct w:val="0"/>
              <w:autoSpaceDE/>
              <w:autoSpaceDN/>
              <w:bidi w:val="0"/>
              <w:spacing w:line="300" w:lineRule="exact"/>
              <w:rPr>
                <w:rFonts w:hint="eastAsia" w:ascii="宋体" w:hAnsi="宋体" w:eastAsia="宋体" w:cs="宋体"/>
                <w:bCs/>
                <w:color w:val="auto"/>
                <w:kern w:val="0"/>
                <w:sz w:val="21"/>
                <w:szCs w:val="21"/>
              </w:rPr>
            </w:pPr>
            <w:r>
              <w:rPr>
                <w:rFonts w:hint="eastAsia" w:ascii="宋体" w:hAnsi="宋体" w:eastAsia="宋体" w:cs="宋体"/>
                <w:b/>
                <w:bCs w:val="0"/>
                <w:color w:val="auto"/>
                <w:kern w:val="0"/>
                <w:sz w:val="21"/>
                <w:szCs w:val="21"/>
              </w:rPr>
              <w:t>注：提供相关认证或评价证明材料，不提供或无法认定不得分。</w:t>
            </w:r>
          </w:p>
        </w:tc>
      </w:tr>
      <w:tr w14:paraId="2BD22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30" w:type="dxa"/>
            <w:noWrap w:val="0"/>
            <w:vAlign w:val="center"/>
          </w:tcPr>
          <w:p w14:paraId="0B596255">
            <w:pPr>
              <w:keepNext w:val="0"/>
              <w:keepLines w:val="0"/>
              <w:pageBreakBefore w:val="0"/>
              <w:widowControl/>
              <w:kinsoku/>
              <w:wordWrap/>
              <w:overflowPunct/>
              <w:topLinePunct w:val="0"/>
              <w:autoSpaceDE/>
              <w:autoSpaceDN/>
              <w:bidi w:val="0"/>
              <w:adjustRightInd w:val="0"/>
              <w:snapToGrid w:val="0"/>
              <w:spacing w:line="300" w:lineRule="exact"/>
              <w:jc w:val="center"/>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8</w:t>
            </w:r>
          </w:p>
        </w:tc>
        <w:tc>
          <w:tcPr>
            <w:tcW w:w="2637" w:type="dxa"/>
            <w:noWrap w:val="0"/>
            <w:vAlign w:val="center"/>
          </w:tcPr>
          <w:p w14:paraId="3014A5C4">
            <w:pPr>
              <w:keepNext w:val="0"/>
              <w:keepLines w:val="0"/>
              <w:pageBreakBefore w:val="0"/>
              <w:widowControl/>
              <w:suppressLineNumbers w:val="0"/>
              <w:kinsoku/>
              <w:wordWrap/>
              <w:overflowPunct/>
              <w:topLinePunct w:val="0"/>
              <w:autoSpaceDE/>
              <w:autoSpaceDN/>
              <w:bidi w:val="0"/>
              <w:spacing w:line="300" w:lineRule="exact"/>
              <w:jc w:val="left"/>
              <w:rPr>
                <w:rFonts w:hint="eastAsia" w:ascii="宋体" w:hAnsi="宋体" w:eastAsia="宋体" w:cs="宋体"/>
                <w:b/>
                <w:color w:val="auto"/>
                <w:sz w:val="21"/>
                <w:szCs w:val="21"/>
              </w:rPr>
            </w:pPr>
            <w:r>
              <w:rPr>
                <w:rFonts w:hint="eastAsia" w:ascii="宋体" w:hAnsi="宋体" w:eastAsia="宋体" w:cs="宋体"/>
                <w:b/>
                <w:color w:val="auto"/>
                <w:sz w:val="21"/>
                <w:szCs w:val="21"/>
              </w:rPr>
              <w:t>获奖情况分（满分</w:t>
            </w:r>
            <w:r>
              <w:rPr>
                <w:rFonts w:hint="eastAsia" w:ascii="宋体" w:hAnsi="宋体" w:eastAsia="宋体" w:cs="宋体"/>
                <w:b/>
                <w:color w:val="auto"/>
                <w:sz w:val="21"/>
                <w:szCs w:val="21"/>
                <w:lang w:val="en-US" w:eastAsia="zh-CN"/>
              </w:rPr>
              <w:t>5</w:t>
            </w:r>
            <w:r>
              <w:rPr>
                <w:rFonts w:hint="eastAsia" w:ascii="宋体" w:hAnsi="宋体" w:eastAsia="宋体" w:cs="宋体"/>
                <w:b/>
                <w:color w:val="auto"/>
                <w:sz w:val="21"/>
                <w:szCs w:val="21"/>
              </w:rPr>
              <w:t>分）</w:t>
            </w:r>
          </w:p>
        </w:tc>
        <w:tc>
          <w:tcPr>
            <w:tcW w:w="6368" w:type="dxa"/>
            <w:noWrap w:val="0"/>
            <w:vAlign w:val="top"/>
          </w:tcPr>
          <w:p w14:paraId="3F619BB5">
            <w:pPr>
              <w:keepNext w:val="0"/>
              <w:keepLines w:val="0"/>
              <w:pageBreakBefore w:val="0"/>
              <w:kinsoku/>
              <w:wordWrap/>
              <w:overflowPunct/>
              <w:topLinePunct w:val="0"/>
              <w:autoSpaceDE/>
              <w:autoSpaceDN/>
              <w:bidi w:val="0"/>
              <w:spacing w:line="300" w:lineRule="exact"/>
              <w:ind w:firstLine="420" w:firstLineChars="20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 xml:space="preserve">供应商或原厂家获得政府机关/机构颁发的荣誉或奖项。提供一项得1分，最高得5分。 </w:t>
            </w:r>
          </w:p>
          <w:p w14:paraId="6BEFEA52">
            <w:pPr>
              <w:keepNext w:val="0"/>
              <w:keepLines w:val="0"/>
              <w:pageBreakBefore w:val="0"/>
              <w:kinsoku/>
              <w:wordWrap/>
              <w:overflowPunct/>
              <w:topLinePunct w:val="0"/>
              <w:autoSpaceDE/>
              <w:autoSpaceDN/>
              <w:bidi w:val="0"/>
              <w:spacing w:line="300" w:lineRule="exact"/>
              <w:rPr>
                <w:rFonts w:hint="eastAsia" w:ascii="宋体" w:hAnsi="宋体" w:eastAsia="宋体" w:cs="宋体"/>
                <w:bCs/>
                <w:color w:val="auto"/>
                <w:kern w:val="0"/>
                <w:sz w:val="21"/>
                <w:szCs w:val="21"/>
              </w:rPr>
            </w:pPr>
            <w:r>
              <w:rPr>
                <w:rFonts w:hint="eastAsia" w:ascii="宋体" w:hAnsi="宋体" w:eastAsia="宋体" w:cs="宋体"/>
                <w:b/>
                <w:bCs w:val="0"/>
                <w:color w:val="auto"/>
                <w:kern w:val="0"/>
                <w:sz w:val="21"/>
                <w:szCs w:val="21"/>
              </w:rPr>
              <w:t>注：提供有效期内的证书扫描件或者截图并加盖供应商公章。</w:t>
            </w:r>
          </w:p>
        </w:tc>
      </w:tr>
      <w:tr w14:paraId="5C1A4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30" w:type="dxa"/>
            <w:noWrap w:val="0"/>
            <w:vAlign w:val="center"/>
          </w:tcPr>
          <w:p w14:paraId="1832FE03">
            <w:pPr>
              <w:keepNext w:val="0"/>
              <w:keepLines w:val="0"/>
              <w:pageBreakBefore w:val="0"/>
              <w:widowControl/>
              <w:kinsoku/>
              <w:wordWrap/>
              <w:overflowPunct/>
              <w:topLinePunct w:val="0"/>
              <w:autoSpaceDE/>
              <w:autoSpaceDN/>
              <w:bidi w:val="0"/>
              <w:adjustRightInd w:val="0"/>
              <w:snapToGrid w:val="0"/>
              <w:spacing w:line="300" w:lineRule="exact"/>
              <w:jc w:val="center"/>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9</w:t>
            </w:r>
          </w:p>
        </w:tc>
        <w:tc>
          <w:tcPr>
            <w:tcW w:w="2637" w:type="dxa"/>
            <w:noWrap w:val="0"/>
            <w:vAlign w:val="center"/>
          </w:tcPr>
          <w:p w14:paraId="22B1FF26">
            <w:pPr>
              <w:keepNext w:val="0"/>
              <w:keepLines w:val="0"/>
              <w:pageBreakBefore w:val="0"/>
              <w:widowControl/>
              <w:suppressLineNumbers w:val="0"/>
              <w:kinsoku/>
              <w:wordWrap/>
              <w:overflowPunct/>
              <w:topLinePunct w:val="0"/>
              <w:autoSpaceDE/>
              <w:autoSpaceDN/>
              <w:bidi w:val="0"/>
              <w:spacing w:line="300" w:lineRule="exact"/>
              <w:jc w:val="left"/>
              <w:rPr>
                <w:rFonts w:hint="eastAsia" w:ascii="宋体" w:hAnsi="宋体" w:eastAsia="宋体" w:cs="宋体"/>
                <w:b/>
                <w:color w:val="auto"/>
                <w:sz w:val="21"/>
                <w:szCs w:val="21"/>
              </w:rPr>
            </w:pPr>
            <w:r>
              <w:rPr>
                <w:rFonts w:hint="eastAsia" w:ascii="宋体" w:hAnsi="宋体" w:eastAsia="宋体" w:cs="宋体"/>
                <w:b/>
                <w:color w:val="auto"/>
                <w:sz w:val="21"/>
                <w:szCs w:val="21"/>
              </w:rPr>
              <w:t>知识产权分（满分</w:t>
            </w:r>
            <w:r>
              <w:rPr>
                <w:rFonts w:hint="eastAsia" w:ascii="宋体" w:hAnsi="宋体" w:eastAsia="宋体" w:cs="宋体"/>
                <w:b/>
                <w:color w:val="auto"/>
                <w:sz w:val="21"/>
                <w:szCs w:val="21"/>
                <w:lang w:val="en-US" w:eastAsia="zh-CN"/>
              </w:rPr>
              <w:t>5</w:t>
            </w:r>
            <w:r>
              <w:rPr>
                <w:rFonts w:hint="eastAsia" w:ascii="宋体" w:hAnsi="宋体" w:eastAsia="宋体" w:cs="宋体"/>
                <w:b/>
                <w:color w:val="auto"/>
                <w:sz w:val="21"/>
                <w:szCs w:val="21"/>
              </w:rPr>
              <w:t>分）</w:t>
            </w:r>
          </w:p>
        </w:tc>
        <w:tc>
          <w:tcPr>
            <w:tcW w:w="6368" w:type="dxa"/>
            <w:noWrap w:val="0"/>
            <w:vAlign w:val="top"/>
          </w:tcPr>
          <w:p w14:paraId="19F5C563">
            <w:pPr>
              <w:keepNext w:val="0"/>
              <w:keepLines w:val="0"/>
              <w:pageBreakBefore w:val="0"/>
              <w:kinsoku/>
              <w:wordWrap/>
              <w:overflowPunct/>
              <w:topLinePunct w:val="0"/>
              <w:autoSpaceDE/>
              <w:autoSpaceDN/>
              <w:bidi w:val="0"/>
              <w:spacing w:line="300" w:lineRule="exact"/>
              <w:ind w:firstLine="420" w:firstLineChars="20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供应商或原厂家有相关的制作软件自有知识产权，提供相应的软件著作权或专利证书，每提供1个得1分，最高得5分。</w:t>
            </w:r>
          </w:p>
          <w:p w14:paraId="6775607B">
            <w:pPr>
              <w:keepNext w:val="0"/>
              <w:keepLines w:val="0"/>
              <w:pageBreakBefore w:val="0"/>
              <w:kinsoku/>
              <w:wordWrap/>
              <w:overflowPunct/>
              <w:topLinePunct w:val="0"/>
              <w:autoSpaceDE/>
              <w:autoSpaceDN/>
              <w:bidi w:val="0"/>
              <w:spacing w:line="300" w:lineRule="exact"/>
              <w:rPr>
                <w:rFonts w:hint="eastAsia" w:ascii="宋体" w:hAnsi="宋体" w:eastAsia="宋体" w:cs="宋体"/>
                <w:bCs/>
                <w:color w:val="auto"/>
                <w:kern w:val="0"/>
                <w:sz w:val="21"/>
                <w:szCs w:val="21"/>
              </w:rPr>
            </w:pPr>
            <w:r>
              <w:rPr>
                <w:rFonts w:hint="eastAsia" w:ascii="宋体" w:hAnsi="宋体" w:eastAsia="宋体" w:cs="宋体"/>
                <w:b/>
                <w:bCs w:val="0"/>
                <w:color w:val="auto"/>
                <w:kern w:val="0"/>
                <w:sz w:val="21"/>
                <w:szCs w:val="21"/>
              </w:rPr>
              <w:t>注：提供有效期内的证书扫描件并加盖供应商公章。</w:t>
            </w:r>
          </w:p>
        </w:tc>
      </w:tr>
      <w:tr w14:paraId="79428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30" w:type="dxa"/>
            <w:noWrap w:val="0"/>
            <w:vAlign w:val="center"/>
          </w:tcPr>
          <w:p w14:paraId="53A76D26">
            <w:pPr>
              <w:keepNext w:val="0"/>
              <w:keepLines w:val="0"/>
              <w:pageBreakBefore w:val="0"/>
              <w:widowControl/>
              <w:kinsoku/>
              <w:wordWrap/>
              <w:overflowPunct/>
              <w:topLinePunct w:val="0"/>
              <w:autoSpaceDE/>
              <w:autoSpaceDN/>
              <w:bidi w:val="0"/>
              <w:adjustRightInd w:val="0"/>
              <w:snapToGrid w:val="0"/>
              <w:spacing w:line="300" w:lineRule="exact"/>
              <w:jc w:val="center"/>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10</w:t>
            </w:r>
          </w:p>
        </w:tc>
        <w:tc>
          <w:tcPr>
            <w:tcW w:w="2637" w:type="dxa"/>
            <w:noWrap w:val="0"/>
            <w:vAlign w:val="center"/>
          </w:tcPr>
          <w:p w14:paraId="6A5EC36B">
            <w:pPr>
              <w:keepNext w:val="0"/>
              <w:keepLines w:val="0"/>
              <w:pageBreakBefore w:val="0"/>
              <w:widowControl/>
              <w:suppressLineNumbers w:val="0"/>
              <w:kinsoku/>
              <w:wordWrap/>
              <w:overflowPunct/>
              <w:topLinePunct w:val="0"/>
              <w:autoSpaceDE/>
              <w:autoSpaceDN/>
              <w:bidi w:val="0"/>
              <w:spacing w:line="300" w:lineRule="exact"/>
              <w:jc w:val="left"/>
              <w:rPr>
                <w:rFonts w:hint="eastAsia" w:ascii="宋体" w:hAnsi="宋体" w:eastAsia="宋体" w:cs="宋体"/>
                <w:b/>
                <w:color w:val="auto"/>
                <w:sz w:val="21"/>
                <w:szCs w:val="21"/>
              </w:rPr>
            </w:pPr>
            <w:r>
              <w:rPr>
                <w:rFonts w:hint="eastAsia" w:ascii="宋体" w:hAnsi="宋体" w:eastAsia="宋体" w:cs="宋体"/>
                <w:b/>
                <w:color w:val="auto"/>
                <w:sz w:val="21"/>
                <w:szCs w:val="21"/>
              </w:rPr>
              <w:t>同类项目业绩分（满分</w:t>
            </w:r>
            <w:r>
              <w:rPr>
                <w:rFonts w:hint="eastAsia" w:ascii="宋体" w:hAnsi="宋体" w:eastAsia="宋体" w:cs="宋体"/>
                <w:b/>
                <w:color w:val="auto"/>
                <w:sz w:val="21"/>
                <w:szCs w:val="21"/>
                <w:lang w:val="en-US" w:eastAsia="zh-CN"/>
              </w:rPr>
              <w:t>6</w:t>
            </w:r>
            <w:r>
              <w:rPr>
                <w:rFonts w:hint="eastAsia" w:ascii="宋体" w:hAnsi="宋体" w:eastAsia="宋体" w:cs="宋体"/>
                <w:b/>
                <w:color w:val="auto"/>
                <w:sz w:val="21"/>
                <w:szCs w:val="21"/>
              </w:rPr>
              <w:t>分）</w:t>
            </w:r>
          </w:p>
        </w:tc>
        <w:tc>
          <w:tcPr>
            <w:tcW w:w="6368" w:type="dxa"/>
            <w:noWrap w:val="0"/>
            <w:vAlign w:val="top"/>
          </w:tcPr>
          <w:p w14:paraId="00BE5A84">
            <w:pPr>
              <w:keepNext w:val="0"/>
              <w:keepLines w:val="0"/>
              <w:pageBreakBefore w:val="0"/>
              <w:kinsoku/>
              <w:wordWrap/>
              <w:overflowPunct/>
              <w:topLinePunct w:val="0"/>
              <w:autoSpaceDE/>
              <w:autoSpaceDN/>
              <w:bidi w:val="0"/>
              <w:spacing w:line="300" w:lineRule="exact"/>
              <w:ind w:firstLine="420" w:firstLineChars="20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 xml:space="preserve">供应商或原厂家2022年1月1日以来承担过的同类项目业绩，每提供1份业绩得1分，最高得6分。 </w:t>
            </w:r>
          </w:p>
          <w:p w14:paraId="7598FB0B">
            <w:pPr>
              <w:keepNext w:val="0"/>
              <w:keepLines w:val="0"/>
              <w:pageBreakBefore w:val="0"/>
              <w:kinsoku/>
              <w:wordWrap/>
              <w:overflowPunct/>
              <w:topLinePunct w:val="0"/>
              <w:autoSpaceDE/>
              <w:autoSpaceDN/>
              <w:bidi w:val="0"/>
              <w:spacing w:line="300" w:lineRule="exact"/>
              <w:rPr>
                <w:rFonts w:hint="eastAsia" w:ascii="宋体" w:hAnsi="宋体" w:eastAsia="宋体" w:cs="宋体"/>
                <w:bCs/>
                <w:color w:val="auto"/>
                <w:kern w:val="0"/>
                <w:sz w:val="21"/>
                <w:szCs w:val="21"/>
              </w:rPr>
            </w:pPr>
            <w:r>
              <w:rPr>
                <w:rFonts w:hint="eastAsia" w:ascii="宋体" w:hAnsi="宋体" w:eastAsia="宋体" w:cs="宋体"/>
                <w:b/>
                <w:bCs w:val="0"/>
                <w:color w:val="auto"/>
                <w:kern w:val="0"/>
                <w:sz w:val="21"/>
                <w:szCs w:val="21"/>
              </w:rPr>
              <w:t>注：须提供合同扫描件(内容包括:合同首页、合作内容页、金额页、盖章页)并加盖公章，不提供不得分。</w:t>
            </w:r>
          </w:p>
        </w:tc>
      </w:tr>
      <w:tr w14:paraId="4CE48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5" w:type="dxa"/>
            <w:gridSpan w:val="3"/>
            <w:noWrap w:val="0"/>
            <w:vAlign w:val="center"/>
          </w:tcPr>
          <w:p w14:paraId="3D2D590C">
            <w:pPr>
              <w:pStyle w:val="18"/>
              <w:keepNext w:val="0"/>
              <w:keepLines w:val="0"/>
              <w:pageBreakBefore w:val="0"/>
              <w:kinsoku/>
              <w:wordWrap/>
              <w:overflowPunct/>
              <w:topLinePunct w:val="0"/>
              <w:autoSpaceDE/>
              <w:autoSpaceDN/>
              <w:bidi w:val="0"/>
              <w:spacing w:line="300" w:lineRule="exact"/>
              <w:ind w:firstLine="420"/>
              <w:rPr>
                <w:rFonts w:hint="eastAsia" w:ascii="宋体" w:hAnsi="宋体" w:eastAsia="宋体" w:cs="宋体"/>
                <w:bCs/>
                <w:color w:val="auto"/>
                <w:kern w:val="2"/>
                <w:sz w:val="21"/>
                <w:szCs w:val="21"/>
              </w:rPr>
            </w:pPr>
            <w:r>
              <w:rPr>
                <w:rFonts w:hint="eastAsia" w:ascii="宋体" w:hAnsi="宋体" w:eastAsia="宋体" w:cs="宋体"/>
                <w:b/>
                <w:bCs/>
                <w:color w:val="auto"/>
                <w:kern w:val="2"/>
                <w:sz w:val="21"/>
                <w:szCs w:val="21"/>
              </w:rPr>
              <w:t>总得分=1+2+3</w:t>
            </w:r>
            <w:r>
              <w:rPr>
                <w:rFonts w:hint="eastAsia" w:ascii="宋体" w:hAnsi="宋体" w:eastAsia="宋体" w:cs="宋体"/>
                <w:b/>
                <w:bCs/>
                <w:color w:val="auto"/>
                <w:kern w:val="2"/>
                <w:sz w:val="21"/>
                <w:szCs w:val="21"/>
                <w:lang w:val="en-US" w:eastAsia="zh-CN"/>
              </w:rPr>
              <w:t>+4+5</w:t>
            </w:r>
            <w:r>
              <w:rPr>
                <w:rFonts w:hint="eastAsia" w:hAnsi="宋体" w:eastAsia="宋体" w:cs="宋体"/>
                <w:b/>
                <w:bCs/>
                <w:color w:val="auto"/>
                <w:kern w:val="2"/>
                <w:sz w:val="21"/>
                <w:szCs w:val="21"/>
                <w:lang w:val="en-US" w:eastAsia="zh-CN"/>
              </w:rPr>
              <w:t>+6+7+8+9+10</w:t>
            </w:r>
            <w:r>
              <w:rPr>
                <w:rFonts w:hint="eastAsia" w:ascii="宋体" w:hAnsi="宋体" w:eastAsia="宋体" w:cs="宋体"/>
                <w:b/>
                <w:bCs/>
                <w:color w:val="auto"/>
                <w:kern w:val="2"/>
                <w:sz w:val="21"/>
                <w:szCs w:val="21"/>
              </w:rPr>
              <w:t>。</w:t>
            </w:r>
          </w:p>
        </w:tc>
      </w:tr>
    </w:tbl>
    <w:p w14:paraId="15E23C48">
      <w:pPr>
        <w:spacing w:line="360" w:lineRule="auto"/>
        <w:ind w:firstLine="420" w:firstLineChars="200"/>
        <w:rPr>
          <w:rFonts w:hint="eastAsia" w:ascii="宋体" w:hAnsi="宋体"/>
          <w:bCs/>
          <w:color w:val="auto"/>
          <w:szCs w:val="21"/>
        </w:rPr>
      </w:pPr>
      <w:r>
        <w:rPr>
          <w:rFonts w:hint="eastAsia" w:ascii="宋体" w:hAnsi="宋体"/>
          <w:bCs/>
          <w:color w:val="auto"/>
          <w:szCs w:val="21"/>
        </w:rPr>
        <w:t>6</w:t>
      </w:r>
      <w:r>
        <w:rPr>
          <w:rFonts w:ascii="宋体" w:hAnsi="宋体"/>
          <w:bCs/>
          <w:color w:val="auto"/>
          <w:szCs w:val="21"/>
        </w:rPr>
        <w:t>.</w:t>
      </w:r>
      <w:r>
        <w:rPr>
          <w:rFonts w:hint="eastAsia" w:ascii="宋体" w:hAnsi="宋体"/>
          <w:bCs/>
          <w:color w:val="auto"/>
          <w:szCs w:val="21"/>
        </w:rPr>
        <w:t>评审依据：磋商小组将以磋商响应文件为评审依据，对供应商的报价、技术、商务等方面内容按百分制打分。（计分方法按四舍五入取至百分位）</w:t>
      </w:r>
    </w:p>
    <w:p w14:paraId="0F824F7D">
      <w:pPr>
        <w:spacing w:line="400" w:lineRule="exact"/>
        <w:ind w:firstLine="420" w:firstLineChars="200"/>
        <w:rPr>
          <w:rFonts w:hint="eastAsia" w:ascii="宋体" w:hAnsi="宋体" w:cs="宋体"/>
          <w:color w:val="auto"/>
        </w:rPr>
      </w:pPr>
      <w:r>
        <w:rPr>
          <w:rFonts w:ascii="宋体" w:hAnsi="宋体"/>
          <w:bCs/>
          <w:color w:val="auto"/>
          <w:szCs w:val="21"/>
        </w:rPr>
        <w:t>7.</w:t>
      </w:r>
      <w:r>
        <w:rPr>
          <w:rFonts w:hint="eastAsia" w:ascii="宋体" w:hAnsi="宋体"/>
          <w:bCs/>
          <w:color w:val="auto"/>
          <w:szCs w:val="21"/>
        </w:rPr>
        <w:t>由磋商小组根据综合评分情况，按照评审得分由高到低顺序推荐3名以上成交候选供应商，并编写评审报告。符合本章第</w:t>
      </w:r>
      <w:r>
        <w:rPr>
          <w:rFonts w:ascii="宋体" w:hAnsi="宋体"/>
          <w:bCs/>
          <w:color w:val="auto"/>
          <w:szCs w:val="21"/>
        </w:rPr>
        <w:t>4.3</w:t>
      </w:r>
      <w:r>
        <w:rPr>
          <w:rFonts w:hint="eastAsia" w:ascii="宋体" w:hAnsi="宋体"/>
          <w:bCs/>
          <w:color w:val="auto"/>
          <w:szCs w:val="21"/>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p>
    <w:p w14:paraId="0B127A8A">
      <w:pPr>
        <w:pStyle w:val="3"/>
        <w:jc w:val="center"/>
        <w:rPr>
          <w:rFonts w:hint="eastAsia"/>
          <w:color w:val="auto"/>
        </w:rPr>
      </w:pPr>
      <w:r>
        <w:rPr>
          <w:color w:val="auto"/>
        </w:rPr>
        <w:br w:type="page"/>
      </w:r>
      <w:bookmarkStart w:id="75" w:name="_Toc74323460"/>
      <w:r>
        <w:rPr>
          <w:rFonts w:hint="eastAsia"/>
          <w:color w:val="auto"/>
        </w:rPr>
        <w:t>第五章 响应文件格式</w:t>
      </w:r>
      <w:bookmarkEnd w:id="75"/>
    </w:p>
    <w:p w14:paraId="314B2B7F">
      <w:pPr>
        <w:spacing w:line="240" w:lineRule="atLeast"/>
        <w:rPr>
          <w:rFonts w:hint="eastAsia" w:ascii="宋体" w:hAnsi="宋体"/>
          <w:b/>
          <w:color w:val="auto"/>
          <w:sz w:val="32"/>
          <w:szCs w:val="32"/>
        </w:rPr>
      </w:pPr>
    </w:p>
    <w:p w14:paraId="2848AC8D">
      <w:pPr>
        <w:spacing w:line="240" w:lineRule="atLeast"/>
        <w:rPr>
          <w:rFonts w:hint="eastAsia" w:ascii="宋体" w:hAnsi="宋体"/>
          <w:b/>
          <w:color w:val="auto"/>
          <w:sz w:val="32"/>
          <w:szCs w:val="32"/>
        </w:rPr>
      </w:pPr>
    </w:p>
    <w:p w14:paraId="13B23EEB">
      <w:pPr>
        <w:spacing w:line="240" w:lineRule="atLeast"/>
        <w:rPr>
          <w:rFonts w:hint="eastAsia" w:ascii="宋体" w:hAnsi="宋体"/>
          <w:b/>
          <w:color w:val="auto"/>
          <w:sz w:val="32"/>
          <w:szCs w:val="32"/>
        </w:rPr>
      </w:pPr>
    </w:p>
    <w:p w14:paraId="402295F3">
      <w:pPr>
        <w:snapToGrid w:val="0"/>
        <w:spacing w:before="50" w:after="50"/>
        <w:rPr>
          <w:rFonts w:hint="eastAsia" w:ascii="宋体" w:hAnsi="宋体"/>
          <w:b/>
          <w:bCs/>
          <w:color w:val="auto"/>
          <w:sz w:val="24"/>
        </w:rPr>
      </w:pPr>
    </w:p>
    <w:p w14:paraId="6D291524">
      <w:pPr>
        <w:rPr>
          <w:rFonts w:hint="eastAsia"/>
          <w:b/>
          <w:color w:val="auto"/>
          <w:sz w:val="32"/>
          <w:szCs w:val="32"/>
        </w:rPr>
      </w:pPr>
      <w:bookmarkStart w:id="76" w:name="_Toc71365924"/>
      <w:bookmarkStart w:id="77" w:name="_Toc44229898"/>
      <w:r>
        <w:rPr>
          <w:rFonts w:hint="eastAsia"/>
          <w:b/>
          <w:color w:val="auto"/>
          <w:sz w:val="32"/>
          <w:szCs w:val="32"/>
        </w:rPr>
        <w:t>（</w:t>
      </w:r>
      <w:bookmarkStart w:id="78" w:name="_Toc35611515"/>
      <w:bookmarkStart w:id="79" w:name="_Toc35611437"/>
      <w:r>
        <w:rPr>
          <w:rFonts w:hint="eastAsia"/>
          <w:b/>
          <w:color w:val="auto"/>
          <w:sz w:val="32"/>
          <w:szCs w:val="32"/>
        </w:rPr>
        <w:t>响应文件外层包装封面格式</w:t>
      </w:r>
      <w:bookmarkEnd w:id="78"/>
      <w:bookmarkEnd w:id="79"/>
      <w:r>
        <w:rPr>
          <w:rFonts w:hint="eastAsia"/>
          <w:b/>
          <w:color w:val="auto"/>
          <w:sz w:val="32"/>
          <w:szCs w:val="32"/>
        </w:rPr>
        <w:t xml:space="preserve"> ）</w:t>
      </w:r>
      <w:bookmarkEnd w:id="76"/>
      <w:bookmarkEnd w:id="77"/>
    </w:p>
    <w:p w14:paraId="0B3B960F">
      <w:pPr>
        <w:snapToGrid w:val="0"/>
        <w:spacing w:before="156" w:beforeLines="50" w:after="50"/>
        <w:rPr>
          <w:rFonts w:hint="eastAsia" w:ascii="宋体" w:hAnsi="宋体"/>
          <w:color w:val="auto"/>
          <w:sz w:val="24"/>
          <w:szCs w:val="20"/>
        </w:rPr>
      </w:pPr>
    </w:p>
    <w:p w14:paraId="0C90B02E">
      <w:pPr>
        <w:snapToGrid w:val="0"/>
        <w:spacing w:before="156" w:beforeLines="50" w:after="50"/>
        <w:jc w:val="center"/>
        <w:rPr>
          <w:rFonts w:hint="eastAsia" w:ascii="宋体" w:hAnsi="宋体"/>
          <w:bCs/>
          <w:color w:val="auto"/>
          <w:sz w:val="24"/>
          <w:szCs w:val="20"/>
        </w:rPr>
      </w:pPr>
    </w:p>
    <w:p w14:paraId="1662F480">
      <w:pPr>
        <w:snapToGrid w:val="0"/>
        <w:spacing w:before="156" w:beforeLines="50" w:after="50"/>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响  应  文  件</w:t>
      </w:r>
    </w:p>
    <w:p w14:paraId="437BAA26">
      <w:pPr>
        <w:snapToGrid w:val="0"/>
        <w:spacing w:before="156" w:beforeLines="50" w:after="50"/>
        <w:rPr>
          <w:rFonts w:hint="eastAsia" w:ascii="宋体" w:hAnsi="宋体"/>
          <w:bCs/>
          <w:color w:val="auto"/>
          <w:sz w:val="24"/>
          <w:szCs w:val="20"/>
        </w:rPr>
      </w:pPr>
    </w:p>
    <w:p w14:paraId="2247A193">
      <w:pPr>
        <w:snapToGrid w:val="0"/>
        <w:spacing w:before="156" w:beforeLines="50" w:after="50"/>
        <w:rPr>
          <w:rFonts w:hint="eastAsia" w:ascii="宋体" w:hAnsi="宋体"/>
          <w:bCs/>
          <w:color w:val="auto"/>
          <w:sz w:val="24"/>
          <w:szCs w:val="20"/>
        </w:rPr>
      </w:pPr>
    </w:p>
    <w:p w14:paraId="77297017">
      <w:pPr>
        <w:snapToGrid w:val="0"/>
        <w:spacing w:before="156" w:beforeLines="50" w:after="50"/>
        <w:rPr>
          <w:rFonts w:hint="eastAsia" w:ascii="仿宋_GB2312" w:hAnsi="仿宋_GB2312" w:eastAsia="仿宋_GB2312" w:cs="仿宋_GB2312"/>
          <w:bCs/>
          <w:color w:val="auto"/>
          <w:sz w:val="32"/>
          <w:szCs w:val="32"/>
        </w:rPr>
      </w:pPr>
    </w:p>
    <w:p w14:paraId="5990BAC8">
      <w:pPr>
        <w:snapToGrid w:val="0"/>
        <w:spacing w:before="156" w:beforeLines="50" w:after="50"/>
        <w:ind w:firstLine="640" w:firstLineChars="200"/>
        <w:rPr>
          <w:rFonts w:hint="eastAsia" w:ascii="宋体" w:hAnsi="宋体" w:cs="仿宋_GB2312"/>
          <w:bCs/>
          <w:color w:val="auto"/>
          <w:sz w:val="32"/>
          <w:szCs w:val="32"/>
        </w:rPr>
      </w:pPr>
      <w:r>
        <w:rPr>
          <w:rFonts w:hint="eastAsia" w:ascii="宋体" w:hAnsi="宋体" w:cs="仿宋_GB2312"/>
          <w:bCs/>
          <w:color w:val="auto"/>
          <w:sz w:val="32"/>
          <w:szCs w:val="32"/>
        </w:rPr>
        <w:t>项目名称：</w:t>
      </w:r>
    </w:p>
    <w:p w14:paraId="2DEBC939">
      <w:pPr>
        <w:snapToGrid w:val="0"/>
        <w:spacing w:before="156" w:beforeLines="50" w:after="50"/>
        <w:ind w:firstLine="480" w:firstLineChars="150"/>
        <w:rPr>
          <w:rFonts w:hint="eastAsia" w:ascii="宋体" w:hAnsi="宋体" w:cs="仿宋_GB2312"/>
          <w:bCs/>
          <w:color w:val="auto"/>
          <w:sz w:val="32"/>
          <w:szCs w:val="32"/>
        </w:rPr>
      </w:pPr>
    </w:p>
    <w:p w14:paraId="212DAE76">
      <w:pPr>
        <w:snapToGrid w:val="0"/>
        <w:spacing w:before="156" w:beforeLines="50" w:after="50"/>
        <w:ind w:firstLine="640" w:firstLineChars="200"/>
        <w:rPr>
          <w:rFonts w:hint="eastAsia" w:ascii="宋体" w:hAnsi="宋体" w:cs="仿宋_GB2312"/>
          <w:bCs/>
          <w:color w:val="auto"/>
          <w:sz w:val="32"/>
          <w:szCs w:val="32"/>
        </w:rPr>
      </w:pPr>
      <w:r>
        <w:rPr>
          <w:rFonts w:hint="eastAsia" w:ascii="宋体" w:hAnsi="宋体" w:cs="仿宋_GB2312"/>
          <w:bCs/>
          <w:color w:val="auto"/>
          <w:sz w:val="32"/>
          <w:szCs w:val="32"/>
        </w:rPr>
        <w:t>项目编号：</w:t>
      </w:r>
    </w:p>
    <w:p w14:paraId="72BAD57C">
      <w:pPr>
        <w:snapToGrid w:val="0"/>
        <w:spacing w:before="156" w:beforeLines="50" w:after="50"/>
        <w:ind w:firstLine="480" w:firstLineChars="150"/>
        <w:rPr>
          <w:rFonts w:hint="eastAsia" w:ascii="宋体" w:hAnsi="宋体" w:cs="仿宋_GB2312"/>
          <w:bCs/>
          <w:color w:val="auto"/>
          <w:sz w:val="32"/>
          <w:szCs w:val="32"/>
        </w:rPr>
      </w:pPr>
    </w:p>
    <w:p w14:paraId="41D3CEDB">
      <w:pPr>
        <w:snapToGrid w:val="0"/>
        <w:spacing w:before="156" w:beforeLines="50" w:after="50"/>
        <w:ind w:firstLine="640" w:firstLineChars="200"/>
        <w:rPr>
          <w:rFonts w:hint="eastAsia" w:ascii="宋体" w:hAnsi="宋体" w:cs="仿宋_GB2312"/>
          <w:bCs/>
          <w:color w:val="auto"/>
          <w:sz w:val="32"/>
          <w:szCs w:val="32"/>
        </w:rPr>
      </w:pPr>
      <w:r>
        <w:rPr>
          <w:rFonts w:hint="eastAsia" w:ascii="宋体" w:hAnsi="宋体" w:cs="仿宋_GB2312"/>
          <w:bCs/>
          <w:color w:val="auto"/>
          <w:sz w:val="32"/>
          <w:szCs w:val="32"/>
        </w:rPr>
        <w:t>所竞分标：（若没有则填“无”）</w:t>
      </w:r>
    </w:p>
    <w:p w14:paraId="37756B2A">
      <w:pPr>
        <w:snapToGrid w:val="0"/>
        <w:spacing w:before="156" w:beforeLines="50" w:after="50"/>
        <w:rPr>
          <w:rFonts w:hint="eastAsia" w:ascii="宋体" w:hAnsi="宋体" w:cs="仿宋_GB2312"/>
          <w:bCs/>
          <w:color w:val="auto"/>
          <w:sz w:val="32"/>
          <w:szCs w:val="32"/>
        </w:rPr>
      </w:pPr>
    </w:p>
    <w:p w14:paraId="45F0319E">
      <w:pPr>
        <w:snapToGrid w:val="0"/>
        <w:spacing w:before="156" w:beforeLines="50" w:after="50"/>
        <w:ind w:firstLine="640" w:firstLineChars="200"/>
        <w:rPr>
          <w:rFonts w:hint="eastAsia" w:ascii="宋体" w:hAnsi="宋体" w:cs="仿宋_GB2312"/>
          <w:bCs/>
          <w:color w:val="auto"/>
          <w:sz w:val="32"/>
          <w:szCs w:val="32"/>
        </w:rPr>
      </w:pPr>
      <w:r>
        <w:rPr>
          <w:rFonts w:hint="eastAsia" w:ascii="宋体" w:hAnsi="宋体" w:cs="仿宋_GB2312"/>
          <w:bCs/>
          <w:color w:val="auto"/>
          <w:sz w:val="32"/>
          <w:szCs w:val="32"/>
        </w:rPr>
        <w:t>供应商名称：</w:t>
      </w:r>
    </w:p>
    <w:p w14:paraId="1D5F47BF">
      <w:pPr>
        <w:snapToGrid w:val="0"/>
        <w:spacing w:before="156" w:beforeLines="50" w:after="50"/>
        <w:rPr>
          <w:rFonts w:hint="eastAsia" w:ascii="宋体" w:hAnsi="宋体" w:cs="仿宋_GB2312"/>
          <w:bCs/>
          <w:color w:val="auto"/>
          <w:sz w:val="32"/>
          <w:szCs w:val="32"/>
        </w:rPr>
      </w:pPr>
    </w:p>
    <w:p w14:paraId="437CE757">
      <w:pPr>
        <w:snapToGrid w:val="0"/>
        <w:spacing w:before="156" w:beforeLines="50" w:after="50"/>
        <w:ind w:firstLine="480" w:firstLineChars="150"/>
        <w:jc w:val="center"/>
        <w:rPr>
          <w:rFonts w:hint="eastAsia" w:ascii="宋体" w:hAnsi="宋体" w:cs="仿宋_GB2312"/>
          <w:bCs/>
          <w:color w:val="auto"/>
          <w:sz w:val="32"/>
          <w:szCs w:val="32"/>
        </w:rPr>
      </w:pPr>
      <w:r>
        <w:rPr>
          <w:rFonts w:hint="eastAsia" w:ascii="宋体" w:hAnsi="宋体" w:cs="仿宋_GB2312"/>
          <w:bCs/>
          <w:color w:val="auto"/>
          <w:sz w:val="32"/>
          <w:szCs w:val="32"/>
        </w:rPr>
        <w:t>响应文件提交截止时间前不得启封</w:t>
      </w:r>
    </w:p>
    <w:p w14:paraId="17985F56">
      <w:pPr>
        <w:snapToGrid w:val="0"/>
        <w:spacing w:before="156" w:beforeLines="50" w:after="50"/>
        <w:ind w:firstLine="5440" w:firstLineChars="1700"/>
        <w:jc w:val="center"/>
        <w:rPr>
          <w:rFonts w:hint="eastAsia" w:ascii="宋体" w:hAnsi="宋体" w:cs="仿宋_GB2312"/>
          <w:bCs/>
          <w:color w:val="auto"/>
          <w:sz w:val="32"/>
          <w:szCs w:val="32"/>
        </w:rPr>
      </w:pPr>
    </w:p>
    <w:p w14:paraId="47ABE71F">
      <w:pPr>
        <w:snapToGrid w:val="0"/>
        <w:spacing w:before="156" w:beforeLines="50" w:after="50"/>
        <w:ind w:firstLine="645"/>
        <w:jc w:val="center"/>
        <w:rPr>
          <w:rFonts w:hint="eastAsia" w:ascii="宋体" w:hAnsi="宋体" w:cs="仿宋_GB2312"/>
          <w:bCs/>
          <w:color w:val="auto"/>
          <w:sz w:val="32"/>
          <w:szCs w:val="32"/>
        </w:rPr>
      </w:pPr>
      <w:r>
        <w:rPr>
          <w:rFonts w:hint="eastAsia" w:ascii="宋体" w:hAnsi="宋体" w:cs="仿宋_GB2312"/>
          <w:bCs/>
          <w:color w:val="auto"/>
          <w:sz w:val="32"/>
          <w:szCs w:val="32"/>
        </w:rPr>
        <w:t>年    月    日</w:t>
      </w:r>
    </w:p>
    <w:p w14:paraId="5EFEC932">
      <w:pPr>
        <w:spacing w:line="240" w:lineRule="atLeast"/>
        <w:rPr>
          <w:rFonts w:ascii="宋体" w:hAnsi="宋体"/>
          <w:b/>
          <w:bCs/>
          <w:color w:val="auto"/>
          <w:sz w:val="32"/>
          <w:szCs w:val="32"/>
        </w:rPr>
      </w:pPr>
      <w:r>
        <w:rPr>
          <w:rFonts w:ascii="宋体" w:hAnsi="宋体"/>
          <w:bCs/>
          <w:color w:val="auto"/>
          <w:sz w:val="24"/>
        </w:rPr>
        <w:br w:type="page"/>
      </w:r>
      <w:r>
        <w:rPr>
          <w:rFonts w:hint="eastAsia" w:ascii="宋体" w:hAnsi="宋体"/>
          <w:bCs/>
          <w:color w:val="auto"/>
          <w:sz w:val="24"/>
        </w:rPr>
        <w:t>.</w:t>
      </w:r>
    </w:p>
    <w:p w14:paraId="044995A8">
      <w:pPr>
        <w:spacing w:line="240" w:lineRule="atLeast"/>
        <w:rPr>
          <w:rFonts w:hint="eastAsia" w:ascii="仿宋_GB2312" w:hAnsi="仿宋_GB2312" w:eastAsia="仿宋_GB2312" w:cs="仿宋_GB2312"/>
          <w:bCs/>
          <w:color w:val="auto"/>
          <w:sz w:val="32"/>
          <w:szCs w:val="32"/>
        </w:rPr>
      </w:pPr>
    </w:p>
    <w:p w14:paraId="0616E604">
      <w:pPr>
        <w:rPr>
          <w:rFonts w:hint="eastAsia"/>
          <w:b/>
          <w:color w:val="auto"/>
          <w:sz w:val="32"/>
          <w:szCs w:val="32"/>
        </w:rPr>
      </w:pPr>
      <w:bookmarkStart w:id="80" w:name="_Toc31723070"/>
      <w:bookmarkStart w:id="81" w:name="_Toc71365925"/>
      <w:bookmarkStart w:id="82" w:name="_Toc35611438"/>
      <w:bookmarkStart w:id="83" w:name="_Toc31728084"/>
      <w:bookmarkStart w:id="84" w:name="_Toc35611516"/>
      <w:bookmarkStart w:id="85" w:name="_Toc44229899"/>
      <w:r>
        <w:rPr>
          <w:rFonts w:hint="eastAsia"/>
          <w:b/>
          <w:color w:val="auto"/>
          <w:sz w:val="32"/>
          <w:szCs w:val="32"/>
        </w:rPr>
        <w:t>一、资格证明文件格式</w:t>
      </w:r>
      <w:bookmarkEnd w:id="80"/>
      <w:bookmarkEnd w:id="81"/>
      <w:bookmarkEnd w:id="82"/>
      <w:bookmarkEnd w:id="83"/>
      <w:bookmarkEnd w:id="84"/>
      <w:bookmarkEnd w:id="85"/>
    </w:p>
    <w:p w14:paraId="63CCD375">
      <w:pPr>
        <w:snapToGrid w:val="0"/>
        <w:spacing w:before="156" w:beforeLines="50" w:after="50" w:line="360" w:lineRule="auto"/>
        <w:jc w:val="left"/>
        <w:rPr>
          <w:rFonts w:hint="eastAsia" w:ascii="宋体" w:hAnsi="宋体"/>
          <w:b/>
          <w:color w:val="auto"/>
          <w:sz w:val="24"/>
        </w:rPr>
      </w:pPr>
      <w:r>
        <w:rPr>
          <w:rFonts w:hint="eastAsia" w:ascii="宋体" w:hAnsi="宋体"/>
          <w:b/>
          <w:color w:val="auto"/>
          <w:sz w:val="32"/>
          <w:szCs w:val="32"/>
        </w:rPr>
        <w:t>1.资格证明文件封面格式：</w:t>
      </w:r>
      <w:r>
        <w:rPr>
          <w:rFonts w:hint="eastAsia" w:ascii="宋体" w:hAnsi="宋体"/>
          <w:b/>
          <w:color w:val="auto"/>
          <w:sz w:val="24"/>
        </w:rPr>
        <w:t xml:space="preserve"> </w:t>
      </w:r>
    </w:p>
    <w:p w14:paraId="20EE975F">
      <w:pPr>
        <w:snapToGrid w:val="0"/>
        <w:spacing w:before="156" w:beforeLines="50" w:after="50"/>
        <w:rPr>
          <w:rFonts w:hint="eastAsia" w:ascii="宋体" w:hAnsi="宋体"/>
          <w:bCs/>
          <w:color w:val="auto"/>
          <w:sz w:val="32"/>
          <w:szCs w:val="20"/>
        </w:rPr>
      </w:pPr>
      <w:r>
        <w:rPr>
          <w:rFonts w:hint="eastAsia" w:ascii="宋体" w:hAnsi="宋体"/>
          <w:color w:val="auto"/>
          <w:sz w:val="24"/>
        </w:rPr>
        <w:t xml:space="preserve">                                                    </w:t>
      </w:r>
      <w:r>
        <w:rPr>
          <w:rFonts w:hint="eastAsia" w:ascii="宋体" w:hAnsi="宋体"/>
          <w:bCs/>
          <w:color w:val="auto"/>
        </w:rPr>
        <w:t>正本/副本</w:t>
      </w:r>
    </w:p>
    <w:p w14:paraId="3E2DD9B3">
      <w:pPr>
        <w:snapToGrid w:val="0"/>
        <w:spacing w:before="156" w:beforeLines="50" w:after="50"/>
        <w:rPr>
          <w:rFonts w:hint="eastAsia" w:ascii="宋体" w:hAnsi="宋体"/>
          <w:color w:val="auto"/>
          <w:sz w:val="24"/>
          <w:szCs w:val="20"/>
        </w:rPr>
      </w:pPr>
    </w:p>
    <w:p w14:paraId="55FB093F">
      <w:pPr>
        <w:snapToGrid w:val="0"/>
        <w:spacing w:before="156" w:beforeLines="50" w:after="50"/>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响  应  文  件</w:t>
      </w:r>
    </w:p>
    <w:p w14:paraId="67A7659F">
      <w:pPr>
        <w:snapToGrid w:val="0"/>
        <w:spacing w:before="156" w:beforeLines="50" w:after="50"/>
        <w:jc w:val="center"/>
        <w:rPr>
          <w:rFonts w:hint="eastAsia" w:ascii="方正小标宋简体" w:hAnsi="方正小标宋简体" w:eastAsia="方正小标宋简体" w:cs="方正小标宋简体"/>
          <w:bCs/>
          <w:color w:val="auto"/>
          <w:sz w:val="44"/>
          <w:szCs w:val="44"/>
        </w:rPr>
      </w:pPr>
    </w:p>
    <w:p w14:paraId="40EEBB9D">
      <w:pPr>
        <w:snapToGrid w:val="0"/>
        <w:spacing w:before="156" w:beforeLines="50" w:after="50"/>
        <w:jc w:val="center"/>
        <w:rPr>
          <w:rFonts w:hint="eastAsia" w:ascii="方正小标宋简体" w:hAnsi="方正小标宋简体" w:eastAsia="方正小标宋简体" w:cs="方正小标宋简体"/>
          <w:bCs/>
          <w:color w:val="auto"/>
          <w:sz w:val="32"/>
          <w:szCs w:val="32"/>
        </w:rPr>
      </w:pPr>
      <w:r>
        <w:rPr>
          <w:rFonts w:hint="eastAsia" w:ascii="方正小标宋简体" w:hAnsi="方正小标宋简体" w:eastAsia="方正小标宋简体" w:cs="方正小标宋简体"/>
          <w:bCs/>
          <w:color w:val="auto"/>
          <w:sz w:val="32"/>
          <w:szCs w:val="32"/>
        </w:rPr>
        <w:t>资  格  证  明  文  件</w:t>
      </w:r>
    </w:p>
    <w:p w14:paraId="1D0EF319">
      <w:pPr>
        <w:snapToGrid w:val="0"/>
        <w:spacing w:before="156" w:beforeLines="50" w:after="50"/>
        <w:rPr>
          <w:rFonts w:hint="eastAsia" w:ascii="宋体" w:hAnsi="宋体"/>
          <w:bCs/>
          <w:color w:val="auto"/>
          <w:sz w:val="24"/>
          <w:szCs w:val="20"/>
        </w:rPr>
      </w:pPr>
    </w:p>
    <w:p w14:paraId="0FD39878">
      <w:pPr>
        <w:snapToGrid w:val="0"/>
        <w:spacing w:before="156" w:beforeLines="50" w:after="50"/>
        <w:rPr>
          <w:rFonts w:hint="eastAsia" w:ascii="宋体" w:hAnsi="宋体"/>
          <w:bCs/>
          <w:color w:val="auto"/>
          <w:sz w:val="24"/>
          <w:szCs w:val="20"/>
        </w:rPr>
      </w:pPr>
    </w:p>
    <w:p w14:paraId="00AA93E0">
      <w:pPr>
        <w:snapToGrid w:val="0"/>
        <w:spacing w:before="156" w:beforeLines="50" w:after="50"/>
        <w:rPr>
          <w:rFonts w:hint="eastAsia" w:ascii="宋体" w:hAnsi="宋体"/>
          <w:bCs/>
          <w:color w:val="auto"/>
          <w:sz w:val="24"/>
          <w:szCs w:val="20"/>
        </w:rPr>
      </w:pPr>
    </w:p>
    <w:p w14:paraId="340E72F9">
      <w:pPr>
        <w:snapToGrid w:val="0"/>
        <w:spacing w:before="156" w:beforeLines="50" w:after="50"/>
        <w:ind w:firstLine="640" w:firstLineChars="200"/>
        <w:rPr>
          <w:rFonts w:hint="eastAsia" w:ascii="宋体" w:hAnsi="宋体" w:cs="仿宋_GB2312"/>
          <w:bCs/>
          <w:color w:val="auto"/>
          <w:sz w:val="32"/>
          <w:szCs w:val="32"/>
        </w:rPr>
      </w:pPr>
      <w:r>
        <w:rPr>
          <w:rFonts w:hint="eastAsia" w:ascii="宋体" w:hAnsi="宋体" w:cs="仿宋_GB2312"/>
          <w:bCs/>
          <w:color w:val="auto"/>
          <w:sz w:val="32"/>
          <w:szCs w:val="32"/>
        </w:rPr>
        <w:t>项目名称：</w:t>
      </w:r>
    </w:p>
    <w:p w14:paraId="57F0726F">
      <w:pPr>
        <w:snapToGrid w:val="0"/>
        <w:spacing w:before="156" w:beforeLines="50" w:after="50"/>
        <w:ind w:firstLine="720" w:firstLineChars="225"/>
        <w:rPr>
          <w:rFonts w:hint="eastAsia" w:ascii="宋体" w:hAnsi="宋体" w:cs="仿宋_GB2312"/>
          <w:bCs/>
          <w:color w:val="auto"/>
          <w:sz w:val="32"/>
          <w:szCs w:val="32"/>
        </w:rPr>
      </w:pPr>
    </w:p>
    <w:p w14:paraId="5D3113FD">
      <w:pPr>
        <w:snapToGrid w:val="0"/>
        <w:spacing w:before="156" w:beforeLines="50" w:after="50"/>
        <w:ind w:firstLine="720" w:firstLineChars="225"/>
        <w:rPr>
          <w:rFonts w:hint="eastAsia" w:ascii="宋体" w:hAnsi="宋体" w:cs="仿宋_GB2312"/>
          <w:bCs/>
          <w:color w:val="auto"/>
          <w:sz w:val="32"/>
          <w:szCs w:val="32"/>
        </w:rPr>
      </w:pPr>
      <w:r>
        <w:rPr>
          <w:rFonts w:hint="eastAsia" w:ascii="宋体" w:hAnsi="宋体" w:cs="仿宋_GB2312"/>
          <w:bCs/>
          <w:color w:val="auto"/>
          <w:sz w:val="32"/>
          <w:szCs w:val="32"/>
        </w:rPr>
        <w:t>项目编号：</w:t>
      </w:r>
    </w:p>
    <w:p w14:paraId="61D3001F">
      <w:pPr>
        <w:snapToGrid w:val="0"/>
        <w:spacing w:before="156" w:beforeLines="50" w:after="50"/>
        <w:ind w:firstLine="720" w:firstLineChars="225"/>
        <w:rPr>
          <w:rFonts w:hint="eastAsia" w:ascii="宋体" w:hAnsi="宋体" w:cs="仿宋_GB2312"/>
          <w:bCs/>
          <w:color w:val="auto"/>
          <w:sz w:val="32"/>
          <w:szCs w:val="32"/>
        </w:rPr>
      </w:pPr>
      <w:r>
        <w:rPr>
          <w:rFonts w:hint="eastAsia" w:ascii="宋体" w:hAnsi="宋体" w:cs="仿宋_GB2312"/>
          <w:bCs/>
          <w:color w:val="auto"/>
          <w:sz w:val="32"/>
          <w:szCs w:val="32"/>
        </w:rPr>
        <w:t xml:space="preserve"> </w:t>
      </w:r>
    </w:p>
    <w:p w14:paraId="4E9ABCD7">
      <w:pPr>
        <w:snapToGrid w:val="0"/>
        <w:spacing w:before="156" w:beforeLines="50" w:after="50"/>
        <w:ind w:firstLine="720" w:firstLineChars="225"/>
        <w:rPr>
          <w:rFonts w:hint="eastAsia" w:ascii="宋体" w:hAnsi="宋体" w:cs="仿宋_GB2312"/>
          <w:bCs/>
          <w:color w:val="auto"/>
          <w:sz w:val="32"/>
          <w:szCs w:val="32"/>
        </w:rPr>
      </w:pPr>
      <w:r>
        <w:rPr>
          <w:rFonts w:hint="eastAsia" w:ascii="宋体" w:hAnsi="宋体" w:cs="仿宋_GB2312"/>
          <w:bCs/>
          <w:color w:val="auto"/>
          <w:sz w:val="32"/>
          <w:szCs w:val="32"/>
        </w:rPr>
        <w:t>所竞分标：（若没有则填“无”）</w:t>
      </w:r>
    </w:p>
    <w:p w14:paraId="5208F4DD">
      <w:pPr>
        <w:snapToGrid w:val="0"/>
        <w:spacing w:before="156" w:beforeLines="50" w:after="50"/>
        <w:ind w:firstLine="720" w:firstLineChars="225"/>
        <w:rPr>
          <w:rFonts w:hint="eastAsia" w:ascii="宋体" w:hAnsi="宋体" w:cs="仿宋_GB2312"/>
          <w:bCs/>
          <w:color w:val="auto"/>
          <w:sz w:val="32"/>
          <w:szCs w:val="32"/>
        </w:rPr>
      </w:pPr>
    </w:p>
    <w:p w14:paraId="2CF4F6DD">
      <w:pPr>
        <w:pStyle w:val="8"/>
        <w:snapToGrid w:val="0"/>
        <w:spacing w:before="50" w:after="50"/>
        <w:ind w:firstLine="720" w:firstLineChars="225"/>
        <w:rPr>
          <w:rFonts w:hint="eastAsia" w:ascii="宋体" w:hAnsi="宋体" w:cs="仿宋_GB2312"/>
          <w:bCs/>
          <w:color w:val="auto"/>
          <w:sz w:val="32"/>
          <w:szCs w:val="32"/>
        </w:rPr>
      </w:pPr>
      <w:r>
        <w:rPr>
          <w:rFonts w:hint="eastAsia" w:ascii="宋体" w:hAnsi="宋体" w:cs="仿宋_GB2312"/>
          <w:bCs/>
          <w:color w:val="auto"/>
          <w:sz w:val="32"/>
          <w:szCs w:val="32"/>
        </w:rPr>
        <w:t>供应商名称：</w:t>
      </w:r>
    </w:p>
    <w:p w14:paraId="152C8636">
      <w:pPr>
        <w:pStyle w:val="8"/>
        <w:snapToGrid w:val="0"/>
        <w:spacing w:before="50" w:after="50"/>
        <w:ind w:firstLine="720" w:firstLineChars="225"/>
        <w:rPr>
          <w:rFonts w:hint="eastAsia" w:ascii="宋体" w:hAnsi="宋体" w:cs="仿宋_GB2312"/>
          <w:bCs/>
          <w:color w:val="auto"/>
          <w:sz w:val="32"/>
          <w:szCs w:val="32"/>
        </w:rPr>
      </w:pPr>
    </w:p>
    <w:p w14:paraId="55792AF9">
      <w:pPr>
        <w:pStyle w:val="8"/>
        <w:snapToGrid w:val="0"/>
        <w:spacing w:before="50" w:after="50"/>
        <w:ind w:firstLine="720" w:firstLineChars="225"/>
        <w:rPr>
          <w:rFonts w:hint="eastAsia" w:ascii="宋体" w:hAnsi="宋体" w:cs="仿宋_GB2312"/>
          <w:bCs/>
          <w:color w:val="auto"/>
          <w:sz w:val="32"/>
          <w:szCs w:val="32"/>
        </w:rPr>
      </w:pPr>
    </w:p>
    <w:p w14:paraId="2658A0F0">
      <w:pPr>
        <w:pStyle w:val="8"/>
        <w:snapToGrid w:val="0"/>
        <w:spacing w:before="50" w:after="50"/>
        <w:ind w:firstLine="720" w:firstLineChars="225"/>
        <w:rPr>
          <w:rFonts w:hint="eastAsia" w:ascii="宋体" w:hAnsi="宋体" w:cs="仿宋_GB2312"/>
          <w:bCs/>
          <w:color w:val="auto"/>
          <w:sz w:val="32"/>
          <w:szCs w:val="32"/>
        </w:rPr>
      </w:pPr>
    </w:p>
    <w:p w14:paraId="7B6A0837">
      <w:pPr>
        <w:pStyle w:val="8"/>
        <w:snapToGrid w:val="0"/>
        <w:spacing w:before="50" w:after="50"/>
        <w:ind w:firstLine="1280" w:firstLineChars="400"/>
        <w:rPr>
          <w:rFonts w:hint="eastAsia" w:ascii="宋体" w:hAnsi="宋体" w:cs="仿宋_GB2312"/>
          <w:bCs/>
          <w:color w:val="auto"/>
          <w:sz w:val="32"/>
          <w:szCs w:val="32"/>
        </w:rPr>
      </w:pPr>
    </w:p>
    <w:p w14:paraId="6C78A194">
      <w:pPr>
        <w:snapToGrid w:val="0"/>
        <w:spacing w:before="156" w:beforeLines="50" w:after="50"/>
        <w:jc w:val="center"/>
        <w:rPr>
          <w:rFonts w:hint="eastAsia" w:ascii="宋体" w:hAnsi="宋体" w:cs="仿宋_GB2312"/>
          <w:color w:val="auto"/>
          <w:sz w:val="32"/>
          <w:szCs w:val="32"/>
        </w:rPr>
      </w:pPr>
      <w:r>
        <w:rPr>
          <w:rFonts w:hint="eastAsia" w:ascii="宋体" w:hAnsi="宋体" w:cs="仿宋_GB2312"/>
          <w:color w:val="auto"/>
          <w:sz w:val="32"/>
          <w:szCs w:val="32"/>
        </w:rPr>
        <w:t>年    月    日</w:t>
      </w:r>
    </w:p>
    <w:p w14:paraId="3ECA378C">
      <w:pPr>
        <w:snapToGrid w:val="0"/>
        <w:spacing w:before="156" w:beforeLines="50" w:after="50" w:line="360" w:lineRule="auto"/>
        <w:ind w:left="142"/>
        <w:jc w:val="left"/>
        <w:rPr>
          <w:rFonts w:hint="eastAsia" w:ascii="宋体" w:hAnsi="宋体"/>
          <w:b/>
          <w:bCs/>
          <w:color w:val="auto"/>
          <w:sz w:val="32"/>
          <w:szCs w:val="32"/>
        </w:rPr>
      </w:pPr>
      <w:r>
        <w:rPr>
          <w:rFonts w:ascii="宋体" w:hAnsi="宋体"/>
          <w:color w:val="auto"/>
          <w:sz w:val="24"/>
        </w:rPr>
        <w:br w:type="page"/>
      </w:r>
      <w:r>
        <w:rPr>
          <w:rFonts w:hint="eastAsia" w:ascii="宋体" w:hAnsi="宋体"/>
          <w:b/>
          <w:bCs/>
          <w:color w:val="auto"/>
          <w:sz w:val="32"/>
          <w:szCs w:val="32"/>
        </w:rPr>
        <w:t>2.资格证明文件目录</w:t>
      </w:r>
    </w:p>
    <w:p w14:paraId="73AC0DDF">
      <w:pPr>
        <w:snapToGrid w:val="0"/>
        <w:spacing w:before="156" w:beforeLines="50" w:after="50" w:line="360" w:lineRule="auto"/>
        <w:ind w:firstLine="645"/>
        <w:rPr>
          <w:rFonts w:ascii="宋体" w:hAnsi="宋体"/>
          <w:color w:val="auto"/>
          <w:sz w:val="32"/>
          <w:szCs w:val="32"/>
        </w:rPr>
      </w:pPr>
      <w:r>
        <w:rPr>
          <w:rFonts w:hint="eastAsia" w:ascii="宋体" w:hAnsi="宋体"/>
          <w:color w:val="auto"/>
          <w:sz w:val="32"/>
          <w:szCs w:val="32"/>
        </w:rPr>
        <w:t>根据磋商文件规定及供应商提供的材料自行编写目录（部分格式后附）。</w:t>
      </w:r>
    </w:p>
    <w:p w14:paraId="010BD009">
      <w:pPr>
        <w:snapToGrid w:val="0"/>
        <w:spacing w:before="156" w:beforeLines="50" w:after="50"/>
        <w:rPr>
          <w:rFonts w:ascii="宋体" w:hAnsi="宋体"/>
          <w:color w:val="auto"/>
          <w:sz w:val="24"/>
          <w:szCs w:val="20"/>
        </w:rPr>
      </w:pPr>
      <w:r>
        <w:rPr>
          <w:rFonts w:ascii="宋体" w:hAnsi="宋体"/>
          <w:color w:val="auto"/>
          <w:sz w:val="24"/>
          <w:szCs w:val="20"/>
        </w:rPr>
        <w:t xml:space="preserve"> </w:t>
      </w:r>
    </w:p>
    <w:p w14:paraId="0FA407B6">
      <w:pPr>
        <w:spacing w:line="300" w:lineRule="auto"/>
        <w:rPr>
          <w:rFonts w:hint="eastAsia" w:ascii="宋体" w:hAnsi="宋体"/>
          <w:color w:val="auto"/>
          <w:szCs w:val="21"/>
        </w:rPr>
      </w:pPr>
    </w:p>
    <w:p w14:paraId="07D54BA1">
      <w:pPr>
        <w:spacing w:line="300" w:lineRule="auto"/>
        <w:rPr>
          <w:rFonts w:hint="eastAsia" w:ascii="宋体" w:hAnsi="宋体"/>
          <w:color w:val="auto"/>
          <w:szCs w:val="21"/>
        </w:rPr>
      </w:pPr>
    </w:p>
    <w:p w14:paraId="4EC43B21">
      <w:pPr>
        <w:spacing w:line="300" w:lineRule="auto"/>
        <w:rPr>
          <w:rFonts w:hint="eastAsia" w:ascii="宋体" w:hAnsi="宋体"/>
          <w:color w:val="auto"/>
          <w:szCs w:val="21"/>
        </w:rPr>
      </w:pPr>
    </w:p>
    <w:p w14:paraId="7B990EC3">
      <w:pPr>
        <w:spacing w:line="300" w:lineRule="auto"/>
        <w:rPr>
          <w:rFonts w:hint="eastAsia" w:ascii="宋体" w:hAnsi="宋体"/>
          <w:color w:val="auto"/>
          <w:szCs w:val="21"/>
        </w:rPr>
      </w:pPr>
    </w:p>
    <w:p w14:paraId="70165DC2">
      <w:pPr>
        <w:spacing w:line="300" w:lineRule="auto"/>
        <w:rPr>
          <w:rFonts w:hint="eastAsia" w:ascii="宋体" w:hAnsi="宋体"/>
          <w:color w:val="auto"/>
          <w:szCs w:val="21"/>
        </w:rPr>
      </w:pPr>
    </w:p>
    <w:p w14:paraId="5ECACAA3">
      <w:pPr>
        <w:spacing w:line="300" w:lineRule="auto"/>
        <w:rPr>
          <w:rFonts w:hint="eastAsia" w:ascii="宋体" w:hAnsi="宋体"/>
          <w:color w:val="auto"/>
          <w:szCs w:val="21"/>
        </w:rPr>
      </w:pPr>
    </w:p>
    <w:p w14:paraId="01431F18">
      <w:pPr>
        <w:spacing w:line="300" w:lineRule="auto"/>
        <w:rPr>
          <w:rFonts w:hint="eastAsia" w:ascii="宋体" w:hAnsi="宋体"/>
          <w:color w:val="auto"/>
          <w:szCs w:val="21"/>
        </w:rPr>
      </w:pPr>
    </w:p>
    <w:p w14:paraId="60A2F9E4">
      <w:pPr>
        <w:spacing w:line="300" w:lineRule="auto"/>
        <w:rPr>
          <w:rFonts w:hint="eastAsia" w:ascii="宋体" w:hAnsi="宋体"/>
          <w:color w:val="auto"/>
          <w:szCs w:val="21"/>
        </w:rPr>
      </w:pPr>
    </w:p>
    <w:p w14:paraId="320E9541">
      <w:pPr>
        <w:spacing w:line="300" w:lineRule="auto"/>
        <w:rPr>
          <w:rFonts w:hint="eastAsia" w:ascii="宋体" w:hAnsi="宋体"/>
          <w:color w:val="auto"/>
          <w:szCs w:val="21"/>
        </w:rPr>
      </w:pPr>
    </w:p>
    <w:p w14:paraId="3554EC90">
      <w:pPr>
        <w:spacing w:line="300" w:lineRule="auto"/>
        <w:rPr>
          <w:rFonts w:hint="eastAsia" w:ascii="宋体" w:hAnsi="宋体"/>
          <w:color w:val="auto"/>
          <w:szCs w:val="21"/>
        </w:rPr>
      </w:pPr>
    </w:p>
    <w:p w14:paraId="14EA3E73">
      <w:pPr>
        <w:spacing w:line="300" w:lineRule="auto"/>
        <w:rPr>
          <w:rFonts w:hint="eastAsia" w:ascii="宋体" w:hAnsi="宋体"/>
          <w:color w:val="auto"/>
          <w:szCs w:val="21"/>
        </w:rPr>
      </w:pPr>
    </w:p>
    <w:p w14:paraId="38C320FE">
      <w:pPr>
        <w:spacing w:line="300" w:lineRule="auto"/>
        <w:rPr>
          <w:rFonts w:hint="eastAsia" w:ascii="宋体" w:hAnsi="宋体"/>
          <w:color w:val="auto"/>
          <w:szCs w:val="21"/>
        </w:rPr>
      </w:pPr>
    </w:p>
    <w:p w14:paraId="142FB14B">
      <w:pPr>
        <w:spacing w:line="300" w:lineRule="auto"/>
        <w:rPr>
          <w:rFonts w:hint="eastAsia" w:ascii="宋体" w:hAnsi="宋体"/>
          <w:color w:val="auto"/>
          <w:szCs w:val="21"/>
        </w:rPr>
      </w:pPr>
    </w:p>
    <w:p w14:paraId="4F81D61C">
      <w:pPr>
        <w:spacing w:line="300" w:lineRule="auto"/>
        <w:rPr>
          <w:rFonts w:hint="eastAsia" w:ascii="宋体" w:hAnsi="宋体"/>
          <w:color w:val="auto"/>
          <w:szCs w:val="21"/>
        </w:rPr>
      </w:pPr>
    </w:p>
    <w:p w14:paraId="57397585">
      <w:pPr>
        <w:spacing w:line="300" w:lineRule="auto"/>
        <w:rPr>
          <w:rFonts w:hint="eastAsia" w:ascii="宋体" w:hAnsi="宋体"/>
          <w:color w:val="auto"/>
          <w:szCs w:val="21"/>
        </w:rPr>
      </w:pPr>
    </w:p>
    <w:p w14:paraId="532DDB4B">
      <w:pPr>
        <w:spacing w:line="320" w:lineRule="exact"/>
        <w:jc w:val="left"/>
        <w:rPr>
          <w:rFonts w:hint="eastAsia" w:ascii="宋体" w:hAnsi="宋体"/>
          <w:color w:val="auto"/>
          <w:szCs w:val="21"/>
        </w:rPr>
      </w:pPr>
      <w:r>
        <w:rPr>
          <w:rFonts w:ascii="宋体" w:hAnsi="宋体"/>
          <w:color w:val="auto"/>
          <w:szCs w:val="21"/>
        </w:rPr>
        <w:br w:type="page"/>
      </w:r>
      <w:r>
        <w:rPr>
          <w:rFonts w:hint="eastAsia" w:ascii="宋体" w:hAnsi="宋体"/>
          <w:color w:val="auto"/>
          <w:szCs w:val="21"/>
        </w:rPr>
        <w:t xml:space="preserve"> </w:t>
      </w:r>
    </w:p>
    <w:p w14:paraId="14D2C6BD">
      <w:pPr>
        <w:wordWrap w:val="0"/>
        <w:spacing w:before="156" w:beforeLines="50" w:after="50" w:line="320" w:lineRule="exact"/>
        <w:ind w:right="482" w:firstLine="210" w:firstLineChars="100"/>
        <w:contextualSpacing/>
        <w:jc w:val="center"/>
        <w:rPr>
          <w:rFonts w:hint="eastAsia" w:ascii="宋体" w:hAnsi="宋体"/>
          <w:color w:val="auto"/>
          <w:szCs w:val="21"/>
        </w:rPr>
      </w:pPr>
    </w:p>
    <w:p w14:paraId="2F155966">
      <w:pPr>
        <w:spacing w:line="320" w:lineRule="exact"/>
        <w:jc w:val="center"/>
        <w:rPr>
          <w:rFonts w:hint="eastAsia" w:ascii="宋体" w:hAnsi="宋体"/>
          <w:b/>
          <w:color w:val="auto"/>
          <w:sz w:val="32"/>
          <w:szCs w:val="32"/>
        </w:rPr>
      </w:pPr>
      <w:r>
        <w:rPr>
          <w:rFonts w:hint="eastAsia" w:ascii="宋体" w:hAnsi="宋体"/>
          <w:b/>
          <w:color w:val="auto"/>
          <w:sz w:val="32"/>
          <w:szCs w:val="32"/>
        </w:rPr>
        <w:t>供应商直接控股、管理关系信息表</w:t>
      </w:r>
    </w:p>
    <w:p w14:paraId="2D9F1BC1">
      <w:pPr>
        <w:snapToGrid w:val="0"/>
        <w:spacing w:before="156" w:beforeLines="50" w:after="50" w:line="360" w:lineRule="auto"/>
        <w:jc w:val="center"/>
        <w:rPr>
          <w:rFonts w:hint="eastAsia" w:ascii="宋体" w:hAnsi="宋体"/>
          <w:b/>
          <w:color w:val="auto"/>
          <w:sz w:val="24"/>
        </w:rPr>
      </w:pPr>
    </w:p>
    <w:p w14:paraId="3BD6A5B6">
      <w:pPr>
        <w:spacing w:line="360" w:lineRule="auto"/>
        <w:contextualSpacing/>
        <w:jc w:val="center"/>
        <w:rPr>
          <w:rFonts w:hint="eastAsia" w:ascii="宋体" w:hAnsi="宋体"/>
          <w:b/>
          <w:color w:val="auto"/>
          <w:sz w:val="32"/>
          <w:szCs w:val="32"/>
        </w:rPr>
      </w:pPr>
      <w:r>
        <w:rPr>
          <w:rFonts w:hint="eastAsia" w:ascii="宋体" w:hAnsi="宋体"/>
          <w:b/>
          <w:color w:val="auto"/>
          <w:sz w:val="32"/>
          <w:szCs w:val="32"/>
        </w:rPr>
        <w:t>供应商直接控股股东信息表</w:t>
      </w:r>
    </w:p>
    <w:p w14:paraId="716E1D07">
      <w:pPr>
        <w:spacing w:line="360" w:lineRule="auto"/>
        <w:contextualSpacing/>
        <w:jc w:val="center"/>
        <w:rPr>
          <w:rFonts w:hint="eastAsia" w:ascii="宋体" w:hAnsi="宋体"/>
          <w:b/>
          <w:color w:val="auto"/>
          <w:sz w:val="24"/>
        </w:rPr>
      </w:pPr>
    </w:p>
    <w:tbl>
      <w:tblPr>
        <w:tblStyle w:val="27"/>
        <w:tblW w:w="9520" w:type="dxa"/>
        <w:jc w:val="center"/>
        <w:shd w:val="clear" w:color="auto" w:fill="FBFBFB"/>
        <w:tblLayout w:type="fixed"/>
        <w:tblCellMar>
          <w:top w:w="0" w:type="dxa"/>
          <w:left w:w="0" w:type="dxa"/>
          <w:bottom w:w="0" w:type="dxa"/>
          <w:right w:w="0" w:type="dxa"/>
        </w:tblCellMar>
      </w:tblPr>
      <w:tblGrid>
        <w:gridCol w:w="880"/>
        <w:gridCol w:w="2655"/>
        <w:gridCol w:w="1252"/>
        <w:gridCol w:w="3987"/>
        <w:gridCol w:w="746"/>
      </w:tblGrid>
      <w:tr w14:paraId="751C1E9F">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CFBFCC0">
            <w:pPr>
              <w:widowControl/>
              <w:spacing w:line="360" w:lineRule="auto"/>
              <w:contextualSpacing/>
              <w:jc w:val="center"/>
              <w:rPr>
                <w:rFonts w:hint="eastAsia" w:ascii="宋体" w:hAnsi="宋体" w:cs="宋体"/>
                <w:b/>
                <w:bCs/>
                <w:color w:val="auto"/>
                <w:kern w:val="0"/>
                <w:sz w:val="24"/>
              </w:rPr>
            </w:pPr>
            <w:r>
              <w:rPr>
                <w:rFonts w:hint="eastAsia" w:ascii="宋体" w:hAnsi="宋体" w:cs="宋体"/>
                <w:b/>
                <w:bCs/>
                <w:color w:val="auto"/>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7CB95F4">
            <w:pPr>
              <w:widowControl/>
              <w:spacing w:line="360" w:lineRule="auto"/>
              <w:contextualSpacing/>
              <w:jc w:val="center"/>
              <w:rPr>
                <w:rFonts w:hint="eastAsia" w:ascii="宋体" w:hAnsi="宋体" w:cs="宋体"/>
                <w:b/>
                <w:bCs/>
                <w:color w:val="auto"/>
                <w:kern w:val="0"/>
                <w:sz w:val="24"/>
              </w:rPr>
            </w:pPr>
            <w:r>
              <w:rPr>
                <w:rFonts w:hint="eastAsia" w:ascii="宋体" w:hAnsi="宋体" w:cs="宋体"/>
                <w:b/>
                <w:bCs/>
                <w:color w:val="auto"/>
                <w:kern w:val="0"/>
                <w:sz w:val="24"/>
              </w:rPr>
              <w:t>直接控股股东名称</w:t>
            </w:r>
          </w:p>
        </w:tc>
        <w:tc>
          <w:tcPr>
            <w:tcW w:w="125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638ED4E">
            <w:pPr>
              <w:widowControl/>
              <w:spacing w:line="360" w:lineRule="auto"/>
              <w:contextualSpacing/>
              <w:jc w:val="center"/>
              <w:rPr>
                <w:rFonts w:hint="eastAsia" w:ascii="宋体" w:hAnsi="宋体" w:cs="宋体"/>
                <w:b/>
                <w:bCs/>
                <w:color w:val="auto"/>
                <w:kern w:val="0"/>
                <w:sz w:val="24"/>
              </w:rPr>
            </w:pPr>
            <w:r>
              <w:rPr>
                <w:rFonts w:hint="eastAsia" w:ascii="宋体" w:hAnsi="宋体" w:cs="宋体"/>
                <w:b/>
                <w:bCs/>
                <w:color w:val="auto"/>
                <w:kern w:val="0"/>
                <w:sz w:val="24"/>
              </w:rPr>
              <w:t>出资比例</w:t>
            </w:r>
          </w:p>
        </w:tc>
        <w:tc>
          <w:tcPr>
            <w:tcW w:w="39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72B6A9B">
            <w:pPr>
              <w:widowControl/>
              <w:spacing w:line="360" w:lineRule="auto"/>
              <w:contextualSpacing/>
              <w:jc w:val="center"/>
              <w:rPr>
                <w:rFonts w:hint="eastAsia" w:ascii="宋体" w:hAnsi="宋体" w:cs="宋体"/>
                <w:b/>
                <w:bCs/>
                <w:color w:val="auto"/>
                <w:kern w:val="0"/>
                <w:sz w:val="24"/>
              </w:rPr>
            </w:pPr>
            <w:r>
              <w:rPr>
                <w:rFonts w:hint="eastAsia" w:ascii="宋体" w:hAnsi="宋体" w:cs="宋体"/>
                <w:b/>
                <w:bCs/>
                <w:color w:val="auto"/>
                <w:kern w:val="0"/>
                <w:sz w:val="24"/>
              </w:rPr>
              <w:t>身份证号码或者统一社会信用代码</w:t>
            </w:r>
          </w:p>
        </w:tc>
        <w:tc>
          <w:tcPr>
            <w:tcW w:w="746"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3AB28B1">
            <w:pPr>
              <w:widowControl/>
              <w:spacing w:line="360" w:lineRule="auto"/>
              <w:contextualSpacing/>
              <w:jc w:val="center"/>
              <w:rPr>
                <w:rFonts w:hint="eastAsia" w:ascii="宋体" w:hAnsi="宋体" w:cs="宋体"/>
                <w:b/>
                <w:bCs/>
                <w:color w:val="auto"/>
                <w:kern w:val="0"/>
                <w:sz w:val="24"/>
              </w:rPr>
            </w:pPr>
            <w:r>
              <w:rPr>
                <w:rFonts w:hint="eastAsia" w:ascii="宋体" w:hAnsi="宋体" w:cs="宋体"/>
                <w:b/>
                <w:bCs/>
                <w:color w:val="auto"/>
                <w:kern w:val="0"/>
                <w:sz w:val="24"/>
              </w:rPr>
              <w:t>备注</w:t>
            </w:r>
          </w:p>
        </w:tc>
      </w:tr>
      <w:tr w14:paraId="799DFB24">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9C64CB6">
            <w:pPr>
              <w:widowControl/>
              <w:spacing w:line="360" w:lineRule="auto"/>
              <w:contextualSpacing/>
              <w:jc w:val="center"/>
              <w:rPr>
                <w:rFonts w:hint="eastAsia" w:ascii="宋体" w:hAnsi="宋体" w:cs="宋体"/>
                <w:color w:val="auto"/>
                <w:kern w:val="0"/>
                <w:sz w:val="24"/>
              </w:rPr>
            </w:pPr>
            <w:r>
              <w:rPr>
                <w:rFonts w:hint="eastAsia" w:ascii="宋体" w:hAnsi="宋体" w:cs="宋体"/>
                <w:color w:val="auto"/>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53E04BC">
            <w:pPr>
              <w:widowControl/>
              <w:spacing w:line="360" w:lineRule="auto"/>
              <w:contextualSpacing/>
              <w:jc w:val="center"/>
              <w:rPr>
                <w:rFonts w:hint="eastAsia" w:ascii="宋体" w:hAnsi="宋体" w:cs="宋体"/>
                <w:color w:val="auto"/>
                <w:kern w:val="0"/>
                <w:sz w:val="24"/>
              </w:rPr>
            </w:pPr>
          </w:p>
        </w:tc>
        <w:tc>
          <w:tcPr>
            <w:tcW w:w="125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3D28B80">
            <w:pPr>
              <w:widowControl/>
              <w:spacing w:line="360" w:lineRule="auto"/>
              <w:contextualSpacing/>
              <w:jc w:val="center"/>
              <w:rPr>
                <w:rFonts w:hint="eastAsia" w:ascii="宋体" w:hAnsi="宋体" w:cs="宋体"/>
                <w:color w:val="auto"/>
                <w:kern w:val="0"/>
                <w:sz w:val="24"/>
              </w:rPr>
            </w:pPr>
          </w:p>
        </w:tc>
        <w:tc>
          <w:tcPr>
            <w:tcW w:w="39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BFFF796">
            <w:pPr>
              <w:widowControl/>
              <w:spacing w:line="360" w:lineRule="auto"/>
              <w:contextualSpacing/>
              <w:jc w:val="center"/>
              <w:rPr>
                <w:rFonts w:hint="eastAsia" w:ascii="宋体" w:hAnsi="宋体" w:cs="宋体"/>
                <w:color w:val="auto"/>
                <w:kern w:val="0"/>
                <w:sz w:val="24"/>
              </w:rPr>
            </w:pPr>
          </w:p>
        </w:tc>
        <w:tc>
          <w:tcPr>
            <w:tcW w:w="746"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2C55A62">
            <w:pPr>
              <w:widowControl/>
              <w:spacing w:line="360" w:lineRule="auto"/>
              <w:contextualSpacing/>
              <w:jc w:val="center"/>
              <w:rPr>
                <w:rFonts w:hint="eastAsia" w:ascii="宋体" w:hAnsi="宋体" w:cs="宋体"/>
                <w:color w:val="auto"/>
                <w:kern w:val="0"/>
                <w:sz w:val="24"/>
              </w:rPr>
            </w:pPr>
          </w:p>
        </w:tc>
      </w:tr>
      <w:tr w14:paraId="53D822BB">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CD96594">
            <w:pPr>
              <w:widowControl/>
              <w:spacing w:line="360" w:lineRule="auto"/>
              <w:contextualSpacing/>
              <w:jc w:val="center"/>
              <w:rPr>
                <w:rFonts w:hint="eastAsia" w:ascii="宋体" w:hAnsi="宋体" w:cs="宋体"/>
                <w:color w:val="auto"/>
                <w:kern w:val="0"/>
                <w:sz w:val="24"/>
              </w:rPr>
            </w:pPr>
            <w:r>
              <w:rPr>
                <w:rFonts w:hint="eastAsia" w:ascii="宋体" w:hAnsi="宋体" w:cs="宋体"/>
                <w:color w:val="auto"/>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8E3FDDE">
            <w:pPr>
              <w:widowControl/>
              <w:spacing w:line="360" w:lineRule="auto"/>
              <w:contextualSpacing/>
              <w:jc w:val="center"/>
              <w:rPr>
                <w:rFonts w:hint="eastAsia" w:ascii="宋体" w:hAnsi="宋体" w:cs="宋体"/>
                <w:color w:val="auto"/>
                <w:kern w:val="0"/>
                <w:sz w:val="24"/>
              </w:rPr>
            </w:pPr>
          </w:p>
        </w:tc>
        <w:tc>
          <w:tcPr>
            <w:tcW w:w="125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467902A">
            <w:pPr>
              <w:widowControl/>
              <w:spacing w:line="360" w:lineRule="auto"/>
              <w:contextualSpacing/>
              <w:jc w:val="center"/>
              <w:rPr>
                <w:rFonts w:hint="eastAsia" w:ascii="宋体" w:hAnsi="宋体" w:cs="宋体"/>
                <w:color w:val="auto"/>
                <w:kern w:val="0"/>
                <w:sz w:val="24"/>
              </w:rPr>
            </w:pPr>
          </w:p>
        </w:tc>
        <w:tc>
          <w:tcPr>
            <w:tcW w:w="39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516DCFA">
            <w:pPr>
              <w:widowControl/>
              <w:spacing w:line="360" w:lineRule="auto"/>
              <w:contextualSpacing/>
              <w:jc w:val="center"/>
              <w:rPr>
                <w:rFonts w:hint="eastAsia" w:ascii="宋体" w:hAnsi="宋体" w:cs="宋体"/>
                <w:color w:val="auto"/>
                <w:kern w:val="0"/>
                <w:sz w:val="24"/>
              </w:rPr>
            </w:pPr>
          </w:p>
        </w:tc>
        <w:tc>
          <w:tcPr>
            <w:tcW w:w="746"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B484B94">
            <w:pPr>
              <w:widowControl/>
              <w:spacing w:line="360" w:lineRule="auto"/>
              <w:contextualSpacing/>
              <w:jc w:val="center"/>
              <w:rPr>
                <w:rFonts w:hint="eastAsia" w:ascii="宋体" w:hAnsi="宋体" w:cs="宋体"/>
                <w:color w:val="auto"/>
                <w:kern w:val="0"/>
                <w:sz w:val="24"/>
              </w:rPr>
            </w:pPr>
          </w:p>
        </w:tc>
      </w:tr>
      <w:tr w14:paraId="01D93B3F">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FC4CDAB">
            <w:pPr>
              <w:widowControl/>
              <w:spacing w:line="360" w:lineRule="auto"/>
              <w:contextualSpacing/>
              <w:jc w:val="center"/>
              <w:rPr>
                <w:rFonts w:hint="eastAsia" w:ascii="宋体" w:hAnsi="宋体" w:cs="宋体"/>
                <w:color w:val="auto"/>
                <w:kern w:val="0"/>
                <w:sz w:val="24"/>
              </w:rPr>
            </w:pPr>
            <w:r>
              <w:rPr>
                <w:rFonts w:hint="eastAsia" w:ascii="宋体" w:hAnsi="宋体" w:cs="宋体"/>
                <w:color w:val="auto"/>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6F8867E">
            <w:pPr>
              <w:widowControl/>
              <w:spacing w:line="360" w:lineRule="auto"/>
              <w:contextualSpacing/>
              <w:jc w:val="center"/>
              <w:rPr>
                <w:rFonts w:hint="eastAsia" w:ascii="宋体" w:hAnsi="宋体" w:cs="宋体"/>
                <w:color w:val="auto"/>
                <w:kern w:val="0"/>
                <w:sz w:val="24"/>
              </w:rPr>
            </w:pPr>
          </w:p>
        </w:tc>
        <w:tc>
          <w:tcPr>
            <w:tcW w:w="125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923FA22">
            <w:pPr>
              <w:widowControl/>
              <w:spacing w:line="360" w:lineRule="auto"/>
              <w:contextualSpacing/>
              <w:jc w:val="center"/>
              <w:rPr>
                <w:rFonts w:hint="eastAsia" w:ascii="宋体" w:hAnsi="宋体" w:cs="宋体"/>
                <w:color w:val="auto"/>
                <w:kern w:val="0"/>
                <w:sz w:val="24"/>
              </w:rPr>
            </w:pPr>
          </w:p>
        </w:tc>
        <w:tc>
          <w:tcPr>
            <w:tcW w:w="39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B69EA4E">
            <w:pPr>
              <w:widowControl/>
              <w:spacing w:line="360" w:lineRule="auto"/>
              <w:contextualSpacing/>
              <w:jc w:val="center"/>
              <w:rPr>
                <w:rFonts w:hint="eastAsia" w:ascii="宋体" w:hAnsi="宋体" w:cs="宋体"/>
                <w:color w:val="auto"/>
                <w:kern w:val="0"/>
                <w:sz w:val="24"/>
              </w:rPr>
            </w:pPr>
          </w:p>
        </w:tc>
        <w:tc>
          <w:tcPr>
            <w:tcW w:w="746"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EA4576F">
            <w:pPr>
              <w:widowControl/>
              <w:spacing w:line="360" w:lineRule="auto"/>
              <w:contextualSpacing/>
              <w:jc w:val="center"/>
              <w:rPr>
                <w:rFonts w:hint="eastAsia" w:ascii="宋体" w:hAnsi="宋体" w:cs="宋体"/>
                <w:color w:val="auto"/>
                <w:kern w:val="0"/>
                <w:sz w:val="24"/>
              </w:rPr>
            </w:pPr>
          </w:p>
        </w:tc>
      </w:tr>
      <w:tr w14:paraId="35D4F41F">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E2A122C">
            <w:pPr>
              <w:widowControl/>
              <w:spacing w:line="360" w:lineRule="auto"/>
              <w:contextualSpacing/>
              <w:jc w:val="center"/>
              <w:rPr>
                <w:rFonts w:hint="eastAsia" w:ascii="宋体" w:hAnsi="宋体" w:cs="宋体"/>
                <w:color w:val="auto"/>
                <w:kern w:val="0"/>
                <w:sz w:val="24"/>
              </w:rPr>
            </w:pPr>
            <w:r>
              <w:rPr>
                <w:rFonts w:hint="eastAsia" w:ascii="宋体" w:hAnsi="宋体" w:cs="宋体"/>
                <w:color w:val="auto"/>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C81BD42">
            <w:pPr>
              <w:widowControl/>
              <w:spacing w:line="360" w:lineRule="auto"/>
              <w:contextualSpacing/>
              <w:jc w:val="center"/>
              <w:rPr>
                <w:rFonts w:hint="eastAsia" w:ascii="宋体" w:hAnsi="宋体" w:cs="宋体"/>
                <w:color w:val="auto"/>
                <w:kern w:val="0"/>
                <w:sz w:val="24"/>
              </w:rPr>
            </w:pPr>
          </w:p>
        </w:tc>
        <w:tc>
          <w:tcPr>
            <w:tcW w:w="125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EA4FDA3">
            <w:pPr>
              <w:widowControl/>
              <w:spacing w:line="360" w:lineRule="auto"/>
              <w:contextualSpacing/>
              <w:jc w:val="center"/>
              <w:rPr>
                <w:rFonts w:hint="eastAsia" w:ascii="宋体" w:hAnsi="宋体" w:cs="宋体"/>
                <w:color w:val="auto"/>
                <w:kern w:val="0"/>
                <w:sz w:val="24"/>
              </w:rPr>
            </w:pPr>
          </w:p>
        </w:tc>
        <w:tc>
          <w:tcPr>
            <w:tcW w:w="39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A6DA464">
            <w:pPr>
              <w:widowControl/>
              <w:spacing w:line="360" w:lineRule="auto"/>
              <w:contextualSpacing/>
              <w:jc w:val="center"/>
              <w:rPr>
                <w:rFonts w:hint="eastAsia" w:ascii="宋体" w:hAnsi="宋体" w:cs="宋体"/>
                <w:color w:val="auto"/>
                <w:kern w:val="0"/>
                <w:sz w:val="24"/>
              </w:rPr>
            </w:pPr>
          </w:p>
        </w:tc>
        <w:tc>
          <w:tcPr>
            <w:tcW w:w="746"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FA3450D">
            <w:pPr>
              <w:widowControl/>
              <w:spacing w:line="360" w:lineRule="auto"/>
              <w:contextualSpacing/>
              <w:jc w:val="center"/>
              <w:rPr>
                <w:rFonts w:hint="eastAsia" w:ascii="宋体" w:hAnsi="宋体" w:cs="宋体"/>
                <w:color w:val="auto"/>
                <w:kern w:val="0"/>
                <w:sz w:val="24"/>
              </w:rPr>
            </w:pPr>
          </w:p>
        </w:tc>
      </w:tr>
    </w:tbl>
    <w:p w14:paraId="1D8FEDD3">
      <w:pPr>
        <w:spacing w:line="360" w:lineRule="auto"/>
        <w:contextualSpacing/>
        <w:jc w:val="left"/>
        <w:rPr>
          <w:rFonts w:hint="eastAsia" w:ascii="宋体" w:hAnsi="宋体" w:cs="宋体"/>
          <w:color w:val="auto"/>
          <w:sz w:val="24"/>
        </w:rPr>
      </w:pPr>
      <w:r>
        <w:rPr>
          <w:rFonts w:hint="eastAsia" w:ascii="宋体" w:hAnsi="宋体" w:cs="宋体"/>
          <w:color w:val="auto"/>
          <w:sz w:val="24"/>
        </w:rPr>
        <w:t>注：</w:t>
      </w:r>
    </w:p>
    <w:p w14:paraId="4259BE38">
      <w:pPr>
        <w:spacing w:line="360" w:lineRule="auto"/>
        <w:ind w:firstLine="480" w:firstLineChars="200"/>
        <w:contextualSpacing/>
        <w:jc w:val="left"/>
        <w:rPr>
          <w:rFonts w:hint="eastAsia" w:ascii="宋体" w:hAnsi="宋体" w:cs="宋体"/>
          <w:color w:val="auto"/>
          <w:sz w:val="24"/>
        </w:rPr>
      </w:pPr>
      <w:r>
        <w:rPr>
          <w:rFonts w:hint="eastAsia" w:ascii="宋体" w:hAnsi="宋体" w:cs="宋体"/>
          <w:color w:val="auto"/>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920C8A3">
      <w:pPr>
        <w:spacing w:line="360" w:lineRule="auto"/>
        <w:ind w:firstLine="480" w:firstLineChars="200"/>
        <w:contextualSpacing/>
        <w:jc w:val="left"/>
        <w:rPr>
          <w:rFonts w:hint="eastAsia" w:ascii="宋体" w:hAnsi="宋体" w:cs="宋体"/>
          <w:color w:val="auto"/>
          <w:sz w:val="24"/>
        </w:rPr>
      </w:pPr>
      <w:r>
        <w:rPr>
          <w:rFonts w:hint="eastAsia" w:ascii="宋体" w:hAnsi="宋体" w:cs="宋体"/>
          <w:color w:val="auto"/>
          <w:sz w:val="24"/>
        </w:rPr>
        <w:t>2.本表所指的控股关系仅限于直接控股关系，不包括间接的控股关系。公司实际控制人与公司之间的关系不属于本表所指的直接控股关系。</w:t>
      </w:r>
    </w:p>
    <w:p w14:paraId="48A4983C">
      <w:pPr>
        <w:spacing w:line="360" w:lineRule="auto"/>
        <w:ind w:firstLine="480" w:firstLineChars="200"/>
        <w:contextualSpacing/>
        <w:jc w:val="left"/>
        <w:rPr>
          <w:rFonts w:hint="eastAsia" w:ascii="宋体" w:hAnsi="宋体" w:cs="宋体"/>
          <w:color w:val="auto"/>
          <w:sz w:val="24"/>
        </w:rPr>
      </w:pPr>
      <w:r>
        <w:rPr>
          <w:rFonts w:hint="eastAsia" w:ascii="宋体" w:hAnsi="宋体" w:cs="宋体"/>
          <w:color w:val="auto"/>
          <w:sz w:val="24"/>
        </w:rPr>
        <w:t>3.供应商不存在直接控股股东的，则填“无”。</w:t>
      </w:r>
    </w:p>
    <w:p w14:paraId="0745FFF4">
      <w:pPr>
        <w:snapToGrid w:val="0"/>
        <w:spacing w:line="360" w:lineRule="auto"/>
        <w:jc w:val="left"/>
        <w:rPr>
          <w:rFonts w:hint="eastAsia" w:ascii="宋体" w:hAnsi="宋体" w:cs="宋体"/>
          <w:color w:val="auto"/>
          <w:sz w:val="24"/>
        </w:rPr>
      </w:pPr>
    </w:p>
    <w:p w14:paraId="53F1E2EB">
      <w:pPr>
        <w:snapToGrid w:val="0"/>
        <w:spacing w:line="360" w:lineRule="auto"/>
        <w:jc w:val="left"/>
        <w:rPr>
          <w:rFonts w:hint="eastAsia" w:ascii="宋体" w:hAnsi="宋体" w:cs="宋体"/>
          <w:color w:val="auto"/>
          <w:sz w:val="24"/>
        </w:rPr>
      </w:pPr>
    </w:p>
    <w:p w14:paraId="0F16C05A">
      <w:pPr>
        <w:snapToGrid w:val="0"/>
        <w:spacing w:line="360" w:lineRule="auto"/>
        <w:jc w:val="left"/>
        <w:rPr>
          <w:rFonts w:hint="eastAsia" w:ascii="宋体" w:hAnsi="宋体" w:cs="宋体"/>
          <w:color w:val="auto"/>
          <w:sz w:val="24"/>
        </w:rPr>
      </w:pPr>
    </w:p>
    <w:p w14:paraId="1BDF3D9D">
      <w:pPr>
        <w:snapToGrid w:val="0"/>
        <w:spacing w:before="156" w:beforeLines="50" w:line="360" w:lineRule="auto"/>
        <w:ind w:right="480" w:firstLine="1920" w:firstLineChars="800"/>
        <w:rPr>
          <w:rFonts w:hint="eastAsia" w:ascii="宋体" w:hAnsi="宋体" w:cs="宋体"/>
          <w:color w:val="auto"/>
          <w:sz w:val="24"/>
          <w:u w:val="single"/>
        </w:rPr>
      </w:pPr>
      <w:r>
        <w:rPr>
          <w:rFonts w:hint="eastAsia" w:ascii="宋体" w:hAnsi="宋体" w:cs="宋体"/>
          <w:color w:val="auto"/>
          <w:sz w:val="24"/>
        </w:rPr>
        <w:t>法定代表人或者委托代理人签字：</w:t>
      </w:r>
      <w:r>
        <w:rPr>
          <w:rFonts w:hint="eastAsia" w:ascii="宋体" w:hAnsi="宋体" w:cs="宋体"/>
          <w:color w:val="auto"/>
          <w:sz w:val="24"/>
          <w:u w:val="single"/>
        </w:rPr>
        <w:t xml:space="preserve">                </w:t>
      </w:r>
    </w:p>
    <w:p w14:paraId="30447E4F">
      <w:pPr>
        <w:snapToGrid w:val="0"/>
        <w:spacing w:before="156" w:beforeLines="50" w:after="50" w:line="360" w:lineRule="auto"/>
        <w:ind w:right="480" w:firstLine="3000" w:firstLineChars="1250"/>
        <w:rPr>
          <w:rFonts w:hint="eastAsia" w:ascii="宋体" w:hAnsi="宋体" w:cs="宋体"/>
          <w:color w:val="auto"/>
          <w:sz w:val="24"/>
          <w:u w:val="single"/>
        </w:rPr>
      </w:pPr>
      <w:r>
        <w:rPr>
          <w:rFonts w:hint="eastAsia" w:ascii="宋体" w:hAnsi="宋体" w:cs="宋体"/>
          <w:color w:val="auto"/>
          <w:sz w:val="24"/>
        </w:rPr>
        <w:t>供应商（盖公章 ）：</w:t>
      </w:r>
      <w:r>
        <w:rPr>
          <w:rFonts w:hint="eastAsia" w:ascii="宋体" w:hAnsi="宋体" w:cs="宋体"/>
          <w:color w:val="auto"/>
          <w:sz w:val="24"/>
          <w:u w:val="single"/>
        </w:rPr>
        <w:t xml:space="preserve">                              </w:t>
      </w:r>
    </w:p>
    <w:p w14:paraId="5B44299C">
      <w:pPr>
        <w:snapToGrid w:val="0"/>
        <w:spacing w:before="156" w:beforeLines="50" w:after="50" w:line="360" w:lineRule="auto"/>
        <w:ind w:right="480" w:firstLine="5280" w:firstLineChars="2200"/>
        <w:rPr>
          <w:rFonts w:hint="eastAsia" w:ascii="宋体" w:hAnsi="宋体" w:cs="宋体"/>
          <w:color w:val="auto"/>
          <w:sz w:val="28"/>
          <w:szCs w:val="28"/>
        </w:rPr>
      </w:pPr>
      <w:r>
        <w:rPr>
          <w:rFonts w:hint="eastAsia" w:ascii="宋体" w:hAnsi="宋体" w:cs="宋体"/>
          <w:color w:val="auto"/>
          <w:sz w:val="24"/>
        </w:rPr>
        <w:t>年    月    日</w:t>
      </w:r>
    </w:p>
    <w:p w14:paraId="17846578">
      <w:pPr>
        <w:snapToGrid w:val="0"/>
        <w:jc w:val="center"/>
        <w:rPr>
          <w:rFonts w:hint="eastAsia" w:ascii="宋体" w:hAnsi="宋体"/>
          <w:b/>
          <w:color w:val="auto"/>
          <w:sz w:val="28"/>
          <w:szCs w:val="28"/>
        </w:rPr>
      </w:pPr>
      <w:r>
        <w:rPr>
          <w:rFonts w:ascii="宋体" w:hAnsi="宋体"/>
          <w:b/>
          <w:color w:val="auto"/>
          <w:sz w:val="28"/>
          <w:szCs w:val="28"/>
        </w:rPr>
        <w:br w:type="page"/>
      </w:r>
    </w:p>
    <w:p w14:paraId="615643E3">
      <w:pPr>
        <w:spacing w:line="320" w:lineRule="exact"/>
        <w:jc w:val="center"/>
        <w:rPr>
          <w:rFonts w:hint="eastAsia" w:ascii="宋体" w:hAnsi="宋体"/>
          <w:b/>
          <w:color w:val="auto"/>
          <w:sz w:val="32"/>
          <w:szCs w:val="32"/>
        </w:rPr>
      </w:pPr>
      <w:r>
        <w:rPr>
          <w:rFonts w:hint="eastAsia" w:ascii="宋体" w:hAnsi="宋体"/>
          <w:b/>
          <w:color w:val="auto"/>
          <w:sz w:val="32"/>
          <w:szCs w:val="32"/>
        </w:rPr>
        <w:t>供应商直接管理关系信息表</w:t>
      </w:r>
    </w:p>
    <w:p w14:paraId="0FA82F1B">
      <w:pPr>
        <w:snapToGrid w:val="0"/>
        <w:spacing w:line="360" w:lineRule="auto"/>
        <w:jc w:val="center"/>
        <w:rPr>
          <w:rFonts w:hint="eastAsia" w:ascii="宋体" w:hAnsi="宋体"/>
          <w:b/>
          <w:color w:val="auto"/>
          <w:sz w:val="24"/>
        </w:rPr>
      </w:pPr>
    </w:p>
    <w:tbl>
      <w:tblPr>
        <w:tblStyle w:val="27"/>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42B8F521">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82EA3B8">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89967CC">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727D148">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392516E">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备注</w:t>
            </w:r>
          </w:p>
        </w:tc>
      </w:tr>
      <w:tr w14:paraId="55BD5847">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A6615B7">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CBA46FA">
            <w:pPr>
              <w:widowControl/>
              <w:spacing w:line="360" w:lineRule="auto"/>
              <w:contextualSpacing/>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D242CF5">
            <w:pPr>
              <w:widowControl/>
              <w:spacing w:line="360" w:lineRule="auto"/>
              <w:contextualSpacing/>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001E145">
            <w:pPr>
              <w:widowControl/>
              <w:spacing w:line="360" w:lineRule="auto"/>
              <w:contextualSpacing/>
              <w:jc w:val="center"/>
              <w:rPr>
                <w:rFonts w:ascii="宋体" w:hAnsi="宋体" w:cs="宋体"/>
                <w:color w:val="auto"/>
                <w:kern w:val="0"/>
                <w:sz w:val="24"/>
              </w:rPr>
            </w:pPr>
          </w:p>
        </w:tc>
      </w:tr>
      <w:tr w14:paraId="7EF36F58">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3144E7D">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858B74F">
            <w:pPr>
              <w:widowControl/>
              <w:spacing w:line="360" w:lineRule="auto"/>
              <w:contextualSpacing/>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12AB3B3">
            <w:pPr>
              <w:widowControl/>
              <w:spacing w:line="360" w:lineRule="auto"/>
              <w:contextualSpacing/>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4ABCA8">
            <w:pPr>
              <w:widowControl/>
              <w:spacing w:line="360" w:lineRule="auto"/>
              <w:contextualSpacing/>
              <w:jc w:val="center"/>
              <w:rPr>
                <w:rFonts w:ascii="宋体" w:hAnsi="宋体" w:cs="宋体"/>
                <w:color w:val="auto"/>
                <w:kern w:val="0"/>
                <w:sz w:val="24"/>
              </w:rPr>
            </w:pPr>
          </w:p>
        </w:tc>
      </w:tr>
      <w:tr w14:paraId="0F2681C3">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74ABECA">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549A125">
            <w:pPr>
              <w:widowControl/>
              <w:spacing w:line="360" w:lineRule="auto"/>
              <w:contextualSpacing/>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334111A">
            <w:pPr>
              <w:widowControl/>
              <w:spacing w:line="360" w:lineRule="auto"/>
              <w:contextualSpacing/>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4D2EDC6">
            <w:pPr>
              <w:widowControl/>
              <w:spacing w:line="360" w:lineRule="auto"/>
              <w:contextualSpacing/>
              <w:jc w:val="center"/>
              <w:rPr>
                <w:rFonts w:ascii="宋体" w:hAnsi="宋体" w:cs="宋体"/>
                <w:color w:val="auto"/>
                <w:kern w:val="0"/>
                <w:sz w:val="24"/>
              </w:rPr>
            </w:pPr>
          </w:p>
        </w:tc>
      </w:tr>
      <w:tr w14:paraId="65176E76">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E9DDC91">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8627244">
            <w:pPr>
              <w:widowControl/>
              <w:spacing w:line="360" w:lineRule="auto"/>
              <w:contextualSpacing/>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0E24503">
            <w:pPr>
              <w:widowControl/>
              <w:spacing w:line="360" w:lineRule="auto"/>
              <w:contextualSpacing/>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981EBB9">
            <w:pPr>
              <w:widowControl/>
              <w:spacing w:line="360" w:lineRule="auto"/>
              <w:contextualSpacing/>
              <w:jc w:val="center"/>
              <w:rPr>
                <w:rFonts w:ascii="宋体" w:hAnsi="宋体" w:cs="宋体"/>
                <w:color w:val="auto"/>
                <w:kern w:val="0"/>
                <w:sz w:val="24"/>
              </w:rPr>
            </w:pPr>
          </w:p>
        </w:tc>
      </w:tr>
    </w:tbl>
    <w:p w14:paraId="7B919370">
      <w:pPr>
        <w:spacing w:line="360" w:lineRule="auto"/>
        <w:contextualSpacing/>
        <w:jc w:val="left"/>
        <w:rPr>
          <w:rFonts w:hint="eastAsia" w:ascii="宋体" w:hAnsi="宋体"/>
          <w:color w:val="auto"/>
          <w:sz w:val="24"/>
        </w:rPr>
      </w:pPr>
      <w:r>
        <w:rPr>
          <w:rFonts w:hint="eastAsia" w:ascii="宋体" w:hAnsi="宋体"/>
          <w:color w:val="auto"/>
          <w:sz w:val="24"/>
        </w:rPr>
        <w:t>注：</w:t>
      </w:r>
    </w:p>
    <w:p w14:paraId="0BD33D79">
      <w:pPr>
        <w:spacing w:line="360" w:lineRule="auto"/>
        <w:ind w:firstLine="480" w:firstLineChars="200"/>
        <w:contextualSpacing/>
        <w:jc w:val="left"/>
        <w:rPr>
          <w:rFonts w:hint="eastAsia" w:ascii="宋体" w:hAnsi="宋体"/>
          <w:color w:val="auto"/>
          <w:sz w:val="24"/>
        </w:rPr>
      </w:pPr>
      <w:r>
        <w:rPr>
          <w:rFonts w:hint="eastAsia" w:ascii="宋体" w:hAnsi="宋体"/>
          <w:color w:val="auto"/>
          <w:sz w:val="24"/>
        </w:rPr>
        <w:t>1.管理关系：是指不具有出资持股关系的其他单位之间存在的管理与被管理关系，如一些上下级关系的事业单位和团体组织。</w:t>
      </w:r>
    </w:p>
    <w:p w14:paraId="7931F8F4">
      <w:pPr>
        <w:spacing w:line="360" w:lineRule="auto"/>
        <w:ind w:firstLine="480" w:firstLineChars="200"/>
        <w:contextualSpacing/>
        <w:jc w:val="left"/>
        <w:rPr>
          <w:rFonts w:hint="eastAsia" w:ascii="宋体" w:hAnsi="宋体"/>
          <w:color w:val="auto"/>
          <w:sz w:val="24"/>
        </w:rPr>
      </w:pPr>
      <w:r>
        <w:rPr>
          <w:rFonts w:hint="eastAsia" w:ascii="宋体" w:hAnsi="宋体"/>
          <w:color w:val="auto"/>
          <w:sz w:val="24"/>
        </w:rPr>
        <w:t>2.</w:t>
      </w:r>
      <w:r>
        <w:rPr>
          <w:rFonts w:hint="eastAsia" w:ascii="宋体" w:hAnsi="宋体"/>
          <w:color w:val="auto"/>
          <w:spacing w:val="-6"/>
          <w:sz w:val="24"/>
        </w:rPr>
        <w:t>本表所指的管理关系仅限于直接管理关系，不包括间接的管理关系。</w:t>
      </w:r>
    </w:p>
    <w:p w14:paraId="58620632">
      <w:pPr>
        <w:spacing w:line="360" w:lineRule="auto"/>
        <w:ind w:firstLine="480" w:firstLineChars="200"/>
        <w:contextualSpacing/>
        <w:jc w:val="left"/>
        <w:rPr>
          <w:rFonts w:hint="eastAsia" w:ascii="宋体" w:hAnsi="宋体"/>
          <w:color w:val="auto"/>
          <w:sz w:val="24"/>
        </w:rPr>
      </w:pPr>
      <w:r>
        <w:rPr>
          <w:rFonts w:hint="eastAsia" w:ascii="宋体" w:hAnsi="宋体"/>
          <w:color w:val="auto"/>
          <w:sz w:val="24"/>
        </w:rPr>
        <w:t>3.供应商不存在直接管理关系的，则填“无”。</w:t>
      </w:r>
    </w:p>
    <w:p w14:paraId="59AFFC79">
      <w:pPr>
        <w:spacing w:line="360" w:lineRule="auto"/>
        <w:contextualSpacing/>
        <w:jc w:val="left"/>
        <w:rPr>
          <w:rFonts w:hint="eastAsia" w:ascii="宋体" w:hAnsi="宋体"/>
          <w:color w:val="auto"/>
          <w:sz w:val="24"/>
        </w:rPr>
      </w:pPr>
    </w:p>
    <w:p w14:paraId="121091ED">
      <w:pPr>
        <w:spacing w:line="360" w:lineRule="auto"/>
        <w:contextualSpacing/>
        <w:jc w:val="left"/>
        <w:rPr>
          <w:rFonts w:hint="eastAsia" w:ascii="宋体" w:hAnsi="宋体"/>
          <w:color w:val="auto"/>
          <w:sz w:val="24"/>
        </w:rPr>
      </w:pPr>
    </w:p>
    <w:p w14:paraId="18492E5D">
      <w:pPr>
        <w:spacing w:line="360" w:lineRule="auto"/>
        <w:contextualSpacing/>
        <w:jc w:val="left"/>
        <w:rPr>
          <w:rFonts w:hint="eastAsia"/>
          <w:color w:val="auto"/>
          <w:sz w:val="24"/>
        </w:rPr>
      </w:pPr>
    </w:p>
    <w:p w14:paraId="2987BEAA">
      <w:pPr>
        <w:spacing w:line="360" w:lineRule="auto"/>
        <w:contextualSpacing/>
        <w:jc w:val="left"/>
        <w:rPr>
          <w:rFonts w:hint="eastAsia"/>
          <w:color w:val="auto"/>
          <w:sz w:val="24"/>
        </w:rPr>
      </w:pPr>
    </w:p>
    <w:p w14:paraId="495734E8">
      <w:pPr>
        <w:spacing w:line="360" w:lineRule="auto"/>
        <w:contextualSpacing/>
        <w:jc w:val="left"/>
        <w:rPr>
          <w:rFonts w:hint="eastAsia"/>
          <w:color w:val="auto"/>
          <w:sz w:val="24"/>
        </w:rPr>
      </w:pPr>
    </w:p>
    <w:p w14:paraId="5F062A7D">
      <w:pPr>
        <w:spacing w:line="360" w:lineRule="auto"/>
        <w:contextualSpacing/>
        <w:jc w:val="left"/>
        <w:rPr>
          <w:rFonts w:hint="eastAsia" w:ascii="宋体" w:hAnsi="宋体"/>
          <w:color w:val="auto"/>
          <w:sz w:val="24"/>
        </w:rPr>
      </w:pPr>
    </w:p>
    <w:p w14:paraId="448E4EFC">
      <w:pPr>
        <w:spacing w:line="360" w:lineRule="auto"/>
        <w:ind w:right="480" w:firstLine="2160" w:firstLineChars="900"/>
        <w:contextualSpacing/>
        <w:rPr>
          <w:rFonts w:hint="eastAsia" w:ascii="宋体" w:hAnsi="宋体"/>
          <w:color w:val="auto"/>
          <w:sz w:val="24"/>
          <w:u w:val="single"/>
        </w:rPr>
      </w:pPr>
      <w:r>
        <w:rPr>
          <w:rFonts w:hint="eastAsia" w:ascii="宋体" w:hAnsi="宋体"/>
          <w:color w:val="auto"/>
          <w:sz w:val="24"/>
        </w:rPr>
        <w:t>法定代表人或者委托代理人签字：</w:t>
      </w:r>
      <w:r>
        <w:rPr>
          <w:rFonts w:hint="eastAsia" w:ascii="宋体" w:hAnsi="宋体"/>
          <w:color w:val="auto"/>
          <w:sz w:val="24"/>
          <w:u w:val="single"/>
        </w:rPr>
        <w:t xml:space="preserve">               </w:t>
      </w:r>
    </w:p>
    <w:p w14:paraId="5491E8F5">
      <w:pPr>
        <w:spacing w:line="360" w:lineRule="auto"/>
        <w:ind w:right="480" w:firstLine="3360" w:firstLineChars="1400"/>
        <w:contextualSpacing/>
        <w:rPr>
          <w:rFonts w:hint="eastAsia" w:ascii="宋体" w:hAnsi="宋体"/>
          <w:color w:val="auto"/>
          <w:sz w:val="24"/>
        </w:rPr>
      </w:pPr>
      <w:r>
        <w:rPr>
          <w:rFonts w:hint="eastAsia" w:ascii="宋体" w:hAnsi="宋体"/>
          <w:color w:val="auto"/>
          <w:sz w:val="24"/>
        </w:rPr>
        <w:t>供应商（盖公章）：</w:t>
      </w:r>
      <w:r>
        <w:rPr>
          <w:rFonts w:hint="eastAsia" w:ascii="宋体" w:hAnsi="宋体"/>
          <w:color w:val="auto"/>
          <w:sz w:val="24"/>
          <w:u w:val="single"/>
        </w:rPr>
        <w:t xml:space="preserve">                </w:t>
      </w:r>
    </w:p>
    <w:p w14:paraId="74F68880">
      <w:pPr>
        <w:spacing w:line="360" w:lineRule="auto"/>
        <w:ind w:right="480" w:firstLine="240" w:firstLineChars="100"/>
        <w:contextualSpacing/>
        <w:jc w:val="center"/>
        <w:rPr>
          <w:rFonts w:ascii="宋体" w:hAnsi="宋体"/>
          <w:color w:val="auto"/>
          <w:sz w:val="28"/>
          <w:szCs w:val="28"/>
        </w:rPr>
      </w:pPr>
      <w:r>
        <w:rPr>
          <w:rFonts w:hint="eastAsia" w:ascii="宋体" w:hAnsi="宋体"/>
          <w:color w:val="auto"/>
          <w:sz w:val="24"/>
        </w:rPr>
        <w:t xml:space="preserve">                                        年    月    日</w:t>
      </w:r>
    </w:p>
    <w:p w14:paraId="5CCA176C">
      <w:pPr>
        <w:spacing w:line="320" w:lineRule="exact"/>
        <w:jc w:val="center"/>
        <w:rPr>
          <w:rFonts w:hint="eastAsia" w:ascii="宋体" w:hAnsi="宋体"/>
          <w:b/>
          <w:color w:val="auto"/>
          <w:sz w:val="32"/>
          <w:szCs w:val="32"/>
        </w:rPr>
      </w:pPr>
      <w:r>
        <w:rPr>
          <w:rFonts w:ascii="宋体" w:hAnsi="宋体"/>
          <w:color w:val="auto"/>
          <w:sz w:val="28"/>
          <w:szCs w:val="28"/>
        </w:rPr>
        <w:br w:type="page"/>
      </w:r>
      <w:r>
        <w:rPr>
          <w:rFonts w:hint="eastAsia" w:ascii="宋体" w:hAnsi="宋体"/>
          <w:b/>
          <w:color w:val="auto"/>
          <w:sz w:val="32"/>
          <w:szCs w:val="32"/>
        </w:rPr>
        <w:t>竞标声明</w:t>
      </w:r>
    </w:p>
    <w:p w14:paraId="36C35BBE">
      <w:pPr>
        <w:spacing w:line="320" w:lineRule="exact"/>
        <w:jc w:val="center"/>
        <w:rPr>
          <w:rFonts w:hint="eastAsia" w:ascii="宋体" w:hAnsi="宋体"/>
          <w:color w:val="auto"/>
          <w:sz w:val="24"/>
          <w:szCs w:val="20"/>
        </w:rPr>
      </w:pPr>
    </w:p>
    <w:p w14:paraId="7F96D78C">
      <w:pPr>
        <w:spacing w:line="360" w:lineRule="auto"/>
        <w:contextualSpacing/>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（采购人名称）</w:t>
      </w:r>
      <w:r>
        <w:rPr>
          <w:rFonts w:hint="eastAsia" w:ascii="宋体" w:hAnsi="宋体" w:cs="宋体"/>
          <w:color w:val="auto"/>
          <w:sz w:val="24"/>
        </w:rPr>
        <w:t>：</w:t>
      </w:r>
    </w:p>
    <w:p w14:paraId="2EAD5CEE">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u w:val="single"/>
        </w:rPr>
        <w:t>（供应商名称）</w:t>
      </w:r>
      <w:r>
        <w:rPr>
          <w:rFonts w:hint="eastAsia" w:ascii="宋体" w:hAnsi="宋体" w:cs="宋体"/>
          <w:color w:val="auto"/>
          <w:sz w:val="24"/>
        </w:rPr>
        <w:t>系中华人民共和国合法供应商，经营地址</w:t>
      </w:r>
      <w:r>
        <w:rPr>
          <w:rFonts w:hint="eastAsia" w:ascii="宋体" w:hAnsi="宋体" w:cs="宋体"/>
          <w:color w:val="auto"/>
          <w:sz w:val="24"/>
          <w:u w:val="single"/>
        </w:rPr>
        <w:t xml:space="preserve">                              </w:t>
      </w:r>
      <w:r>
        <w:rPr>
          <w:rFonts w:hint="eastAsia" w:ascii="宋体" w:hAnsi="宋体" w:cs="宋体"/>
          <w:color w:val="auto"/>
          <w:sz w:val="24"/>
        </w:rPr>
        <w:t>。</w:t>
      </w:r>
    </w:p>
    <w:p w14:paraId="66DF08F5">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我方愿意参加贵方组织的</w:t>
      </w:r>
      <w:r>
        <w:rPr>
          <w:rFonts w:hint="eastAsia" w:ascii="宋体" w:hAnsi="宋体" w:cs="宋体"/>
          <w:color w:val="auto"/>
          <w:sz w:val="24"/>
          <w:u w:val="single"/>
        </w:rPr>
        <w:t>（项目名称）</w:t>
      </w:r>
      <w:r>
        <w:rPr>
          <w:rFonts w:hint="eastAsia" w:ascii="宋体" w:hAnsi="宋体" w:cs="宋体"/>
          <w:color w:val="auto"/>
          <w:sz w:val="24"/>
        </w:rPr>
        <w:t>项目的竞标，为便于贵方公正、择优地确定成交供应商及其竞标产品和服务，我方就本次竞标有关事项郑重声明如下：</w:t>
      </w:r>
    </w:p>
    <w:p w14:paraId="486DEFE0">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1.我方向贵方提交的所有响应文件、资料都是准确的和真实的。</w:t>
      </w:r>
    </w:p>
    <w:p w14:paraId="3228EEEF">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2.</w:t>
      </w:r>
      <w:r>
        <w:rPr>
          <w:rFonts w:hint="eastAsia" w:ascii="宋体" w:hAnsi="宋体"/>
          <w:color w:val="auto"/>
          <w:sz w:val="24"/>
        </w:rPr>
        <w:t>我方不是为本次采购项目提供整体设计、规范编制或者项目管理、监理、检测等服务的供应商</w:t>
      </w:r>
      <w:r>
        <w:rPr>
          <w:rFonts w:hint="eastAsia" w:ascii="宋体" w:hAnsi="宋体" w:cs="宋体"/>
          <w:color w:val="auto"/>
          <w:sz w:val="24"/>
        </w:rPr>
        <w:t>。</w:t>
      </w:r>
    </w:p>
    <w:p w14:paraId="4130EDAE">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3.在此，我方宣布同意如下：</w:t>
      </w:r>
    </w:p>
    <w:p w14:paraId="061D1EB2">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（1）将按磋商文件的约定履行合同责任和义务；</w:t>
      </w:r>
    </w:p>
    <w:p w14:paraId="623DBF2C">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（2）已详细审查全部磋商文件，包括澄清或者更正公告（如有）；</w:t>
      </w:r>
    </w:p>
    <w:p w14:paraId="17A37FF2">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（3）同意提供按照贵方可能要求的与磋商有关的一切数据或者资料；</w:t>
      </w:r>
    </w:p>
    <w:p w14:paraId="3711AFDA">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（4）响应磋商文件规定的竞标有效期。</w:t>
      </w:r>
    </w:p>
    <w:p w14:paraId="3D3591D7">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4.我方承诺符合《中华人民共和国政府采购法》第二十二条规定：</w:t>
      </w:r>
    </w:p>
    <w:p w14:paraId="06630D7C">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（1）具有独立承担民事责任的能力；</w:t>
      </w:r>
    </w:p>
    <w:p w14:paraId="015AB3DF">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（2）具有良好的商业信誉和健全的财务会计制度；</w:t>
      </w:r>
    </w:p>
    <w:p w14:paraId="1C00C05E">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（3）具有履行合同所必需的设备和专业技术能力；</w:t>
      </w:r>
    </w:p>
    <w:p w14:paraId="6EE11E90">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（4）有依法缴纳税收和社会保障资金的良好记录；</w:t>
      </w:r>
    </w:p>
    <w:p w14:paraId="5E313B8A">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（5）参加政府采购活动前三年内，在经营活动中没有重大违法记录；</w:t>
      </w:r>
    </w:p>
    <w:p w14:paraId="40EB6F47">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（6）法律、行政法规规定的其他条件。</w:t>
      </w:r>
    </w:p>
    <w:p w14:paraId="7DCF1802">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59A08F64">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5E5EB627">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内容中</w:t>
      </w:r>
      <w:r>
        <w:rPr>
          <w:rFonts w:hint="eastAsia" w:ascii="宋体" w:hAnsi="宋体" w:cs="宋体"/>
          <w:color w:val="auto"/>
          <w:sz w:val="24"/>
        </w:rPr>
        <w:t>未</w:t>
      </w:r>
      <w:r>
        <w:rPr>
          <w:rFonts w:hint="eastAsia" w:ascii="宋体" w:hAnsi="宋体" w:cs="宋体"/>
          <w:color w:val="auto"/>
          <w:kern w:val="0"/>
          <w:sz w:val="24"/>
        </w:rPr>
        <w:t>涉及商业秘密；</w:t>
      </w:r>
    </w:p>
    <w:p w14:paraId="289255B5">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涉及商业秘密的内容有：</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7DF88A77">
      <w:pPr>
        <w:pStyle w:val="18"/>
        <w:spacing w:line="360" w:lineRule="auto"/>
        <w:ind w:firstLine="480" w:firstLineChars="200"/>
        <w:contextualSpacing/>
        <w:rPr>
          <w:rFonts w:hint="eastAsia" w:hAnsi="宋体" w:cs="宋体"/>
          <w:color w:val="auto"/>
          <w:sz w:val="24"/>
          <w:szCs w:val="24"/>
          <w:u w:val="single"/>
        </w:rPr>
      </w:pPr>
      <w:r>
        <w:rPr>
          <w:rFonts w:hint="eastAsia" w:hAnsi="宋体" w:cs="宋体"/>
          <w:color w:val="auto"/>
          <w:sz w:val="24"/>
          <w:szCs w:val="24"/>
        </w:rPr>
        <w:t>7.与本磋商有关的一切正式往来信函请寄：</w:t>
      </w:r>
      <w:r>
        <w:rPr>
          <w:rFonts w:hint="eastAsia" w:hAnsi="宋体" w:cs="宋体"/>
          <w:color w:val="auto"/>
          <w:sz w:val="24"/>
          <w:szCs w:val="24"/>
          <w:u w:val="single"/>
        </w:rPr>
        <w:t xml:space="preserve">                  </w:t>
      </w:r>
      <w:r>
        <w:rPr>
          <w:rFonts w:hint="eastAsia" w:hAnsi="宋体" w:cs="宋体"/>
          <w:color w:val="auto"/>
          <w:sz w:val="24"/>
          <w:szCs w:val="24"/>
        </w:rPr>
        <w:t>邮政编号：</w:t>
      </w:r>
      <w:r>
        <w:rPr>
          <w:rFonts w:hint="eastAsia" w:hAnsi="宋体" w:cs="宋体"/>
          <w:color w:val="auto"/>
          <w:sz w:val="24"/>
          <w:szCs w:val="24"/>
          <w:u w:val="single"/>
        </w:rPr>
        <w:t xml:space="preserve">        </w:t>
      </w:r>
    </w:p>
    <w:p w14:paraId="409B4A99">
      <w:pPr>
        <w:pStyle w:val="18"/>
        <w:spacing w:line="360" w:lineRule="auto"/>
        <w:ind w:firstLine="480" w:firstLineChars="200"/>
        <w:contextualSpacing/>
        <w:rPr>
          <w:rFonts w:hint="eastAsia" w:hAnsi="宋体" w:cs="宋体"/>
          <w:color w:val="auto"/>
          <w:sz w:val="24"/>
          <w:szCs w:val="24"/>
        </w:rPr>
      </w:pPr>
      <w:r>
        <w:rPr>
          <w:rFonts w:hint="eastAsia" w:hAnsi="宋体" w:cs="宋体"/>
          <w:color w:val="auto"/>
          <w:sz w:val="24"/>
          <w:szCs w:val="24"/>
        </w:rPr>
        <w:t>电话/传真：</w:t>
      </w:r>
      <w:r>
        <w:rPr>
          <w:rFonts w:hint="eastAsia" w:hAnsi="宋体" w:cs="宋体"/>
          <w:color w:val="auto"/>
          <w:sz w:val="24"/>
          <w:szCs w:val="24"/>
          <w:u w:val="single"/>
        </w:rPr>
        <w:t xml:space="preserve">                        </w:t>
      </w:r>
      <w:r>
        <w:rPr>
          <w:rFonts w:hint="eastAsia" w:hAnsi="宋体" w:cs="宋体"/>
          <w:color w:val="auto"/>
          <w:sz w:val="24"/>
          <w:szCs w:val="24"/>
        </w:rPr>
        <w:t xml:space="preserve"> 电子函件：</w:t>
      </w:r>
      <w:r>
        <w:rPr>
          <w:rFonts w:hint="eastAsia" w:hAnsi="宋体" w:cs="宋体"/>
          <w:color w:val="auto"/>
          <w:sz w:val="24"/>
          <w:szCs w:val="24"/>
          <w:u w:val="single"/>
        </w:rPr>
        <w:t xml:space="preserve">                            </w:t>
      </w:r>
      <w:r>
        <w:rPr>
          <w:rFonts w:hint="eastAsia" w:hAnsi="宋体" w:cs="宋体"/>
          <w:color w:val="auto"/>
          <w:sz w:val="24"/>
          <w:szCs w:val="24"/>
        </w:rPr>
        <w:t xml:space="preserve">    </w:t>
      </w:r>
    </w:p>
    <w:p w14:paraId="3EA7416A">
      <w:pPr>
        <w:pStyle w:val="16"/>
        <w:tabs>
          <w:tab w:val="left" w:pos="939"/>
        </w:tabs>
        <w:spacing w:line="360" w:lineRule="auto"/>
        <w:ind w:left="141" w:leftChars="67" w:firstLine="360" w:firstLineChars="150"/>
        <w:rPr>
          <w:rFonts w:hint="eastAsia" w:ascii="宋体" w:hAnsi="宋体" w:cs="宋体"/>
          <w:color w:val="auto"/>
          <w:sz w:val="24"/>
        </w:rPr>
      </w:pPr>
      <w:r>
        <w:rPr>
          <w:rFonts w:hint="eastAsia" w:ascii="宋体" w:hAnsi="宋体" w:cs="宋体"/>
          <w:color w:val="auto"/>
          <w:sz w:val="24"/>
        </w:rPr>
        <w:t>开户银行：</w:t>
      </w:r>
      <w:r>
        <w:rPr>
          <w:rFonts w:hint="eastAsia" w:ascii="宋体" w:hAnsi="宋体" w:cs="宋体"/>
          <w:color w:val="auto"/>
          <w:sz w:val="24"/>
          <w:u w:val="single"/>
        </w:rPr>
        <w:t xml:space="preserve">                         </w:t>
      </w:r>
      <w:r>
        <w:rPr>
          <w:rFonts w:hint="eastAsia" w:ascii="宋体" w:hAnsi="宋体" w:cs="宋体"/>
          <w:color w:val="auto"/>
          <w:sz w:val="24"/>
        </w:rPr>
        <w:t xml:space="preserve">  </w:t>
      </w:r>
      <w:r>
        <w:rPr>
          <w:rFonts w:hint="eastAsia" w:ascii="宋体" w:hAnsi="宋体" w:cs="宋体"/>
          <w:color w:val="auto"/>
          <w:sz w:val="24"/>
          <w:lang w:eastAsia="zh-CN"/>
        </w:rPr>
        <w:t>账</w:t>
      </w:r>
      <w:r>
        <w:rPr>
          <w:rFonts w:hint="eastAsia" w:ascii="宋体" w:hAnsi="宋体" w:cs="宋体"/>
          <w:color w:val="auto"/>
          <w:sz w:val="24"/>
        </w:rPr>
        <w:t>号：</w:t>
      </w:r>
      <w:r>
        <w:rPr>
          <w:rFonts w:hint="eastAsia" w:ascii="宋体" w:hAnsi="宋体" w:cs="宋体"/>
          <w:color w:val="auto"/>
          <w:sz w:val="24"/>
          <w:u w:val="single"/>
        </w:rPr>
        <w:t xml:space="preserve">                               </w:t>
      </w:r>
    </w:p>
    <w:p w14:paraId="714A8EBC">
      <w:pPr>
        <w:pStyle w:val="16"/>
        <w:tabs>
          <w:tab w:val="left" w:pos="939"/>
        </w:tabs>
        <w:spacing w:line="360" w:lineRule="auto"/>
        <w:ind w:left="0" w:leftChars="0" w:firstLine="480" w:firstLineChars="200"/>
        <w:rPr>
          <w:rFonts w:hint="eastAsia" w:ascii="宋体" w:hAnsi="宋体" w:cs="宋体"/>
          <w:color w:val="auto"/>
          <w:sz w:val="24"/>
        </w:rPr>
      </w:pPr>
      <w:r>
        <w:rPr>
          <w:rFonts w:hint="eastAsia" w:ascii="宋体" w:hAnsi="宋体" w:cs="宋体"/>
          <w:color w:val="auto"/>
          <w:sz w:val="24"/>
        </w:rPr>
        <w:t>8.以上事项如有虚假或者隐瞒，我方愿意承担一切后果，并不再寻求任何旨在减轻或者免除法律责任的辩解。</w:t>
      </w:r>
    </w:p>
    <w:p w14:paraId="01BBB946">
      <w:pPr>
        <w:pStyle w:val="16"/>
        <w:tabs>
          <w:tab w:val="left" w:pos="939"/>
        </w:tabs>
        <w:spacing w:line="360" w:lineRule="auto"/>
        <w:ind w:left="141" w:leftChars="67" w:firstLine="360" w:firstLineChars="150"/>
        <w:rPr>
          <w:rFonts w:hint="eastAsia" w:ascii="宋体" w:hAnsi="宋体" w:cs="宋体"/>
          <w:color w:val="auto"/>
          <w:sz w:val="24"/>
        </w:rPr>
      </w:pPr>
      <w:r>
        <w:rPr>
          <w:rFonts w:hint="eastAsia" w:ascii="宋体" w:hAnsi="宋体" w:cs="宋体"/>
          <w:color w:val="auto"/>
          <w:sz w:val="24"/>
        </w:rPr>
        <w:t>特此承诺。</w:t>
      </w:r>
    </w:p>
    <w:p w14:paraId="5059D175">
      <w:pPr>
        <w:pStyle w:val="16"/>
        <w:tabs>
          <w:tab w:val="left" w:pos="939"/>
        </w:tabs>
        <w:spacing w:line="360" w:lineRule="auto"/>
        <w:ind w:left="0" w:leftChars="0" w:firstLine="482" w:firstLineChars="200"/>
        <w:rPr>
          <w:rFonts w:hint="eastAsia" w:ascii="宋体" w:hAnsi="宋体" w:cs="宋体"/>
          <w:b/>
          <w:color w:val="auto"/>
          <w:sz w:val="24"/>
        </w:rPr>
      </w:pPr>
      <w:r>
        <w:rPr>
          <w:rFonts w:hint="eastAsia" w:ascii="宋体" w:hAnsi="宋体" w:cs="宋体"/>
          <w:b/>
          <w:color w:val="auto"/>
          <w:sz w:val="24"/>
        </w:rPr>
        <w:t>注：如为联合体竞标，盖章处须加盖联合体各方公章并由联合体各方法定代表人签署，否则其响应文件按无效响应处理。</w:t>
      </w:r>
    </w:p>
    <w:p w14:paraId="05BDD9C3">
      <w:pPr>
        <w:pStyle w:val="16"/>
        <w:tabs>
          <w:tab w:val="left" w:pos="939"/>
        </w:tabs>
        <w:spacing w:line="360" w:lineRule="auto"/>
        <w:ind w:left="0" w:leftChars="0" w:firstLine="480" w:firstLineChars="200"/>
        <w:rPr>
          <w:rFonts w:hint="eastAsia" w:ascii="宋体" w:hAnsi="宋体" w:cs="宋体"/>
          <w:color w:val="auto"/>
          <w:sz w:val="24"/>
        </w:rPr>
      </w:pPr>
    </w:p>
    <w:p w14:paraId="24DA0BDB">
      <w:pPr>
        <w:spacing w:line="360" w:lineRule="auto"/>
        <w:ind w:firstLine="4320" w:firstLineChars="1800"/>
        <w:contextualSpacing/>
        <w:rPr>
          <w:rFonts w:hint="eastAsia"/>
          <w:color w:val="auto"/>
          <w:sz w:val="24"/>
        </w:rPr>
      </w:pPr>
      <w:r>
        <w:rPr>
          <w:rFonts w:hint="eastAsia"/>
          <w:color w:val="auto"/>
          <w:sz w:val="24"/>
        </w:rPr>
        <w:t>法定代表人（签字或者盖章）：</w:t>
      </w:r>
      <w:r>
        <w:rPr>
          <w:rFonts w:hint="eastAsia"/>
          <w:color w:val="auto"/>
          <w:sz w:val="24"/>
          <w:u w:val="single"/>
        </w:rPr>
        <w:t xml:space="preserve">                             </w:t>
      </w:r>
      <w:r>
        <w:rPr>
          <w:rFonts w:hint="eastAsia"/>
          <w:color w:val="auto"/>
          <w:sz w:val="24"/>
        </w:rPr>
        <w:t xml:space="preserve">                                     </w:t>
      </w:r>
    </w:p>
    <w:p w14:paraId="2D328394">
      <w:pPr>
        <w:spacing w:line="360" w:lineRule="auto"/>
        <w:ind w:firstLine="4320" w:firstLineChars="1800"/>
        <w:contextualSpacing/>
        <w:rPr>
          <w:rFonts w:hint="eastAsia" w:ascii="宋体" w:hAnsi="宋体" w:cs="宋体"/>
          <w:color w:val="auto"/>
          <w:sz w:val="24"/>
          <w:u w:val="single"/>
        </w:rPr>
      </w:pPr>
      <w:r>
        <w:rPr>
          <w:rFonts w:hint="eastAsia"/>
          <w:color w:val="auto"/>
          <w:sz w:val="24"/>
        </w:rPr>
        <w:t>供应商（盖公章）：</w:t>
      </w:r>
      <w:r>
        <w:rPr>
          <w:rFonts w:hint="eastAsia"/>
          <w:color w:val="auto"/>
          <w:sz w:val="24"/>
          <w:u w:val="single"/>
        </w:rPr>
        <w:t xml:space="preserve">                               </w:t>
      </w:r>
      <w:r>
        <w:rPr>
          <w:rFonts w:hint="eastAsia"/>
          <w:color w:val="auto"/>
          <w:sz w:val="24"/>
        </w:rPr>
        <w:t xml:space="preserve">       </w:t>
      </w:r>
      <w:r>
        <w:rPr>
          <w:rFonts w:hint="eastAsia" w:ascii="宋体" w:hAnsi="宋体" w:cs="宋体"/>
          <w:color w:val="auto"/>
          <w:sz w:val="24"/>
        </w:rPr>
        <w:t xml:space="preserve">    </w:t>
      </w:r>
    </w:p>
    <w:p w14:paraId="26924F5C">
      <w:pPr>
        <w:spacing w:line="360" w:lineRule="auto"/>
        <w:ind w:right="480" w:firstLine="240" w:firstLineChars="100"/>
        <w:contextualSpacing/>
        <w:jc w:val="center"/>
        <w:rPr>
          <w:rFonts w:hint="eastAsia"/>
          <w:color w:val="auto"/>
          <w:sz w:val="24"/>
        </w:rPr>
      </w:pPr>
      <w:r>
        <w:rPr>
          <w:rFonts w:hint="eastAsia" w:ascii="宋体" w:hAnsi="宋体" w:cs="宋体"/>
          <w:color w:val="auto"/>
          <w:sz w:val="24"/>
        </w:rPr>
        <w:t xml:space="preserve">                                                  </w:t>
      </w:r>
      <w:r>
        <w:rPr>
          <w:rFonts w:hint="eastAsia"/>
          <w:color w:val="auto"/>
          <w:sz w:val="24"/>
        </w:rPr>
        <w:t xml:space="preserve"> 年    月    日</w:t>
      </w:r>
    </w:p>
    <w:p w14:paraId="39FE41B5">
      <w:pPr>
        <w:pStyle w:val="8"/>
        <w:overflowPunct w:val="0"/>
        <w:spacing w:line="520" w:lineRule="exact"/>
        <w:ind w:firstLine="0"/>
        <w:jc w:val="center"/>
        <w:rPr>
          <w:rFonts w:hint="eastAsia" w:ascii="方正小标宋简体" w:hAnsi="方正小标宋简体" w:eastAsia="方正小标宋简体" w:cs="方正小标宋简体"/>
          <w:color w:val="auto"/>
          <w:sz w:val="44"/>
          <w:szCs w:val="44"/>
        </w:rPr>
      </w:pPr>
      <w:r>
        <w:rPr>
          <w:rFonts w:hint="eastAsia"/>
          <w:color w:val="auto"/>
          <w:sz w:val="24"/>
        </w:rPr>
        <w:br w:type="page"/>
      </w:r>
      <w:r>
        <w:rPr>
          <w:rFonts w:hint="eastAsia" w:ascii="方正小标宋简体" w:hAnsi="方正小标宋简体" w:eastAsia="方正小标宋简体" w:cs="方正小标宋简体"/>
          <w:color w:val="auto"/>
          <w:sz w:val="44"/>
          <w:szCs w:val="44"/>
        </w:rPr>
        <w:t>联合体竞标协议书</w:t>
      </w:r>
    </w:p>
    <w:p w14:paraId="17D54102">
      <w:pPr>
        <w:pStyle w:val="8"/>
        <w:overflowPunct w:val="0"/>
        <w:spacing w:line="360" w:lineRule="auto"/>
        <w:ind w:firstLine="0"/>
        <w:rPr>
          <w:rFonts w:hint="eastAsia" w:ascii="宋体" w:hAnsi="宋体"/>
          <w:color w:val="auto"/>
          <w:sz w:val="24"/>
          <w:szCs w:val="24"/>
        </w:rPr>
      </w:pPr>
    </w:p>
    <w:p w14:paraId="5AE2FAAB">
      <w:pPr>
        <w:pStyle w:val="8"/>
        <w:overflowPunct w:val="0"/>
        <w:spacing w:line="360" w:lineRule="auto"/>
        <w:ind w:firstLine="480" w:firstLineChars="200"/>
        <w:contextualSpacing/>
        <w:rPr>
          <w:rFonts w:hint="eastAsia" w:ascii="宋体" w:hAnsi="宋体" w:cs="仿宋_GB2312"/>
          <w:color w:val="auto"/>
          <w:sz w:val="24"/>
          <w:szCs w:val="24"/>
        </w:rPr>
      </w:pPr>
      <w:r>
        <w:rPr>
          <w:rFonts w:hint="eastAsia" w:ascii="宋体" w:hAnsi="宋体" w:cs="仿宋_GB2312"/>
          <w:color w:val="auto"/>
          <w:sz w:val="24"/>
          <w:szCs w:val="24"/>
          <w:u w:val="single"/>
        </w:rPr>
        <w:t xml:space="preserve">      </w:t>
      </w:r>
      <w:r>
        <w:rPr>
          <w:rFonts w:hint="eastAsia" w:ascii="宋体" w:hAnsi="宋体" w:cs="仿宋_GB2312"/>
          <w:color w:val="auto"/>
          <w:sz w:val="24"/>
          <w:szCs w:val="24"/>
        </w:rPr>
        <w:t>（所有成员单位名称）自愿组成</w:t>
      </w:r>
      <w:r>
        <w:rPr>
          <w:rFonts w:hint="eastAsia" w:ascii="宋体" w:hAnsi="宋体" w:cs="仿宋_GB2312"/>
          <w:color w:val="auto"/>
          <w:sz w:val="24"/>
          <w:szCs w:val="24"/>
          <w:u w:val="single"/>
        </w:rPr>
        <w:t xml:space="preserve">      </w:t>
      </w:r>
      <w:r>
        <w:rPr>
          <w:rFonts w:hint="eastAsia" w:ascii="宋体" w:hAnsi="宋体" w:cs="仿宋_GB2312"/>
          <w:color w:val="auto"/>
          <w:sz w:val="24"/>
          <w:szCs w:val="24"/>
        </w:rPr>
        <w:t>（联合体名称）联合体，共同参加</w:t>
      </w:r>
      <w:r>
        <w:rPr>
          <w:rFonts w:hint="eastAsia" w:ascii="宋体" w:hAnsi="宋体" w:cs="仿宋_GB2312"/>
          <w:color w:val="auto"/>
          <w:sz w:val="24"/>
          <w:szCs w:val="24"/>
          <w:u w:val="single"/>
        </w:rPr>
        <w:t xml:space="preserve">      </w:t>
      </w:r>
      <w:r>
        <w:rPr>
          <w:rFonts w:hint="eastAsia" w:ascii="宋体" w:hAnsi="宋体" w:cs="仿宋_GB2312"/>
          <w:color w:val="auto"/>
          <w:sz w:val="24"/>
          <w:szCs w:val="24"/>
        </w:rPr>
        <w:t>（项目名称）采购项目竞标。现就联合体竞标事宜订立如下协议。</w:t>
      </w:r>
    </w:p>
    <w:p w14:paraId="45181F7B">
      <w:pPr>
        <w:pStyle w:val="8"/>
        <w:overflowPunct w:val="0"/>
        <w:spacing w:line="360" w:lineRule="auto"/>
        <w:ind w:firstLine="480" w:firstLineChars="200"/>
        <w:contextualSpacing/>
        <w:rPr>
          <w:rFonts w:hint="eastAsia" w:ascii="宋体" w:hAnsi="宋体" w:cs="仿宋_GB2312"/>
          <w:color w:val="auto"/>
          <w:sz w:val="24"/>
          <w:szCs w:val="24"/>
        </w:rPr>
      </w:pPr>
      <w:r>
        <w:rPr>
          <w:rFonts w:hint="eastAsia" w:ascii="宋体" w:hAnsi="宋体" w:cs="仿宋_GB2312"/>
          <w:color w:val="auto"/>
          <w:sz w:val="24"/>
          <w:szCs w:val="24"/>
        </w:rPr>
        <w:t>1.</w:t>
      </w:r>
      <w:r>
        <w:rPr>
          <w:rFonts w:hint="eastAsia" w:ascii="宋体" w:hAnsi="宋体" w:cs="仿宋_GB2312"/>
          <w:color w:val="auto"/>
          <w:sz w:val="24"/>
          <w:szCs w:val="24"/>
          <w:u w:val="single"/>
        </w:rPr>
        <w:t xml:space="preserve"> </w:t>
      </w:r>
      <w:r>
        <w:rPr>
          <w:rFonts w:hint="eastAsia" w:ascii="宋体" w:hAnsi="宋体" w:cs="仿宋_GB2312"/>
          <w:color w:val="auto"/>
          <w:sz w:val="24"/>
          <w:szCs w:val="24"/>
          <w:u w:val="single"/>
        </w:rPr>
        <w:tab/>
      </w:r>
      <w:r>
        <w:rPr>
          <w:rFonts w:hint="eastAsia" w:ascii="宋体" w:hAnsi="宋体" w:cs="仿宋_GB2312"/>
          <w:color w:val="auto"/>
          <w:sz w:val="24"/>
          <w:szCs w:val="24"/>
          <w:u w:val="single"/>
        </w:rPr>
        <w:t xml:space="preserve">   </w:t>
      </w:r>
      <w:r>
        <w:rPr>
          <w:rFonts w:hint="eastAsia" w:ascii="宋体" w:hAnsi="宋体" w:cs="仿宋_GB2312"/>
          <w:color w:val="auto"/>
          <w:sz w:val="24"/>
          <w:szCs w:val="24"/>
        </w:rPr>
        <w:t>（某成员单位名称）为</w:t>
      </w:r>
      <w:r>
        <w:rPr>
          <w:rFonts w:hint="eastAsia" w:ascii="宋体" w:hAnsi="宋体" w:cs="仿宋_GB2312"/>
          <w:color w:val="auto"/>
          <w:sz w:val="24"/>
          <w:szCs w:val="24"/>
          <w:u w:val="single"/>
        </w:rPr>
        <w:t xml:space="preserve">     </w:t>
      </w:r>
      <w:r>
        <w:rPr>
          <w:rFonts w:hint="eastAsia" w:ascii="宋体" w:hAnsi="宋体" w:cs="仿宋_GB2312"/>
          <w:color w:val="auto"/>
          <w:sz w:val="24"/>
          <w:szCs w:val="24"/>
        </w:rPr>
        <w:t>（联合体名称）牵头人。</w:t>
      </w:r>
    </w:p>
    <w:p w14:paraId="0DB84F0C">
      <w:pPr>
        <w:pStyle w:val="8"/>
        <w:overflowPunct w:val="0"/>
        <w:spacing w:line="360" w:lineRule="auto"/>
        <w:ind w:firstLine="480" w:firstLineChars="200"/>
        <w:contextualSpacing/>
        <w:rPr>
          <w:rFonts w:hint="eastAsia" w:ascii="宋体" w:hAnsi="宋体" w:cs="仿宋_GB2312"/>
          <w:color w:val="auto"/>
          <w:sz w:val="24"/>
          <w:szCs w:val="24"/>
        </w:rPr>
      </w:pPr>
      <w:r>
        <w:rPr>
          <w:rFonts w:hint="eastAsia" w:ascii="宋体" w:hAnsi="宋体" w:cs="仿宋_GB2312"/>
          <w:color w:val="auto"/>
          <w:sz w:val="24"/>
          <w:szCs w:val="24"/>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14:paraId="63FEB87C">
      <w:pPr>
        <w:pStyle w:val="8"/>
        <w:overflowPunct w:val="0"/>
        <w:spacing w:line="360" w:lineRule="auto"/>
        <w:ind w:firstLine="480" w:firstLineChars="200"/>
        <w:contextualSpacing/>
        <w:rPr>
          <w:rFonts w:hint="eastAsia" w:ascii="宋体" w:hAnsi="宋体" w:cs="仿宋_GB2312"/>
          <w:color w:val="auto"/>
          <w:sz w:val="24"/>
          <w:szCs w:val="24"/>
        </w:rPr>
      </w:pPr>
      <w:r>
        <w:rPr>
          <w:rFonts w:hint="eastAsia" w:ascii="宋体" w:hAnsi="宋体" w:cs="仿宋_GB2312"/>
          <w:color w:val="auto"/>
          <w:sz w:val="24"/>
          <w:szCs w:val="24"/>
        </w:rPr>
        <w:t>3.联合体牵头人在本项目中签署和盖章的一切文件和处理的一切事宜，联合体各成员均予以承认。联合体各成员将严格按照磋商文件、响应文件和合同的要求全面履行义务，并向采购人承担连带责任。</w:t>
      </w:r>
    </w:p>
    <w:p w14:paraId="2136F1F5">
      <w:pPr>
        <w:pStyle w:val="8"/>
        <w:overflowPunct w:val="0"/>
        <w:spacing w:line="360" w:lineRule="auto"/>
        <w:ind w:firstLine="480" w:firstLineChars="200"/>
        <w:contextualSpacing/>
        <w:rPr>
          <w:rFonts w:hint="eastAsia" w:ascii="宋体" w:hAnsi="宋体" w:cs="仿宋_GB2312"/>
          <w:color w:val="auto"/>
          <w:sz w:val="24"/>
          <w:szCs w:val="24"/>
        </w:rPr>
      </w:pPr>
      <w:r>
        <w:rPr>
          <w:rFonts w:hint="eastAsia" w:ascii="宋体" w:hAnsi="宋体" w:cs="仿宋_GB2312"/>
          <w:color w:val="auto"/>
          <w:sz w:val="24"/>
          <w:szCs w:val="24"/>
        </w:rPr>
        <w:t>4.联合体各成员单位内部的职责分工如下：</w:t>
      </w:r>
      <w:r>
        <w:rPr>
          <w:rFonts w:hint="eastAsia" w:ascii="宋体" w:hAnsi="宋体" w:cs="仿宋_GB2312"/>
          <w:color w:val="auto"/>
          <w:sz w:val="24"/>
          <w:szCs w:val="24"/>
          <w:u w:val="single"/>
        </w:rPr>
        <w:t xml:space="preserve">       </w:t>
      </w:r>
      <w:r>
        <w:rPr>
          <w:rFonts w:hint="eastAsia" w:ascii="宋体" w:hAnsi="宋体" w:cs="仿宋_GB2312"/>
          <w:color w:val="auto"/>
          <w:sz w:val="24"/>
          <w:szCs w:val="24"/>
        </w:rPr>
        <w:t>。</w:t>
      </w:r>
    </w:p>
    <w:p w14:paraId="3DCD0C82">
      <w:pPr>
        <w:pStyle w:val="8"/>
        <w:overflowPunct w:val="0"/>
        <w:spacing w:line="360" w:lineRule="auto"/>
        <w:ind w:firstLine="480" w:firstLineChars="200"/>
        <w:contextualSpacing/>
        <w:rPr>
          <w:rFonts w:hint="eastAsia" w:ascii="宋体" w:hAnsi="宋体" w:cs="仿宋_GB2312"/>
          <w:color w:val="auto"/>
          <w:sz w:val="24"/>
          <w:szCs w:val="24"/>
        </w:rPr>
      </w:pPr>
      <w:r>
        <w:rPr>
          <w:rFonts w:hint="eastAsia" w:ascii="宋体" w:hAnsi="宋体" w:cs="仿宋_GB2312"/>
          <w:color w:val="auto"/>
          <w:sz w:val="24"/>
          <w:szCs w:val="24"/>
        </w:rPr>
        <w:t>5.本</w:t>
      </w:r>
      <w:r>
        <w:rPr>
          <w:rFonts w:hint="eastAsia" w:ascii="宋体" w:hAnsi="宋体" w:cs="仿宋_GB2312"/>
          <w:color w:val="auto"/>
          <w:spacing w:val="-6"/>
          <w:sz w:val="24"/>
          <w:szCs w:val="24"/>
        </w:rPr>
        <w:t>协议书自所有成员单位法定代表人（单位负责人）或者其委托代理人签字或者盖单位章之日起生效，合同履行完毕后自动失效。</w:t>
      </w:r>
    </w:p>
    <w:p w14:paraId="3442C971">
      <w:pPr>
        <w:pStyle w:val="8"/>
        <w:overflowPunct w:val="0"/>
        <w:spacing w:line="360" w:lineRule="auto"/>
        <w:ind w:firstLine="480" w:firstLineChars="200"/>
        <w:contextualSpacing/>
        <w:rPr>
          <w:rFonts w:hint="eastAsia" w:ascii="宋体" w:hAnsi="宋体" w:cs="仿宋_GB2312"/>
          <w:color w:val="auto"/>
          <w:sz w:val="24"/>
          <w:szCs w:val="24"/>
        </w:rPr>
      </w:pPr>
      <w:r>
        <w:rPr>
          <w:rFonts w:hint="eastAsia" w:ascii="宋体" w:hAnsi="宋体" w:cs="仿宋_GB2312"/>
          <w:color w:val="auto"/>
          <w:sz w:val="24"/>
          <w:szCs w:val="24"/>
        </w:rPr>
        <w:t>6.本协议书一式</w:t>
      </w:r>
      <w:r>
        <w:rPr>
          <w:rFonts w:hint="eastAsia" w:ascii="宋体" w:hAnsi="宋体" w:cs="仿宋_GB2312"/>
          <w:color w:val="auto"/>
          <w:sz w:val="24"/>
          <w:szCs w:val="24"/>
          <w:u w:val="single"/>
        </w:rPr>
        <w:t xml:space="preserve"> </w:t>
      </w:r>
      <w:r>
        <w:rPr>
          <w:rFonts w:hint="eastAsia" w:ascii="宋体" w:hAnsi="宋体" w:cs="仿宋_GB2312"/>
          <w:color w:val="auto"/>
          <w:sz w:val="24"/>
          <w:szCs w:val="24"/>
          <w:u w:val="single"/>
        </w:rPr>
        <w:tab/>
      </w:r>
      <w:r>
        <w:rPr>
          <w:rFonts w:hint="eastAsia" w:ascii="宋体" w:hAnsi="宋体" w:cs="仿宋_GB2312"/>
          <w:color w:val="auto"/>
          <w:sz w:val="24"/>
          <w:szCs w:val="24"/>
        </w:rPr>
        <w:t>份，联合体成员和采购人各执一份。</w:t>
      </w:r>
    </w:p>
    <w:p w14:paraId="523FD6DB">
      <w:pPr>
        <w:pStyle w:val="8"/>
        <w:overflowPunct w:val="0"/>
        <w:spacing w:line="360" w:lineRule="auto"/>
        <w:ind w:firstLine="480" w:firstLineChars="200"/>
        <w:contextualSpacing/>
        <w:rPr>
          <w:rFonts w:hint="eastAsia" w:ascii="宋体" w:hAnsi="宋体" w:cs="仿宋_GB2312"/>
          <w:color w:val="auto"/>
          <w:sz w:val="24"/>
          <w:szCs w:val="24"/>
        </w:rPr>
      </w:pPr>
      <w:r>
        <w:rPr>
          <w:rFonts w:hint="eastAsia" w:ascii="宋体" w:hAnsi="宋体" w:cs="仿宋_GB2312"/>
          <w:color w:val="auto"/>
          <w:sz w:val="24"/>
          <w:szCs w:val="24"/>
        </w:rPr>
        <w:t>注：本协议书由法定代表人（单位负责人）签字的，应附法定代表人（单位负责人）身份证明书；由委托代理人签字的，应附联合体协议签订授权委托书（格式自拟）。</w:t>
      </w:r>
    </w:p>
    <w:p w14:paraId="46E89565">
      <w:pPr>
        <w:pStyle w:val="8"/>
        <w:overflowPunct w:val="0"/>
        <w:spacing w:line="360" w:lineRule="auto"/>
        <w:ind w:firstLineChars="175"/>
        <w:contextualSpacing/>
        <w:rPr>
          <w:rFonts w:hint="eastAsia" w:ascii="宋体" w:hAnsi="宋体" w:cs="仿宋_GB2312"/>
          <w:color w:val="auto"/>
          <w:sz w:val="24"/>
          <w:szCs w:val="24"/>
        </w:rPr>
      </w:pPr>
    </w:p>
    <w:p w14:paraId="46D16C3E">
      <w:pPr>
        <w:pStyle w:val="8"/>
        <w:overflowPunct w:val="0"/>
        <w:spacing w:line="360" w:lineRule="auto"/>
        <w:ind w:firstLine="0"/>
        <w:contextualSpacing/>
        <w:rPr>
          <w:rFonts w:hint="eastAsia" w:ascii="宋体" w:hAnsi="宋体" w:cs="仿宋_GB2312"/>
          <w:color w:val="auto"/>
          <w:sz w:val="24"/>
          <w:szCs w:val="24"/>
        </w:rPr>
      </w:pPr>
      <w:r>
        <w:rPr>
          <w:rFonts w:hint="eastAsia" w:ascii="宋体" w:hAnsi="宋体" w:cs="仿宋_GB2312"/>
          <w:color w:val="auto"/>
          <w:sz w:val="24"/>
          <w:szCs w:val="24"/>
        </w:rPr>
        <w:t>联合体牵头人名称（盖公章）：</w:t>
      </w:r>
    </w:p>
    <w:p w14:paraId="0F71E016">
      <w:pPr>
        <w:pStyle w:val="8"/>
        <w:overflowPunct w:val="0"/>
        <w:spacing w:line="360" w:lineRule="auto"/>
        <w:ind w:firstLine="0"/>
        <w:contextualSpacing/>
        <w:rPr>
          <w:rFonts w:ascii="宋体" w:hAnsi="宋体" w:cs="仿宋_GB2312"/>
          <w:color w:val="auto"/>
          <w:sz w:val="24"/>
          <w:szCs w:val="24"/>
        </w:rPr>
      </w:pPr>
      <w:r>
        <w:rPr>
          <w:rFonts w:hint="eastAsia" w:ascii="宋体" w:hAnsi="宋体" w:cs="仿宋_GB2312"/>
          <w:color w:val="auto"/>
          <w:sz w:val="24"/>
          <w:szCs w:val="24"/>
        </w:rPr>
        <w:t>法定代表人（单位负责人）或者其委托代理人（签字）：</w:t>
      </w:r>
    </w:p>
    <w:p w14:paraId="51E8096A">
      <w:pPr>
        <w:pStyle w:val="8"/>
        <w:overflowPunct w:val="0"/>
        <w:spacing w:line="360" w:lineRule="auto"/>
        <w:ind w:firstLine="0"/>
        <w:contextualSpacing/>
        <w:rPr>
          <w:rFonts w:hint="eastAsia" w:ascii="宋体" w:hAnsi="宋体" w:cs="仿宋_GB2312"/>
          <w:color w:val="auto"/>
          <w:sz w:val="24"/>
          <w:szCs w:val="24"/>
        </w:rPr>
      </w:pPr>
    </w:p>
    <w:p w14:paraId="0FB6B1CA">
      <w:pPr>
        <w:pStyle w:val="8"/>
        <w:overflowPunct w:val="0"/>
        <w:spacing w:line="360" w:lineRule="auto"/>
        <w:ind w:firstLine="0"/>
        <w:contextualSpacing/>
        <w:rPr>
          <w:rFonts w:hint="eastAsia" w:ascii="宋体" w:hAnsi="宋体" w:cs="仿宋_GB2312"/>
          <w:color w:val="auto"/>
          <w:sz w:val="24"/>
          <w:szCs w:val="24"/>
        </w:rPr>
      </w:pPr>
      <w:r>
        <w:rPr>
          <w:rFonts w:hint="eastAsia" w:ascii="宋体" w:hAnsi="宋体" w:cs="仿宋_GB2312"/>
          <w:color w:val="auto"/>
          <w:sz w:val="24"/>
          <w:szCs w:val="24"/>
        </w:rPr>
        <w:t>联合体成员名称（盖公章）：</w:t>
      </w:r>
    </w:p>
    <w:p w14:paraId="169C402A">
      <w:pPr>
        <w:pStyle w:val="8"/>
        <w:overflowPunct w:val="0"/>
        <w:spacing w:line="360" w:lineRule="auto"/>
        <w:ind w:firstLine="0"/>
        <w:contextualSpacing/>
        <w:rPr>
          <w:rFonts w:ascii="宋体" w:hAnsi="宋体" w:cs="仿宋_GB2312"/>
          <w:color w:val="auto"/>
          <w:sz w:val="24"/>
          <w:szCs w:val="24"/>
        </w:rPr>
      </w:pPr>
      <w:r>
        <w:rPr>
          <w:rFonts w:hint="eastAsia" w:ascii="宋体" w:hAnsi="宋体" w:cs="仿宋_GB2312"/>
          <w:color w:val="auto"/>
          <w:sz w:val="24"/>
          <w:szCs w:val="24"/>
        </w:rPr>
        <w:t>法定代表人（单位负责人）或者其委托代理人（签字）：</w:t>
      </w:r>
    </w:p>
    <w:p w14:paraId="4218922E">
      <w:pPr>
        <w:pStyle w:val="8"/>
        <w:overflowPunct w:val="0"/>
        <w:spacing w:line="360" w:lineRule="auto"/>
        <w:ind w:firstLine="0"/>
        <w:contextualSpacing/>
        <w:rPr>
          <w:rFonts w:hint="eastAsia" w:ascii="宋体" w:hAnsi="宋体" w:cs="仿宋_GB2312"/>
          <w:color w:val="auto"/>
          <w:sz w:val="24"/>
          <w:szCs w:val="24"/>
        </w:rPr>
      </w:pPr>
    </w:p>
    <w:p w14:paraId="25EB8DCF">
      <w:pPr>
        <w:pStyle w:val="8"/>
        <w:overflowPunct w:val="0"/>
        <w:spacing w:line="360" w:lineRule="auto"/>
        <w:ind w:firstLine="0"/>
        <w:contextualSpacing/>
        <w:rPr>
          <w:rFonts w:hint="eastAsia" w:ascii="宋体" w:hAnsi="宋体" w:cs="仿宋_GB2312"/>
          <w:color w:val="auto"/>
          <w:sz w:val="24"/>
          <w:szCs w:val="24"/>
        </w:rPr>
      </w:pPr>
      <w:r>
        <w:rPr>
          <w:rFonts w:hint="eastAsia" w:ascii="宋体" w:hAnsi="宋体" w:cs="仿宋_GB2312"/>
          <w:color w:val="auto"/>
          <w:sz w:val="24"/>
          <w:szCs w:val="24"/>
        </w:rPr>
        <w:t>联合体成员名称（盖公章）：</w:t>
      </w:r>
    </w:p>
    <w:p w14:paraId="40CD0D12">
      <w:pPr>
        <w:pStyle w:val="8"/>
        <w:overflowPunct w:val="0"/>
        <w:spacing w:line="360" w:lineRule="auto"/>
        <w:ind w:firstLine="0"/>
        <w:contextualSpacing/>
        <w:rPr>
          <w:rFonts w:hint="eastAsia" w:ascii="宋体" w:hAnsi="宋体" w:cs="仿宋_GB2312"/>
          <w:color w:val="auto"/>
          <w:sz w:val="24"/>
          <w:szCs w:val="24"/>
        </w:rPr>
      </w:pPr>
      <w:r>
        <w:rPr>
          <w:rFonts w:hint="eastAsia" w:ascii="宋体" w:hAnsi="宋体" w:cs="仿宋_GB2312"/>
          <w:color w:val="auto"/>
          <w:sz w:val="24"/>
          <w:szCs w:val="24"/>
        </w:rPr>
        <w:t>法定代表人（单位负责人）或者其委托代理人（签字）：</w:t>
      </w:r>
    </w:p>
    <w:p w14:paraId="1A4444B4">
      <w:pPr>
        <w:pStyle w:val="8"/>
        <w:overflowPunct w:val="0"/>
        <w:spacing w:line="360" w:lineRule="auto"/>
        <w:ind w:firstLine="0"/>
        <w:contextualSpacing/>
        <w:rPr>
          <w:rFonts w:hint="eastAsia" w:ascii="宋体" w:hAnsi="宋体" w:cs="仿宋_GB2312"/>
          <w:color w:val="auto"/>
          <w:sz w:val="24"/>
          <w:szCs w:val="24"/>
        </w:rPr>
      </w:pPr>
      <w:r>
        <w:rPr>
          <w:rFonts w:hint="eastAsia" w:ascii="宋体" w:hAnsi="宋体" w:cs="仿宋_GB2312"/>
          <w:color w:val="auto"/>
          <w:sz w:val="24"/>
          <w:szCs w:val="24"/>
        </w:rPr>
        <w:t>……</w:t>
      </w:r>
    </w:p>
    <w:p w14:paraId="6C5ABB29">
      <w:pPr>
        <w:spacing w:line="360" w:lineRule="auto"/>
        <w:ind w:right="480" w:firstLine="240" w:firstLineChars="100"/>
        <w:contextualSpacing/>
        <w:jc w:val="center"/>
        <w:rPr>
          <w:rFonts w:ascii="宋体" w:hAnsi="宋体"/>
          <w:b/>
          <w:bCs/>
          <w:color w:val="auto"/>
          <w:sz w:val="32"/>
          <w:szCs w:val="32"/>
        </w:rPr>
      </w:pPr>
      <w:r>
        <w:rPr>
          <w:rFonts w:hint="eastAsia" w:ascii="宋体" w:hAnsi="宋体" w:cs="仿宋_GB2312"/>
          <w:color w:val="auto"/>
          <w:sz w:val="24"/>
        </w:rPr>
        <w:t xml:space="preserve">                                                年  </w:t>
      </w:r>
      <w:r>
        <w:rPr>
          <w:rFonts w:hint="eastAsia" w:ascii="宋体" w:hAnsi="宋体" w:cs="仿宋_GB2312"/>
          <w:color w:val="auto"/>
          <w:sz w:val="24"/>
        </w:rPr>
        <w:tab/>
      </w:r>
      <w:r>
        <w:rPr>
          <w:rFonts w:hint="eastAsia" w:ascii="宋体" w:hAnsi="宋体" w:cs="仿宋_GB2312"/>
          <w:color w:val="auto"/>
          <w:sz w:val="24"/>
        </w:rPr>
        <w:t xml:space="preserve">月  </w:t>
      </w:r>
      <w:r>
        <w:rPr>
          <w:rFonts w:hint="eastAsia" w:ascii="宋体" w:hAnsi="宋体" w:cs="仿宋_GB2312"/>
          <w:color w:val="auto"/>
          <w:sz w:val="24"/>
        </w:rPr>
        <w:tab/>
      </w:r>
      <w:r>
        <w:rPr>
          <w:rFonts w:hint="eastAsia" w:ascii="宋体" w:hAnsi="宋体" w:cs="仿宋_GB2312"/>
          <w:color w:val="auto"/>
          <w:sz w:val="24"/>
        </w:rPr>
        <w:t>日</w:t>
      </w:r>
    </w:p>
    <w:p w14:paraId="4D4FD822">
      <w:pPr>
        <w:snapToGrid w:val="0"/>
        <w:spacing w:before="156" w:beforeLines="50" w:after="50" w:line="360" w:lineRule="auto"/>
        <w:ind w:right="480"/>
        <w:rPr>
          <w:rFonts w:hint="eastAsia" w:ascii="宋体" w:hAnsi="宋体"/>
          <w:b/>
          <w:color w:val="auto"/>
          <w:sz w:val="32"/>
          <w:szCs w:val="32"/>
        </w:rPr>
      </w:pPr>
      <w:r>
        <w:rPr>
          <w:rFonts w:ascii="宋体" w:hAnsi="宋体"/>
          <w:b/>
          <w:bCs/>
          <w:color w:val="auto"/>
          <w:sz w:val="32"/>
          <w:szCs w:val="32"/>
        </w:rPr>
        <w:br w:type="page"/>
      </w:r>
      <w:r>
        <w:rPr>
          <w:rFonts w:hint="eastAsia" w:ascii="宋体" w:hAnsi="宋体"/>
          <w:b/>
          <w:bCs/>
          <w:color w:val="auto"/>
          <w:sz w:val="32"/>
          <w:szCs w:val="32"/>
        </w:rPr>
        <w:t>二、</w:t>
      </w:r>
      <w:r>
        <w:rPr>
          <w:rFonts w:hint="eastAsia" w:ascii="宋体" w:hAnsi="宋体"/>
          <w:b/>
          <w:color w:val="auto"/>
          <w:sz w:val="32"/>
          <w:szCs w:val="32"/>
        </w:rPr>
        <w:t>报价商务技术文件格式</w:t>
      </w:r>
    </w:p>
    <w:p w14:paraId="0F88DC69">
      <w:pPr>
        <w:snapToGrid w:val="0"/>
        <w:spacing w:before="156" w:beforeLines="50" w:after="50" w:line="360" w:lineRule="auto"/>
        <w:jc w:val="left"/>
        <w:rPr>
          <w:rFonts w:ascii="宋体" w:hAnsi="宋体"/>
          <w:b/>
          <w:color w:val="auto"/>
          <w:sz w:val="32"/>
          <w:szCs w:val="32"/>
        </w:rPr>
      </w:pPr>
      <w:r>
        <w:rPr>
          <w:rFonts w:hint="eastAsia" w:ascii="宋体" w:hAnsi="宋体"/>
          <w:b/>
          <w:color w:val="auto"/>
          <w:sz w:val="32"/>
          <w:szCs w:val="32"/>
        </w:rPr>
        <w:t>1.报价商务技术文件封面格式</w:t>
      </w:r>
    </w:p>
    <w:p w14:paraId="5CE3FC4C">
      <w:pPr>
        <w:snapToGrid w:val="0"/>
        <w:spacing w:before="156" w:beforeLines="50" w:after="50"/>
        <w:rPr>
          <w:rFonts w:hint="eastAsia" w:ascii="宋体" w:hAnsi="宋体"/>
          <w:bCs/>
          <w:color w:val="auto"/>
          <w:sz w:val="32"/>
          <w:szCs w:val="20"/>
        </w:rPr>
      </w:pPr>
      <w:r>
        <w:rPr>
          <w:rFonts w:hint="eastAsia" w:ascii="宋体" w:hAnsi="宋体"/>
          <w:color w:val="auto"/>
          <w:sz w:val="24"/>
        </w:rPr>
        <w:t xml:space="preserve">                                                    </w:t>
      </w:r>
      <w:r>
        <w:rPr>
          <w:rFonts w:hint="eastAsia" w:ascii="宋体" w:hAnsi="宋体"/>
          <w:bCs/>
          <w:color w:val="auto"/>
        </w:rPr>
        <w:t>正本/副本</w:t>
      </w:r>
    </w:p>
    <w:p w14:paraId="46A53915">
      <w:pPr>
        <w:snapToGrid w:val="0"/>
        <w:spacing w:before="156" w:beforeLines="50" w:after="50"/>
        <w:rPr>
          <w:rFonts w:hint="eastAsia" w:ascii="宋体" w:hAnsi="宋体"/>
          <w:color w:val="auto"/>
          <w:sz w:val="24"/>
          <w:szCs w:val="20"/>
        </w:rPr>
      </w:pPr>
    </w:p>
    <w:p w14:paraId="084958A2">
      <w:pPr>
        <w:snapToGrid w:val="0"/>
        <w:spacing w:before="156" w:beforeLines="50" w:after="50"/>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响  应  文  件</w:t>
      </w:r>
    </w:p>
    <w:p w14:paraId="5C11E4D1">
      <w:pPr>
        <w:snapToGrid w:val="0"/>
        <w:spacing w:before="156" w:beforeLines="50" w:after="50"/>
        <w:rPr>
          <w:rFonts w:hint="eastAsia" w:ascii="宋体" w:hAnsi="宋体"/>
          <w:color w:val="auto"/>
          <w:sz w:val="24"/>
          <w:szCs w:val="20"/>
        </w:rPr>
      </w:pPr>
    </w:p>
    <w:p w14:paraId="2867CFE6">
      <w:pPr>
        <w:snapToGrid w:val="0"/>
        <w:spacing w:before="156" w:beforeLines="50" w:after="50"/>
        <w:rPr>
          <w:rFonts w:hint="eastAsia" w:ascii="宋体" w:hAnsi="宋体"/>
          <w:color w:val="auto"/>
          <w:sz w:val="24"/>
          <w:szCs w:val="20"/>
        </w:rPr>
      </w:pPr>
    </w:p>
    <w:p w14:paraId="00AED773">
      <w:pPr>
        <w:snapToGrid w:val="0"/>
        <w:spacing w:before="156" w:beforeLines="50" w:after="50"/>
        <w:jc w:val="center"/>
        <w:rPr>
          <w:rFonts w:hint="eastAsia" w:ascii="方正小标宋简体" w:hAnsi="方正小标宋简体" w:eastAsia="方正小标宋简体" w:cs="方正小标宋简体"/>
          <w:bCs/>
          <w:color w:val="auto"/>
          <w:sz w:val="32"/>
          <w:szCs w:val="32"/>
        </w:rPr>
      </w:pPr>
      <w:r>
        <w:rPr>
          <w:rFonts w:hint="eastAsia" w:ascii="方正小标宋简体" w:hAnsi="方正小标宋简体" w:eastAsia="方正小标宋简体" w:cs="方正小标宋简体"/>
          <w:bCs/>
          <w:color w:val="auto"/>
          <w:sz w:val="32"/>
          <w:szCs w:val="32"/>
        </w:rPr>
        <w:t>报  价  商  务  技  术  文  件</w:t>
      </w:r>
    </w:p>
    <w:p w14:paraId="002E4C22">
      <w:pPr>
        <w:snapToGrid w:val="0"/>
        <w:spacing w:before="156" w:beforeLines="50" w:after="50"/>
        <w:rPr>
          <w:rFonts w:hint="eastAsia" w:ascii="宋体" w:hAnsi="宋体"/>
          <w:bCs/>
          <w:color w:val="auto"/>
          <w:sz w:val="24"/>
          <w:szCs w:val="20"/>
        </w:rPr>
      </w:pPr>
    </w:p>
    <w:p w14:paraId="00EAC7FC">
      <w:pPr>
        <w:snapToGrid w:val="0"/>
        <w:spacing w:before="156" w:beforeLines="50" w:after="50"/>
        <w:rPr>
          <w:rFonts w:hint="eastAsia" w:ascii="宋体" w:hAnsi="宋体"/>
          <w:bCs/>
          <w:color w:val="auto"/>
          <w:sz w:val="24"/>
          <w:szCs w:val="20"/>
        </w:rPr>
      </w:pPr>
    </w:p>
    <w:p w14:paraId="36C34826">
      <w:pPr>
        <w:snapToGrid w:val="0"/>
        <w:spacing w:before="156" w:beforeLines="50" w:after="50"/>
        <w:rPr>
          <w:rFonts w:hint="eastAsia" w:ascii="宋体" w:hAnsi="宋体"/>
          <w:bCs/>
          <w:color w:val="auto"/>
          <w:sz w:val="24"/>
          <w:szCs w:val="20"/>
        </w:rPr>
      </w:pPr>
    </w:p>
    <w:p w14:paraId="3CBBC6FC">
      <w:pPr>
        <w:snapToGrid w:val="0"/>
        <w:spacing w:before="156" w:beforeLines="50" w:after="50"/>
        <w:rPr>
          <w:rFonts w:hint="eastAsia" w:ascii="宋体" w:hAnsi="宋体"/>
          <w:bCs/>
          <w:color w:val="auto"/>
          <w:sz w:val="24"/>
          <w:szCs w:val="20"/>
        </w:rPr>
      </w:pPr>
    </w:p>
    <w:p w14:paraId="5FDC9BD1">
      <w:pPr>
        <w:snapToGrid w:val="0"/>
        <w:spacing w:before="156" w:beforeLines="50" w:after="50"/>
        <w:rPr>
          <w:rFonts w:hint="eastAsia" w:ascii="宋体" w:hAnsi="宋体"/>
          <w:bCs/>
          <w:color w:val="auto"/>
          <w:sz w:val="24"/>
          <w:szCs w:val="20"/>
        </w:rPr>
      </w:pPr>
    </w:p>
    <w:p w14:paraId="137F9BA6">
      <w:pPr>
        <w:snapToGrid w:val="0"/>
        <w:spacing w:before="156" w:beforeLines="50" w:after="50"/>
        <w:ind w:firstLine="640" w:firstLineChars="200"/>
        <w:rPr>
          <w:rFonts w:hint="eastAsia" w:ascii="宋体" w:hAnsi="宋体" w:cs="仿宋_GB2312"/>
          <w:bCs/>
          <w:color w:val="auto"/>
          <w:sz w:val="32"/>
          <w:szCs w:val="32"/>
        </w:rPr>
      </w:pPr>
      <w:r>
        <w:rPr>
          <w:rFonts w:hint="eastAsia" w:ascii="宋体" w:hAnsi="宋体" w:cs="仿宋_GB2312"/>
          <w:bCs/>
          <w:color w:val="auto"/>
          <w:sz w:val="32"/>
          <w:szCs w:val="32"/>
        </w:rPr>
        <w:t>项目名称：</w:t>
      </w:r>
    </w:p>
    <w:p w14:paraId="5D874916">
      <w:pPr>
        <w:snapToGrid w:val="0"/>
        <w:spacing w:before="156" w:beforeLines="50" w:after="50"/>
        <w:ind w:firstLine="720" w:firstLineChars="225"/>
        <w:rPr>
          <w:rFonts w:hint="eastAsia" w:ascii="宋体" w:hAnsi="宋体" w:cs="仿宋_GB2312"/>
          <w:bCs/>
          <w:color w:val="auto"/>
          <w:sz w:val="32"/>
          <w:szCs w:val="32"/>
        </w:rPr>
      </w:pPr>
    </w:p>
    <w:p w14:paraId="77DF2F26">
      <w:pPr>
        <w:snapToGrid w:val="0"/>
        <w:spacing w:before="156" w:beforeLines="50" w:after="50"/>
        <w:ind w:firstLine="640" w:firstLineChars="200"/>
        <w:rPr>
          <w:rFonts w:hint="eastAsia" w:ascii="宋体" w:hAnsi="宋体" w:cs="仿宋_GB2312"/>
          <w:bCs/>
          <w:color w:val="auto"/>
          <w:sz w:val="32"/>
          <w:szCs w:val="32"/>
        </w:rPr>
      </w:pPr>
      <w:r>
        <w:rPr>
          <w:rFonts w:hint="eastAsia" w:ascii="宋体" w:hAnsi="宋体" w:cs="仿宋_GB2312"/>
          <w:bCs/>
          <w:color w:val="auto"/>
          <w:sz w:val="32"/>
          <w:szCs w:val="32"/>
        </w:rPr>
        <w:t>项目编号：</w:t>
      </w:r>
    </w:p>
    <w:p w14:paraId="3161524E">
      <w:pPr>
        <w:snapToGrid w:val="0"/>
        <w:spacing w:before="156" w:beforeLines="50" w:after="50"/>
        <w:ind w:firstLine="720" w:firstLineChars="225"/>
        <w:rPr>
          <w:rFonts w:hint="eastAsia" w:ascii="宋体" w:hAnsi="宋体" w:cs="仿宋_GB2312"/>
          <w:bCs/>
          <w:color w:val="auto"/>
          <w:sz w:val="32"/>
          <w:szCs w:val="32"/>
        </w:rPr>
      </w:pPr>
      <w:r>
        <w:rPr>
          <w:rFonts w:hint="eastAsia" w:ascii="宋体" w:hAnsi="宋体" w:cs="仿宋_GB2312"/>
          <w:bCs/>
          <w:color w:val="auto"/>
          <w:sz w:val="32"/>
          <w:szCs w:val="32"/>
        </w:rPr>
        <w:t xml:space="preserve"> </w:t>
      </w:r>
    </w:p>
    <w:p w14:paraId="74133B73">
      <w:pPr>
        <w:snapToGrid w:val="0"/>
        <w:spacing w:before="156" w:beforeLines="50" w:after="50"/>
        <w:ind w:firstLine="640" w:firstLineChars="200"/>
        <w:rPr>
          <w:rFonts w:hint="eastAsia" w:ascii="宋体" w:hAnsi="宋体" w:cs="仿宋_GB2312"/>
          <w:bCs/>
          <w:color w:val="auto"/>
          <w:sz w:val="32"/>
          <w:szCs w:val="32"/>
        </w:rPr>
      </w:pPr>
      <w:r>
        <w:rPr>
          <w:rFonts w:hint="eastAsia" w:ascii="宋体" w:hAnsi="宋体" w:cs="仿宋_GB2312"/>
          <w:bCs/>
          <w:color w:val="auto"/>
          <w:sz w:val="32"/>
          <w:szCs w:val="32"/>
        </w:rPr>
        <w:t>所竞分标：（若没有则填“无”）</w:t>
      </w:r>
    </w:p>
    <w:p w14:paraId="1836A089">
      <w:pPr>
        <w:snapToGrid w:val="0"/>
        <w:spacing w:before="156" w:beforeLines="50" w:after="50"/>
        <w:ind w:firstLine="720" w:firstLineChars="225"/>
        <w:rPr>
          <w:rFonts w:hint="eastAsia" w:ascii="宋体" w:hAnsi="宋体" w:cs="仿宋_GB2312"/>
          <w:bCs/>
          <w:color w:val="auto"/>
          <w:sz w:val="32"/>
          <w:szCs w:val="32"/>
        </w:rPr>
      </w:pPr>
    </w:p>
    <w:p w14:paraId="7BEED80F">
      <w:pPr>
        <w:pStyle w:val="8"/>
        <w:snapToGrid w:val="0"/>
        <w:spacing w:before="50" w:after="50"/>
        <w:ind w:firstLine="640" w:firstLineChars="200"/>
        <w:rPr>
          <w:rFonts w:hint="eastAsia" w:ascii="宋体" w:hAnsi="宋体" w:cs="仿宋_GB2312"/>
          <w:bCs/>
          <w:color w:val="auto"/>
          <w:sz w:val="32"/>
          <w:szCs w:val="32"/>
        </w:rPr>
      </w:pPr>
      <w:r>
        <w:rPr>
          <w:rFonts w:hint="eastAsia" w:ascii="宋体" w:hAnsi="宋体" w:cs="仿宋_GB2312"/>
          <w:bCs/>
          <w:color w:val="auto"/>
          <w:sz w:val="32"/>
          <w:szCs w:val="32"/>
        </w:rPr>
        <w:t>供应商名称：</w:t>
      </w:r>
    </w:p>
    <w:p w14:paraId="62123A7B">
      <w:pPr>
        <w:pStyle w:val="8"/>
        <w:snapToGrid w:val="0"/>
        <w:spacing w:before="50" w:after="50"/>
        <w:ind w:firstLine="720" w:firstLineChars="225"/>
        <w:rPr>
          <w:rFonts w:hint="eastAsia" w:ascii="宋体" w:hAnsi="宋体" w:cs="仿宋_GB2312"/>
          <w:bCs/>
          <w:color w:val="auto"/>
          <w:sz w:val="32"/>
          <w:szCs w:val="32"/>
        </w:rPr>
      </w:pPr>
    </w:p>
    <w:p w14:paraId="54E07D2A">
      <w:pPr>
        <w:pStyle w:val="8"/>
        <w:snapToGrid w:val="0"/>
        <w:spacing w:before="50" w:after="50"/>
        <w:ind w:firstLine="720" w:firstLineChars="225"/>
        <w:rPr>
          <w:rFonts w:hint="eastAsia" w:ascii="宋体" w:hAnsi="宋体" w:cs="仿宋_GB2312"/>
          <w:bCs/>
          <w:color w:val="auto"/>
          <w:sz w:val="32"/>
          <w:szCs w:val="32"/>
        </w:rPr>
      </w:pPr>
    </w:p>
    <w:p w14:paraId="3AA032A3">
      <w:pPr>
        <w:pStyle w:val="8"/>
        <w:snapToGrid w:val="0"/>
        <w:spacing w:before="50" w:after="50"/>
        <w:ind w:firstLine="1280" w:firstLineChars="400"/>
        <w:rPr>
          <w:rFonts w:hint="eastAsia" w:ascii="宋体" w:hAnsi="宋体" w:cs="仿宋_GB2312"/>
          <w:bCs/>
          <w:color w:val="auto"/>
          <w:sz w:val="32"/>
          <w:szCs w:val="32"/>
        </w:rPr>
      </w:pPr>
    </w:p>
    <w:p w14:paraId="3BA94F7C">
      <w:pPr>
        <w:snapToGrid w:val="0"/>
        <w:spacing w:before="156" w:beforeLines="50" w:after="50"/>
        <w:jc w:val="center"/>
        <w:rPr>
          <w:rFonts w:hint="eastAsia" w:ascii="宋体" w:hAnsi="宋体" w:cs="仿宋_GB2312"/>
          <w:color w:val="auto"/>
          <w:sz w:val="32"/>
          <w:szCs w:val="32"/>
        </w:rPr>
      </w:pPr>
      <w:r>
        <w:rPr>
          <w:rFonts w:hint="eastAsia" w:ascii="宋体" w:hAnsi="宋体" w:cs="仿宋_GB2312"/>
          <w:color w:val="auto"/>
          <w:sz w:val="32"/>
          <w:szCs w:val="32"/>
        </w:rPr>
        <w:t>年    月    日</w:t>
      </w:r>
    </w:p>
    <w:p w14:paraId="5083E6A6">
      <w:pPr>
        <w:snapToGrid w:val="0"/>
        <w:spacing w:before="156" w:beforeLines="50" w:after="50" w:line="360" w:lineRule="auto"/>
        <w:ind w:left="142"/>
        <w:jc w:val="left"/>
        <w:rPr>
          <w:rFonts w:hint="eastAsia" w:ascii="宋体" w:hAnsi="宋体"/>
          <w:b/>
          <w:bCs/>
          <w:color w:val="auto"/>
          <w:sz w:val="24"/>
        </w:rPr>
      </w:pPr>
      <w:r>
        <w:rPr>
          <w:rFonts w:ascii="宋体" w:hAnsi="宋体"/>
          <w:color w:val="auto"/>
          <w:sz w:val="24"/>
        </w:rPr>
        <w:br w:type="page"/>
      </w:r>
      <w:r>
        <w:rPr>
          <w:rFonts w:hint="eastAsia" w:ascii="宋体" w:hAnsi="宋体"/>
          <w:b/>
          <w:bCs/>
          <w:color w:val="auto"/>
          <w:sz w:val="32"/>
          <w:szCs w:val="32"/>
        </w:rPr>
        <w:t>2.报价商务技术文件目录</w:t>
      </w:r>
    </w:p>
    <w:p w14:paraId="5BDBC9F7">
      <w:pPr>
        <w:snapToGrid w:val="0"/>
        <w:spacing w:before="156" w:beforeLines="50" w:after="50" w:line="360" w:lineRule="auto"/>
        <w:ind w:firstLine="640" w:firstLineChars="200"/>
        <w:rPr>
          <w:rFonts w:ascii="宋体" w:hAnsi="宋体"/>
          <w:color w:val="auto"/>
          <w:sz w:val="32"/>
          <w:szCs w:val="32"/>
        </w:rPr>
      </w:pPr>
      <w:r>
        <w:rPr>
          <w:rFonts w:hint="eastAsia" w:ascii="宋体" w:hAnsi="宋体"/>
          <w:color w:val="auto"/>
          <w:sz w:val="32"/>
          <w:szCs w:val="32"/>
        </w:rPr>
        <w:t>根据磋商文件规定及供应商提供的材料自行编写目录（部分格式后附）。</w:t>
      </w:r>
    </w:p>
    <w:p w14:paraId="7319A797">
      <w:pPr>
        <w:spacing w:line="400" w:lineRule="exact"/>
        <w:rPr>
          <w:rFonts w:hint="eastAsia" w:ascii="仿宋_GB2312" w:hAnsi="仿宋_GB2312" w:eastAsia="仿宋_GB2312" w:cs="仿宋_GB2312"/>
          <w:color w:val="auto"/>
          <w:sz w:val="32"/>
          <w:szCs w:val="32"/>
        </w:rPr>
      </w:pPr>
    </w:p>
    <w:p w14:paraId="6E4DBED9">
      <w:pPr>
        <w:spacing w:line="520" w:lineRule="exact"/>
        <w:jc w:val="center"/>
        <w:rPr>
          <w:rFonts w:hint="eastAsia" w:ascii="仿宋_GB2312" w:hAnsi="仿宋_GB2312" w:eastAsia="仿宋_GB2312" w:cs="仿宋_GB2312"/>
          <w:color w:val="auto"/>
          <w:sz w:val="32"/>
          <w:szCs w:val="32"/>
        </w:rPr>
      </w:pPr>
      <w:r>
        <w:rPr>
          <w:rFonts w:hint="eastAsia" w:ascii="方正小标宋简体" w:hAnsi="方正小标宋简体" w:eastAsia="方正小标宋简体" w:cs="方正小标宋简体"/>
          <w:color w:val="auto"/>
          <w:sz w:val="44"/>
          <w:szCs w:val="44"/>
        </w:rPr>
        <w:br w:type="page"/>
      </w:r>
      <w:r>
        <w:rPr>
          <w:rFonts w:hint="eastAsia" w:ascii="方正小标宋简体" w:hAnsi="方正小标宋简体" w:eastAsia="方正小标宋简体" w:cs="方正小标宋简体"/>
          <w:color w:val="auto"/>
          <w:sz w:val="44"/>
          <w:szCs w:val="44"/>
        </w:rPr>
        <w:t>无串通竞标行为的承诺函</w:t>
      </w:r>
    </w:p>
    <w:p w14:paraId="448AB6C9">
      <w:pPr>
        <w:spacing w:line="360" w:lineRule="auto"/>
        <w:ind w:firstLine="640" w:firstLineChars="200"/>
        <w:contextualSpacing/>
        <w:rPr>
          <w:rFonts w:hint="eastAsia" w:ascii="仿宋_GB2312" w:hAnsi="仿宋_GB2312" w:eastAsia="仿宋_GB2312" w:cs="仿宋_GB2312"/>
          <w:color w:val="auto"/>
          <w:sz w:val="32"/>
          <w:szCs w:val="32"/>
        </w:rPr>
      </w:pPr>
    </w:p>
    <w:p w14:paraId="7BFF90CD">
      <w:pPr>
        <w:spacing w:line="360" w:lineRule="auto"/>
        <w:ind w:firstLine="482" w:firstLineChars="200"/>
        <w:contextualSpacing/>
        <w:rPr>
          <w:rFonts w:hint="eastAsia" w:ascii="宋体" w:hAnsi="宋体" w:cs="仿宋_GB2312"/>
          <w:b/>
          <w:bCs/>
          <w:color w:val="auto"/>
          <w:sz w:val="24"/>
        </w:rPr>
      </w:pPr>
      <w:r>
        <w:rPr>
          <w:rFonts w:hint="eastAsia" w:ascii="宋体" w:hAnsi="宋体" w:cs="仿宋_GB2312"/>
          <w:b/>
          <w:bCs/>
          <w:color w:val="auto"/>
          <w:sz w:val="24"/>
        </w:rPr>
        <w:t>一、我方承诺无下列相互串通竞标的情形：</w:t>
      </w:r>
    </w:p>
    <w:p w14:paraId="725990F0">
      <w:pPr>
        <w:spacing w:line="360" w:lineRule="auto"/>
        <w:ind w:firstLine="480" w:firstLineChars="200"/>
        <w:contextualSpacing/>
        <w:rPr>
          <w:rFonts w:hint="eastAsia" w:ascii="宋体" w:hAnsi="宋体" w:cs="仿宋_GB2312"/>
          <w:color w:val="auto"/>
          <w:sz w:val="24"/>
        </w:rPr>
      </w:pPr>
      <w:r>
        <w:rPr>
          <w:rFonts w:hint="eastAsia" w:ascii="宋体" w:hAnsi="宋体" w:cs="仿宋_GB2312"/>
          <w:color w:val="auto"/>
          <w:sz w:val="24"/>
        </w:rPr>
        <w:t xml:space="preserve">1.不同供应商的响应文件由同一单位或者个人编制； </w:t>
      </w:r>
    </w:p>
    <w:p w14:paraId="4C590481">
      <w:pPr>
        <w:spacing w:line="360" w:lineRule="auto"/>
        <w:ind w:firstLine="480" w:firstLineChars="200"/>
        <w:contextualSpacing/>
        <w:rPr>
          <w:rFonts w:hint="eastAsia" w:ascii="宋体" w:hAnsi="宋体" w:cs="仿宋_GB2312"/>
          <w:color w:val="auto"/>
          <w:sz w:val="24"/>
        </w:rPr>
      </w:pPr>
      <w:r>
        <w:rPr>
          <w:rFonts w:hint="eastAsia" w:ascii="宋体" w:hAnsi="宋体" w:cs="仿宋_GB2312"/>
          <w:color w:val="auto"/>
          <w:sz w:val="24"/>
        </w:rPr>
        <w:t>2.不同供应商委托同一单位或者个人办理竞标事宜；</w:t>
      </w:r>
    </w:p>
    <w:p w14:paraId="33869D65">
      <w:pPr>
        <w:spacing w:line="360" w:lineRule="auto"/>
        <w:ind w:firstLine="480" w:firstLineChars="200"/>
        <w:contextualSpacing/>
        <w:rPr>
          <w:rFonts w:hint="eastAsia" w:ascii="宋体" w:hAnsi="宋体" w:cs="仿宋_GB2312"/>
          <w:color w:val="auto"/>
          <w:sz w:val="24"/>
        </w:rPr>
      </w:pPr>
      <w:r>
        <w:rPr>
          <w:rFonts w:hint="eastAsia" w:ascii="宋体" w:hAnsi="宋体" w:cs="仿宋_GB2312"/>
          <w:color w:val="auto"/>
          <w:sz w:val="24"/>
        </w:rPr>
        <w:t>3.不同供应商的响应文件载明的项目管理员为同一个人；</w:t>
      </w:r>
    </w:p>
    <w:p w14:paraId="1518B5F5">
      <w:pPr>
        <w:spacing w:line="360" w:lineRule="auto"/>
        <w:ind w:firstLine="480" w:firstLineChars="200"/>
        <w:contextualSpacing/>
        <w:rPr>
          <w:rFonts w:hint="eastAsia" w:ascii="宋体" w:hAnsi="宋体" w:cs="仿宋_GB2312"/>
          <w:color w:val="auto"/>
          <w:sz w:val="24"/>
        </w:rPr>
      </w:pPr>
      <w:r>
        <w:rPr>
          <w:rFonts w:hint="eastAsia" w:ascii="宋体" w:hAnsi="宋体" w:cs="仿宋_GB2312"/>
          <w:color w:val="auto"/>
          <w:sz w:val="24"/>
        </w:rPr>
        <w:t>4.不</w:t>
      </w:r>
      <w:r>
        <w:rPr>
          <w:rFonts w:hint="eastAsia" w:ascii="宋体" w:hAnsi="宋体" w:cs="仿宋_GB2312"/>
          <w:color w:val="auto"/>
          <w:spacing w:val="-6"/>
          <w:sz w:val="24"/>
        </w:rPr>
        <w:t>同供应商的响应文件异常一致或者竞标报价呈规律性差异；</w:t>
      </w:r>
    </w:p>
    <w:p w14:paraId="2D76E37D">
      <w:pPr>
        <w:spacing w:line="360" w:lineRule="auto"/>
        <w:ind w:firstLine="480" w:firstLineChars="200"/>
        <w:contextualSpacing/>
        <w:rPr>
          <w:rFonts w:hint="eastAsia" w:ascii="宋体" w:hAnsi="宋体" w:cs="仿宋_GB2312"/>
          <w:color w:val="auto"/>
          <w:sz w:val="24"/>
        </w:rPr>
      </w:pPr>
      <w:r>
        <w:rPr>
          <w:rFonts w:hint="eastAsia" w:ascii="宋体" w:hAnsi="宋体" w:cs="仿宋_GB2312"/>
          <w:color w:val="auto"/>
          <w:sz w:val="24"/>
        </w:rPr>
        <w:t>5.不同供应商的响应文件相互混装；</w:t>
      </w:r>
    </w:p>
    <w:p w14:paraId="710D1E4A">
      <w:pPr>
        <w:spacing w:line="360" w:lineRule="auto"/>
        <w:ind w:firstLine="480" w:firstLineChars="200"/>
        <w:contextualSpacing/>
        <w:rPr>
          <w:rFonts w:hint="eastAsia" w:ascii="宋体" w:hAnsi="宋体" w:cs="仿宋_GB2312"/>
          <w:color w:val="auto"/>
          <w:sz w:val="24"/>
        </w:rPr>
      </w:pPr>
      <w:r>
        <w:rPr>
          <w:rFonts w:hint="eastAsia" w:ascii="宋体" w:hAnsi="宋体" w:cs="仿宋_GB2312"/>
          <w:color w:val="auto"/>
          <w:sz w:val="24"/>
        </w:rPr>
        <w:t>6.不同供应商的磋商保证金从同一单位或者个人账户转出。</w:t>
      </w:r>
    </w:p>
    <w:p w14:paraId="785DEFA3">
      <w:pPr>
        <w:spacing w:line="360" w:lineRule="auto"/>
        <w:ind w:firstLine="482" w:firstLineChars="200"/>
        <w:contextualSpacing/>
        <w:rPr>
          <w:rFonts w:hint="eastAsia" w:ascii="宋体" w:hAnsi="宋体" w:cs="仿宋_GB2312"/>
          <w:b/>
          <w:bCs/>
          <w:color w:val="auto"/>
          <w:sz w:val="24"/>
        </w:rPr>
      </w:pPr>
      <w:r>
        <w:rPr>
          <w:rFonts w:hint="eastAsia" w:ascii="宋体" w:hAnsi="宋体" w:cs="仿宋_GB2312"/>
          <w:b/>
          <w:bCs/>
          <w:color w:val="auto"/>
          <w:sz w:val="24"/>
        </w:rPr>
        <w:t>二、我方承诺无下列恶意串通的情形：</w:t>
      </w:r>
    </w:p>
    <w:p w14:paraId="063CF945">
      <w:pPr>
        <w:spacing w:line="360" w:lineRule="auto"/>
        <w:ind w:firstLine="480" w:firstLineChars="200"/>
        <w:contextualSpacing/>
        <w:rPr>
          <w:rFonts w:hint="eastAsia" w:ascii="宋体" w:hAnsi="宋体" w:cs="仿宋_GB2312"/>
          <w:color w:val="auto"/>
          <w:sz w:val="24"/>
        </w:rPr>
      </w:pPr>
      <w:r>
        <w:rPr>
          <w:rFonts w:hint="eastAsia" w:ascii="宋体" w:hAnsi="宋体" w:cs="仿宋_GB2312"/>
          <w:color w:val="auto"/>
          <w:sz w:val="24"/>
        </w:rPr>
        <w:t>1.供应商直接或者间接从采购人或者采购代理机构处获得其他供应商的相关信息并修改其响应文件；</w:t>
      </w:r>
    </w:p>
    <w:p w14:paraId="69B498C2">
      <w:pPr>
        <w:spacing w:line="360" w:lineRule="auto"/>
        <w:ind w:firstLine="480" w:firstLineChars="200"/>
        <w:contextualSpacing/>
        <w:rPr>
          <w:rFonts w:hint="eastAsia" w:ascii="宋体" w:hAnsi="宋体" w:cs="仿宋_GB2312"/>
          <w:color w:val="auto"/>
          <w:sz w:val="24"/>
        </w:rPr>
      </w:pPr>
      <w:r>
        <w:rPr>
          <w:rFonts w:hint="eastAsia" w:ascii="宋体" w:hAnsi="宋体" w:cs="仿宋_GB2312"/>
          <w:color w:val="auto"/>
          <w:sz w:val="24"/>
        </w:rPr>
        <w:t>2.供应商按照采购人或者采购代理机构的授意撤换、修改响应文件；</w:t>
      </w:r>
    </w:p>
    <w:p w14:paraId="7F023EB1">
      <w:pPr>
        <w:spacing w:line="360" w:lineRule="auto"/>
        <w:ind w:firstLine="480" w:firstLineChars="200"/>
        <w:contextualSpacing/>
        <w:rPr>
          <w:rFonts w:hint="eastAsia" w:ascii="宋体" w:hAnsi="宋体" w:cs="仿宋_GB2312"/>
          <w:color w:val="auto"/>
          <w:sz w:val="24"/>
        </w:rPr>
      </w:pPr>
      <w:r>
        <w:rPr>
          <w:rFonts w:hint="eastAsia" w:ascii="宋体" w:hAnsi="宋体" w:cs="仿宋_GB2312"/>
          <w:color w:val="auto"/>
          <w:sz w:val="24"/>
        </w:rPr>
        <w:t>3.供</w:t>
      </w:r>
      <w:r>
        <w:rPr>
          <w:rFonts w:hint="eastAsia" w:ascii="宋体" w:hAnsi="宋体" w:cs="仿宋_GB2312"/>
          <w:color w:val="auto"/>
          <w:spacing w:val="-6"/>
          <w:sz w:val="24"/>
        </w:rPr>
        <w:t>应商之间协商报价、技术方案等响应文件的实质性内容；</w:t>
      </w:r>
    </w:p>
    <w:p w14:paraId="367B0305">
      <w:pPr>
        <w:spacing w:line="360" w:lineRule="auto"/>
        <w:ind w:firstLine="480" w:firstLineChars="200"/>
        <w:contextualSpacing/>
        <w:rPr>
          <w:rFonts w:hint="eastAsia" w:ascii="宋体" w:hAnsi="宋体" w:cs="仿宋_GB2312"/>
          <w:color w:val="auto"/>
          <w:sz w:val="24"/>
        </w:rPr>
      </w:pPr>
      <w:r>
        <w:rPr>
          <w:rFonts w:hint="eastAsia" w:ascii="宋体" w:hAnsi="宋体" w:cs="仿宋_GB2312"/>
          <w:color w:val="auto"/>
          <w:sz w:val="24"/>
        </w:rPr>
        <w:t>4.属于同一集团、协会、商会等组织成员的供应商按照该组织要求协同参加政府采购活动；</w:t>
      </w:r>
    </w:p>
    <w:p w14:paraId="1C73EDE0">
      <w:pPr>
        <w:spacing w:line="360" w:lineRule="auto"/>
        <w:ind w:firstLine="480" w:firstLineChars="200"/>
        <w:contextualSpacing/>
        <w:rPr>
          <w:rFonts w:hint="eastAsia" w:ascii="宋体" w:hAnsi="宋体" w:cs="仿宋_GB2312"/>
          <w:color w:val="auto"/>
          <w:sz w:val="24"/>
        </w:rPr>
      </w:pPr>
      <w:r>
        <w:rPr>
          <w:rFonts w:hint="eastAsia" w:ascii="宋体" w:hAnsi="宋体" w:cs="仿宋_GB2312"/>
          <w:color w:val="auto"/>
          <w:sz w:val="24"/>
        </w:rPr>
        <w:t>5.供应商之间事先约定一致抬高或者压低竞标报价，或者在竞争性磋商项目中事先约定轮流以高价位或者低价位成交，或者事先约定由某一特定供应商成交，然后再参加竞标；</w:t>
      </w:r>
    </w:p>
    <w:p w14:paraId="18EA1006">
      <w:pPr>
        <w:spacing w:line="360" w:lineRule="auto"/>
        <w:ind w:firstLine="480" w:firstLineChars="200"/>
        <w:contextualSpacing/>
        <w:rPr>
          <w:rFonts w:hint="eastAsia" w:ascii="宋体" w:hAnsi="宋体" w:cs="仿宋_GB2312"/>
          <w:color w:val="auto"/>
          <w:sz w:val="24"/>
        </w:rPr>
      </w:pPr>
      <w:r>
        <w:rPr>
          <w:rFonts w:hint="eastAsia" w:ascii="宋体" w:hAnsi="宋体" w:cs="仿宋_GB2312"/>
          <w:color w:val="auto"/>
          <w:sz w:val="24"/>
        </w:rPr>
        <w:t>6.供应商之间商定部分供应商放弃参加政府采购活动或者放弃成交；</w:t>
      </w:r>
    </w:p>
    <w:p w14:paraId="279990CB">
      <w:pPr>
        <w:spacing w:line="360" w:lineRule="auto"/>
        <w:ind w:firstLine="480" w:firstLineChars="200"/>
        <w:contextualSpacing/>
        <w:rPr>
          <w:rFonts w:hint="eastAsia" w:ascii="宋体" w:hAnsi="宋体" w:cs="仿宋_GB2312"/>
          <w:color w:val="auto"/>
          <w:sz w:val="24"/>
        </w:rPr>
      </w:pPr>
      <w:r>
        <w:rPr>
          <w:rFonts w:hint="eastAsia" w:ascii="宋体" w:hAnsi="宋体" w:cs="仿宋_GB2312"/>
          <w:color w:val="auto"/>
          <w:sz w:val="24"/>
        </w:rPr>
        <w:t>7.供应商与采购人或者采购代理机构之间、供应商相互之间，为</w:t>
      </w:r>
      <w:r>
        <w:rPr>
          <w:rFonts w:hint="eastAsia" w:ascii="宋体" w:hAnsi="宋体" w:cs="仿宋_GB2312"/>
          <w:color w:val="auto"/>
          <w:spacing w:val="-6"/>
          <w:sz w:val="24"/>
        </w:rPr>
        <w:t>谋求特定供应商成交或者排斥其他供应商的其他串通行为。</w:t>
      </w:r>
    </w:p>
    <w:p w14:paraId="14A9A6A2">
      <w:pPr>
        <w:spacing w:line="360" w:lineRule="auto"/>
        <w:ind w:firstLine="480" w:firstLineChars="200"/>
        <w:contextualSpacing/>
        <w:rPr>
          <w:rFonts w:hint="eastAsia" w:ascii="宋体" w:hAnsi="宋体" w:cs="仿宋_GB2312"/>
          <w:color w:val="auto"/>
          <w:sz w:val="24"/>
        </w:rPr>
      </w:pPr>
    </w:p>
    <w:p w14:paraId="078CBDC7">
      <w:pPr>
        <w:spacing w:line="360" w:lineRule="auto"/>
        <w:ind w:firstLine="482" w:firstLineChars="200"/>
        <w:contextualSpacing/>
        <w:rPr>
          <w:rFonts w:hint="eastAsia" w:ascii="宋体" w:hAnsi="宋体" w:cs="仿宋_GB2312"/>
          <w:b/>
          <w:bCs/>
          <w:color w:val="auto"/>
          <w:sz w:val="24"/>
        </w:rPr>
      </w:pPr>
      <w:r>
        <w:rPr>
          <w:rFonts w:hint="eastAsia" w:ascii="宋体" w:hAnsi="宋体" w:cs="仿宋_GB2312"/>
          <w:b/>
          <w:bCs/>
          <w:color w:val="auto"/>
          <w:sz w:val="24"/>
        </w:rPr>
        <w:t>以上情形一经核查属实，我方愿意承担一切后果，并不再寻求任何旨在减轻或者免除法律责任的辩解。</w:t>
      </w:r>
    </w:p>
    <w:p w14:paraId="5B30C97B">
      <w:pPr>
        <w:spacing w:line="360" w:lineRule="auto"/>
        <w:contextualSpacing/>
        <w:rPr>
          <w:rFonts w:hint="eastAsia" w:ascii="宋体" w:hAnsi="宋体" w:cs="仿宋_GB2312"/>
          <w:color w:val="auto"/>
          <w:sz w:val="24"/>
        </w:rPr>
      </w:pPr>
    </w:p>
    <w:p w14:paraId="561E5699">
      <w:pPr>
        <w:spacing w:line="360" w:lineRule="auto"/>
        <w:ind w:firstLine="3600" w:firstLineChars="1500"/>
        <w:contextualSpacing/>
        <w:rPr>
          <w:rFonts w:hint="eastAsia" w:ascii="宋体" w:hAnsi="宋体" w:cs="仿宋_GB2312"/>
          <w:color w:val="auto"/>
          <w:sz w:val="24"/>
        </w:rPr>
      </w:pPr>
      <w:r>
        <w:rPr>
          <w:rFonts w:hint="eastAsia" w:ascii="宋体" w:hAnsi="宋体" w:cs="仿宋_GB2312"/>
          <w:color w:val="auto"/>
          <w:sz w:val="24"/>
        </w:rPr>
        <w:t>供应商（盖公章）：</w:t>
      </w:r>
    </w:p>
    <w:p w14:paraId="7D9D4870">
      <w:pPr>
        <w:spacing w:line="360" w:lineRule="auto"/>
        <w:ind w:firstLine="480" w:firstLineChars="200"/>
        <w:contextualSpacing/>
        <w:jc w:val="center"/>
        <w:rPr>
          <w:rFonts w:hint="eastAsia" w:ascii="仿宋_GB2312" w:hAnsi="仿宋_GB2312" w:eastAsia="仿宋_GB2312" w:cs="仿宋_GB2312"/>
          <w:color w:val="auto"/>
          <w:sz w:val="32"/>
          <w:szCs w:val="32"/>
        </w:rPr>
      </w:pPr>
      <w:r>
        <w:rPr>
          <w:rFonts w:hint="eastAsia" w:ascii="宋体" w:hAnsi="宋体" w:cs="仿宋_GB2312"/>
          <w:color w:val="auto"/>
          <w:sz w:val="24"/>
        </w:rPr>
        <w:t xml:space="preserve">                               年   月   日</w:t>
      </w:r>
    </w:p>
    <w:p w14:paraId="4A959DF8">
      <w:pPr>
        <w:spacing w:line="520" w:lineRule="exact"/>
        <w:jc w:val="center"/>
        <w:rPr>
          <w:rFonts w:hint="eastAsia" w:ascii="方正小标宋简体" w:hAnsi="方正小标宋简体" w:eastAsia="方正小标宋简体" w:cs="方正小标宋简体"/>
          <w:bCs/>
          <w:color w:val="auto"/>
          <w:sz w:val="32"/>
          <w:szCs w:val="32"/>
        </w:rPr>
      </w:pPr>
      <w:r>
        <w:rPr>
          <w:rFonts w:hint="eastAsia" w:ascii="方正小标宋简体" w:hAnsi="方正小标宋简体" w:eastAsia="方正小标宋简体" w:cs="方正小标宋简体"/>
          <w:bCs/>
          <w:color w:val="auto"/>
          <w:sz w:val="44"/>
          <w:szCs w:val="44"/>
        </w:rPr>
        <w:br w:type="page"/>
      </w:r>
      <w:r>
        <w:rPr>
          <w:rFonts w:hint="eastAsia" w:ascii="方正小标宋简体" w:hAnsi="方正小标宋简体" w:eastAsia="方正小标宋简体" w:cs="方正小标宋简体"/>
          <w:bCs/>
          <w:color w:val="auto"/>
          <w:sz w:val="44"/>
          <w:szCs w:val="44"/>
        </w:rPr>
        <w:t>竞  标  报  价  表</w:t>
      </w:r>
    </w:p>
    <w:p w14:paraId="692117B6">
      <w:pPr>
        <w:spacing w:line="440" w:lineRule="exact"/>
        <w:jc w:val="center"/>
        <w:rPr>
          <w:rFonts w:hint="eastAsia" w:ascii="方正小标宋简体" w:hAnsi="方正小标宋简体" w:eastAsia="方正小标宋简体" w:cs="方正小标宋简体"/>
          <w:bCs/>
          <w:color w:val="auto"/>
          <w:sz w:val="32"/>
          <w:szCs w:val="32"/>
        </w:rPr>
      </w:pPr>
    </w:p>
    <w:p w14:paraId="3DADB6BE">
      <w:pPr>
        <w:spacing w:line="360" w:lineRule="auto"/>
        <w:contextualSpacing/>
        <w:rPr>
          <w:rFonts w:hint="eastAsia" w:ascii="宋体" w:hAnsi="宋体" w:cs="仿宋_GB2312"/>
          <w:color w:val="auto"/>
          <w:sz w:val="24"/>
        </w:rPr>
      </w:pPr>
      <w:r>
        <w:rPr>
          <w:rFonts w:hint="eastAsia" w:ascii="宋体" w:hAnsi="宋体" w:cs="仿宋_GB2312"/>
          <w:color w:val="auto"/>
          <w:sz w:val="24"/>
        </w:rPr>
        <w:t>项目名称：</w:t>
      </w:r>
      <w:r>
        <w:rPr>
          <w:rFonts w:hint="eastAsia" w:ascii="宋体" w:hAnsi="宋体" w:cs="仿宋_GB2312"/>
          <w:color w:val="auto"/>
          <w:sz w:val="24"/>
          <w:u w:val="single"/>
        </w:rPr>
        <w:t xml:space="preserve">                </w:t>
      </w:r>
      <w:r>
        <w:rPr>
          <w:rFonts w:hint="eastAsia" w:ascii="宋体" w:hAnsi="宋体" w:cs="仿宋_GB2312"/>
          <w:color w:val="auto"/>
          <w:sz w:val="24"/>
        </w:rPr>
        <w:t>项目编号：</w:t>
      </w:r>
      <w:r>
        <w:rPr>
          <w:rFonts w:hint="eastAsia" w:ascii="宋体" w:hAnsi="宋体" w:cs="仿宋_GB2312"/>
          <w:color w:val="auto"/>
          <w:sz w:val="24"/>
          <w:u w:val="single"/>
        </w:rPr>
        <w:t xml:space="preserve">                   </w:t>
      </w:r>
      <w:r>
        <w:rPr>
          <w:rFonts w:hint="eastAsia" w:ascii="宋体" w:hAnsi="宋体" w:cs="仿宋_GB2312"/>
          <w:color w:val="auto"/>
          <w:sz w:val="24"/>
        </w:rPr>
        <w:t xml:space="preserve">     </w:t>
      </w:r>
    </w:p>
    <w:p w14:paraId="222C3044">
      <w:pPr>
        <w:spacing w:line="360" w:lineRule="auto"/>
        <w:contextualSpacing/>
        <w:rPr>
          <w:rFonts w:hint="eastAsia" w:ascii="宋体" w:hAnsi="宋体" w:cs="仿宋_GB2312"/>
          <w:color w:val="auto"/>
          <w:sz w:val="24"/>
          <w:u w:val="single"/>
        </w:rPr>
      </w:pPr>
      <w:r>
        <w:rPr>
          <w:rFonts w:hint="eastAsia" w:ascii="宋体" w:hAnsi="宋体" w:cs="仿宋_GB2312"/>
          <w:color w:val="auto"/>
          <w:sz w:val="24"/>
        </w:rPr>
        <w:t>分标（如有）：</w:t>
      </w:r>
      <w:r>
        <w:rPr>
          <w:rFonts w:hint="eastAsia" w:ascii="宋体" w:hAnsi="宋体" w:cs="仿宋_GB2312"/>
          <w:color w:val="auto"/>
          <w:sz w:val="24"/>
          <w:u w:val="single"/>
        </w:rPr>
        <w:t xml:space="preserve">  （如没有则填“无”）</w:t>
      </w:r>
    </w:p>
    <w:p w14:paraId="6C7A57B1">
      <w:pPr>
        <w:spacing w:line="360" w:lineRule="auto"/>
        <w:contextualSpacing/>
        <w:rPr>
          <w:rFonts w:ascii="宋体" w:hAnsi="宋体" w:cs="仿宋_GB2312"/>
          <w:color w:val="auto"/>
          <w:sz w:val="24"/>
        </w:rPr>
      </w:pPr>
      <w:r>
        <w:rPr>
          <w:rFonts w:hint="eastAsia" w:ascii="宋体" w:hAnsi="宋体" w:cs="仿宋_GB2312"/>
          <w:color w:val="auto"/>
          <w:sz w:val="24"/>
        </w:rPr>
        <w:t>供应商名称：</w:t>
      </w:r>
      <w:r>
        <w:rPr>
          <w:rFonts w:hint="eastAsia" w:ascii="宋体" w:hAnsi="宋体" w:cs="仿宋_GB2312"/>
          <w:color w:val="auto"/>
          <w:sz w:val="24"/>
          <w:u w:val="single"/>
        </w:rPr>
        <w:t xml:space="preserve">                                           </w:t>
      </w:r>
      <w:r>
        <w:rPr>
          <w:rFonts w:hint="eastAsia" w:ascii="宋体" w:hAnsi="宋体" w:cs="仿宋_GB2312"/>
          <w:color w:val="auto"/>
          <w:sz w:val="24"/>
        </w:rPr>
        <w:t xml:space="preserve">   </w:t>
      </w:r>
    </w:p>
    <w:p w14:paraId="0F9C8655">
      <w:pPr>
        <w:spacing w:line="360" w:lineRule="auto"/>
        <w:contextualSpacing/>
        <w:rPr>
          <w:rFonts w:hint="eastAsia" w:ascii="宋体" w:hAnsi="宋体" w:cs="仿宋_GB2312"/>
          <w:color w:val="auto"/>
          <w:sz w:val="24"/>
        </w:rPr>
      </w:pPr>
      <w:r>
        <w:rPr>
          <w:rFonts w:hint="eastAsia" w:ascii="宋体" w:hAnsi="宋体" w:cs="仿宋_GB2312"/>
          <w:color w:val="auto"/>
          <w:sz w:val="24"/>
        </w:rPr>
        <w:t xml:space="preserve">                                                单位：元</w:t>
      </w:r>
    </w:p>
    <w:tbl>
      <w:tblPr>
        <w:tblStyle w:val="27"/>
        <w:tblW w:w="494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245"/>
        <w:gridCol w:w="1410"/>
        <w:gridCol w:w="1550"/>
        <w:gridCol w:w="1977"/>
        <w:gridCol w:w="1028"/>
      </w:tblGrid>
      <w:tr w14:paraId="092F5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77" w:type="dxa"/>
            <w:noWrap w:val="0"/>
            <w:vAlign w:val="center"/>
          </w:tcPr>
          <w:p w14:paraId="35284D71">
            <w:pPr>
              <w:snapToGrid w:val="0"/>
              <w:spacing w:before="50" w:after="50" w:line="400" w:lineRule="exact"/>
              <w:jc w:val="center"/>
              <w:rPr>
                <w:rFonts w:hint="eastAsia" w:ascii="宋体" w:hAnsi="宋体" w:cs="宋体"/>
                <w:b/>
                <w:color w:val="auto"/>
                <w:szCs w:val="30"/>
              </w:rPr>
            </w:pPr>
            <w:r>
              <w:rPr>
                <w:rFonts w:hint="eastAsia" w:ascii="宋体" w:hAnsi="宋体" w:cs="宋体"/>
                <w:b/>
                <w:color w:val="auto"/>
                <w:szCs w:val="30"/>
              </w:rPr>
              <w:t>项号</w:t>
            </w:r>
          </w:p>
        </w:tc>
        <w:tc>
          <w:tcPr>
            <w:tcW w:w="2245" w:type="dxa"/>
            <w:noWrap w:val="0"/>
            <w:vAlign w:val="center"/>
          </w:tcPr>
          <w:p w14:paraId="787A3135">
            <w:pPr>
              <w:snapToGrid w:val="0"/>
              <w:spacing w:before="50" w:after="50" w:line="400" w:lineRule="exact"/>
              <w:jc w:val="center"/>
              <w:rPr>
                <w:rFonts w:hint="eastAsia" w:ascii="宋体" w:hAnsi="宋体" w:cs="宋体"/>
                <w:b/>
                <w:color w:val="auto"/>
                <w:szCs w:val="30"/>
              </w:rPr>
            </w:pPr>
            <w:r>
              <w:rPr>
                <w:rFonts w:hint="eastAsia" w:ascii="宋体" w:hAnsi="宋体" w:cs="宋体"/>
                <w:b/>
                <w:color w:val="auto"/>
                <w:szCs w:val="30"/>
              </w:rPr>
              <w:t>服务名称</w:t>
            </w:r>
          </w:p>
        </w:tc>
        <w:tc>
          <w:tcPr>
            <w:tcW w:w="1410" w:type="dxa"/>
            <w:noWrap w:val="0"/>
            <w:vAlign w:val="center"/>
          </w:tcPr>
          <w:p w14:paraId="72F1B25A">
            <w:pPr>
              <w:snapToGrid w:val="0"/>
              <w:spacing w:before="50" w:after="50" w:line="400" w:lineRule="exact"/>
              <w:jc w:val="center"/>
              <w:rPr>
                <w:rFonts w:hint="eastAsia" w:ascii="宋体" w:hAnsi="宋体" w:cs="宋体"/>
                <w:b/>
                <w:color w:val="auto"/>
                <w:szCs w:val="30"/>
              </w:rPr>
            </w:pPr>
            <w:r>
              <w:rPr>
                <w:rFonts w:hint="eastAsia" w:ascii="宋体" w:hAnsi="宋体" w:cs="宋体"/>
                <w:b/>
                <w:color w:val="auto"/>
                <w:szCs w:val="30"/>
              </w:rPr>
              <w:t>数量</w:t>
            </w:r>
          </w:p>
        </w:tc>
        <w:tc>
          <w:tcPr>
            <w:tcW w:w="1550" w:type="dxa"/>
            <w:noWrap w:val="0"/>
            <w:vAlign w:val="center"/>
          </w:tcPr>
          <w:p w14:paraId="46D95B8C">
            <w:pPr>
              <w:snapToGrid w:val="0"/>
              <w:spacing w:before="50" w:after="50" w:line="400" w:lineRule="exact"/>
              <w:jc w:val="center"/>
              <w:rPr>
                <w:rFonts w:hint="eastAsia" w:ascii="宋体" w:hAnsi="宋体" w:cs="宋体"/>
                <w:b/>
                <w:color w:val="auto"/>
                <w:szCs w:val="30"/>
              </w:rPr>
            </w:pPr>
            <w:r>
              <w:rPr>
                <w:rFonts w:hint="eastAsia" w:ascii="宋体" w:hAnsi="宋体" w:cs="宋体"/>
                <w:b/>
                <w:color w:val="auto"/>
                <w:szCs w:val="30"/>
              </w:rPr>
              <w:t>单价</w:t>
            </w:r>
          </w:p>
        </w:tc>
        <w:tc>
          <w:tcPr>
            <w:tcW w:w="1977" w:type="dxa"/>
            <w:noWrap w:val="0"/>
            <w:vAlign w:val="center"/>
          </w:tcPr>
          <w:p w14:paraId="7A94E711">
            <w:pPr>
              <w:snapToGrid w:val="0"/>
              <w:spacing w:before="50" w:after="50" w:line="400" w:lineRule="exact"/>
              <w:jc w:val="center"/>
              <w:rPr>
                <w:rFonts w:hint="eastAsia" w:ascii="宋体" w:hAnsi="宋体" w:cs="宋体"/>
                <w:b/>
                <w:color w:val="auto"/>
                <w:szCs w:val="30"/>
              </w:rPr>
            </w:pPr>
            <w:r>
              <w:rPr>
                <w:rFonts w:hint="eastAsia" w:ascii="宋体" w:hAnsi="宋体" w:cs="宋体"/>
                <w:b/>
                <w:color w:val="auto"/>
                <w:szCs w:val="21"/>
              </w:rPr>
              <w:t>总价</w:t>
            </w:r>
          </w:p>
        </w:tc>
        <w:tc>
          <w:tcPr>
            <w:tcW w:w="1028" w:type="dxa"/>
            <w:noWrap w:val="0"/>
            <w:vAlign w:val="center"/>
          </w:tcPr>
          <w:p w14:paraId="0DF0A4C1">
            <w:pPr>
              <w:snapToGrid w:val="0"/>
              <w:spacing w:before="50" w:after="50" w:line="400" w:lineRule="exact"/>
              <w:jc w:val="center"/>
              <w:rPr>
                <w:rFonts w:hint="eastAsia" w:ascii="宋体" w:hAnsi="宋体" w:cs="宋体"/>
                <w:b/>
                <w:color w:val="auto"/>
                <w:szCs w:val="30"/>
              </w:rPr>
            </w:pPr>
            <w:r>
              <w:rPr>
                <w:rFonts w:hint="eastAsia" w:ascii="宋体" w:hAnsi="宋体" w:cs="宋体"/>
                <w:b/>
                <w:color w:val="auto"/>
                <w:szCs w:val="30"/>
              </w:rPr>
              <w:t>备注</w:t>
            </w:r>
          </w:p>
        </w:tc>
      </w:tr>
      <w:tr w14:paraId="430C9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577" w:type="dxa"/>
            <w:noWrap w:val="0"/>
            <w:vAlign w:val="center"/>
          </w:tcPr>
          <w:p w14:paraId="3142521B">
            <w:pPr>
              <w:spacing w:line="400" w:lineRule="exact"/>
              <w:jc w:val="center"/>
              <w:rPr>
                <w:rFonts w:hint="eastAsia" w:ascii="宋体" w:hAnsi="宋体" w:cs="宋体"/>
                <w:color w:val="auto"/>
                <w:szCs w:val="21"/>
              </w:rPr>
            </w:pPr>
            <w:r>
              <w:rPr>
                <w:rFonts w:hint="eastAsia" w:ascii="宋体" w:hAnsi="宋体" w:cs="宋体"/>
                <w:color w:val="auto"/>
                <w:szCs w:val="21"/>
              </w:rPr>
              <w:t>1</w:t>
            </w:r>
          </w:p>
        </w:tc>
        <w:tc>
          <w:tcPr>
            <w:tcW w:w="2245" w:type="dxa"/>
            <w:noWrap w:val="0"/>
            <w:vAlign w:val="center"/>
          </w:tcPr>
          <w:p w14:paraId="4C87D1C3">
            <w:pPr>
              <w:widowControl/>
              <w:jc w:val="center"/>
              <w:rPr>
                <w:rFonts w:hint="eastAsia" w:ascii="宋体" w:hAnsi="宋体" w:cs="宋体"/>
                <w:bCs/>
                <w:color w:val="auto"/>
                <w:szCs w:val="21"/>
              </w:rPr>
            </w:pPr>
          </w:p>
        </w:tc>
        <w:tc>
          <w:tcPr>
            <w:tcW w:w="1410" w:type="dxa"/>
            <w:noWrap w:val="0"/>
            <w:vAlign w:val="center"/>
          </w:tcPr>
          <w:p w14:paraId="2928456F">
            <w:pPr>
              <w:widowControl/>
              <w:jc w:val="center"/>
              <w:rPr>
                <w:rFonts w:hint="eastAsia" w:ascii="宋体" w:hAnsi="宋体" w:cs="宋体"/>
                <w:bCs/>
                <w:color w:val="auto"/>
                <w:szCs w:val="21"/>
              </w:rPr>
            </w:pPr>
          </w:p>
        </w:tc>
        <w:tc>
          <w:tcPr>
            <w:tcW w:w="1550" w:type="dxa"/>
            <w:noWrap w:val="0"/>
            <w:vAlign w:val="center"/>
          </w:tcPr>
          <w:p w14:paraId="1734484F">
            <w:pPr>
              <w:snapToGrid w:val="0"/>
              <w:spacing w:before="50" w:after="50" w:line="400" w:lineRule="exact"/>
              <w:rPr>
                <w:rFonts w:hint="eastAsia" w:ascii="宋体" w:hAnsi="宋体" w:cs="宋体"/>
                <w:color w:val="auto"/>
                <w:szCs w:val="21"/>
              </w:rPr>
            </w:pPr>
          </w:p>
        </w:tc>
        <w:tc>
          <w:tcPr>
            <w:tcW w:w="1977" w:type="dxa"/>
            <w:noWrap w:val="0"/>
            <w:vAlign w:val="center"/>
          </w:tcPr>
          <w:p w14:paraId="38658885">
            <w:pPr>
              <w:snapToGrid w:val="0"/>
              <w:spacing w:before="50" w:after="50" w:line="400" w:lineRule="exact"/>
              <w:rPr>
                <w:rFonts w:hint="eastAsia" w:ascii="宋体" w:hAnsi="宋体" w:cs="宋体"/>
                <w:color w:val="auto"/>
                <w:szCs w:val="21"/>
              </w:rPr>
            </w:pPr>
          </w:p>
        </w:tc>
        <w:tc>
          <w:tcPr>
            <w:tcW w:w="1028" w:type="dxa"/>
            <w:noWrap w:val="0"/>
            <w:vAlign w:val="center"/>
          </w:tcPr>
          <w:p w14:paraId="66AE68D2">
            <w:pPr>
              <w:snapToGrid w:val="0"/>
              <w:spacing w:before="50" w:after="50" w:line="400" w:lineRule="exact"/>
              <w:rPr>
                <w:rFonts w:hint="eastAsia" w:ascii="宋体" w:hAnsi="宋体" w:cs="宋体"/>
                <w:color w:val="auto"/>
                <w:szCs w:val="21"/>
              </w:rPr>
            </w:pPr>
          </w:p>
        </w:tc>
      </w:tr>
      <w:tr w14:paraId="5D891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787" w:type="dxa"/>
            <w:gridSpan w:val="6"/>
            <w:noWrap w:val="0"/>
            <w:vAlign w:val="top"/>
          </w:tcPr>
          <w:p w14:paraId="3CB4E0F2">
            <w:pPr>
              <w:snapToGrid w:val="0"/>
              <w:spacing w:before="50" w:after="50" w:line="400" w:lineRule="exact"/>
              <w:rPr>
                <w:rFonts w:hint="eastAsia" w:ascii="宋体" w:hAnsi="宋体" w:cs="宋体"/>
                <w:b/>
                <w:color w:val="auto"/>
                <w:szCs w:val="21"/>
                <w:u w:val="single"/>
              </w:rPr>
            </w:pPr>
            <w:r>
              <w:rPr>
                <w:rFonts w:hint="eastAsia" w:ascii="宋体" w:hAnsi="宋体" w:cs="宋体"/>
                <w:b/>
                <w:color w:val="auto"/>
                <w:szCs w:val="21"/>
              </w:rPr>
              <w:t>磋商总报价：</w:t>
            </w:r>
            <w:r>
              <w:rPr>
                <w:rFonts w:hint="eastAsia" w:ascii="宋体" w:hAnsi="宋体" w:cs="宋体"/>
                <w:b/>
                <w:color w:val="auto"/>
                <w:szCs w:val="21"/>
                <w:u w:val="single"/>
              </w:rPr>
              <w:t xml:space="preserve">       （大写）      （￥    小写     ）</w:t>
            </w:r>
          </w:p>
        </w:tc>
      </w:tr>
      <w:tr w14:paraId="7C2D0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787" w:type="dxa"/>
            <w:gridSpan w:val="6"/>
            <w:noWrap w:val="0"/>
            <w:vAlign w:val="top"/>
          </w:tcPr>
          <w:p w14:paraId="66DD8A8A">
            <w:pPr>
              <w:snapToGrid w:val="0"/>
              <w:spacing w:before="50" w:after="50" w:line="400" w:lineRule="exact"/>
              <w:rPr>
                <w:rFonts w:hint="eastAsia" w:ascii="宋体" w:hAnsi="宋体" w:cs="宋体"/>
                <w:color w:val="auto"/>
                <w:szCs w:val="21"/>
                <w:u w:val="single"/>
              </w:rPr>
            </w:pPr>
            <w:r>
              <w:rPr>
                <w:rFonts w:hint="eastAsia" w:ascii="宋体" w:hAnsi="宋体" w:cs="宋体"/>
                <w:b/>
                <w:color w:val="auto"/>
                <w:szCs w:val="21"/>
              </w:rPr>
              <w:t>服务期限</w:t>
            </w:r>
            <w:r>
              <w:rPr>
                <w:rFonts w:hint="eastAsia" w:ascii="宋体" w:hAnsi="宋体" w:cs="宋体"/>
                <w:color w:val="auto"/>
                <w:szCs w:val="21"/>
              </w:rPr>
              <w:t>：</w:t>
            </w:r>
            <w:r>
              <w:rPr>
                <w:rFonts w:hint="eastAsia" w:ascii="宋体" w:hAnsi="宋体" w:cs="宋体"/>
                <w:color w:val="auto"/>
                <w:szCs w:val="21"/>
                <w:u w:val="single"/>
              </w:rPr>
              <w:t>　　　　　　　　　　　　　　　　　　　　　　　　　　　　　</w:t>
            </w:r>
          </w:p>
        </w:tc>
      </w:tr>
    </w:tbl>
    <w:p w14:paraId="7810B471">
      <w:pPr>
        <w:spacing w:line="360" w:lineRule="auto"/>
        <w:contextualSpacing/>
        <w:jc w:val="left"/>
        <w:rPr>
          <w:rFonts w:ascii="宋体" w:hAnsi="宋体" w:cs="仿宋_GB2312"/>
          <w:color w:val="auto"/>
          <w:sz w:val="24"/>
        </w:rPr>
      </w:pPr>
    </w:p>
    <w:p w14:paraId="5D8C7D89">
      <w:pPr>
        <w:spacing w:line="360" w:lineRule="auto"/>
        <w:contextualSpacing/>
        <w:jc w:val="left"/>
        <w:rPr>
          <w:rFonts w:hint="eastAsia" w:ascii="宋体" w:hAnsi="宋体" w:cs="仿宋_GB2312"/>
          <w:color w:val="auto"/>
          <w:sz w:val="24"/>
        </w:rPr>
      </w:pPr>
      <w:r>
        <w:rPr>
          <w:rFonts w:hint="eastAsia" w:ascii="宋体" w:hAnsi="宋体" w:cs="仿宋_GB2312"/>
          <w:color w:val="auto"/>
          <w:sz w:val="24"/>
        </w:rPr>
        <w:t xml:space="preserve">注: </w:t>
      </w:r>
    </w:p>
    <w:p w14:paraId="6A20047A">
      <w:pPr>
        <w:spacing w:line="360" w:lineRule="auto"/>
        <w:ind w:firstLine="480" w:firstLineChars="200"/>
        <w:contextualSpacing/>
        <w:jc w:val="left"/>
        <w:rPr>
          <w:rFonts w:hint="eastAsia" w:ascii="宋体" w:hAnsi="宋体" w:cs="仿宋_GB2312"/>
          <w:color w:val="auto"/>
          <w:sz w:val="24"/>
        </w:rPr>
      </w:pPr>
      <w:r>
        <w:rPr>
          <w:rFonts w:hint="eastAsia" w:ascii="宋体" w:hAnsi="宋体" w:cs="仿宋_GB2312"/>
          <w:color w:val="auto"/>
          <w:sz w:val="24"/>
        </w:rPr>
        <w:t>1.供应商的报价表必须加盖供应商公章并由法定代表人或者委托代理人签字，</w:t>
      </w:r>
      <w:r>
        <w:rPr>
          <w:rFonts w:hint="eastAsia" w:ascii="宋体" w:hAnsi="宋体" w:cs="仿宋_GB2312"/>
          <w:b/>
          <w:color w:val="auto"/>
          <w:sz w:val="24"/>
        </w:rPr>
        <w:t>否则其响应文件按无效响应处理</w:t>
      </w:r>
      <w:r>
        <w:rPr>
          <w:rFonts w:hint="eastAsia" w:ascii="宋体" w:hAnsi="宋体" w:cs="仿宋_GB2312"/>
          <w:color w:val="auto"/>
          <w:sz w:val="24"/>
        </w:rPr>
        <w:t>。</w:t>
      </w:r>
    </w:p>
    <w:p w14:paraId="64FA3F72">
      <w:pPr>
        <w:spacing w:line="360" w:lineRule="auto"/>
        <w:ind w:firstLine="480" w:firstLineChars="200"/>
        <w:contextualSpacing/>
        <w:jc w:val="left"/>
        <w:rPr>
          <w:rFonts w:hint="eastAsia" w:ascii="宋体" w:hAnsi="宋体" w:cs="仿宋_GB2312"/>
          <w:b/>
          <w:color w:val="auto"/>
          <w:sz w:val="24"/>
        </w:rPr>
      </w:pPr>
      <w:r>
        <w:rPr>
          <w:rFonts w:hint="eastAsia" w:ascii="宋体" w:hAnsi="宋体" w:cs="仿宋_GB2312"/>
          <w:bCs/>
          <w:color w:val="auto"/>
          <w:sz w:val="24"/>
        </w:rPr>
        <w:t>2.</w:t>
      </w:r>
      <w:r>
        <w:rPr>
          <w:rFonts w:hint="eastAsia" w:ascii="宋体" w:hAnsi="宋体" w:cs="仿宋_GB2312"/>
          <w:color w:val="auto"/>
          <w:sz w:val="24"/>
        </w:rPr>
        <w:t>报价一经涂改，应在涂改处加盖供应商公章或者由法定代表人或者委托代理人签字或者盖章</w:t>
      </w:r>
      <w:r>
        <w:rPr>
          <w:rFonts w:hint="eastAsia" w:ascii="宋体" w:hAnsi="宋体" w:cs="仿宋_GB2312"/>
          <w:b/>
          <w:color w:val="auto"/>
          <w:sz w:val="24"/>
        </w:rPr>
        <w:t>，否则其响应文件按无效响应处理。</w:t>
      </w:r>
    </w:p>
    <w:p w14:paraId="47AD4516">
      <w:pPr>
        <w:spacing w:line="360" w:lineRule="auto"/>
        <w:ind w:right="-817" w:rightChars="-389"/>
        <w:contextualSpacing/>
        <w:rPr>
          <w:rFonts w:hint="eastAsia" w:ascii="宋体" w:hAnsi="宋体" w:cs="仿宋_GB2312"/>
          <w:color w:val="auto"/>
          <w:sz w:val="24"/>
        </w:rPr>
      </w:pPr>
    </w:p>
    <w:p w14:paraId="5214E8FA">
      <w:pPr>
        <w:spacing w:line="360" w:lineRule="auto"/>
        <w:ind w:right="-817" w:rightChars="-389" w:firstLine="960" w:firstLineChars="400"/>
        <w:contextualSpacing/>
        <w:rPr>
          <w:rFonts w:hint="eastAsia" w:ascii="宋体" w:hAnsi="宋体" w:cs="仿宋_GB2312"/>
          <w:color w:val="auto"/>
          <w:sz w:val="24"/>
        </w:rPr>
      </w:pPr>
      <w:r>
        <w:rPr>
          <w:rFonts w:hint="eastAsia" w:ascii="宋体" w:hAnsi="宋体" w:cs="仿宋_GB2312"/>
          <w:color w:val="auto"/>
          <w:sz w:val="24"/>
        </w:rPr>
        <w:t xml:space="preserve">法定代表人或者委托代理人（签字）：                    </w:t>
      </w:r>
    </w:p>
    <w:p w14:paraId="5646BF01">
      <w:pPr>
        <w:spacing w:line="360" w:lineRule="auto"/>
        <w:ind w:right="-817" w:rightChars="-389" w:firstLine="2640" w:firstLineChars="1100"/>
        <w:contextualSpacing/>
        <w:rPr>
          <w:rFonts w:hint="eastAsia" w:ascii="宋体" w:hAnsi="宋体" w:cs="仿宋_GB2312"/>
          <w:color w:val="auto"/>
          <w:sz w:val="24"/>
        </w:rPr>
      </w:pPr>
      <w:r>
        <w:rPr>
          <w:rFonts w:hint="eastAsia" w:ascii="宋体" w:hAnsi="宋体" w:cs="仿宋_GB2312"/>
          <w:color w:val="auto"/>
          <w:sz w:val="24"/>
        </w:rPr>
        <w:t xml:space="preserve">供应商（盖公章）：      </w:t>
      </w:r>
    </w:p>
    <w:p w14:paraId="1240648D">
      <w:pPr>
        <w:spacing w:line="360" w:lineRule="auto"/>
        <w:ind w:right="-817" w:rightChars="-389" w:firstLine="4080" w:firstLineChars="1700"/>
        <w:contextualSpacing/>
        <w:rPr>
          <w:rFonts w:hint="eastAsia" w:ascii="宋体" w:hAnsi="宋体" w:cs="仿宋_GB2312"/>
          <w:b/>
          <w:color w:val="auto"/>
          <w:sz w:val="24"/>
        </w:rPr>
      </w:pPr>
      <w:r>
        <w:rPr>
          <w:rFonts w:hint="eastAsia" w:ascii="宋体" w:hAnsi="宋体" w:cs="仿宋_GB2312"/>
          <w:color w:val="auto"/>
          <w:sz w:val="24"/>
        </w:rPr>
        <w:t>日期：   年   月   日</w:t>
      </w:r>
    </w:p>
    <w:p w14:paraId="4CCBB3A5">
      <w:pPr>
        <w:spacing w:before="312" w:beforeLines="100" w:after="156" w:afterLines="50" w:line="520" w:lineRule="exact"/>
        <w:ind w:left="540"/>
        <w:jc w:val="center"/>
        <w:rPr>
          <w:rFonts w:hint="eastAsia" w:ascii="仿宋_GB2312" w:hAnsi="仿宋_GB2312" w:eastAsia="仿宋_GB2312" w:cs="仿宋_GB2312"/>
          <w:color w:val="auto"/>
          <w:sz w:val="32"/>
          <w:szCs w:val="32"/>
        </w:rPr>
      </w:pPr>
      <w:r>
        <w:rPr>
          <w:rFonts w:hint="eastAsia" w:ascii="宋体" w:hAnsi="Courier New"/>
          <w:b/>
          <w:color w:val="auto"/>
          <w:sz w:val="32"/>
          <w:szCs w:val="32"/>
        </w:rPr>
        <w:br w:type="page"/>
      </w:r>
      <w:r>
        <w:rPr>
          <w:rFonts w:hint="eastAsia" w:ascii="方正小标宋简体" w:hAnsi="方正小标宋简体" w:eastAsia="方正小标宋简体" w:cs="方正小标宋简体"/>
          <w:bCs/>
          <w:color w:val="auto"/>
          <w:sz w:val="44"/>
          <w:szCs w:val="44"/>
        </w:rPr>
        <w:t>法定代表人证明书</w:t>
      </w:r>
    </w:p>
    <w:p w14:paraId="3B364224">
      <w:pPr>
        <w:spacing w:line="360" w:lineRule="auto"/>
        <w:ind w:left="540"/>
        <w:contextualSpacing/>
        <w:rPr>
          <w:rFonts w:hint="eastAsia" w:ascii="仿宋_GB2312" w:hAnsi="仿宋_GB2312" w:eastAsia="仿宋_GB2312" w:cs="仿宋_GB2312"/>
          <w:color w:val="auto"/>
          <w:sz w:val="32"/>
          <w:szCs w:val="32"/>
        </w:rPr>
      </w:pPr>
    </w:p>
    <w:p w14:paraId="40802239">
      <w:pPr>
        <w:spacing w:line="360" w:lineRule="auto"/>
        <w:ind w:left="540"/>
        <w:contextualSpacing/>
        <w:rPr>
          <w:rFonts w:hint="eastAsia" w:ascii="宋体" w:hAnsi="宋体" w:cs="仿宋_GB2312"/>
          <w:color w:val="auto"/>
          <w:sz w:val="24"/>
        </w:rPr>
      </w:pPr>
      <w:r>
        <w:rPr>
          <w:rFonts w:hint="eastAsia" w:ascii="宋体" w:hAnsi="宋体" w:cs="仿宋_GB2312"/>
          <w:color w:val="auto"/>
          <w:sz w:val="24"/>
        </w:rPr>
        <w:t>供应商名称：</w:t>
      </w:r>
      <w:r>
        <w:rPr>
          <w:rFonts w:hint="eastAsia" w:ascii="宋体" w:hAnsi="宋体" w:cs="仿宋_GB2312"/>
          <w:color w:val="auto"/>
          <w:sz w:val="24"/>
          <w:u w:val="single"/>
        </w:rPr>
        <w:t xml:space="preserve">                                                        </w:t>
      </w:r>
    </w:p>
    <w:p w14:paraId="79CC8C51">
      <w:pPr>
        <w:spacing w:line="360" w:lineRule="auto"/>
        <w:ind w:left="540"/>
        <w:contextualSpacing/>
        <w:rPr>
          <w:rFonts w:hint="eastAsia" w:ascii="宋体" w:hAnsi="宋体" w:cs="仿宋_GB2312"/>
          <w:color w:val="auto"/>
          <w:sz w:val="24"/>
        </w:rPr>
      </w:pPr>
      <w:r>
        <w:rPr>
          <w:rFonts w:hint="eastAsia" w:ascii="宋体" w:hAnsi="宋体" w:cs="仿宋_GB2312"/>
          <w:color w:val="auto"/>
          <w:sz w:val="24"/>
        </w:rPr>
        <w:t>地    址：</w:t>
      </w:r>
      <w:r>
        <w:rPr>
          <w:rFonts w:hint="eastAsia" w:ascii="宋体" w:hAnsi="宋体" w:cs="仿宋_GB2312"/>
          <w:color w:val="auto"/>
          <w:sz w:val="24"/>
          <w:u w:val="single"/>
        </w:rPr>
        <w:t xml:space="preserve">                                                        </w:t>
      </w:r>
    </w:p>
    <w:p w14:paraId="11E63FEB">
      <w:pPr>
        <w:spacing w:line="360" w:lineRule="auto"/>
        <w:ind w:left="540"/>
        <w:contextualSpacing/>
        <w:rPr>
          <w:rFonts w:hint="eastAsia" w:ascii="宋体" w:hAnsi="宋体" w:cs="仿宋_GB2312"/>
          <w:color w:val="auto"/>
          <w:sz w:val="24"/>
        </w:rPr>
      </w:pPr>
      <w:r>
        <w:rPr>
          <w:rFonts w:hint="eastAsia" w:ascii="宋体" w:hAnsi="宋体" w:cs="仿宋_GB2312"/>
          <w:color w:val="auto"/>
          <w:sz w:val="24"/>
        </w:rPr>
        <w:t>姓    名：</w:t>
      </w:r>
      <w:r>
        <w:rPr>
          <w:rFonts w:hint="eastAsia" w:ascii="宋体" w:hAnsi="宋体" w:cs="仿宋_GB2312"/>
          <w:color w:val="auto"/>
          <w:sz w:val="24"/>
          <w:u w:val="single"/>
        </w:rPr>
        <w:t xml:space="preserve">                </w:t>
      </w:r>
      <w:r>
        <w:rPr>
          <w:rFonts w:hint="eastAsia" w:ascii="宋体" w:hAnsi="宋体" w:cs="仿宋_GB2312"/>
          <w:color w:val="auto"/>
          <w:sz w:val="24"/>
        </w:rPr>
        <w:t>性     别：</w:t>
      </w:r>
      <w:r>
        <w:rPr>
          <w:rFonts w:hint="eastAsia" w:ascii="宋体" w:hAnsi="宋体" w:cs="仿宋_GB2312"/>
          <w:color w:val="auto"/>
          <w:sz w:val="24"/>
          <w:u w:val="single"/>
        </w:rPr>
        <w:t xml:space="preserve">                </w:t>
      </w:r>
    </w:p>
    <w:p w14:paraId="1550B6CB">
      <w:pPr>
        <w:spacing w:line="360" w:lineRule="auto"/>
        <w:ind w:left="540"/>
        <w:contextualSpacing/>
        <w:rPr>
          <w:rFonts w:hint="eastAsia" w:ascii="宋体" w:hAnsi="宋体" w:cs="仿宋_GB2312"/>
          <w:color w:val="auto"/>
          <w:sz w:val="24"/>
          <w:u w:val="single"/>
        </w:rPr>
      </w:pPr>
      <w:r>
        <w:rPr>
          <w:rFonts w:hint="eastAsia" w:ascii="宋体" w:hAnsi="宋体" w:cs="仿宋_GB2312"/>
          <w:color w:val="auto"/>
          <w:sz w:val="24"/>
        </w:rPr>
        <w:t>年    龄：</w:t>
      </w:r>
      <w:r>
        <w:rPr>
          <w:rFonts w:hint="eastAsia" w:ascii="宋体" w:hAnsi="宋体" w:cs="仿宋_GB2312"/>
          <w:color w:val="auto"/>
          <w:sz w:val="24"/>
          <w:u w:val="single"/>
        </w:rPr>
        <w:t xml:space="preserve">                </w:t>
      </w:r>
      <w:r>
        <w:rPr>
          <w:rFonts w:hint="eastAsia" w:ascii="宋体" w:hAnsi="宋体" w:cs="仿宋_GB2312"/>
          <w:color w:val="auto"/>
          <w:sz w:val="24"/>
        </w:rPr>
        <w:t>职     务：</w:t>
      </w:r>
      <w:r>
        <w:rPr>
          <w:rFonts w:hint="eastAsia" w:ascii="宋体" w:hAnsi="宋体" w:cs="仿宋_GB2312"/>
          <w:color w:val="auto"/>
          <w:sz w:val="24"/>
          <w:u w:val="single"/>
        </w:rPr>
        <w:t xml:space="preserve">                </w:t>
      </w:r>
    </w:p>
    <w:p w14:paraId="02301DF7">
      <w:pPr>
        <w:spacing w:line="360" w:lineRule="auto"/>
        <w:ind w:left="540"/>
        <w:contextualSpacing/>
        <w:rPr>
          <w:rFonts w:hint="eastAsia" w:ascii="宋体" w:hAnsi="宋体" w:cs="仿宋_GB2312"/>
          <w:color w:val="auto"/>
          <w:sz w:val="24"/>
        </w:rPr>
      </w:pPr>
      <w:r>
        <w:rPr>
          <w:rFonts w:hint="eastAsia" w:ascii="宋体" w:hAnsi="宋体" w:cs="仿宋_GB2312"/>
          <w:color w:val="auto"/>
          <w:sz w:val="24"/>
        </w:rPr>
        <w:t>身份证号码：</w:t>
      </w:r>
      <w:r>
        <w:rPr>
          <w:rFonts w:hint="eastAsia" w:ascii="宋体" w:hAnsi="宋体" w:cs="仿宋_GB2312"/>
          <w:color w:val="auto"/>
          <w:sz w:val="24"/>
          <w:u w:val="single"/>
        </w:rPr>
        <w:t xml:space="preserve">                                        </w:t>
      </w:r>
    </w:p>
    <w:p w14:paraId="2D7EAFB7">
      <w:pPr>
        <w:spacing w:line="360" w:lineRule="auto"/>
        <w:ind w:firstLine="480" w:firstLineChars="200"/>
        <w:contextualSpacing/>
        <w:rPr>
          <w:rFonts w:hint="eastAsia" w:ascii="宋体" w:hAnsi="宋体" w:cs="仿宋_GB2312"/>
          <w:color w:val="auto"/>
          <w:sz w:val="24"/>
        </w:rPr>
      </w:pPr>
      <w:r>
        <w:rPr>
          <w:rFonts w:hint="eastAsia" w:ascii="宋体" w:hAnsi="宋体" w:cs="仿宋_GB2312"/>
          <w:color w:val="auto"/>
          <w:sz w:val="24"/>
        </w:rPr>
        <w:t>系</w:t>
      </w:r>
      <w:r>
        <w:rPr>
          <w:rFonts w:hint="eastAsia" w:ascii="宋体" w:hAnsi="宋体" w:cs="仿宋_GB2312"/>
          <w:color w:val="auto"/>
          <w:sz w:val="24"/>
          <w:u w:val="single"/>
        </w:rPr>
        <w:t>（供应商名称）</w:t>
      </w:r>
      <w:r>
        <w:rPr>
          <w:rFonts w:hint="eastAsia" w:ascii="宋体" w:hAnsi="宋体" w:cs="仿宋_GB2312"/>
          <w:color w:val="auto"/>
          <w:sz w:val="24"/>
        </w:rPr>
        <w:t>的法定代表人。</w:t>
      </w:r>
    </w:p>
    <w:p w14:paraId="5C7451F4">
      <w:pPr>
        <w:spacing w:line="360" w:lineRule="auto"/>
        <w:ind w:left="540"/>
        <w:contextualSpacing/>
        <w:rPr>
          <w:rFonts w:hint="eastAsia" w:ascii="宋体" w:hAnsi="宋体" w:cs="仿宋_GB2312"/>
          <w:color w:val="auto"/>
          <w:sz w:val="24"/>
        </w:rPr>
      </w:pPr>
      <w:r>
        <w:rPr>
          <w:rFonts w:hint="eastAsia" w:ascii="宋体" w:hAnsi="宋体" w:cs="仿宋_GB2312"/>
          <w:color w:val="auto"/>
          <w:sz w:val="24"/>
        </w:rPr>
        <w:t>特此证明。</w:t>
      </w:r>
    </w:p>
    <w:p w14:paraId="1FB46CE7">
      <w:pPr>
        <w:spacing w:line="360" w:lineRule="auto"/>
        <w:ind w:left="540"/>
        <w:contextualSpacing/>
        <w:rPr>
          <w:rFonts w:hint="eastAsia" w:ascii="宋体" w:hAnsi="宋体" w:cs="仿宋_GB2312"/>
          <w:color w:val="auto"/>
          <w:sz w:val="24"/>
        </w:rPr>
      </w:pPr>
    </w:p>
    <w:p w14:paraId="2591E3C9">
      <w:pPr>
        <w:spacing w:line="360" w:lineRule="auto"/>
        <w:ind w:left="540"/>
        <w:contextualSpacing/>
        <w:rPr>
          <w:rFonts w:hint="eastAsia" w:ascii="宋体" w:hAnsi="宋体" w:cs="仿宋_GB2312"/>
          <w:color w:val="auto"/>
          <w:sz w:val="24"/>
        </w:rPr>
      </w:pPr>
    </w:p>
    <w:p w14:paraId="7146E03D">
      <w:pPr>
        <w:spacing w:line="360" w:lineRule="auto"/>
        <w:ind w:left="540"/>
        <w:contextualSpacing/>
        <w:rPr>
          <w:rFonts w:hint="eastAsia" w:ascii="宋体" w:hAnsi="宋体" w:cs="仿宋_GB2312"/>
          <w:color w:val="auto"/>
          <w:sz w:val="24"/>
        </w:rPr>
      </w:pPr>
    </w:p>
    <w:p w14:paraId="247BA078">
      <w:pPr>
        <w:spacing w:line="360" w:lineRule="auto"/>
        <w:ind w:left="540"/>
        <w:contextualSpacing/>
        <w:rPr>
          <w:rFonts w:hint="eastAsia" w:ascii="宋体" w:hAnsi="宋体" w:cs="仿宋_GB2312"/>
          <w:color w:val="auto"/>
          <w:sz w:val="24"/>
        </w:rPr>
      </w:pPr>
      <w:r>
        <w:rPr>
          <w:rFonts w:hint="eastAsia" w:ascii="宋体" w:hAnsi="宋体" w:cs="仿宋_GB2312"/>
          <w:color w:val="auto"/>
          <w:sz w:val="24"/>
        </w:rPr>
        <w:t>附件：法定代表人有效身份证正反面复印件</w:t>
      </w:r>
    </w:p>
    <w:p w14:paraId="0DAAA3A6">
      <w:pPr>
        <w:spacing w:line="360" w:lineRule="auto"/>
        <w:ind w:left="540"/>
        <w:contextualSpacing/>
        <w:rPr>
          <w:rFonts w:hint="eastAsia" w:ascii="宋体" w:hAnsi="宋体" w:cs="仿宋_GB2312"/>
          <w:color w:val="auto"/>
          <w:sz w:val="24"/>
        </w:rPr>
      </w:pPr>
    </w:p>
    <w:p w14:paraId="3149C902">
      <w:pPr>
        <w:spacing w:line="360" w:lineRule="auto"/>
        <w:ind w:left="540"/>
        <w:contextualSpacing/>
        <w:jc w:val="right"/>
        <w:rPr>
          <w:rFonts w:hint="eastAsia" w:ascii="宋体" w:hAnsi="宋体" w:cs="仿宋_GB2312"/>
          <w:color w:val="auto"/>
          <w:sz w:val="24"/>
        </w:rPr>
      </w:pPr>
      <w:r>
        <w:rPr>
          <w:rFonts w:hint="eastAsia" w:ascii="宋体" w:hAnsi="宋体" w:cs="仿宋_GB2312"/>
          <w:color w:val="auto"/>
          <w:sz w:val="24"/>
        </w:rPr>
        <w:t>供应商（盖公章）：</w:t>
      </w:r>
      <w:r>
        <w:rPr>
          <w:rFonts w:hint="eastAsia" w:ascii="宋体" w:hAnsi="宋体" w:cs="仿宋_GB2312"/>
          <w:color w:val="auto"/>
          <w:sz w:val="24"/>
          <w:u w:val="single"/>
        </w:rPr>
        <w:t xml:space="preserve">               </w:t>
      </w:r>
    </w:p>
    <w:p w14:paraId="3E40B31F">
      <w:pPr>
        <w:spacing w:line="360" w:lineRule="auto"/>
        <w:ind w:firstLine="4080" w:firstLineChars="1700"/>
        <w:contextualSpacing/>
        <w:rPr>
          <w:rFonts w:hint="eastAsia" w:ascii="宋体" w:hAnsi="宋体" w:cs="仿宋_GB2312"/>
          <w:color w:val="auto"/>
          <w:sz w:val="24"/>
        </w:rPr>
      </w:pPr>
      <w:r>
        <w:rPr>
          <w:rFonts w:hint="eastAsia" w:ascii="宋体" w:hAnsi="宋体" w:cs="仿宋_GB2312"/>
          <w:color w:val="auto"/>
          <w:sz w:val="24"/>
          <w:u w:val="single"/>
        </w:rPr>
        <w:t xml:space="preserve">     </w:t>
      </w:r>
      <w:r>
        <w:rPr>
          <w:rFonts w:hint="eastAsia" w:ascii="宋体" w:hAnsi="宋体" w:cs="仿宋_GB2312"/>
          <w:color w:val="auto"/>
          <w:sz w:val="24"/>
        </w:rPr>
        <w:t>年</w:t>
      </w:r>
      <w:r>
        <w:rPr>
          <w:rFonts w:hint="eastAsia" w:ascii="宋体" w:hAnsi="宋体" w:cs="仿宋_GB2312"/>
          <w:color w:val="auto"/>
          <w:sz w:val="24"/>
          <w:u w:val="single"/>
        </w:rPr>
        <w:t xml:space="preserve">     </w:t>
      </w:r>
      <w:r>
        <w:rPr>
          <w:rFonts w:hint="eastAsia" w:ascii="宋体" w:hAnsi="宋体" w:cs="仿宋_GB2312"/>
          <w:color w:val="auto"/>
          <w:sz w:val="24"/>
        </w:rPr>
        <w:t>月</w:t>
      </w:r>
      <w:r>
        <w:rPr>
          <w:rFonts w:hint="eastAsia" w:ascii="宋体" w:hAnsi="宋体" w:cs="仿宋_GB2312"/>
          <w:color w:val="auto"/>
          <w:sz w:val="24"/>
          <w:u w:val="single"/>
        </w:rPr>
        <w:t xml:space="preserve">     </w:t>
      </w:r>
      <w:r>
        <w:rPr>
          <w:rFonts w:hint="eastAsia" w:ascii="宋体" w:hAnsi="宋体" w:cs="仿宋_GB2312"/>
          <w:color w:val="auto"/>
          <w:sz w:val="24"/>
        </w:rPr>
        <w:t>日</w:t>
      </w:r>
    </w:p>
    <w:p w14:paraId="028AF168">
      <w:pPr>
        <w:spacing w:line="360" w:lineRule="auto"/>
        <w:contextualSpacing/>
        <w:jc w:val="center"/>
        <w:rPr>
          <w:rFonts w:hint="eastAsia" w:ascii="宋体" w:hAnsi="宋体" w:cs="仿宋_GB2312"/>
          <w:b/>
          <w:color w:val="auto"/>
          <w:sz w:val="24"/>
        </w:rPr>
      </w:pPr>
    </w:p>
    <w:p w14:paraId="388A81D6">
      <w:pPr>
        <w:spacing w:line="360" w:lineRule="auto"/>
        <w:contextualSpacing/>
        <w:jc w:val="left"/>
        <w:rPr>
          <w:rFonts w:hint="eastAsia" w:ascii="宋体" w:hAnsi="宋体" w:cs="仿宋_GB2312"/>
          <w:color w:val="auto"/>
          <w:sz w:val="24"/>
        </w:rPr>
      </w:pPr>
    </w:p>
    <w:p w14:paraId="0890E093">
      <w:pPr>
        <w:spacing w:line="360" w:lineRule="auto"/>
        <w:contextualSpacing/>
        <w:jc w:val="left"/>
        <w:rPr>
          <w:rFonts w:ascii="宋体" w:hAnsi="宋体" w:cs="仿宋_GB2312"/>
          <w:color w:val="auto"/>
          <w:sz w:val="24"/>
        </w:rPr>
      </w:pPr>
      <w:r>
        <w:rPr>
          <w:rFonts w:hint="eastAsia" w:ascii="宋体" w:hAnsi="宋体" w:cs="仿宋_GB2312"/>
          <w:color w:val="auto"/>
          <w:sz w:val="24"/>
        </w:rPr>
        <w:t>注：自然人竞标的无需提供，联合体竞标的只需牵头人出具。</w:t>
      </w:r>
    </w:p>
    <w:p w14:paraId="7DC1BB58">
      <w:pPr>
        <w:adjustRightInd w:val="0"/>
        <w:snapToGrid w:val="0"/>
        <w:spacing w:line="300" w:lineRule="auto"/>
        <w:jc w:val="left"/>
        <w:rPr>
          <w:rFonts w:hint="eastAsia" w:ascii="宋体" w:hAnsi="宋体"/>
          <w:b/>
          <w:color w:val="auto"/>
          <w:szCs w:val="21"/>
        </w:rPr>
      </w:pPr>
    </w:p>
    <w:p w14:paraId="4B771926">
      <w:pPr>
        <w:spacing w:line="5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r>
        <w:rPr>
          <w:rFonts w:ascii="方正小标宋简体" w:hAnsi="方正小标宋简体" w:eastAsia="方正小标宋简体" w:cs="方正小标宋简体"/>
          <w:color w:val="auto"/>
          <w:sz w:val="44"/>
          <w:szCs w:val="44"/>
        </w:rPr>
        <w:t xml:space="preserve"> </w:t>
      </w:r>
    </w:p>
    <w:p w14:paraId="4D4EA512">
      <w:pPr>
        <w:spacing w:line="520" w:lineRule="exact"/>
        <w:jc w:val="center"/>
        <w:rPr>
          <w:rFonts w:hint="eastAsia" w:ascii="方正小标宋简体" w:hAnsi="方正小标宋简体" w:eastAsia="方正小标宋简体" w:cs="方正小标宋简体"/>
          <w:color w:val="auto"/>
          <w:sz w:val="44"/>
          <w:szCs w:val="44"/>
        </w:rPr>
      </w:pPr>
      <w:bookmarkStart w:id="86" w:name="_Hlk65853643"/>
      <w:r>
        <w:rPr>
          <w:rFonts w:hint="eastAsia" w:ascii="方正小标宋简体" w:hAnsi="方正小标宋简体" w:eastAsia="方正小标宋简体" w:cs="方正小标宋简体"/>
          <w:color w:val="auto"/>
          <w:sz w:val="44"/>
          <w:szCs w:val="44"/>
        </w:rPr>
        <w:t>授权委托书</w:t>
      </w:r>
    </w:p>
    <w:p w14:paraId="52EE5127">
      <w:pPr>
        <w:spacing w:line="520" w:lineRule="exact"/>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（非联合体竞标格式）</w:t>
      </w:r>
    </w:p>
    <w:p w14:paraId="5EF8853F">
      <w:pPr>
        <w:spacing w:line="52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32"/>
          <w:szCs w:val="32"/>
        </w:rPr>
        <w:t>（如有委托时）</w:t>
      </w:r>
    </w:p>
    <w:p w14:paraId="5E122467">
      <w:pPr>
        <w:spacing w:line="520" w:lineRule="exact"/>
        <w:rPr>
          <w:rFonts w:hint="eastAsia" w:ascii="仿宋_GB2312" w:hAnsi="仿宋_GB2312" w:eastAsia="仿宋_GB2312" w:cs="仿宋_GB2312"/>
          <w:color w:val="auto"/>
          <w:sz w:val="32"/>
          <w:szCs w:val="32"/>
        </w:rPr>
      </w:pPr>
    </w:p>
    <w:p w14:paraId="6ED2B604">
      <w:pPr>
        <w:spacing w:line="360" w:lineRule="auto"/>
        <w:rPr>
          <w:rFonts w:hint="eastAsia" w:ascii="宋体" w:hAnsi="宋体" w:cs="仿宋_GB2312"/>
          <w:color w:val="auto"/>
          <w:sz w:val="24"/>
        </w:rPr>
      </w:pPr>
      <w:r>
        <w:rPr>
          <w:rFonts w:hint="eastAsia" w:ascii="宋体" w:hAnsi="宋体" w:cs="仿宋_GB2312"/>
          <w:color w:val="auto"/>
          <w:sz w:val="24"/>
        </w:rPr>
        <w:t>致：</w:t>
      </w:r>
      <w:r>
        <w:rPr>
          <w:rFonts w:hint="eastAsia" w:ascii="宋体" w:hAnsi="宋体" w:cs="仿宋_GB2312"/>
          <w:color w:val="auto"/>
          <w:sz w:val="24"/>
          <w:u w:val="single"/>
        </w:rPr>
        <w:t>（采购人名称）</w:t>
      </w:r>
      <w:r>
        <w:rPr>
          <w:rFonts w:hint="eastAsia" w:ascii="宋体" w:hAnsi="宋体" w:cs="仿宋_GB2312"/>
          <w:color w:val="auto"/>
          <w:sz w:val="24"/>
        </w:rPr>
        <w:t>：</w:t>
      </w:r>
    </w:p>
    <w:p w14:paraId="14B4BD9F">
      <w:pPr>
        <w:spacing w:line="360" w:lineRule="auto"/>
        <w:ind w:firstLine="480" w:firstLineChars="200"/>
        <w:rPr>
          <w:rFonts w:hint="eastAsia" w:ascii="宋体" w:hAnsi="宋体" w:cs="仿宋_GB2312"/>
          <w:color w:val="auto"/>
          <w:sz w:val="24"/>
        </w:rPr>
      </w:pPr>
      <w:r>
        <w:rPr>
          <w:rFonts w:hint="eastAsia" w:ascii="宋体" w:hAnsi="宋体" w:cs="仿宋_GB2312"/>
          <w:color w:val="auto"/>
          <w:sz w:val="24"/>
        </w:rPr>
        <w:t>我</w:t>
      </w:r>
      <w:r>
        <w:rPr>
          <w:rFonts w:hint="eastAsia" w:ascii="宋体" w:hAnsi="宋体" w:cs="仿宋_GB2312"/>
          <w:color w:val="auto"/>
          <w:sz w:val="24"/>
          <w:u w:val="single"/>
        </w:rPr>
        <w:t xml:space="preserve">  （姓名）  </w:t>
      </w:r>
      <w:r>
        <w:rPr>
          <w:rFonts w:hint="eastAsia" w:ascii="宋体" w:hAnsi="宋体" w:cs="仿宋_GB2312"/>
          <w:color w:val="auto"/>
          <w:sz w:val="24"/>
        </w:rPr>
        <w:t>系</w:t>
      </w:r>
      <w:r>
        <w:rPr>
          <w:rFonts w:hint="eastAsia" w:ascii="宋体" w:hAnsi="宋体" w:cs="仿宋_GB2312"/>
          <w:color w:val="auto"/>
          <w:sz w:val="24"/>
          <w:u w:val="single"/>
        </w:rPr>
        <w:t xml:space="preserve">  （供应商名称）  </w:t>
      </w:r>
      <w:r>
        <w:rPr>
          <w:rFonts w:hint="eastAsia" w:ascii="宋体" w:hAnsi="宋体" w:cs="仿宋_GB2312"/>
          <w:color w:val="auto"/>
          <w:sz w:val="24"/>
        </w:rPr>
        <w:t>的（</w:t>
      </w:r>
      <w:r>
        <w:rPr>
          <w:rFonts w:hint="eastAsia" w:ascii="宋体" w:hAnsi="宋体" w:cs="仿宋_GB2312"/>
          <w:color w:val="auto"/>
          <w:sz w:val="24"/>
          <w:u w:val="single"/>
        </w:rPr>
        <w:sym w:font="Wingdings 2" w:char="00A3"/>
      </w:r>
      <w:r>
        <w:rPr>
          <w:rFonts w:hint="eastAsia" w:ascii="宋体" w:hAnsi="宋体" w:cs="仿宋_GB2312"/>
          <w:color w:val="auto"/>
          <w:sz w:val="24"/>
          <w:u w:val="single"/>
        </w:rPr>
        <w:t>法定代表人/□负责人/□自然人本人</w:t>
      </w:r>
      <w:r>
        <w:rPr>
          <w:rFonts w:hint="eastAsia" w:ascii="宋体" w:hAnsi="宋体" w:cs="仿宋_GB2312"/>
          <w:color w:val="auto"/>
          <w:sz w:val="24"/>
        </w:rPr>
        <w:t>），现授权</w:t>
      </w:r>
      <w:r>
        <w:rPr>
          <w:rFonts w:hint="eastAsia" w:ascii="宋体" w:hAnsi="宋体" w:cs="仿宋_GB2312"/>
          <w:color w:val="auto"/>
          <w:sz w:val="24"/>
          <w:u w:val="single"/>
        </w:rPr>
        <w:t xml:space="preserve"> （姓名） </w:t>
      </w:r>
      <w:r>
        <w:rPr>
          <w:rFonts w:hint="eastAsia" w:ascii="宋体" w:hAnsi="宋体" w:cs="仿宋_GB2312"/>
          <w:color w:val="auto"/>
          <w:sz w:val="24"/>
        </w:rPr>
        <w:t>以我方的名义参加</w:t>
      </w:r>
      <w:r>
        <w:rPr>
          <w:rFonts w:hint="eastAsia" w:ascii="宋体" w:hAnsi="宋体" w:cs="仿宋_GB2312"/>
          <w:color w:val="auto"/>
          <w:sz w:val="24"/>
          <w:u w:val="single"/>
        </w:rPr>
        <w:t xml:space="preserve">              </w:t>
      </w:r>
      <w:r>
        <w:rPr>
          <w:rFonts w:hint="eastAsia" w:ascii="宋体" w:hAnsi="宋体" w:cs="仿宋_GB2312"/>
          <w:color w:val="auto"/>
          <w:sz w:val="24"/>
        </w:rPr>
        <w:t>项目的竞标活动，并代表我方全权办理针对上述项目的所有采购程序和环节的具体事务和签署相关文件。</w:t>
      </w:r>
    </w:p>
    <w:p w14:paraId="5BF54628">
      <w:pPr>
        <w:spacing w:line="360" w:lineRule="auto"/>
        <w:rPr>
          <w:rFonts w:hint="eastAsia" w:ascii="宋体" w:hAnsi="宋体" w:cs="仿宋_GB2312"/>
          <w:color w:val="auto"/>
          <w:sz w:val="24"/>
        </w:rPr>
      </w:pPr>
      <w:r>
        <w:rPr>
          <w:rFonts w:hint="eastAsia" w:ascii="宋体" w:hAnsi="宋体" w:cs="仿宋_GB2312"/>
          <w:color w:val="auto"/>
          <w:sz w:val="24"/>
        </w:rPr>
        <w:t xml:space="preserve">    我方对委托代理人的签字事项负全部责任。</w:t>
      </w:r>
    </w:p>
    <w:p w14:paraId="02B5B843">
      <w:pPr>
        <w:spacing w:line="360" w:lineRule="auto"/>
        <w:ind w:firstLine="480" w:firstLineChars="200"/>
        <w:rPr>
          <w:rFonts w:hint="eastAsia" w:ascii="宋体" w:hAnsi="宋体" w:cs="仿宋_GB2312"/>
          <w:color w:val="auto"/>
          <w:sz w:val="24"/>
        </w:rPr>
      </w:pPr>
      <w:r>
        <w:rPr>
          <w:rFonts w:hint="eastAsia" w:ascii="宋体" w:hAnsi="宋体" w:cs="仿宋_GB2312"/>
          <w:color w:val="auto"/>
          <w:sz w:val="24"/>
        </w:rPr>
        <w:t>本授权书自签署之日起生效，在撤销授权的书面通知以前，本授权书一直有效。委托代理人在授权书有效期内签署的所有文件不因授权的撤销而失效。</w:t>
      </w:r>
    </w:p>
    <w:p w14:paraId="1318809A">
      <w:pPr>
        <w:spacing w:line="360" w:lineRule="auto"/>
        <w:ind w:firstLine="480" w:firstLineChars="200"/>
        <w:rPr>
          <w:rFonts w:hint="eastAsia" w:ascii="宋体" w:hAnsi="宋体" w:cs="仿宋_GB2312"/>
          <w:color w:val="auto"/>
          <w:sz w:val="24"/>
        </w:rPr>
      </w:pPr>
      <w:r>
        <w:rPr>
          <w:rFonts w:hint="eastAsia" w:ascii="宋体" w:hAnsi="宋体" w:cs="仿宋_GB2312"/>
          <w:color w:val="auto"/>
          <w:sz w:val="24"/>
        </w:rPr>
        <w:t>委托代理人无转委托权，特此委托。</w:t>
      </w:r>
    </w:p>
    <w:p w14:paraId="73A2FB93">
      <w:pPr>
        <w:spacing w:line="360" w:lineRule="auto"/>
        <w:ind w:firstLine="480" w:firstLineChars="200"/>
        <w:rPr>
          <w:rFonts w:hint="eastAsia" w:ascii="宋体" w:hAnsi="宋体" w:cs="仿宋_GB2312"/>
          <w:color w:val="auto"/>
          <w:sz w:val="24"/>
        </w:rPr>
      </w:pPr>
      <w:r>
        <w:rPr>
          <w:rFonts w:hint="eastAsia" w:ascii="宋体" w:hAnsi="宋体" w:cs="仿宋_GB2312"/>
          <w:color w:val="auto"/>
          <w:sz w:val="24"/>
        </w:rPr>
        <w:t>附：法定代表人身份证明书及委托代理人有效身份证正反面复印件</w:t>
      </w:r>
    </w:p>
    <w:p w14:paraId="49614A56">
      <w:pPr>
        <w:spacing w:line="360" w:lineRule="auto"/>
        <w:rPr>
          <w:rFonts w:hint="eastAsia" w:ascii="宋体" w:hAnsi="宋体" w:cs="仿宋_GB2312"/>
          <w:color w:val="auto"/>
          <w:sz w:val="24"/>
        </w:rPr>
      </w:pPr>
    </w:p>
    <w:p w14:paraId="02240F7E">
      <w:pPr>
        <w:spacing w:line="360" w:lineRule="auto"/>
        <w:rPr>
          <w:rFonts w:hint="eastAsia" w:ascii="宋体" w:hAnsi="宋体" w:cs="仿宋_GB2312"/>
          <w:color w:val="auto"/>
          <w:sz w:val="24"/>
        </w:rPr>
      </w:pPr>
      <w:r>
        <w:rPr>
          <w:rFonts w:hint="eastAsia" w:ascii="宋体" w:hAnsi="宋体" w:cs="仿宋_GB2312"/>
          <w:color w:val="auto"/>
          <w:sz w:val="24"/>
        </w:rPr>
        <w:t xml:space="preserve">委托代理人（签字）：         法定代表人（签字或者盖章）：                    </w:t>
      </w:r>
    </w:p>
    <w:p w14:paraId="500AC536">
      <w:pPr>
        <w:spacing w:line="360" w:lineRule="auto"/>
        <w:rPr>
          <w:rFonts w:hint="eastAsia" w:ascii="宋体" w:hAnsi="宋体" w:cs="仿宋_GB2312"/>
          <w:color w:val="auto"/>
          <w:sz w:val="24"/>
        </w:rPr>
      </w:pPr>
      <w:r>
        <w:rPr>
          <w:rFonts w:hint="eastAsia" w:ascii="宋体" w:hAnsi="宋体" w:cs="仿宋_GB2312"/>
          <w:color w:val="auto"/>
          <w:sz w:val="24"/>
        </w:rPr>
        <w:t xml:space="preserve">委托代理人身份证号码：                              </w:t>
      </w:r>
    </w:p>
    <w:p w14:paraId="7481F15B">
      <w:pPr>
        <w:spacing w:line="360" w:lineRule="auto"/>
        <w:rPr>
          <w:rFonts w:hint="eastAsia" w:ascii="宋体" w:hAnsi="宋体" w:cs="仿宋_GB2312"/>
          <w:color w:val="auto"/>
          <w:sz w:val="24"/>
        </w:rPr>
      </w:pPr>
      <w:r>
        <w:rPr>
          <w:rFonts w:hint="eastAsia" w:ascii="宋体" w:hAnsi="宋体" w:cs="仿宋_GB2312"/>
          <w:color w:val="auto"/>
          <w:sz w:val="24"/>
        </w:rPr>
        <w:t xml:space="preserve">                                </w:t>
      </w:r>
    </w:p>
    <w:p w14:paraId="66789A40">
      <w:pPr>
        <w:spacing w:line="360" w:lineRule="auto"/>
        <w:rPr>
          <w:rFonts w:hint="eastAsia" w:ascii="宋体" w:hAnsi="宋体" w:cs="仿宋_GB2312"/>
          <w:color w:val="auto"/>
          <w:sz w:val="24"/>
        </w:rPr>
      </w:pPr>
      <w:r>
        <w:rPr>
          <w:rFonts w:hint="eastAsia" w:ascii="宋体" w:hAnsi="宋体" w:cs="仿宋_GB2312"/>
          <w:color w:val="auto"/>
          <w:sz w:val="24"/>
        </w:rPr>
        <w:t xml:space="preserve">                         供应商（盖公章）：                      </w:t>
      </w:r>
    </w:p>
    <w:p w14:paraId="090EAE30">
      <w:pPr>
        <w:spacing w:line="360" w:lineRule="auto"/>
        <w:rPr>
          <w:rFonts w:hint="eastAsia" w:ascii="宋体" w:hAnsi="宋体" w:cs="仿宋_GB2312"/>
          <w:color w:val="auto"/>
          <w:sz w:val="24"/>
        </w:rPr>
      </w:pPr>
      <w:r>
        <w:rPr>
          <w:rFonts w:hint="eastAsia" w:ascii="宋体" w:hAnsi="宋体" w:cs="仿宋_GB2312"/>
          <w:color w:val="auto"/>
          <w:sz w:val="24"/>
        </w:rPr>
        <w:t xml:space="preserve">                                         年    月    日</w:t>
      </w:r>
    </w:p>
    <w:p w14:paraId="071413E5">
      <w:pPr>
        <w:spacing w:line="360" w:lineRule="auto"/>
        <w:rPr>
          <w:rFonts w:hint="eastAsia" w:ascii="宋体" w:hAnsi="宋体" w:cs="仿宋_GB2312"/>
          <w:color w:val="auto"/>
          <w:sz w:val="24"/>
        </w:rPr>
      </w:pPr>
    </w:p>
    <w:p w14:paraId="189918DC">
      <w:pPr>
        <w:spacing w:line="360" w:lineRule="auto"/>
        <w:rPr>
          <w:rFonts w:ascii="宋体" w:hAnsi="宋体" w:cs="仿宋_GB2312"/>
          <w:color w:val="auto"/>
          <w:sz w:val="24"/>
        </w:rPr>
      </w:pPr>
      <w:r>
        <w:rPr>
          <w:rFonts w:hint="eastAsia" w:ascii="宋体" w:hAnsi="宋体" w:cs="仿宋_GB2312"/>
          <w:color w:val="auto"/>
          <w:sz w:val="24"/>
        </w:rPr>
        <w:t>注：1. 法定代表人必须在授权委托书上亲笔签字或者盖章，委托代理人必须在授权委托书上亲笔签字，</w:t>
      </w:r>
      <w:r>
        <w:rPr>
          <w:rFonts w:hint="eastAsia" w:ascii="宋体" w:hAnsi="宋体" w:cs="仿宋_GB2312"/>
          <w:b/>
          <w:color w:val="auto"/>
          <w:sz w:val="24"/>
        </w:rPr>
        <w:t>否则其响应文件按无效响应处理。</w:t>
      </w:r>
    </w:p>
    <w:p w14:paraId="04EADDCB">
      <w:pPr>
        <w:spacing w:line="360" w:lineRule="auto"/>
        <w:ind w:firstLine="480" w:firstLineChars="200"/>
        <w:jc w:val="left"/>
        <w:rPr>
          <w:rFonts w:hint="eastAsia" w:ascii="宋体" w:hAnsi="宋体" w:cs="仿宋_GB2312"/>
          <w:color w:val="auto"/>
          <w:sz w:val="24"/>
        </w:rPr>
      </w:pPr>
      <w:r>
        <w:rPr>
          <w:rFonts w:ascii="宋体" w:hAnsi="宋体" w:cs="仿宋_GB2312"/>
          <w:color w:val="auto"/>
          <w:sz w:val="24"/>
        </w:rPr>
        <w:t>2.</w:t>
      </w:r>
      <w:bookmarkStart w:id="87" w:name="_Hlk65853109"/>
      <w:bookmarkStart w:id="88" w:name="_Hlk65853542"/>
      <w:r>
        <w:rPr>
          <w:rFonts w:hint="eastAsia" w:ascii="宋体" w:hAnsi="宋体" w:cs="仿宋_GB2312"/>
          <w:color w:val="auto"/>
          <w:sz w:val="24"/>
        </w:rPr>
        <w:t>法人、其他组织竞标时“我方”是指“我单位”，自然人竞标时“我方”是指“本人”。</w:t>
      </w:r>
      <w:bookmarkEnd w:id="87"/>
    </w:p>
    <w:bookmarkEnd w:id="88"/>
    <w:p w14:paraId="42D248C5">
      <w:pPr>
        <w:spacing w:line="360" w:lineRule="auto"/>
        <w:ind w:firstLine="420" w:firstLineChars="200"/>
        <w:jc w:val="left"/>
        <w:rPr>
          <w:rFonts w:hint="eastAsia" w:ascii="仿宋_GB2312" w:hAnsi="仿宋_GB2312" w:eastAsia="仿宋_GB2312" w:cs="仿宋_GB2312"/>
          <w:color w:val="auto"/>
          <w:szCs w:val="21"/>
        </w:rPr>
      </w:pPr>
    </w:p>
    <w:p w14:paraId="2BF4F1E7">
      <w:pPr>
        <w:spacing w:line="500" w:lineRule="exact"/>
        <w:jc w:val="center"/>
        <w:rPr>
          <w:rFonts w:hint="eastAsia" w:ascii="方正小标宋简体" w:hAnsi="方正小标宋简体" w:eastAsia="方正小标宋简体" w:cs="方正小标宋简体"/>
          <w:color w:val="auto"/>
          <w:sz w:val="44"/>
          <w:szCs w:val="44"/>
        </w:rPr>
      </w:pPr>
      <w:r>
        <w:rPr>
          <w:rFonts w:ascii="仿宋_GB2312" w:hAnsi="仿宋_GB2312" w:eastAsia="仿宋_GB2312" w:cs="仿宋_GB2312"/>
          <w:color w:val="auto"/>
          <w:szCs w:val="21"/>
        </w:rPr>
        <w:br w:type="page"/>
      </w:r>
      <w:r>
        <w:rPr>
          <w:rFonts w:hint="eastAsia" w:ascii="方正小标宋简体" w:hAnsi="方正小标宋简体" w:eastAsia="方正小标宋简体" w:cs="方正小标宋简体"/>
          <w:color w:val="auto"/>
          <w:sz w:val="44"/>
          <w:szCs w:val="44"/>
        </w:rPr>
        <w:t>授权委托书</w:t>
      </w:r>
    </w:p>
    <w:p w14:paraId="037F2A28">
      <w:pPr>
        <w:spacing w:line="500" w:lineRule="exact"/>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（联合体竞标格式）</w:t>
      </w:r>
    </w:p>
    <w:p w14:paraId="723A63A1">
      <w:pPr>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32"/>
          <w:szCs w:val="32"/>
        </w:rPr>
        <w:t>（如有委托时）</w:t>
      </w:r>
    </w:p>
    <w:p w14:paraId="7E322F88">
      <w:pPr>
        <w:spacing w:line="500" w:lineRule="exact"/>
        <w:jc w:val="center"/>
        <w:rPr>
          <w:rFonts w:ascii="方正小标宋简体" w:hAnsi="方正小标宋简体" w:eastAsia="方正小标宋简体" w:cs="方正小标宋简体"/>
          <w:color w:val="auto"/>
          <w:sz w:val="44"/>
          <w:szCs w:val="44"/>
        </w:rPr>
      </w:pPr>
    </w:p>
    <w:p w14:paraId="4BB2F4D5">
      <w:pPr>
        <w:spacing w:line="500" w:lineRule="exact"/>
        <w:jc w:val="center"/>
        <w:rPr>
          <w:rFonts w:hint="eastAsia" w:ascii="仿宋_GB2312" w:hAnsi="仿宋_GB2312" w:eastAsia="仿宋_GB2312" w:cs="仿宋_GB2312"/>
          <w:color w:val="auto"/>
          <w:sz w:val="32"/>
          <w:szCs w:val="32"/>
        </w:rPr>
      </w:pPr>
    </w:p>
    <w:p w14:paraId="7B7606BB">
      <w:pPr>
        <w:spacing w:line="360" w:lineRule="auto"/>
        <w:ind w:firstLine="480" w:firstLineChars="200"/>
        <w:jc w:val="left"/>
        <w:rPr>
          <w:rFonts w:hint="eastAsia" w:ascii="宋体" w:hAnsi="宋体" w:cs="仿宋_GB2312"/>
          <w:color w:val="auto"/>
          <w:sz w:val="24"/>
        </w:rPr>
      </w:pPr>
      <w:r>
        <w:rPr>
          <w:rFonts w:hint="eastAsia" w:ascii="宋体" w:hAnsi="宋体" w:cs="仿宋_GB2312"/>
          <w:color w:val="auto"/>
          <w:sz w:val="24"/>
        </w:rPr>
        <w:t>本授权委托书声明：根据</w:t>
      </w:r>
      <w:r>
        <w:rPr>
          <w:rFonts w:hint="eastAsia" w:ascii="宋体" w:hAnsi="宋体" w:cs="仿宋_GB2312"/>
          <w:color w:val="auto"/>
          <w:sz w:val="24"/>
          <w:u w:val="single"/>
        </w:rPr>
        <w:t xml:space="preserve">                </w:t>
      </w:r>
      <w:r>
        <w:rPr>
          <w:rFonts w:hint="eastAsia" w:ascii="宋体" w:hAnsi="宋体" w:cs="仿宋_GB2312"/>
          <w:color w:val="auto"/>
          <w:sz w:val="24"/>
        </w:rPr>
        <w:t>（牵头人名称）与</w:t>
      </w:r>
      <w:r>
        <w:rPr>
          <w:rFonts w:hint="eastAsia" w:ascii="宋体" w:hAnsi="宋体" w:cs="仿宋_GB2312"/>
          <w:color w:val="auto"/>
          <w:sz w:val="24"/>
          <w:u w:val="single"/>
        </w:rPr>
        <w:t xml:space="preserve">              </w:t>
      </w:r>
      <w:r>
        <w:rPr>
          <w:rFonts w:hint="eastAsia" w:ascii="宋体" w:hAnsi="宋体" w:cs="仿宋_GB2312"/>
          <w:color w:val="auto"/>
          <w:sz w:val="24"/>
        </w:rPr>
        <w:t>（联合体其他成员名称）签订的《联合体竞标协议书》的内容，</w:t>
      </w:r>
      <w:r>
        <w:rPr>
          <w:rFonts w:hint="eastAsia" w:ascii="宋体" w:hAnsi="宋体" w:cs="仿宋_GB2312"/>
          <w:color w:val="auto"/>
          <w:sz w:val="24"/>
          <w:u w:val="single"/>
        </w:rPr>
        <w:t xml:space="preserve">                       </w:t>
      </w:r>
      <w:r>
        <w:rPr>
          <w:rFonts w:hint="eastAsia" w:ascii="宋体" w:hAnsi="宋体" w:cs="仿宋_GB2312"/>
          <w:color w:val="auto"/>
          <w:sz w:val="24"/>
        </w:rPr>
        <w:t>（牵头人名称）的法定代表人</w:t>
      </w:r>
      <w:r>
        <w:rPr>
          <w:rFonts w:hint="eastAsia" w:ascii="宋体" w:hAnsi="宋体" w:cs="仿宋_GB2312"/>
          <w:color w:val="auto"/>
          <w:sz w:val="24"/>
          <w:u w:val="single"/>
        </w:rPr>
        <w:t xml:space="preserve">      </w:t>
      </w:r>
      <w:r>
        <w:rPr>
          <w:rFonts w:hint="eastAsia" w:ascii="宋体" w:hAnsi="宋体" w:cs="仿宋_GB2312"/>
          <w:color w:val="auto"/>
          <w:sz w:val="24"/>
        </w:rPr>
        <w:t>（姓名）现授权</w:t>
      </w:r>
      <w:r>
        <w:rPr>
          <w:rFonts w:hint="eastAsia" w:ascii="宋体" w:hAnsi="宋体" w:cs="仿宋_GB2312"/>
          <w:color w:val="auto"/>
          <w:sz w:val="24"/>
          <w:u w:val="single"/>
        </w:rPr>
        <w:t xml:space="preserve">      </w:t>
      </w:r>
      <w:r>
        <w:rPr>
          <w:rFonts w:hint="eastAsia" w:ascii="宋体" w:hAnsi="宋体" w:cs="仿宋_GB2312"/>
          <w:color w:val="auto"/>
          <w:sz w:val="24"/>
        </w:rPr>
        <w:t>（姓名）为联合委托代理人，并代表我方全权办理针对上述项目的所有采购程序和环节的具体事务和签署相关文件。</w:t>
      </w:r>
    </w:p>
    <w:p w14:paraId="221F2943">
      <w:pPr>
        <w:spacing w:line="360" w:lineRule="auto"/>
        <w:ind w:firstLine="480" w:firstLineChars="200"/>
        <w:rPr>
          <w:rFonts w:hint="eastAsia" w:ascii="宋体" w:hAnsi="宋体" w:cs="仿宋_GB2312"/>
          <w:color w:val="auto"/>
          <w:sz w:val="24"/>
        </w:rPr>
      </w:pPr>
      <w:r>
        <w:rPr>
          <w:rFonts w:hint="eastAsia" w:ascii="宋体" w:hAnsi="宋体" w:cs="仿宋_GB2312"/>
          <w:color w:val="auto"/>
          <w:sz w:val="24"/>
        </w:rPr>
        <w:t>我方对委托代理人的签字事项负全部责任。</w:t>
      </w:r>
    </w:p>
    <w:p w14:paraId="46E4C460">
      <w:pPr>
        <w:spacing w:line="360" w:lineRule="auto"/>
        <w:ind w:firstLine="480" w:firstLineChars="200"/>
        <w:rPr>
          <w:rFonts w:hint="eastAsia" w:ascii="宋体" w:hAnsi="宋体" w:cs="仿宋_GB2312"/>
          <w:color w:val="auto"/>
          <w:sz w:val="24"/>
        </w:rPr>
      </w:pPr>
      <w:r>
        <w:rPr>
          <w:rFonts w:hint="eastAsia" w:ascii="宋体" w:hAnsi="宋体" w:cs="仿宋_GB2312"/>
          <w:color w:val="auto"/>
          <w:sz w:val="24"/>
        </w:rPr>
        <w:t>本授权书自签署之日起生效，在撤销授权的书面通知以前，本授权书一直有效。委托代理人在授权书有效期内签署的所有文件不因授权的撤销而失效。</w:t>
      </w:r>
    </w:p>
    <w:p w14:paraId="3B115F5C">
      <w:pPr>
        <w:spacing w:line="360" w:lineRule="auto"/>
        <w:ind w:firstLine="480" w:firstLineChars="200"/>
        <w:rPr>
          <w:rFonts w:hint="eastAsia" w:ascii="宋体" w:hAnsi="宋体" w:cs="仿宋_GB2312"/>
          <w:color w:val="auto"/>
          <w:sz w:val="24"/>
        </w:rPr>
      </w:pPr>
      <w:r>
        <w:rPr>
          <w:rFonts w:hint="eastAsia" w:ascii="宋体" w:hAnsi="宋体" w:cs="仿宋_GB2312"/>
          <w:color w:val="auto"/>
          <w:sz w:val="24"/>
        </w:rPr>
        <w:t>委托代理人无转委托权，特此委托。</w:t>
      </w:r>
    </w:p>
    <w:p w14:paraId="4503C620">
      <w:pPr>
        <w:spacing w:line="360" w:lineRule="auto"/>
        <w:rPr>
          <w:rFonts w:hint="eastAsia" w:ascii="宋体" w:hAnsi="宋体" w:cs="仿宋_GB2312"/>
          <w:color w:val="auto"/>
          <w:sz w:val="24"/>
        </w:rPr>
      </w:pPr>
      <w:r>
        <w:rPr>
          <w:rFonts w:hint="eastAsia" w:ascii="宋体" w:hAnsi="宋体" w:cs="仿宋_GB2312"/>
          <w:color w:val="auto"/>
          <w:sz w:val="24"/>
        </w:rPr>
        <w:t xml:space="preserve">    附：法定代表人身份证明书及委托代理人有效身份证正反面复印件</w:t>
      </w:r>
    </w:p>
    <w:p w14:paraId="0FFA0CF0">
      <w:pPr>
        <w:spacing w:line="360" w:lineRule="auto"/>
        <w:ind w:firstLine="480" w:firstLineChars="200"/>
        <w:rPr>
          <w:rFonts w:hint="eastAsia" w:ascii="宋体" w:hAnsi="宋体" w:cs="仿宋_GB2312"/>
          <w:color w:val="auto"/>
          <w:sz w:val="24"/>
        </w:rPr>
      </w:pPr>
      <w:r>
        <w:rPr>
          <w:rFonts w:hint="eastAsia" w:ascii="宋体" w:hAnsi="宋体" w:cs="仿宋_GB2312"/>
          <w:color w:val="auto"/>
          <w:sz w:val="24"/>
        </w:rPr>
        <w:t>牵头人法定代表人（签字或者盖章）：</w:t>
      </w:r>
    </w:p>
    <w:p w14:paraId="3D2FB1DB">
      <w:pPr>
        <w:spacing w:line="360" w:lineRule="auto"/>
        <w:ind w:firstLine="3120" w:firstLineChars="1300"/>
        <w:rPr>
          <w:rFonts w:hint="eastAsia" w:ascii="宋体" w:hAnsi="宋体" w:cs="仿宋_GB2312"/>
          <w:color w:val="auto"/>
          <w:sz w:val="24"/>
        </w:rPr>
      </w:pPr>
      <w:r>
        <w:rPr>
          <w:rFonts w:hint="eastAsia" w:ascii="宋体" w:hAnsi="宋体" w:cs="仿宋_GB2312"/>
          <w:color w:val="auto"/>
          <w:sz w:val="24"/>
        </w:rPr>
        <w:t>牵头人（盖公章）：</w:t>
      </w:r>
    </w:p>
    <w:p w14:paraId="56E57CF5">
      <w:pPr>
        <w:spacing w:line="360" w:lineRule="auto"/>
        <w:ind w:firstLine="3840" w:firstLineChars="1600"/>
        <w:rPr>
          <w:rFonts w:hint="eastAsia" w:ascii="宋体" w:hAnsi="宋体" w:cs="仿宋_GB2312"/>
          <w:color w:val="auto"/>
          <w:sz w:val="24"/>
        </w:rPr>
      </w:pPr>
      <w:r>
        <w:rPr>
          <w:rFonts w:hint="eastAsia" w:ascii="宋体" w:hAnsi="宋体" w:cs="仿宋_GB2312"/>
          <w:color w:val="auto"/>
          <w:sz w:val="24"/>
        </w:rPr>
        <w:t>日期：    年   月   日</w:t>
      </w:r>
    </w:p>
    <w:p w14:paraId="7097E6A2">
      <w:pPr>
        <w:spacing w:line="360" w:lineRule="auto"/>
        <w:rPr>
          <w:rFonts w:hint="eastAsia" w:ascii="宋体" w:hAnsi="宋体" w:cs="仿宋_GB2312"/>
          <w:color w:val="auto"/>
          <w:sz w:val="24"/>
        </w:rPr>
      </w:pPr>
    </w:p>
    <w:p w14:paraId="46E31B76">
      <w:pPr>
        <w:spacing w:line="360" w:lineRule="auto"/>
        <w:ind w:firstLine="3120" w:firstLineChars="1300"/>
        <w:rPr>
          <w:rFonts w:hint="eastAsia" w:ascii="宋体" w:hAnsi="宋体" w:cs="仿宋_GB2312"/>
          <w:color w:val="auto"/>
          <w:sz w:val="24"/>
        </w:rPr>
      </w:pPr>
      <w:r>
        <w:rPr>
          <w:rFonts w:hint="eastAsia" w:ascii="宋体" w:hAnsi="宋体" w:cs="仿宋_GB2312"/>
          <w:color w:val="auto"/>
          <w:sz w:val="24"/>
        </w:rPr>
        <w:t>被授权人（签字）：</w:t>
      </w:r>
    </w:p>
    <w:p w14:paraId="414CA72B">
      <w:pPr>
        <w:spacing w:line="360" w:lineRule="auto"/>
        <w:ind w:firstLine="3840" w:firstLineChars="1600"/>
        <w:rPr>
          <w:rFonts w:hint="eastAsia" w:ascii="宋体" w:hAnsi="宋体" w:cs="仿宋_GB2312"/>
          <w:color w:val="auto"/>
          <w:sz w:val="24"/>
        </w:rPr>
      </w:pPr>
      <w:r>
        <w:rPr>
          <w:rFonts w:hint="eastAsia" w:ascii="宋体" w:hAnsi="宋体" w:cs="仿宋_GB2312"/>
          <w:color w:val="auto"/>
          <w:sz w:val="24"/>
        </w:rPr>
        <w:t>日期：    年   月   日</w:t>
      </w:r>
    </w:p>
    <w:p w14:paraId="565DD404">
      <w:pPr>
        <w:spacing w:line="360" w:lineRule="auto"/>
        <w:rPr>
          <w:rFonts w:hint="eastAsia" w:ascii="宋体" w:hAnsi="宋体" w:cs="仿宋_GB2312"/>
          <w:color w:val="auto"/>
          <w:sz w:val="24"/>
        </w:rPr>
      </w:pPr>
    </w:p>
    <w:p w14:paraId="3C77A4F9">
      <w:pPr>
        <w:spacing w:line="360" w:lineRule="auto"/>
        <w:rPr>
          <w:rFonts w:hint="eastAsia" w:ascii="宋体" w:hAnsi="宋体" w:cs="仿宋_GB2312"/>
          <w:color w:val="auto"/>
          <w:sz w:val="24"/>
        </w:rPr>
      </w:pPr>
      <w:r>
        <w:rPr>
          <w:rFonts w:hint="eastAsia" w:ascii="宋体" w:hAnsi="宋体" w:cs="仿宋_GB2312"/>
          <w:color w:val="auto"/>
          <w:sz w:val="24"/>
        </w:rPr>
        <w:t>注：1. 法定代表人必须在授权委托书上亲笔签字或者盖章，委托代理人必须在授权委托书上亲笔签字，</w:t>
      </w:r>
      <w:r>
        <w:rPr>
          <w:rFonts w:hint="eastAsia" w:ascii="宋体" w:hAnsi="宋体" w:cs="仿宋_GB2312"/>
          <w:b/>
          <w:color w:val="auto"/>
          <w:sz w:val="24"/>
        </w:rPr>
        <w:t>否则其响应文件按无效响应处理。</w:t>
      </w:r>
    </w:p>
    <w:p w14:paraId="03FADA71">
      <w:pPr>
        <w:spacing w:line="360" w:lineRule="auto"/>
        <w:ind w:firstLine="480" w:firstLineChars="200"/>
        <w:jc w:val="left"/>
        <w:rPr>
          <w:rFonts w:ascii="宋体" w:hAnsi="宋体" w:cs="仿宋_GB2312"/>
          <w:color w:val="auto"/>
          <w:sz w:val="24"/>
        </w:rPr>
      </w:pPr>
      <w:r>
        <w:rPr>
          <w:rFonts w:hint="eastAsia" w:ascii="宋体" w:hAnsi="宋体" w:cs="仿宋_GB2312"/>
          <w:color w:val="auto"/>
          <w:sz w:val="24"/>
        </w:rPr>
        <w:t>2.本授权委托书应由联合体牵头人的法定代表人按上述规定签署。</w:t>
      </w:r>
    </w:p>
    <w:p w14:paraId="593F9E62">
      <w:pPr>
        <w:spacing w:line="360" w:lineRule="auto"/>
        <w:ind w:firstLine="480" w:firstLineChars="200"/>
        <w:jc w:val="left"/>
        <w:rPr>
          <w:rFonts w:hint="eastAsia" w:ascii="宋体" w:hAnsi="宋体" w:cs="仿宋_GB2312"/>
          <w:color w:val="auto"/>
          <w:spacing w:val="-11"/>
          <w:sz w:val="24"/>
        </w:rPr>
      </w:pPr>
      <w:r>
        <w:rPr>
          <w:rFonts w:hint="eastAsia" w:ascii="宋体" w:hAnsi="宋体" w:cs="仿宋_GB2312"/>
          <w:color w:val="auto"/>
          <w:sz w:val="24"/>
        </w:rPr>
        <w:t>3</w:t>
      </w:r>
      <w:r>
        <w:rPr>
          <w:rFonts w:ascii="宋体" w:hAnsi="宋体" w:cs="仿宋_GB2312"/>
          <w:color w:val="auto"/>
          <w:sz w:val="24"/>
        </w:rPr>
        <w:t>.</w:t>
      </w:r>
      <w:r>
        <w:rPr>
          <w:rFonts w:hint="eastAsia" w:ascii="宋体" w:hAnsi="宋体" w:cs="仿宋_GB2312"/>
          <w:color w:val="auto"/>
          <w:spacing w:val="-11"/>
          <w:sz w:val="24"/>
        </w:rPr>
        <w:t>法人、其他组织竞标时“我方”是指“我单位”，自然人竞标时“我方”是指“本人”。</w:t>
      </w:r>
    </w:p>
    <w:bookmarkEnd w:id="86"/>
    <w:p w14:paraId="68DE322C">
      <w:pPr>
        <w:spacing w:line="500" w:lineRule="exact"/>
        <w:jc w:val="center"/>
        <w:rPr>
          <w:rFonts w:hint="eastAsia" w:ascii="方正小标宋简体" w:hAnsi="方正小标宋简体" w:eastAsia="方正小标宋简体" w:cs="方正小标宋简体"/>
          <w:bCs/>
          <w:color w:val="auto"/>
          <w:sz w:val="44"/>
          <w:szCs w:val="44"/>
        </w:rPr>
      </w:pPr>
      <w:r>
        <w:rPr>
          <w:rFonts w:hint="eastAsia" w:ascii="仿宋_GB2312" w:hAnsi="仿宋_GB2312" w:eastAsia="仿宋_GB2312" w:cs="仿宋_GB2312"/>
          <w:color w:val="auto"/>
          <w:sz w:val="32"/>
          <w:szCs w:val="32"/>
        </w:rPr>
        <w:br w:type="page"/>
      </w:r>
      <w:r>
        <w:rPr>
          <w:rFonts w:hint="eastAsia" w:ascii="方正小标宋简体" w:hAnsi="方正小标宋简体" w:eastAsia="方正小标宋简体" w:cs="方正小标宋简体"/>
          <w:bCs/>
          <w:color w:val="auto"/>
          <w:sz w:val="44"/>
          <w:szCs w:val="44"/>
        </w:rPr>
        <w:t>商务要求偏离表格式</w:t>
      </w:r>
    </w:p>
    <w:p w14:paraId="6C289A57">
      <w:pPr>
        <w:spacing w:line="500" w:lineRule="exact"/>
        <w:jc w:val="center"/>
        <w:rPr>
          <w:rFonts w:hint="eastAsia" w:ascii="宋体" w:hAnsi="宋体"/>
          <w:b/>
          <w:color w:val="auto"/>
          <w:sz w:val="32"/>
          <w:szCs w:val="32"/>
        </w:rPr>
      </w:pPr>
      <w:r>
        <w:rPr>
          <w:rFonts w:hint="eastAsia" w:ascii="方正小标宋简体" w:hAnsi="方正小标宋简体" w:eastAsia="方正小标宋简体" w:cs="方正小标宋简体"/>
          <w:bCs/>
          <w:color w:val="auto"/>
          <w:sz w:val="32"/>
          <w:szCs w:val="32"/>
        </w:rPr>
        <w:t>（注：按采购需求具体条款修改）</w:t>
      </w:r>
    </w:p>
    <w:p w14:paraId="13579B8D">
      <w:pPr>
        <w:spacing w:line="360" w:lineRule="auto"/>
        <w:contextualSpacing/>
        <w:jc w:val="left"/>
        <w:rPr>
          <w:rFonts w:hint="eastAsia" w:ascii="宋体" w:hAnsi="宋体"/>
          <w:color w:val="auto"/>
          <w:sz w:val="24"/>
        </w:rPr>
      </w:pPr>
    </w:p>
    <w:p w14:paraId="4B03F792">
      <w:pPr>
        <w:pStyle w:val="18"/>
        <w:spacing w:line="360" w:lineRule="auto"/>
        <w:contextualSpacing/>
        <w:rPr>
          <w:rFonts w:hint="eastAsia" w:hAnsi="宋体" w:cs="仿宋_GB2312"/>
          <w:color w:val="auto"/>
          <w:sz w:val="24"/>
          <w:szCs w:val="24"/>
        </w:rPr>
      </w:pPr>
      <w:r>
        <w:rPr>
          <w:rFonts w:hint="eastAsia" w:hAnsi="宋体" w:cs="仿宋_GB2312"/>
          <w:color w:val="auto"/>
          <w:sz w:val="24"/>
          <w:szCs w:val="24"/>
        </w:rPr>
        <w:t>所竞分标：</w:t>
      </w:r>
      <w:r>
        <w:rPr>
          <w:rFonts w:hint="eastAsia" w:hAnsi="宋体" w:cs="仿宋_GB2312"/>
          <w:color w:val="auto"/>
          <w:sz w:val="24"/>
          <w:szCs w:val="24"/>
          <w:u w:val="single"/>
        </w:rPr>
        <w:t xml:space="preserve">              （若没有则填“无”）</w:t>
      </w:r>
    </w:p>
    <w:p w14:paraId="0805892D">
      <w:pPr>
        <w:spacing w:line="360" w:lineRule="auto"/>
        <w:contextualSpacing/>
        <w:jc w:val="left"/>
        <w:rPr>
          <w:rFonts w:hint="eastAsia" w:ascii="宋体" w:hAnsi="宋体" w:cs="仿宋_GB2312"/>
          <w:color w:val="auto"/>
          <w:sz w:val="24"/>
          <w:u w:val="single"/>
        </w:rPr>
      </w:pPr>
    </w:p>
    <w:tbl>
      <w:tblPr>
        <w:tblStyle w:val="27"/>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78B679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29E6192B">
            <w:pPr>
              <w:spacing w:line="360" w:lineRule="auto"/>
              <w:contextualSpacing/>
              <w:jc w:val="center"/>
              <w:rPr>
                <w:rFonts w:hint="eastAsia" w:ascii="宋体" w:hAnsi="宋体" w:cs="仿宋_GB2312"/>
                <w:color w:val="auto"/>
                <w:sz w:val="24"/>
              </w:rPr>
            </w:pPr>
            <w:r>
              <w:rPr>
                <w:rFonts w:hint="eastAsia" w:ascii="宋体" w:hAnsi="宋体" w:cs="仿宋_GB2312"/>
                <w:color w:val="auto"/>
                <w:sz w:val="24"/>
              </w:rPr>
              <w:t>项目</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6F04BCD1">
            <w:pPr>
              <w:spacing w:line="360" w:lineRule="auto"/>
              <w:contextualSpacing/>
              <w:jc w:val="center"/>
              <w:rPr>
                <w:rFonts w:hint="eastAsia" w:ascii="宋体" w:hAnsi="宋体" w:cs="仿宋_GB2312"/>
                <w:color w:val="auto"/>
                <w:sz w:val="24"/>
              </w:rPr>
            </w:pPr>
            <w:r>
              <w:rPr>
                <w:rFonts w:hint="eastAsia" w:ascii="宋体" w:hAnsi="宋体" w:cs="仿宋_GB2312"/>
                <w:color w:val="auto"/>
                <w:sz w:val="24"/>
              </w:rPr>
              <w:t>磋商文件商务要求</w:t>
            </w:r>
          </w:p>
        </w:tc>
        <w:tc>
          <w:tcPr>
            <w:tcW w:w="2350" w:type="dxa"/>
            <w:tcBorders>
              <w:top w:val="single" w:color="auto" w:sz="4" w:space="0"/>
              <w:left w:val="single" w:color="auto" w:sz="4" w:space="0"/>
              <w:bottom w:val="single" w:color="auto" w:sz="4" w:space="0"/>
              <w:right w:val="single" w:color="auto" w:sz="4" w:space="0"/>
            </w:tcBorders>
            <w:noWrap w:val="0"/>
            <w:vAlign w:val="center"/>
          </w:tcPr>
          <w:p w14:paraId="13F4EDC4">
            <w:pPr>
              <w:spacing w:line="360" w:lineRule="auto"/>
              <w:contextualSpacing/>
              <w:jc w:val="center"/>
              <w:rPr>
                <w:rFonts w:hint="eastAsia" w:ascii="宋体" w:hAnsi="宋体" w:cs="仿宋_GB2312"/>
                <w:color w:val="auto"/>
                <w:sz w:val="24"/>
              </w:rPr>
            </w:pPr>
            <w:r>
              <w:rPr>
                <w:rFonts w:hint="eastAsia" w:ascii="宋体" w:hAnsi="宋体" w:cs="仿宋_GB2312"/>
                <w:color w:val="auto"/>
                <w:sz w:val="24"/>
              </w:rPr>
              <w:t>供应商的响应</w:t>
            </w:r>
          </w:p>
        </w:tc>
        <w:tc>
          <w:tcPr>
            <w:tcW w:w="2112" w:type="dxa"/>
            <w:tcBorders>
              <w:top w:val="single" w:color="auto" w:sz="4" w:space="0"/>
              <w:left w:val="single" w:color="auto" w:sz="4" w:space="0"/>
              <w:bottom w:val="single" w:color="auto" w:sz="4" w:space="0"/>
              <w:right w:val="single" w:color="auto" w:sz="4" w:space="0"/>
            </w:tcBorders>
            <w:noWrap w:val="0"/>
            <w:vAlign w:val="center"/>
          </w:tcPr>
          <w:p w14:paraId="3483CEA5">
            <w:pPr>
              <w:spacing w:line="360" w:lineRule="auto"/>
              <w:contextualSpacing/>
              <w:jc w:val="center"/>
              <w:rPr>
                <w:rFonts w:hint="eastAsia" w:ascii="宋体" w:hAnsi="宋体" w:cs="仿宋_GB2312"/>
                <w:color w:val="auto"/>
                <w:sz w:val="24"/>
              </w:rPr>
            </w:pPr>
            <w:r>
              <w:rPr>
                <w:rFonts w:hint="eastAsia" w:ascii="宋体" w:hAnsi="宋体" w:cs="仿宋_GB2312"/>
                <w:color w:val="auto"/>
                <w:sz w:val="24"/>
              </w:rPr>
              <w:t>偏离说明</w:t>
            </w:r>
          </w:p>
        </w:tc>
      </w:tr>
      <w:tr w14:paraId="17269D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69F1455A">
            <w:pPr>
              <w:jc w:val="center"/>
              <w:rPr>
                <w:rFonts w:ascii="宋体" w:hAnsi="宋体"/>
                <w:color w:val="auto"/>
                <w:sz w:val="24"/>
              </w:rPr>
            </w:pPr>
            <w:r>
              <w:rPr>
                <w:rFonts w:hint="eastAsia" w:ascii="宋体" w:hAnsi="宋体" w:cs="宋体"/>
                <w:color w:val="auto"/>
                <w:sz w:val="24"/>
              </w:rPr>
              <w:t>合同签订时间</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2B86B4A6">
            <w:pPr>
              <w:spacing w:line="360" w:lineRule="auto"/>
              <w:contextualSpacing/>
              <w:jc w:val="center"/>
              <w:rPr>
                <w:rFonts w:hint="eastAsia" w:ascii="宋体" w:hAnsi="宋体" w:cs="仿宋_GB2312"/>
                <w:color w:val="auto"/>
                <w:sz w:val="24"/>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555D5FD7">
            <w:pPr>
              <w:spacing w:line="360" w:lineRule="auto"/>
              <w:contextualSpacing/>
              <w:jc w:val="center"/>
              <w:rPr>
                <w:rFonts w:hint="eastAsia" w:ascii="宋体" w:hAnsi="宋体" w:cs="仿宋_GB2312"/>
                <w:color w:val="auto"/>
                <w:sz w:val="24"/>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6EC09E1A">
            <w:pPr>
              <w:spacing w:line="360" w:lineRule="auto"/>
              <w:contextualSpacing/>
              <w:jc w:val="center"/>
              <w:rPr>
                <w:rFonts w:hint="eastAsia" w:ascii="宋体" w:hAnsi="宋体" w:cs="仿宋_GB2312"/>
                <w:color w:val="auto"/>
                <w:sz w:val="24"/>
              </w:rPr>
            </w:pPr>
          </w:p>
        </w:tc>
      </w:tr>
      <w:tr w14:paraId="74FDAD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6B111038">
            <w:pPr>
              <w:jc w:val="center"/>
              <w:rPr>
                <w:rFonts w:ascii="宋体" w:hAnsi="宋体"/>
                <w:color w:val="auto"/>
                <w:sz w:val="24"/>
              </w:rPr>
            </w:pPr>
            <w:r>
              <w:rPr>
                <w:rFonts w:hint="eastAsia" w:ascii="宋体" w:hAnsi="宋体" w:cs="宋体"/>
                <w:color w:val="auto"/>
                <w:sz w:val="24"/>
              </w:rPr>
              <w:t>合同履行期限</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0842C726">
            <w:pPr>
              <w:spacing w:line="360" w:lineRule="auto"/>
              <w:contextualSpacing/>
              <w:jc w:val="center"/>
              <w:rPr>
                <w:rFonts w:hint="eastAsia" w:ascii="宋体" w:hAnsi="宋体" w:cs="仿宋_GB2312"/>
                <w:color w:val="auto"/>
                <w:sz w:val="24"/>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4F9B8163">
            <w:pPr>
              <w:spacing w:line="360" w:lineRule="auto"/>
              <w:ind w:left="43"/>
              <w:contextualSpacing/>
              <w:jc w:val="center"/>
              <w:rPr>
                <w:rFonts w:hint="eastAsia" w:ascii="宋体" w:hAnsi="宋体" w:cs="仿宋_GB2312"/>
                <w:color w:val="auto"/>
                <w:sz w:val="24"/>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38813626">
            <w:pPr>
              <w:spacing w:line="360" w:lineRule="auto"/>
              <w:ind w:left="43"/>
              <w:contextualSpacing/>
              <w:jc w:val="center"/>
              <w:rPr>
                <w:rFonts w:hint="eastAsia" w:ascii="宋体" w:hAnsi="宋体" w:cs="仿宋_GB2312"/>
                <w:color w:val="auto"/>
                <w:sz w:val="24"/>
              </w:rPr>
            </w:pPr>
          </w:p>
        </w:tc>
      </w:tr>
      <w:tr w14:paraId="08C5C2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0"/>
            <w:vAlign w:val="center"/>
          </w:tcPr>
          <w:p w14:paraId="036AAE15">
            <w:pPr>
              <w:spacing w:line="360" w:lineRule="auto"/>
              <w:contextualSpacing/>
              <w:jc w:val="center"/>
              <w:rPr>
                <w:rFonts w:hint="eastAsia" w:ascii="宋体" w:hAnsi="宋体" w:cs="仿宋_GB2312"/>
                <w:color w:val="auto"/>
                <w:sz w:val="24"/>
              </w:rPr>
            </w:pPr>
            <w:r>
              <w:rPr>
                <w:rFonts w:hint="eastAsia" w:ascii="宋体" w:hAnsi="宋体" w:cs="仿宋_GB2312"/>
                <w:color w:val="auto"/>
                <w:sz w:val="24"/>
              </w:rPr>
              <w:t>……</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4D04CBB4">
            <w:pPr>
              <w:spacing w:line="360" w:lineRule="auto"/>
              <w:contextualSpacing/>
              <w:jc w:val="center"/>
              <w:rPr>
                <w:rFonts w:hint="eastAsia" w:ascii="宋体" w:hAnsi="宋体" w:cs="仿宋_GB2312"/>
                <w:color w:val="auto"/>
                <w:sz w:val="24"/>
              </w:rPr>
            </w:pPr>
            <w:r>
              <w:rPr>
                <w:rFonts w:hint="eastAsia" w:ascii="宋体" w:hAnsi="宋体" w:cs="仿宋_GB2312"/>
                <w:color w:val="auto"/>
                <w:sz w:val="24"/>
              </w:rPr>
              <w:t>……</w:t>
            </w:r>
          </w:p>
        </w:tc>
        <w:tc>
          <w:tcPr>
            <w:tcW w:w="2350" w:type="dxa"/>
            <w:tcBorders>
              <w:top w:val="single" w:color="auto" w:sz="4" w:space="0"/>
              <w:left w:val="single" w:color="auto" w:sz="4" w:space="0"/>
              <w:bottom w:val="single" w:color="auto" w:sz="4" w:space="0"/>
              <w:right w:val="single" w:color="auto" w:sz="4" w:space="0"/>
            </w:tcBorders>
            <w:noWrap w:val="0"/>
            <w:vAlign w:val="center"/>
          </w:tcPr>
          <w:p w14:paraId="07C18B1D">
            <w:pPr>
              <w:spacing w:line="360" w:lineRule="auto"/>
              <w:contextualSpacing/>
              <w:jc w:val="center"/>
              <w:rPr>
                <w:rFonts w:hint="eastAsia" w:ascii="宋体" w:hAnsi="宋体" w:cs="仿宋_GB2312"/>
                <w:color w:val="auto"/>
                <w:sz w:val="24"/>
              </w:rPr>
            </w:pPr>
            <w:r>
              <w:rPr>
                <w:rFonts w:hint="eastAsia" w:ascii="宋体" w:hAnsi="宋体" w:cs="仿宋_GB2312"/>
                <w:color w:val="auto"/>
                <w:sz w:val="24"/>
              </w:rPr>
              <w:t>……</w:t>
            </w:r>
          </w:p>
        </w:tc>
        <w:tc>
          <w:tcPr>
            <w:tcW w:w="2112" w:type="dxa"/>
            <w:tcBorders>
              <w:top w:val="single" w:color="auto" w:sz="4" w:space="0"/>
              <w:left w:val="single" w:color="auto" w:sz="4" w:space="0"/>
              <w:bottom w:val="single" w:color="auto" w:sz="4" w:space="0"/>
              <w:right w:val="single" w:color="auto" w:sz="4" w:space="0"/>
            </w:tcBorders>
            <w:noWrap w:val="0"/>
            <w:vAlign w:val="center"/>
          </w:tcPr>
          <w:p w14:paraId="63414C1B">
            <w:pPr>
              <w:spacing w:line="360" w:lineRule="auto"/>
              <w:contextualSpacing/>
              <w:jc w:val="center"/>
              <w:rPr>
                <w:rFonts w:hint="eastAsia" w:ascii="宋体" w:hAnsi="宋体" w:cs="仿宋_GB2312"/>
                <w:color w:val="auto"/>
                <w:sz w:val="24"/>
              </w:rPr>
            </w:pPr>
            <w:r>
              <w:rPr>
                <w:rFonts w:hint="eastAsia" w:ascii="宋体" w:hAnsi="宋体" w:cs="仿宋_GB2312"/>
                <w:color w:val="auto"/>
                <w:sz w:val="24"/>
              </w:rPr>
              <w:t>……</w:t>
            </w:r>
          </w:p>
        </w:tc>
      </w:tr>
    </w:tbl>
    <w:p w14:paraId="366BB8AC">
      <w:pPr>
        <w:pStyle w:val="13"/>
        <w:spacing w:after="0" w:line="360" w:lineRule="auto"/>
        <w:contextualSpacing/>
        <w:rPr>
          <w:rFonts w:hint="eastAsia" w:ascii="宋体" w:hAnsi="宋体"/>
          <w:color w:val="auto"/>
          <w:kern w:val="0"/>
          <w:sz w:val="24"/>
          <w:szCs w:val="24"/>
        </w:rPr>
      </w:pPr>
      <w:r>
        <w:rPr>
          <w:rFonts w:hint="eastAsia" w:ascii="宋体" w:hAnsi="宋体"/>
          <w:color w:val="auto"/>
          <w:kern w:val="0"/>
          <w:sz w:val="24"/>
          <w:szCs w:val="24"/>
        </w:rPr>
        <w:t>注：</w:t>
      </w:r>
    </w:p>
    <w:p w14:paraId="20D8C3F1">
      <w:pPr>
        <w:pStyle w:val="13"/>
        <w:spacing w:after="0" w:line="360" w:lineRule="auto"/>
        <w:contextualSpacing/>
        <w:rPr>
          <w:rFonts w:hint="eastAsia" w:ascii="宋体" w:hAnsi="宋体"/>
          <w:color w:val="auto"/>
          <w:kern w:val="0"/>
          <w:sz w:val="24"/>
          <w:szCs w:val="24"/>
        </w:rPr>
      </w:pPr>
      <w:r>
        <w:rPr>
          <w:rFonts w:hint="eastAsia" w:ascii="宋体" w:hAnsi="宋体"/>
          <w:color w:val="auto"/>
          <w:kern w:val="0"/>
          <w:sz w:val="24"/>
          <w:szCs w:val="24"/>
        </w:rPr>
        <w:t>1. 说明：应对照磋商文件“第三章 采购需求”中的商务要求逐条作出明确响应，并作出偏离说明。</w:t>
      </w:r>
    </w:p>
    <w:p w14:paraId="5B423DDB">
      <w:pPr>
        <w:spacing w:line="360" w:lineRule="auto"/>
        <w:contextualSpacing/>
        <w:jc w:val="left"/>
        <w:rPr>
          <w:rFonts w:hint="eastAsia" w:ascii="宋体" w:hAnsi="宋体"/>
          <w:color w:val="auto"/>
          <w:kern w:val="0"/>
          <w:sz w:val="24"/>
        </w:rPr>
      </w:pPr>
      <w:r>
        <w:rPr>
          <w:rFonts w:hint="eastAsia" w:ascii="宋体" w:hAnsi="宋体"/>
          <w:color w:val="auto"/>
          <w:kern w:val="0"/>
          <w:sz w:val="24"/>
        </w:rPr>
        <w:t>2.供应商应根据自身的承诺，对照磋商文件要求在“偏离说明”中注明“正偏离”、“负偏离”或者“无偏离”。既不属于“正偏离”也不属于“负偏离”即为“无偏离”。</w:t>
      </w:r>
    </w:p>
    <w:p w14:paraId="60093735">
      <w:pPr>
        <w:spacing w:line="360" w:lineRule="auto"/>
        <w:contextualSpacing/>
        <w:jc w:val="left"/>
        <w:rPr>
          <w:rFonts w:ascii="宋体" w:hAnsi="宋体"/>
          <w:color w:val="auto"/>
          <w:kern w:val="0"/>
          <w:sz w:val="24"/>
        </w:rPr>
      </w:pPr>
      <w:r>
        <w:rPr>
          <w:rFonts w:hint="eastAsia" w:ascii="宋体" w:hAnsi="宋体"/>
          <w:color w:val="auto"/>
          <w:kern w:val="0"/>
          <w:sz w:val="24"/>
        </w:rPr>
        <w:t>3.此表格式可根据实际内容拓展。</w:t>
      </w:r>
    </w:p>
    <w:p w14:paraId="7A07B442">
      <w:pPr>
        <w:spacing w:line="360" w:lineRule="auto"/>
        <w:ind w:right="-817" w:rightChars="-389"/>
        <w:contextualSpacing/>
        <w:rPr>
          <w:rFonts w:hint="eastAsia" w:ascii="宋体" w:hAnsi="宋体" w:cs="仿宋_GB2312"/>
          <w:color w:val="auto"/>
          <w:sz w:val="24"/>
        </w:rPr>
      </w:pPr>
    </w:p>
    <w:p w14:paraId="01A0DD81">
      <w:pPr>
        <w:spacing w:line="360" w:lineRule="auto"/>
        <w:ind w:right="-817" w:rightChars="-389" w:firstLine="960" w:firstLineChars="400"/>
        <w:contextualSpacing/>
        <w:rPr>
          <w:rFonts w:hint="eastAsia" w:ascii="宋体" w:hAnsi="宋体" w:cs="仿宋_GB2312"/>
          <w:color w:val="auto"/>
          <w:sz w:val="24"/>
        </w:rPr>
      </w:pPr>
      <w:r>
        <w:rPr>
          <w:rFonts w:hint="eastAsia" w:ascii="宋体" w:hAnsi="宋体" w:cs="仿宋_GB2312"/>
          <w:color w:val="auto"/>
          <w:sz w:val="24"/>
        </w:rPr>
        <w:t xml:space="preserve">法定代表人或者委托代理人（签字）：                    </w:t>
      </w:r>
    </w:p>
    <w:p w14:paraId="67B25131">
      <w:pPr>
        <w:spacing w:line="360" w:lineRule="auto"/>
        <w:ind w:right="-817" w:rightChars="-389" w:firstLine="2640" w:firstLineChars="1100"/>
        <w:contextualSpacing/>
        <w:rPr>
          <w:rFonts w:hint="eastAsia" w:ascii="宋体" w:hAnsi="宋体" w:cs="仿宋_GB2312"/>
          <w:color w:val="auto"/>
          <w:sz w:val="24"/>
        </w:rPr>
      </w:pPr>
      <w:r>
        <w:rPr>
          <w:rFonts w:hint="eastAsia" w:ascii="宋体" w:hAnsi="宋体" w:cs="仿宋_GB2312"/>
          <w:color w:val="auto"/>
          <w:sz w:val="24"/>
        </w:rPr>
        <w:t xml:space="preserve">供应商（盖公章）：      </w:t>
      </w:r>
    </w:p>
    <w:p w14:paraId="35F713F0">
      <w:pPr>
        <w:spacing w:line="360" w:lineRule="auto"/>
        <w:ind w:right="-817" w:rightChars="-389" w:firstLine="4080" w:firstLineChars="1700"/>
        <w:contextualSpacing/>
        <w:rPr>
          <w:rFonts w:hint="eastAsia" w:ascii="仿宋_GB2312" w:hAnsi="仿宋_GB2312" w:eastAsia="仿宋_GB2312" w:cs="仿宋_GB2312"/>
          <w:b/>
          <w:color w:val="auto"/>
          <w:sz w:val="32"/>
          <w:szCs w:val="32"/>
        </w:rPr>
      </w:pPr>
      <w:r>
        <w:rPr>
          <w:rFonts w:hint="eastAsia" w:ascii="宋体" w:hAnsi="宋体" w:cs="仿宋_GB2312"/>
          <w:color w:val="auto"/>
          <w:sz w:val="24"/>
        </w:rPr>
        <w:t>日期：   年   月   日</w:t>
      </w:r>
    </w:p>
    <w:p w14:paraId="62F10895">
      <w:pPr>
        <w:adjustRightInd w:val="0"/>
        <w:snapToGrid w:val="0"/>
        <w:spacing w:line="520" w:lineRule="exact"/>
        <w:ind w:firstLine="7040" w:firstLineChars="1600"/>
        <w:jc w:val="center"/>
        <w:rPr>
          <w:rFonts w:hint="eastAsia" w:ascii="方正小标宋简体" w:hAnsi="方正小标宋简体" w:eastAsia="方正小标宋简体" w:cs="方正小标宋简体"/>
          <w:bCs/>
          <w:color w:val="auto"/>
          <w:sz w:val="44"/>
          <w:szCs w:val="44"/>
        </w:rPr>
      </w:pPr>
    </w:p>
    <w:p w14:paraId="6BC5B8B0">
      <w:pPr>
        <w:adjustRightInd w:val="0"/>
        <w:snapToGrid w:val="0"/>
        <w:spacing w:line="520" w:lineRule="exact"/>
        <w:ind w:firstLine="7040" w:firstLineChars="1600"/>
        <w:jc w:val="center"/>
        <w:rPr>
          <w:rFonts w:hint="eastAsia" w:ascii="方正小标宋简体" w:hAnsi="方正小标宋简体" w:eastAsia="方正小标宋简体" w:cs="方正小标宋简体"/>
          <w:bCs/>
          <w:color w:val="auto"/>
          <w:sz w:val="44"/>
          <w:szCs w:val="44"/>
        </w:rPr>
      </w:pPr>
    </w:p>
    <w:p w14:paraId="19E1B23B">
      <w:pPr>
        <w:adjustRightInd w:val="0"/>
        <w:snapToGrid w:val="0"/>
        <w:spacing w:line="520" w:lineRule="exact"/>
        <w:ind w:firstLine="7040" w:firstLineChars="1600"/>
        <w:jc w:val="center"/>
        <w:rPr>
          <w:rFonts w:hint="eastAsia" w:ascii="方正小标宋简体" w:hAnsi="方正小标宋简体" w:eastAsia="方正小标宋简体" w:cs="方正小标宋简体"/>
          <w:bCs/>
          <w:color w:val="auto"/>
          <w:sz w:val="44"/>
          <w:szCs w:val="44"/>
        </w:rPr>
      </w:pPr>
    </w:p>
    <w:p w14:paraId="6C7FACBA">
      <w:pPr>
        <w:adjustRightInd w:val="0"/>
        <w:snapToGrid w:val="0"/>
        <w:spacing w:line="520" w:lineRule="exact"/>
        <w:ind w:firstLine="7040" w:firstLineChars="1600"/>
        <w:jc w:val="center"/>
        <w:rPr>
          <w:rFonts w:hint="eastAsia" w:ascii="方正小标宋简体" w:hAnsi="方正小标宋简体" w:eastAsia="方正小标宋简体" w:cs="方正小标宋简体"/>
          <w:bCs/>
          <w:color w:val="auto"/>
          <w:sz w:val="44"/>
          <w:szCs w:val="44"/>
        </w:rPr>
      </w:pPr>
    </w:p>
    <w:p w14:paraId="36B3B9C8">
      <w:pPr>
        <w:adjustRightInd w:val="0"/>
        <w:snapToGrid w:val="0"/>
        <w:spacing w:line="520" w:lineRule="exact"/>
        <w:rPr>
          <w:rFonts w:hint="eastAsia" w:ascii="宋体" w:hAnsi="宋体"/>
          <w:color w:val="auto"/>
          <w:szCs w:val="21"/>
          <w:u w:val="single"/>
        </w:rPr>
      </w:pPr>
    </w:p>
    <w:p w14:paraId="1B2F8E62">
      <w:pPr>
        <w:adjustRightInd w:val="0"/>
        <w:snapToGrid w:val="0"/>
        <w:spacing w:line="300" w:lineRule="auto"/>
        <w:jc w:val="center"/>
        <w:rPr>
          <w:rFonts w:hint="eastAsia" w:ascii="方正小标宋简体" w:hAnsi="方正小标宋简体" w:eastAsia="方正小标宋简体" w:cs="方正小标宋简体"/>
          <w:bCs/>
          <w:color w:val="auto"/>
          <w:sz w:val="44"/>
          <w:szCs w:val="44"/>
        </w:rPr>
      </w:pPr>
      <w:r>
        <w:rPr>
          <w:rFonts w:ascii="方正小标宋简体" w:hAnsi="方正小标宋简体" w:eastAsia="方正小标宋简体" w:cs="方正小标宋简体"/>
          <w:bCs/>
          <w:color w:val="auto"/>
          <w:sz w:val="44"/>
          <w:szCs w:val="44"/>
        </w:rPr>
        <w:br w:type="page"/>
      </w:r>
      <w:r>
        <w:rPr>
          <w:rFonts w:hint="eastAsia" w:ascii="方正小标宋简体" w:hAnsi="方正小标宋简体" w:eastAsia="方正小标宋简体" w:cs="方正小标宋简体"/>
          <w:bCs/>
          <w:color w:val="auto"/>
          <w:sz w:val="44"/>
          <w:szCs w:val="44"/>
        </w:rPr>
        <w:t>技术要求偏离表</w:t>
      </w:r>
    </w:p>
    <w:p w14:paraId="7D1341D3">
      <w:pPr>
        <w:spacing w:line="520" w:lineRule="exact"/>
        <w:rPr>
          <w:rFonts w:hint="eastAsia" w:ascii="仿宋_GB2312" w:hAnsi="仿宋_GB2312" w:eastAsia="仿宋_GB2312" w:cs="仿宋_GB2312"/>
          <w:color w:val="auto"/>
          <w:sz w:val="32"/>
          <w:szCs w:val="32"/>
        </w:rPr>
      </w:pPr>
    </w:p>
    <w:p w14:paraId="27760740">
      <w:pPr>
        <w:spacing w:line="360" w:lineRule="auto"/>
        <w:contextualSpacing/>
        <w:rPr>
          <w:rFonts w:hint="eastAsia" w:ascii="宋体" w:hAnsi="宋体" w:cs="仿宋_GB2312"/>
          <w:color w:val="auto"/>
          <w:sz w:val="24"/>
          <w:u w:val="single"/>
        </w:rPr>
      </w:pPr>
      <w:r>
        <w:rPr>
          <w:rFonts w:hint="eastAsia" w:ascii="宋体" w:hAnsi="宋体" w:cs="仿宋_GB2312"/>
          <w:color w:val="auto"/>
          <w:sz w:val="24"/>
        </w:rPr>
        <w:t>采购项目编号：</w:t>
      </w:r>
      <w:r>
        <w:rPr>
          <w:rFonts w:hint="eastAsia" w:ascii="宋体" w:hAnsi="宋体" w:cs="仿宋_GB2312"/>
          <w:color w:val="auto"/>
          <w:sz w:val="24"/>
          <w:u w:val="single"/>
        </w:rPr>
        <w:t xml:space="preserve">                 </w:t>
      </w:r>
    </w:p>
    <w:p w14:paraId="726F1824">
      <w:pPr>
        <w:spacing w:line="360" w:lineRule="auto"/>
        <w:contextualSpacing/>
        <w:rPr>
          <w:rFonts w:hint="eastAsia" w:ascii="宋体" w:hAnsi="宋体" w:cs="仿宋_GB2312"/>
          <w:color w:val="auto"/>
          <w:sz w:val="24"/>
        </w:rPr>
      </w:pPr>
      <w:r>
        <w:rPr>
          <w:rFonts w:hint="eastAsia" w:ascii="宋体" w:hAnsi="宋体" w:cs="仿宋_GB2312"/>
          <w:color w:val="auto"/>
          <w:sz w:val="24"/>
        </w:rPr>
        <w:t>采购项目名称：</w:t>
      </w:r>
      <w:r>
        <w:rPr>
          <w:rFonts w:hint="eastAsia" w:ascii="宋体" w:hAnsi="宋体" w:cs="仿宋_GB2312"/>
          <w:color w:val="auto"/>
          <w:sz w:val="24"/>
          <w:u w:val="single"/>
        </w:rPr>
        <w:t xml:space="preserve">                 </w:t>
      </w:r>
    </w:p>
    <w:p w14:paraId="6EFDF7EE">
      <w:pPr>
        <w:spacing w:line="360" w:lineRule="auto"/>
        <w:contextualSpacing/>
        <w:rPr>
          <w:rFonts w:hint="eastAsia" w:ascii="宋体" w:hAnsi="宋体" w:cs="仿宋_GB2312"/>
          <w:color w:val="auto"/>
          <w:sz w:val="24"/>
          <w:u w:val="single"/>
        </w:rPr>
      </w:pPr>
      <w:r>
        <w:rPr>
          <w:rFonts w:hint="eastAsia" w:ascii="宋体" w:hAnsi="宋体" w:cs="仿宋_GB2312"/>
          <w:color w:val="auto"/>
          <w:sz w:val="24"/>
        </w:rPr>
        <w:t>分标号：</w:t>
      </w:r>
      <w:r>
        <w:rPr>
          <w:rFonts w:hint="eastAsia" w:ascii="宋体" w:hAnsi="宋体" w:cs="仿宋_GB2312"/>
          <w:color w:val="auto"/>
          <w:sz w:val="24"/>
          <w:u w:val="single"/>
        </w:rPr>
        <w:t xml:space="preserve">                       </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5"/>
        <w:gridCol w:w="1770"/>
        <w:gridCol w:w="2641"/>
        <w:gridCol w:w="2469"/>
        <w:gridCol w:w="1288"/>
      </w:tblGrid>
      <w:tr w14:paraId="0DE9F6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725" w:type="dxa"/>
            <w:noWrap w:val="0"/>
            <w:vAlign w:val="center"/>
          </w:tcPr>
          <w:p w14:paraId="4A3D82E5">
            <w:pPr>
              <w:pStyle w:val="15"/>
              <w:spacing w:line="360" w:lineRule="auto"/>
              <w:ind w:firstLine="0" w:firstLineChars="0"/>
              <w:contextualSpacing/>
              <w:jc w:val="center"/>
              <w:rPr>
                <w:rFonts w:hint="eastAsia" w:ascii="宋体" w:hAnsi="宋体" w:eastAsia="宋体" w:cs="仿宋_GB2312"/>
                <w:color w:val="auto"/>
                <w:kern w:val="2"/>
                <w:sz w:val="24"/>
                <w:szCs w:val="24"/>
              </w:rPr>
            </w:pPr>
            <w:bookmarkStart w:id="89" w:name="_Toc373333689"/>
            <w:bookmarkStart w:id="90" w:name="_Toc301781611"/>
            <w:bookmarkStart w:id="91" w:name="_Toc173066401"/>
            <w:bookmarkStart w:id="92" w:name="_Toc297193185"/>
            <w:bookmarkStart w:id="93" w:name="_Toc254970588"/>
            <w:bookmarkStart w:id="94" w:name="_Toc383699906"/>
            <w:bookmarkStart w:id="95" w:name="_Toc173211900"/>
            <w:bookmarkStart w:id="96" w:name="_Toc254970729"/>
            <w:bookmarkStart w:id="97" w:name="_Toc295404981"/>
            <w:r>
              <w:rPr>
                <w:rFonts w:hint="eastAsia" w:ascii="宋体" w:hAnsi="宋体" w:eastAsia="宋体" w:cs="仿宋_GB2312"/>
                <w:color w:val="auto"/>
                <w:kern w:val="2"/>
                <w:sz w:val="24"/>
                <w:szCs w:val="24"/>
              </w:rPr>
              <w:t>序号</w:t>
            </w:r>
            <w:bookmarkEnd w:id="89"/>
            <w:bookmarkEnd w:id="90"/>
            <w:bookmarkEnd w:id="91"/>
            <w:bookmarkEnd w:id="92"/>
            <w:bookmarkEnd w:id="93"/>
            <w:bookmarkEnd w:id="94"/>
            <w:bookmarkEnd w:id="95"/>
            <w:bookmarkEnd w:id="96"/>
            <w:bookmarkEnd w:id="97"/>
          </w:p>
        </w:tc>
        <w:tc>
          <w:tcPr>
            <w:tcW w:w="1770" w:type="dxa"/>
            <w:tcBorders>
              <w:right w:val="single" w:color="auto" w:sz="4" w:space="0"/>
            </w:tcBorders>
            <w:noWrap w:val="0"/>
            <w:vAlign w:val="center"/>
          </w:tcPr>
          <w:p w14:paraId="71C193CA">
            <w:pPr>
              <w:pStyle w:val="15"/>
              <w:spacing w:line="360" w:lineRule="auto"/>
              <w:ind w:firstLine="0" w:firstLineChars="0"/>
              <w:contextualSpacing/>
              <w:jc w:val="center"/>
              <w:rPr>
                <w:rFonts w:hint="eastAsia" w:ascii="宋体" w:hAnsi="宋体" w:eastAsia="宋体" w:cs="仿宋_GB2312"/>
                <w:color w:val="auto"/>
                <w:kern w:val="2"/>
                <w:sz w:val="24"/>
                <w:szCs w:val="24"/>
              </w:rPr>
            </w:pPr>
            <w:r>
              <w:rPr>
                <w:rFonts w:hint="eastAsia" w:ascii="宋体" w:hAnsi="宋体" w:eastAsia="宋体" w:cs="仿宋_GB2312"/>
                <w:color w:val="auto"/>
                <w:kern w:val="2"/>
                <w:sz w:val="24"/>
                <w:szCs w:val="24"/>
              </w:rPr>
              <w:t>名称</w:t>
            </w:r>
          </w:p>
        </w:tc>
        <w:tc>
          <w:tcPr>
            <w:tcW w:w="2641" w:type="dxa"/>
            <w:tcBorders>
              <w:left w:val="single" w:color="auto" w:sz="4" w:space="0"/>
            </w:tcBorders>
            <w:noWrap w:val="0"/>
            <w:vAlign w:val="center"/>
          </w:tcPr>
          <w:p w14:paraId="5C10EDA4">
            <w:pPr>
              <w:pStyle w:val="15"/>
              <w:spacing w:line="360" w:lineRule="auto"/>
              <w:ind w:firstLine="0" w:firstLineChars="0"/>
              <w:contextualSpacing/>
              <w:jc w:val="center"/>
              <w:rPr>
                <w:rFonts w:hint="eastAsia" w:ascii="宋体" w:hAnsi="宋体" w:eastAsia="宋体" w:cs="仿宋_GB2312"/>
                <w:color w:val="auto"/>
                <w:kern w:val="2"/>
                <w:sz w:val="24"/>
                <w:szCs w:val="24"/>
              </w:rPr>
            </w:pPr>
            <w:r>
              <w:rPr>
                <w:rFonts w:hint="eastAsia" w:ascii="宋体" w:hAnsi="宋体" w:eastAsia="宋体" w:cs="仿宋_GB2312"/>
                <w:color w:val="auto"/>
                <w:kern w:val="2"/>
                <w:sz w:val="24"/>
                <w:szCs w:val="24"/>
              </w:rPr>
              <w:t>磋商文件技术要求</w:t>
            </w:r>
          </w:p>
        </w:tc>
        <w:tc>
          <w:tcPr>
            <w:tcW w:w="2469" w:type="dxa"/>
            <w:noWrap w:val="0"/>
            <w:vAlign w:val="center"/>
          </w:tcPr>
          <w:p w14:paraId="1860695F">
            <w:pPr>
              <w:pStyle w:val="15"/>
              <w:spacing w:line="360" w:lineRule="auto"/>
              <w:ind w:firstLine="0" w:firstLineChars="0"/>
              <w:contextualSpacing/>
              <w:jc w:val="center"/>
              <w:rPr>
                <w:rFonts w:hint="eastAsia" w:ascii="宋体" w:hAnsi="宋体" w:eastAsia="宋体" w:cs="仿宋_GB2312"/>
                <w:color w:val="auto"/>
                <w:kern w:val="2"/>
                <w:sz w:val="24"/>
                <w:szCs w:val="24"/>
              </w:rPr>
            </w:pPr>
            <w:bookmarkStart w:id="98" w:name="_Toc173211902"/>
            <w:bookmarkStart w:id="99" w:name="_Toc383699908"/>
            <w:bookmarkStart w:id="100" w:name="_Toc373333691"/>
            <w:bookmarkStart w:id="101" w:name="_Toc254970731"/>
            <w:bookmarkStart w:id="102" w:name="_Toc301781613"/>
            <w:bookmarkStart w:id="103" w:name="_Toc173066403"/>
            <w:bookmarkStart w:id="104" w:name="_Toc295404983"/>
            <w:bookmarkStart w:id="105" w:name="_Toc297193187"/>
            <w:bookmarkStart w:id="106" w:name="_Toc254970590"/>
            <w:r>
              <w:rPr>
                <w:rFonts w:hint="eastAsia" w:ascii="宋体" w:hAnsi="宋体" w:eastAsia="宋体" w:cs="仿宋_GB2312"/>
                <w:color w:val="auto"/>
                <w:kern w:val="2"/>
                <w:sz w:val="24"/>
                <w:szCs w:val="24"/>
              </w:rPr>
              <w:t>竞标响应</w:t>
            </w:r>
            <w:bookmarkEnd w:id="98"/>
            <w:bookmarkEnd w:id="99"/>
            <w:bookmarkEnd w:id="100"/>
            <w:bookmarkEnd w:id="101"/>
            <w:bookmarkEnd w:id="102"/>
            <w:bookmarkEnd w:id="103"/>
            <w:bookmarkEnd w:id="104"/>
            <w:bookmarkEnd w:id="105"/>
            <w:bookmarkEnd w:id="106"/>
          </w:p>
        </w:tc>
        <w:tc>
          <w:tcPr>
            <w:tcW w:w="1288" w:type="dxa"/>
            <w:noWrap w:val="0"/>
            <w:vAlign w:val="center"/>
          </w:tcPr>
          <w:p w14:paraId="39E62A17">
            <w:pPr>
              <w:pStyle w:val="15"/>
              <w:spacing w:line="360" w:lineRule="auto"/>
              <w:ind w:firstLine="0" w:firstLineChars="0"/>
              <w:contextualSpacing/>
              <w:jc w:val="center"/>
              <w:rPr>
                <w:rFonts w:hint="eastAsia" w:ascii="宋体" w:hAnsi="宋体" w:eastAsia="宋体" w:cs="仿宋_GB2312"/>
                <w:color w:val="auto"/>
                <w:kern w:val="2"/>
                <w:sz w:val="24"/>
                <w:szCs w:val="24"/>
              </w:rPr>
            </w:pPr>
            <w:bookmarkStart w:id="107" w:name="_Toc173066404"/>
            <w:bookmarkStart w:id="108" w:name="_Toc297193188"/>
            <w:bookmarkStart w:id="109" w:name="_Toc254970591"/>
            <w:bookmarkStart w:id="110" w:name="_Toc173211903"/>
            <w:bookmarkStart w:id="111" w:name="_Toc254970732"/>
            <w:bookmarkStart w:id="112" w:name="_Toc373333692"/>
            <w:bookmarkStart w:id="113" w:name="_Toc295404984"/>
            <w:bookmarkStart w:id="114" w:name="_Toc301781614"/>
            <w:bookmarkStart w:id="115" w:name="_Toc383699909"/>
            <w:r>
              <w:rPr>
                <w:rFonts w:hint="eastAsia" w:ascii="宋体" w:hAnsi="宋体" w:eastAsia="宋体" w:cs="仿宋_GB2312"/>
                <w:color w:val="auto"/>
                <w:kern w:val="2"/>
                <w:sz w:val="24"/>
                <w:szCs w:val="24"/>
              </w:rPr>
              <w:t>偏离</w:t>
            </w:r>
            <w:bookmarkEnd w:id="107"/>
            <w:bookmarkEnd w:id="108"/>
            <w:bookmarkEnd w:id="109"/>
            <w:bookmarkEnd w:id="110"/>
            <w:bookmarkEnd w:id="111"/>
            <w:bookmarkEnd w:id="112"/>
            <w:bookmarkEnd w:id="113"/>
            <w:bookmarkEnd w:id="114"/>
            <w:bookmarkEnd w:id="115"/>
            <w:bookmarkStart w:id="116" w:name="_Toc295404985"/>
            <w:bookmarkStart w:id="117" w:name="_Toc373333693"/>
            <w:bookmarkStart w:id="118" w:name="_Toc254970592"/>
            <w:bookmarkStart w:id="119" w:name="_Toc254970733"/>
            <w:bookmarkStart w:id="120" w:name="_Toc297193189"/>
            <w:bookmarkStart w:id="121" w:name="_Toc173066405"/>
            <w:bookmarkStart w:id="122" w:name="_Toc173211904"/>
            <w:bookmarkStart w:id="123" w:name="_Toc383699910"/>
            <w:bookmarkStart w:id="124" w:name="_Toc301781615"/>
            <w:r>
              <w:rPr>
                <w:rFonts w:hint="eastAsia" w:ascii="宋体" w:hAnsi="宋体" w:eastAsia="宋体" w:cs="仿宋_GB2312"/>
                <w:color w:val="auto"/>
                <w:kern w:val="2"/>
                <w:sz w:val="24"/>
                <w:szCs w:val="24"/>
              </w:rPr>
              <w:t>说明</w:t>
            </w:r>
            <w:bookmarkEnd w:id="116"/>
            <w:bookmarkEnd w:id="117"/>
            <w:bookmarkEnd w:id="118"/>
            <w:bookmarkEnd w:id="119"/>
            <w:bookmarkEnd w:id="120"/>
            <w:bookmarkEnd w:id="121"/>
            <w:bookmarkEnd w:id="122"/>
            <w:bookmarkEnd w:id="123"/>
            <w:bookmarkEnd w:id="124"/>
          </w:p>
        </w:tc>
      </w:tr>
      <w:tr w14:paraId="528ED0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725" w:type="dxa"/>
            <w:noWrap w:val="0"/>
            <w:vAlign w:val="center"/>
          </w:tcPr>
          <w:p w14:paraId="71906D89">
            <w:pPr>
              <w:pStyle w:val="15"/>
              <w:spacing w:line="360" w:lineRule="auto"/>
              <w:ind w:firstLine="0" w:firstLineChars="0"/>
              <w:contextualSpacing/>
              <w:jc w:val="center"/>
              <w:rPr>
                <w:rFonts w:hint="eastAsia" w:ascii="宋体" w:hAnsi="宋体" w:eastAsia="宋体" w:cs="仿宋_GB2312"/>
                <w:color w:val="auto"/>
                <w:kern w:val="2"/>
                <w:sz w:val="24"/>
                <w:szCs w:val="24"/>
              </w:rPr>
            </w:pPr>
            <w:bookmarkStart w:id="125" w:name="_Toc383699911"/>
            <w:bookmarkStart w:id="126" w:name="_Toc173211905"/>
            <w:bookmarkStart w:id="127" w:name="_Toc254970593"/>
            <w:bookmarkStart w:id="128" w:name="_Toc295404986"/>
            <w:bookmarkStart w:id="129" w:name="_Toc301781616"/>
            <w:bookmarkStart w:id="130" w:name="_Toc297193190"/>
            <w:bookmarkStart w:id="131" w:name="_Toc373333694"/>
            <w:bookmarkStart w:id="132" w:name="_Toc254970734"/>
            <w:bookmarkStart w:id="133" w:name="_Toc173066406"/>
            <w:r>
              <w:rPr>
                <w:rFonts w:hint="eastAsia" w:ascii="宋体" w:hAnsi="宋体" w:eastAsia="宋体" w:cs="仿宋_GB2312"/>
                <w:color w:val="auto"/>
                <w:kern w:val="2"/>
                <w:sz w:val="24"/>
                <w:szCs w:val="24"/>
              </w:rPr>
              <w:t>1</w:t>
            </w:r>
            <w:bookmarkEnd w:id="125"/>
            <w:bookmarkEnd w:id="126"/>
            <w:bookmarkEnd w:id="127"/>
            <w:bookmarkEnd w:id="128"/>
            <w:bookmarkEnd w:id="129"/>
            <w:bookmarkEnd w:id="130"/>
            <w:bookmarkEnd w:id="131"/>
            <w:bookmarkEnd w:id="132"/>
            <w:bookmarkEnd w:id="133"/>
          </w:p>
        </w:tc>
        <w:tc>
          <w:tcPr>
            <w:tcW w:w="1770" w:type="dxa"/>
            <w:tcBorders>
              <w:right w:val="single" w:color="auto" w:sz="4" w:space="0"/>
            </w:tcBorders>
            <w:noWrap w:val="0"/>
            <w:vAlign w:val="center"/>
          </w:tcPr>
          <w:p w14:paraId="5C476728">
            <w:pPr>
              <w:pStyle w:val="15"/>
              <w:spacing w:line="360" w:lineRule="auto"/>
              <w:ind w:firstLine="0" w:firstLineChars="0"/>
              <w:contextualSpacing/>
              <w:jc w:val="center"/>
              <w:rPr>
                <w:rFonts w:hint="eastAsia" w:ascii="宋体" w:hAnsi="宋体" w:eastAsia="宋体" w:cs="仿宋_GB2312"/>
                <w:color w:val="auto"/>
                <w:kern w:val="2"/>
                <w:sz w:val="24"/>
                <w:szCs w:val="24"/>
              </w:rPr>
            </w:pPr>
          </w:p>
        </w:tc>
        <w:tc>
          <w:tcPr>
            <w:tcW w:w="2641" w:type="dxa"/>
            <w:tcBorders>
              <w:left w:val="single" w:color="auto" w:sz="4" w:space="0"/>
            </w:tcBorders>
            <w:noWrap w:val="0"/>
            <w:vAlign w:val="center"/>
          </w:tcPr>
          <w:p w14:paraId="53FD8016">
            <w:pPr>
              <w:pStyle w:val="15"/>
              <w:spacing w:line="360" w:lineRule="auto"/>
              <w:ind w:firstLine="0" w:firstLineChars="0"/>
              <w:contextualSpacing/>
              <w:jc w:val="center"/>
              <w:rPr>
                <w:rFonts w:hint="eastAsia" w:ascii="宋体" w:hAnsi="宋体" w:eastAsia="宋体" w:cs="仿宋_GB2312"/>
                <w:color w:val="auto"/>
                <w:kern w:val="2"/>
                <w:sz w:val="24"/>
                <w:szCs w:val="24"/>
              </w:rPr>
            </w:pPr>
          </w:p>
        </w:tc>
        <w:tc>
          <w:tcPr>
            <w:tcW w:w="2469" w:type="dxa"/>
            <w:noWrap w:val="0"/>
            <w:vAlign w:val="center"/>
          </w:tcPr>
          <w:p w14:paraId="43E0F684">
            <w:pPr>
              <w:pStyle w:val="15"/>
              <w:spacing w:line="360" w:lineRule="auto"/>
              <w:ind w:firstLine="0" w:firstLineChars="0"/>
              <w:contextualSpacing/>
              <w:jc w:val="center"/>
              <w:rPr>
                <w:rFonts w:hint="eastAsia" w:ascii="宋体" w:hAnsi="宋体" w:eastAsia="宋体" w:cs="仿宋_GB2312"/>
                <w:color w:val="auto"/>
                <w:kern w:val="2"/>
                <w:sz w:val="24"/>
                <w:szCs w:val="24"/>
              </w:rPr>
            </w:pPr>
          </w:p>
        </w:tc>
        <w:tc>
          <w:tcPr>
            <w:tcW w:w="1288" w:type="dxa"/>
            <w:noWrap w:val="0"/>
            <w:vAlign w:val="center"/>
          </w:tcPr>
          <w:p w14:paraId="10B98C24">
            <w:pPr>
              <w:pStyle w:val="15"/>
              <w:spacing w:line="360" w:lineRule="auto"/>
              <w:ind w:firstLine="0" w:firstLineChars="0"/>
              <w:contextualSpacing/>
              <w:jc w:val="center"/>
              <w:rPr>
                <w:rFonts w:hint="eastAsia" w:ascii="宋体" w:hAnsi="宋体" w:eastAsia="宋体" w:cs="仿宋_GB2312"/>
                <w:color w:val="auto"/>
                <w:kern w:val="2"/>
                <w:sz w:val="24"/>
                <w:szCs w:val="24"/>
              </w:rPr>
            </w:pPr>
          </w:p>
        </w:tc>
      </w:tr>
      <w:tr w14:paraId="79BE8B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725" w:type="dxa"/>
            <w:noWrap w:val="0"/>
            <w:vAlign w:val="center"/>
          </w:tcPr>
          <w:p w14:paraId="05603345">
            <w:pPr>
              <w:pStyle w:val="15"/>
              <w:spacing w:line="360" w:lineRule="auto"/>
              <w:ind w:firstLine="0" w:firstLineChars="0"/>
              <w:contextualSpacing/>
              <w:jc w:val="center"/>
              <w:rPr>
                <w:rFonts w:hint="eastAsia" w:ascii="宋体" w:hAnsi="宋体" w:eastAsia="宋体" w:cs="仿宋_GB2312"/>
                <w:color w:val="auto"/>
                <w:kern w:val="2"/>
                <w:sz w:val="24"/>
                <w:szCs w:val="24"/>
              </w:rPr>
            </w:pPr>
            <w:bookmarkStart w:id="134" w:name="_Toc173211906"/>
            <w:bookmarkStart w:id="135" w:name="_Toc373333695"/>
            <w:bookmarkStart w:id="136" w:name="_Toc254970735"/>
            <w:bookmarkStart w:id="137" w:name="_Toc383699912"/>
            <w:bookmarkStart w:id="138" w:name="_Toc301781617"/>
            <w:bookmarkStart w:id="139" w:name="_Toc254970594"/>
            <w:bookmarkStart w:id="140" w:name="_Toc173066407"/>
            <w:bookmarkStart w:id="141" w:name="_Toc295404987"/>
            <w:bookmarkStart w:id="142" w:name="_Toc297193191"/>
            <w:r>
              <w:rPr>
                <w:rFonts w:hint="eastAsia" w:ascii="宋体" w:hAnsi="宋体" w:eastAsia="宋体" w:cs="仿宋_GB2312"/>
                <w:color w:val="auto"/>
                <w:kern w:val="2"/>
                <w:sz w:val="24"/>
                <w:szCs w:val="24"/>
              </w:rPr>
              <w:t>2</w:t>
            </w:r>
            <w:bookmarkEnd w:id="134"/>
            <w:bookmarkEnd w:id="135"/>
            <w:bookmarkEnd w:id="136"/>
            <w:bookmarkEnd w:id="137"/>
            <w:bookmarkEnd w:id="138"/>
            <w:bookmarkEnd w:id="139"/>
            <w:bookmarkEnd w:id="140"/>
            <w:bookmarkEnd w:id="141"/>
            <w:bookmarkEnd w:id="142"/>
          </w:p>
        </w:tc>
        <w:tc>
          <w:tcPr>
            <w:tcW w:w="1770" w:type="dxa"/>
            <w:tcBorders>
              <w:right w:val="single" w:color="auto" w:sz="4" w:space="0"/>
            </w:tcBorders>
            <w:noWrap w:val="0"/>
            <w:vAlign w:val="center"/>
          </w:tcPr>
          <w:p w14:paraId="46B7775D">
            <w:pPr>
              <w:pStyle w:val="15"/>
              <w:spacing w:line="360" w:lineRule="auto"/>
              <w:ind w:firstLine="0" w:firstLineChars="0"/>
              <w:contextualSpacing/>
              <w:jc w:val="center"/>
              <w:rPr>
                <w:rFonts w:hint="eastAsia" w:ascii="宋体" w:hAnsi="宋体" w:eastAsia="宋体" w:cs="仿宋_GB2312"/>
                <w:color w:val="auto"/>
                <w:kern w:val="2"/>
                <w:sz w:val="24"/>
                <w:szCs w:val="24"/>
              </w:rPr>
            </w:pPr>
          </w:p>
        </w:tc>
        <w:tc>
          <w:tcPr>
            <w:tcW w:w="2641" w:type="dxa"/>
            <w:tcBorders>
              <w:left w:val="single" w:color="auto" w:sz="4" w:space="0"/>
            </w:tcBorders>
            <w:noWrap w:val="0"/>
            <w:vAlign w:val="center"/>
          </w:tcPr>
          <w:p w14:paraId="283DD238">
            <w:pPr>
              <w:pStyle w:val="15"/>
              <w:spacing w:line="360" w:lineRule="auto"/>
              <w:ind w:firstLine="0" w:firstLineChars="0"/>
              <w:contextualSpacing/>
              <w:jc w:val="center"/>
              <w:rPr>
                <w:rFonts w:hint="eastAsia" w:ascii="宋体" w:hAnsi="宋体" w:eastAsia="宋体" w:cs="仿宋_GB2312"/>
                <w:color w:val="auto"/>
                <w:kern w:val="2"/>
                <w:sz w:val="24"/>
                <w:szCs w:val="24"/>
              </w:rPr>
            </w:pPr>
          </w:p>
        </w:tc>
        <w:tc>
          <w:tcPr>
            <w:tcW w:w="2469" w:type="dxa"/>
            <w:noWrap w:val="0"/>
            <w:vAlign w:val="center"/>
          </w:tcPr>
          <w:p w14:paraId="5ED76171">
            <w:pPr>
              <w:pStyle w:val="15"/>
              <w:spacing w:line="360" w:lineRule="auto"/>
              <w:ind w:firstLine="0" w:firstLineChars="0"/>
              <w:contextualSpacing/>
              <w:jc w:val="center"/>
              <w:rPr>
                <w:rFonts w:hint="eastAsia" w:ascii="宋体" w:hAnsi="宋体" w:eastAsia="宋体" w:cs="仿宋_GB2312"/>
                <w:color w:val="auto"/>
                <w:kern w:val="2"/>
                <w:sz w:val="24"/>
                <w:szCs w:val="24"/>
              </w:rPr>
            </w:pPr>
          </w:p>
        </w:tc>
        <w:tc>
          <w:tcPr>
            <w:tcW w:w="1288" w:type="dxa"/>
            <w:noWrap w:val="0"/>
            <w:vAlign w:val="center"/>
          </w:tcPr>
          <w:p w14:paraId="2893763B">
            <w:pPr>
              <w:pStyle w:val="15"/>
              <w:spacing w:line="360" w:lineRule="auto"/>
              <w:ind w:firstLine="0" w:firstLineChars="0"/>
              <w:contextualSpacing/>
              <w:jc w:val="center"/>
              <w:rPr>
                <w:rFonts w:hint="eastAsia" w:ascii="宋体" w:hAnsi="宋体" w:eastAsia="宋体" w:cs="仿宋_GB2312"/>
                <w:color w:val="auto"/>
                <w:kern w:val="2"/>
                <w:sz w:val="24"/>
                <w:szCs w:val="24"/>
              </w:rPr>
            </w:pPr>
          </w:p>
        </w:tc>
      </w:tr>
      <w:tr w14:paraId="3356D3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725" w:type="dxa"/>
            <w:noWrap w:val="0"/>
            <w:vAlign w:val="center"/>
          </w:tcPr>
          <w:p w14:paraId="3CD920F0">
            <w:pPr>
              <w:pStyle w:val="15"/>
              <w:spacing w:line="360" w:lineRule="auto"/>
              <w:ind w:firstLine="0" w:firstLineChars="0"/>
              <w:contextualSpacing/>
              <w:jc w:val="center"/>
              <w:rPr>
                <w:rFonts w:hint="eastAsia" w:ascii="宋体" w:hAnsi="宋体" w:eastAsia="宋体" w:cs="仿宋_GB2312"/>
                <w:color w:val="auto"/>
                <w:kern w:val="2"/>
                <w:sz w:val="24"/>
                <w:szCs w:val="24"/>
              </w:rPr>
            </w:pPr>
            <w:bookmarkStart w:id="143" w:name="_Toc254970595"/>
            <w:bookmarkStart w:id="144" w:name="_Toc373333696"/>
            <w:bookmarkStart w:id="145" w:name="_Toc173066408"/>
            <w:bookmarkStart w:id="146" w:name="_Toc295404988"/>
            <w:bookmarkStart w:id="147" w:name="_Toc254970736"/>
            <w:bookmarkStart w:id="148" w:name="_Toc301781618"/>
            <w:bookmarkStart w:id="149" w:name="_Toc383699913"/>
            <w:bookmarkStart w:id="150" w:name="_Toc297193192"/>
            <w:bookmarkStart w:id="151" w:name="_Toc173211907"/>
            <w:r>
              <w:rPr>
                <w:rFonts w:hint="eastAsia" w:ascii="宋体" w:hAnsi="宋体" w:eastAsia="宋体" w:cs="仿宋_GB2312"/>
                <w:color w:val="auto"/>
                <w:kern w:val="2"/>
                <w:sz w:val="24"/>
                <w:szCs w:val="24"/>
              </w:rPr>
              <w:t>3</w:t>
            </w:r>
            <w:bookmarkEnd w:id="143"/>
            <w:bookmarkEnd w:id="144"/>
            <w:bookmarkEnd w:id="145"/>
            <w:bookmarkEnd w:id="146"/>
            <w:bookmarkEnd w:id="147"/>
            <w:bookmarkEnd w:id="148"/>
            <w:bookmarkEnd w:id="149"/>
            <w:bookmarkEnd w:id="150"/>
            <w:bookmarkEnd w:id="151"/>
          </w:p>
        </w:tc>
        <w:tc>
          <w:tcPr>
            <w:tcW w:w="1770" w:type="dxa"/>
            <w:tcBorders>
              <w:right w:val="single" w:color="auto" w:sz="4" w:space="0"/>
            </w:tcBorders>
            <w:noWrap w:val="0"/>
            <w:vAlign w:val="center"/>
          </w:tcPr>
          <w:p w14:paraId="2D57A42C">
            <w:pPr>
              <w:pStyle w:val="15"/>
              <w:spacing w:line="360" w:lineRule="auto"/>
              <w:ind w:firstLine="0" w:firstLineChars="0"/>
              <w:contextualSpacing/>
              <w:jc w:val="center"/>
              <w:rPr>
                <w:rFonts w:hint="eastAsia" w:ascii="宋体" w:hAnsi="宋体" w:eastAsia="宋体" w:cs="仿宋_GB2312"/>
                <w:color w:val="auto"/>
                <w:kern w:val="2"/>
                <w:sz w:val="24"/>
                <w:szCs w:val="24"/>
              </w:rPr>
            </w:pPr>
          </w:p>
        </w:tc>
        <w:tc>
          <w:tcPr>
            <w:tcW w:w="2641" w:type="dxa"/>
            <w:tcBorders>
              <w:left w:val="single" w:color="auto" w:sz="4" w:space="0"/>
            </w:tcBorders>
            <w:noWrap w:val="0"/>
            <w:vAlign w:val="center"/>
          </w:tcPr>
          <w:p w14:paraId="62FDA5F5">
            <w:pPr>
              <w:pStyle w:val="15"/>
              <w:spacing w:line="360" w:lineRule="auto"/>
              <w:ind w:firstLine="0" w:firstLineChars="0"/>
              <w:contextualSpacing/>
              <w:jc w:val="center"/>
              <w:rPr>
                <w:rFonts w:hint="eastAsia" w:ascii="宋体" w:hAnsi="宋体" w:eastAsia="宋体" w:cs="仿宋_GB2312"/>
                <w:color w:val="auto"/>
                <w:kern w:val="2"/>
                <w:sz w:val="24"/>
                <w:szCs w:val="24"/>
              </w:rPr>
            </w:pPr>
          </w:p>
        </w:tc>
        <w:tc>
          <w:tcPr>
            <w:tcW w:w="2469" w:type="dxa"/>
            <w:noWrap w:val="0"/>
            <w:vAlign w:val="center"/>
          </w:tcPr>
          <w:p w14:paraId="5F058E3A">
            <w:pPr>
              <w:pStyle w:val="15"/>
              <w:spacing w:line="360" w:lineRule="auto"/>
              <w:ind w:firstLine="0" w:firstLineChars="0"/>
              <w:contextualSpacing/>
              <w:jc w:val="center"/>
              <w:rPr>
                <w:rFonts w:hint="eastAsia" w:ascii="宋体" w:hAnsi="宋体" w:eastAsia="宋体" w:cs="仿宋_GB2312"/>
                <w:color w:val="auto"/>
                <w:kern w:val="2"/>
                <w:sz w:val="24"/>
                <w:szCs w:val="24"/>
              </w:rPr>
            </w:pPr>
          </w:p>
        </w:tc>
        <w:tc>
          <w:tcPr>
            <w:tcW w:w="1288" w:type="dxa"/>
            <w:noWrap w:val="0"/>
            <w:vAlign w:val="center"/>
          </w:tcPr>
          <w:p w14:paraId="1045B015">
            <w:pPr>
              <w:pStyle w:val="15"/>
              <w:spacing w:line="360" w:lineRule="auto"/>
              <w:ind w:firstLine="0" w:firstLineChars="0"/>
              <w:contextualSpacing/>
              <w:jc w:val="center"/>
              <w:rPr>
                <w:rFonts w:hint="eastAsia" w:ascii="宋体" w:hAnsi="宋体" w:eastAsia="宋体" w:cs="仿宋_GB2312"/>
                <w:color w:val="auto"/>
                <w:kern w:val="2"/>
                <w:sz w:val="24"/>
                <w:szCs w:val="24"/>
              </w:rPr>
            </w:pPr>
          </w:p>
        </w:tc>
      </w:tr>
      <w:tr w14:paraId="6AC8BF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725" w:type="dxa"/>
            <w:noWrap w:val="0"/>
            <w:vAlign w:val="center"/>
          </w:tcPr>
          <w:p w14:paraId="65FFFC69">
            <w:pPr>
              <w:pStyle w:val="15"/>
              <w:spacing w:line="360" w:lineRule="auto"/>
              <w:ind w:firstLine="0" w:firstLineChars="0"/>
              <w:contextualSpacing/>
              <w:jc w:val="center"/>
              <w:rPr>
                <w:rFonts w:hint="eastAsia" w:ascii="宋体" w:hAnsi="宋体" w:eastAsia="宋体" w:cs="仿宋_GB2312"/>
                <w:color w:val="auto"/>
                <w:kern w:val="2"/>
                <w:sz w:val="24"/>
                <w:szCs w:val="24"/>
              </w:rPr>
            </w:pPr>
            <w:bookmarkStart w:id="152" w:name="_Toc297193193"/>
            <w:bookmarkStart w:id="153" w:name="_Toc254970737"/>
            <w:bookmarkStart w:id="154" w:name="_Toc173066409"/>
            <w:bookmarkStart w:id="155" w:name="_Toc254970596"/>
            <w:bookmarkStart w:id="156" w:name="_Toc301781619"/>
            <w:bookmarkStart w:id="157" w:name="_Toc173211908"/>
            <w:bookmarkStart w:id="158" w:name="_Toc383699914"/>
            <w:bookmarkStart w:id="159" w:name="_Toc373333697"/>
            <w:bookmarkStart w:id="160" w:name="_Toc295404989"/>
            <w:r>
              <w:rPr>
                <w:rFonts w:hint="eastAsia" w:ascii="宋体" w:hAnsi="宋体" w:eastAsia="宋体" w:cs="仿宋_GB2312"/>
                <w:color w:val="auto"/>
                <w:kern w:val="2"/>
                <w:sz w:val="24"/>
                <w:szCs w:val="24"/>
              </w:rPr>
              <w:t>4</w:t>
            </w:r>
            <w:bookmarkEnd w:id="152"/>
            <w:bookmarkEnd w:id="153"/>
            <w:bookmarkEnd w:id="154"/>
            <w:bookmarkEnd w:id="155"/>
            <w:bookmarkEnd w:id="156"/>
            <w:bookmarkEnd w:id="157"/>
            <w:bookmarkEnd w:id="158"/>
            <w:bookmarkEnd w:id="159"/>
            <w:bookmarkEnd w:id="160"/>
          </w:p>
        </w:tc>
        <w:tc>
          <w:tcPr>
            <w:tcW w:w="1770" w:type="dxa"/>
            <w:tcBorders>
              <w:right w:val="single" w:color="auto" w:sz="4" w:space="0"/>
            </w:tcBorders>
            <w:noWrap w:val="0"/>
            <w:vAlign w:val="center"/>
          </w:tcPr>
          <w:p w14:paraId="0F9EF804">
            <w:pPr>
              <w:pStyle w:val="15"/>
              <w:spacing w:line="360" w:lineRule="auto"/>
              <w:ind w:firstLine="0" w:firstLineChars="0"/>
              <w:contextualSpacing/>
              <w:jc w:val="center"/>
              <w:rPr>
                <w:rFonts w:hint="eastAsia" w:ascii="宋体" w:hAnsi="宋体" w:eastAsia="宋体" w:cs="仿宋_GB2312"/>
                <w:color w:val="auto"/>
                <w:kern w:val="2"/>
                <w:sz w:val="24"/>
                <w:szCs w:val="24"/>
              </w:rPr>
            </w:pPr>
          </w:p>
        </w:tc>
        <w:tc>
          <w:tcPr>
            <w:tcW w:w="2641" w:type="dxa"/>
            <w:tcBorders>
              <w:left w:val="single" w:color="auto" w:sz="4" w:space="0"/>
            </w:tcBorders>
            <w:noWrap w:val="0"/>
            <w:vAlign w:val="center"/>
          </w:tcPr>
          <w:p w14:paraId="0DD1A890">
            <w:pPr>
              <w:pStyle w:val="15"/>
              <w:spacing w:line="360" w:lineRule="auto"/>
              <w:ind w:firstLine="0" w:firstLineChars="0"/>
              <w:contextualSpacing/>
              <w:jc w:val="center"/>
              <w:rPr>
                <w:rFonts w:hint="eastAsia" w:ascii="宋体" w:hAnsi="宋体" w:eastAsia="宋体" w:cs="仿宋_GB2312"/>
                <w:color w:val="auto"/>
                <w:kern w:val="2"/>
                <w:sz w:val="24"/>
                <w:szCs w:val="24"/>
              </w:rPr>
            </w:pPr>
          </w:p>
        </w:tc>
        <w:tc>
          <w:tcPr>
            <w:tcW w:w="2469" w:type="dxa"/>
            <w:noWrap w:val="0"/>
            <w:vAlign w:val="center"/>
          </w:tcPr>
          <w:p w14:paraId="70FA9E9B">
            <w:pPr>
              <w:pStyle w:val="15"/>
              <w:spacing w:line="360" w:lineRule="auto"/>
              <w:ind w:firstLine="0" w:firstLineChars="0"/>
              <w:contextualSpacing/>
              <w:jc w:val="center"/>
              <w:rPr>
                <w:rFonts w:hint="eastAsia" w:ascii="宋体" w:hAnsi="宋体" w:eastAsia="宋体" w:cs="仿宋_GB2312"/>
                <w:color w:val="auto"/>
                <w:kern w:val="2"/>
                <w:sz w:val="24"/>
                <w:szCs w:val="24"/>
              </w:rPr>
            </w:pPr>
          </w:p>
        </w:tc>
        <w:tc>
          <w:tcPr>
            <w:tcW w:w="1288" w:type="dxa"/>
            <w:noWrap w:val="0"/>
            <w:vAlign w:val="center"/>
          </w:tcPr>
          <w:p w14:paraId="6FAF06E5">
            <w:pPr>
              <w:pStyle w:val="15"/>
              <w:spacing w:line="360" w:lineRule="auto"/>
              <w:ind w:firstLine="0" w:firstLineChars="0"/>
              <w:contextualSpacing/>
              <w:jc w:val="center"/>
              <w:rPr>
                <w:rFonts w:hint="eastAsia" w:ascii="宋体" w:hAnsi="宋体" w:eastAsia="宋体" w:cs="仿宋_GB2312"/>
                <w:color w:val="auto"/>
                <w:kern w:val="2"/>
                <w:sz w:val="24"/>
                <w:szCs w:val="24"/>
              </w:rPr>
            </w:pPr>
          </w:p>
        </w:tc>
      </w:tr>
      <w:tr w14:paraId="5AAC43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725" w:type="dxa"/>
            <w:noWrap w:val="0"/>
            <w:vAlign w:val="center"/>
          </w:tcPr>
          <w:p w14:paraId="570B54BA">
            <w:pPr>
              <w:pStyle w:val="15"/>
              <w:spacing w:line="360" w:lineRule="auto"/>
              <w:ind w:firstLine="0" w:firstLineChars="0"/>
              <w:contextualSpacing/>
              <w:jc w:val="center"/>
              <w:rPr>
                <w:rFonts w:hint="eastAsia" w:ascii="宋体" w:hAnsi="宋体" w:eastAsia="宋体" w:cs="仿宋_GB2312"/>
                <w:color w:val="auto"/>
                <w:kern w:val="2"/>
                <w:sz w:val="24"/>
                <w:szCs w:val="24"/>
              </w:rPr>
            </w:pPr>
            <w:bookmarkStart w:id="161" w:name="_Toc173066410"/>
            <w:bookmarkStart w:id="162" w:name="_Toc301781620"/>
            <w:bookmarkStart w:id="163" w:name="_Toc173211909"/>
            <w:bookmarkStart w:id="164" w:name="_Toc297193194"/>
            <w:bookmarkStart w:id="165" w:name="_Toc383699915"/>
            <w:bookmarkStart w:id="166" w:name="_Toc373333698"/>
            <w:bookmarkStart w:id="167" w:name="_Toc254970738"/>
            <w:bookmarkStart w:id="168" w:name="_Toc295404990"/>
            <w:bookmarkStart w:id="169" w:name="_Toc254970597"/>
            <w:r>
              <w:rPr>
                <w:rFonts w:hint="eastAsia" w:ascii="宋体" w:hAnsi="宋体" w:eastAsia="宋体" w:cs="仿宋_GB2312"/>
                <w:color w:val="auto"/>
                <w:kern w:val="2"/>
                <w:sz w:val="24"/>
                <w:szCs w:val="24"/>
              </w:rPr>
              <w:t>5</w:t>
            </w:r>
            <w:bookmarkEnd w:id="161"/>
            <w:bookmarkEnd w:id="162"/>
            <w:bookmarkEnd w:id="163"/>
            <w:bookmarkEnd w:id="164"/>
            <w:bookmarkEnd w:id="165"/>
            <w:bookmarkEnd w:id="166"/>
            <w:bookmarkEnd w:id="167"/>
            <w:bookmarkEnd w:id="168"/>
            <w:bookmarkEnd w:id="169"/>
          </w:p>
        </w:tc>
        <w:tc>
          <w:tcPr>
            <w:tcW w:w="1770" w:type="dxa"/>
            <w:tcBorders>
              <w:right w:val="single" w:color="auto" w:sz="4" w:space="0"/>
            </w:tcBorders>
            <w:noWrap w:val="0"/>
            <w:vAlign w:val="center"/>
          </w:tcPr>
          <w:p w14:paraId="5CD4CD0B">
            <w:pPr>
              <w:pStyle w:val="15"/>
              <w:spacing w:line="360" w:lineRule="auto"/>
              <w:ind w:firstLine="0" w:firstLineChars="0"/>
              <w:contextualSpacing/>
              <w:jc w:val="center"/>
              <w:rPr>
                <w:rFonts w:hint="eastAsia" w:ascii="宋体" w:hAnsi="宋体" w:eastAsia="宋体" w:cs="仿宋_GB2312"/>
                <w:color w:val="auto"/>
                <w:kern w:val="2"/>
                <w:sz w:val="24"/>
                <w:szCs w:val="24"/>
              </w:rPr>
            </w:pPr>
          </w:p>
        </w:tc>
        <w:tc>
          <w:tcPr>
            <w:tcW w:w="2641" w:type="dxa"/>
            <w:tcBorders>
              <w:left w:val="single" w:color="auto" w:sz="4" w:space="0"/>
            </w:tcBorders>
            <w:noWrap w:val="0"/>
            <w:vAlign w:val="center"/>
          </w:tcPr>
          <w:p w14:paraId="0235CD99">
            <w:pPr>
              <w:pStyle w:val="15"/>
              <w:spacing w:line="360" w:lineRule="auto"/>
              <w:ind w:firstLine="0" w:firstLineChars="0"/>
              <w:contextualSpacing/>
              <w:jc w:val="center"/>
              <w:rPr>
                <w:rFonts w:hint="eastAsia" w:ascii="宋体" w:hAnsi="宋体" w:eastAsia="宋体" w:cs="仿宋_GB2312"/>
                <w:color w:val="auto"/>
                <w:kern w:val="2"/>
                <w:sz w:val="24"/>
                <w:szCs w:val="24"/>
              </w:rPr>
            </w:pPr>
          </w:p>
        </w:tc>
        <w:tc>
          <w:tcPr>
            <w:tcW w:w="2469" w:type="dxa"/>
            <w:noWrap w:val="0"/>
            <w:vAlign w:val="center"/>
          </w:tcPr>
          <w:p w14:paraId="22D37128">
            <w:pPr>
              <w:pStyle w:val="15"/>
              <w:spacing w:line="360" w:lineRule="auto"/>
              <w:ind w:firstLine="0" w:firstLineChars="0"/>
              <w:contextualSpacing/>
              <w:jc w:val="center"/>
              <w:rPr>
                <w:rFonts w:hint="eastAsia" w:ascii="宋体" w:hAnsi="宋体" w:eastAsia="宋体" w:cs="仿宋_GB2312"/>
                <w:color w:val="auto"/>
                <w:kern w:val="2"/>
                <w:sz w:val="24"/>
                <w:szCs w:val="24"/>
              </w:rPr>
            </w:pPr>
          </w:p>
        </w:tc>
        <w:tc>
          <w:tcPr>
            <w:tcW w:w="1288" w:type="dxa"/>
            <w:noWrap w:val="0"/>
            <w:vAlign w:val="center"/>
          </w:tcPr>
          <w:p w14:paraId="712A0769">
            <w:pPr>
              <w:pStyle w:val="15"/>
              <w:spacing w:line="360" w:lineRule="auto"/>
              <w:ind w:firstLine="0" w:firstLineChars="0"/>
              <w:contextualSpacing/>
              <w:jc w:val="center"/>
              <w:rPr>
                <w:rFonts w:hint="eastAsia" w:ascii="宋体" w:hAnsi="宋体" w:eastAsia="宋体" w:cs="仿宋_GB2312"/>
                <w:color w:val="auto"/>
                <w:kern w:val="2"/>
                <w:sz w:val="24"/>
                <w:szCs w:val="24"/>
              </w:rPr>
            </w:pPr>
          </w:p>
        </w:tc>
      </w:tr>
      <w:tr w14:paraId="2CA845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25" w:type="dxa"/>
            <w:noWrap w:val="0"/>
            <w:vAlign w:val="center"/>
          </w:tcPr>
          <w:p w14:paraId="7709AA4D">
            <w:pPr>
              <w:pStyle w:val="15"/>
              <w:spacing w:line="360" w:lineRule="auto"/>
              <w:ind w:firstLine="0" w:firstLineChars="0"/>
              <w:contextualSpacing/>
              <w:jc w:val="center"/>
              <w:rPr>
                <w:rFonts w:hint="eastAsia" w:ascii="宋体" w:hAnsi="宋体" w:eastAsia="宋体" w:cs="仿宋_GB2312"/>
                <w:color w:val="auto"/>
                <w:kern w:val="2"/>
                <w:sz w:val="24"/>
                <w:szCs w:val="24"/>
              </w:rPr>
            </w:pPr>
            <w:r>
              <w:rPr>
                <w:rFonts w:hint="eastAsia" w:ascii="宋体" w:hAnsi="宋体" w:eastAsia="宋体" w:cs="仿宋_GB2312"/>
                <w:color w:val="auto"/>
                <w:kern w:val="2"/>
                <w:sz w:val="24"/>
                <w:szCs w:val="24"/>
              </w:rPr>
              <w:t>6</w:t>
            </w:r>
          </w:p>
        </w:tc>
        <w:tc>
          <w:tcPr>
            <w:tcW w:w="1770" w:type="dxa"/>
            <w:tcBorders>
              <w:right w:val="single" w:color="auto" w:sz="4" w:space="0"/>
            </w:tcBorders>
            <w:noWrap w:val="0"/>
            <w:vAlign w:val="center"/>
          </w:tcPr>
          <w:p w14:paraId="753A3EBA">
            <w:pPr>
              <w:pStyle w:val="15"/>
              <w:spacing w:line="360" w:lineRule="auto"/>
              <w:ind w:firstLine="0" w:firstLineChars="0"/>
              <w:contextualSpacing/>
              <w:jc w:val="center"/>
              <w:rPr>
                <w:rFonts w:hint="eastAsia" w:ascii="宋体" w:hAnsi="宋体" w:eastAsia="宋体" w:cs="仿宋_GB2312"/>
                <w:color w:val="auto"/>
                <w:kern w:val="2"/>
                <w:sz w:val="24"/>
                <w:szCs w:val="24"/>
              </w:rPr>
            </w:pPr>
          </w:p>
        </w:tc>
        <w:tc>
          <w:tcPr>
            <w:tcW w:w="2641" w:type="dxa"/>
            <w:tcBorders>
              <w:left w:val="single" w:color="auto" w:sz="4" w:space="0"/>
            </w:tcBorders>
            <w:noWrap w:val="0"/>
            <w:vAlign w:val="center"/>
          </w:tcPr>
          <w:p w14:paraId="52578AC8">
            <w:pPr>
              <w:pStyle w:val="15"/>
              <w:spacing w:line="360" w:lineRule="auto"/>
              <w:ind w:firstLine="0" w:firstLineChars="0"/>
              <w:contextualSpacing/>
              <w:jc w:val="center"/>
              <w:rPr>
                <w:rFonts w:hint="eastAsia" w:ascii="宋体" w:hAnsi="宋体" w:eastAsia="宋体" w:cs="仿宋_GB2312"/>
                <w:color w:val="auto"/>
                <w:kern w:val="2"/>
                <w:sz w:val="24"/>
                <w:szCs w:val="24"/>
              </w:rPr>
            </w:pPr>
          </w:p>
        </w:tc>
        <w:tc>
          <w:tcPr>
            <w:tcW w:w="2469" w:type="dxa"/>
            <w:noWrap w:val="0"/>
            <w:vAlign w:val="center"/>
          </w:tcPr>
          <w:p w14:paraId="2EE25355">
            <w:pPr>
              <w:pStyle w:val="15"/>
              <w:spacing w:line="360" w:lineRule="auto"/>
              <w:ind w:firstLine="0" w:firstLineChars="0"/>
              <w:contextualSpacing/>
              <w:jc w:val="center"/>
              <w:rPr>
                <w:rFonts w:hint="eastAsia" w:ascii="宋体" w:hAnsi="宋体" w:eastAsia="宋体" w:cs="仿宋_GB2312"/>
                <w:color w:val="auto"/>
                <w:kern w:val="2"/>
                <w:sz w:val="24"/>
                <w:szCs w:val="24"/>
              </w:rPr>
            </w:pPr>
          </w:p>
        </w:tc>
        <w:tc>
          <w:tcPr>
            <w:tcW w:w="1288" w:type="dxa"/>
            <w:tcBorders>
              <w:right w:val="single" w:color="auto" w:sz="4" w:space="0"/>
            </w:tcBorders>
            <w:noWrap w:val="0"/>
            <w:vAlign w:val="center"/>
          </w:tcPr>
          <w:p w14:paraId="04EC708B">
            <w:pPr>
              <w:pStyle w:val="15"/>
              <w:spacing w:line="360" w:lineRule="auto"/>
              <w:ind w:firstLine="0" w:firstLineChars="0"/>
              <w:contextualSpacing/>
              <w:jc w:val="center"/>
              <w:rPr>
                <w:rFonts w:hint="eastAsia" w:ascii="宋体" w:hAnsi="宋体" w:eastAsia="宋体" w:cs="仿宋_GB2312"/>
                <w:color w:val="auto"/>
                <w:kern w:val="2"/>
                <w:sz w:val="24"/>
                <w:szCs w:val="24"/>
              </w:rPr>
            </w:pPr>
          </w:p>
        </w:tc>
      </w:tr>
      <w:tr w14:paraId="3BA12A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25" w:type="dxa"/>
            <w:noWrap w:val="0"/>
            <w:vAlign w:val="center"/>
          </w:tcPr>
          <w:p w14:paraId="5BD48A62">
            <w:pPr>
              <w:pStyle w:val="15"/>
              <w:spacing w:line="360" w:lineRule="auto"/>
              <w:ind w:firstLine="0" w:firstLineChars="0"/>
              <w:contextualSpacing/>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7</w:t>
            </w:r>
          </w:p>
        </w:tc>
        <w:tc>
          <w:tcPr>
            <w:tcW w:w="1770" w:type="dxa"/>
            <w:tcBorders>
              <w:right w:val="single" w:color="auto" w:sz="4" w:space="0"/>
            </w:tcBorders>
            <w:noWrap w:val="0"/>
            <w:vAlign w:val="center"/>
          </w:tcPr>
          <w:p w14:paraId="60D8413C">
            <w:pPr>
              <w:pStyle w:val="15"/>
              <w:spacing w:line="360" w:lineRule="auto"/>
              <w:ind w:firstLine="0" w:firstLineChars="0"/>
              <w:contextualSpacing/>
              <w:jc w:val="center"/>
              <w:rPr>
                <w:rFonts w:hint="eastAsia" w:ascii="宋体" w:hAnsi="宋体" w:eastAsia="宋体" w:cs="仿宋_GB2312"/>
                <w:color w:val="auto"/>
                <w:kern w:val="2"/>
                <w:sz w:val="24"/>
                <w:szCs w:val="24"/>
              </w:rPr>
            </w:pPr>
          </w:p>
        </w:tc>
        <w:tc>
          <w:tcPr>
            <w:tcW w:w="2641" w:type="dxa"/>
            <w:tcBorders>
              <w:left w:val="single" w:color="auto" w:sz="4" w:space="0"/>
            </w:tcBorders>
            <w:noWrap w:val="0"/>
            <w:vAlign w:val="center"/>
          </w:tcPr>
          <w:p w14:paraId="3D5861FF">
            <w:pPr>
              <w:pStyle w:val="15"/>
              <w:spacing w:line="360" w:lineRule="auto"/>
              <w:ind w:firstLine="0" w:firstLineChars="0"/>
              <w:contextualSpacing/>
              <w:jc w:val="center"/>
              <w:rPr>
                <w:rFonts w:hint="eastAsia" w:ascii="宋体" w:hAnsi="宋体" w:eastAsia="宋体" w:cs="仿宋_GB2312"/>
                <w:color w:val="auto"/>
                <w:kern w:val="2"/>
                <w:sz w:val="24"/>
                <w:szCs w:val="24"/>
              </w:rPr>
            </w:pPr>
          </w:p>
        </w:tc>
        <w:tc>
          <w:tcPr>
            <w:tcW w:w="2469" w:type="dxa"/>
            <w:noWrap w:val="0"/>
            <w:vAlign w:val="center"/>
          </w:tcPr>
          <w:p w14:paraId="26529AD3">
            <w:pPr>
              <w:pStyle w:val="15"/>
              <w:spacing w:line="360" w:lineRule="auto"/>
              <w:ind w:firstLine="0" w:firstLineChars="0"/>
              <w:contextualSpacing/>
              <w:jc w:val="center"/>
              <w:rPr>
                <w:rFonts w:hint="eastAsia" w:ascii="宋体" w:hAnsi="宋体" w:eastAsia="宋体" w:cs="仿宋_GB2312"/>
                <w:color w:val="auto"/>
                <w:kern w:val="2"/>
                <w:sz w:val="24"/>
                <w:szCs w:val="24"/>
              </w:rPr>
            </w:pPr>
          </w:p>
        </w:tc>
        <w:tc>
          <w:tcPr>
            <w:tcW w:w="1288" w:type="dxa"/>
            <w:tcBorders>
              <w:right w:val="single" w:color="auto" w:sz="4" w:space="0"/>
            </w:tcBorders>
            <w:noWrap w:val="0"/>
            <w:vAlign w:val="center"/>
          </w:tcPr>
          <w:p w14:paraId="62057B39">
            <w:pPr>
              <w:pStyle w:val="15"/>
              <w:spacing w:line="360" w:lineRule="auto"/>
              <w:ind w:firstLine="0" w:firstLineChars="0"/>
              <w:contextualSpacing/>
              <w:jc w:val="center"/>
              <w:rPr>
                <w:rFonts w:hint="eastAsia" w:ascii="宋体" w:hAnsi="宋体" w:eastAsia="宋体" w:cs="仿宋_GB2312"/>
                <w:color w:val="auto"/>
                <w:kern w:val="2"/>
                <w:sz w:val="24"/>
                <w:szCs w:val="24"/>
              </w:rPr>
            </w:pPr>
          </w:p>
        </w:tc>
      </w:tr>
      <w:tr w14:paraId="0E5F5B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25" w:type="dxa"/>
            <w:noWrap w:val="0"/>
            <w:vAlign w:val="center"/>
          </w:tcPr>
          <w:p w14:paraId="03AB9ACD">
            <w:pPr>
              <w:pStyle w:val="15"/>
              <w:spacing w:line="360" w:lineRule="auto"/>
              <w:ind w:firstLine="0" w:firstLineChars="0"/>
              <w:contextualSpacing/>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8</w:t>
            </w:r>
          </w:p>
        </w:tc>
        <w:tc>
          <w:tcPr>
            <w:tcW w:w="1770" w:type="dxa"/>
            <w:tcBorders>
              <w:right w:val="single" w:color="auto" w:sz="4" w:space="0"/>
            </w:tcBorders>
            <w:noWrap w:val="0"/>
            <w:vAlign w:val="center"/>
          </w:tcPr>
          <w:p w14:paraId="7DAB3635">
            <w:pPr>
              <w:pStyle w:val="15"/>
              <w:spacing w:line="360" w:lineRule="auto"/>
              <w:ind w:firstLine="0" w:firstLineChars="0"/>
              <w:contextualSpacing/>
              <w:jc w:val="center"/>
              <w:rPr>
                <w:rFonts w:hint="eastAsia" w:ascii="宋体" w:hAnsi="宋体" w:eastAsia="宋体" w:cs="仿宋_GB2312"/>
                <w:color w:val="auto"/>
                <w:kern w:val="2"/>
                <w:sz w:val="24"/>
                <w:szCs w:val="24"/>
              </w:rPr>
            </w:pPr>
          </w:p>
        </w:tc>
        <w:tc>
          <w:tcPr>
            <w:tcW w:w="2641" w:type="dxa"/>
            <w:tcBorders>
              <w:left w:val="single" w:color="auto" w:sz="4" w:space="0"/>
            </w:tcBorders>
            <w:noWrap w:val="0"/>
            <w:vAlign w:val="center"/>
          </w:tcPr>
          <w:p w14:paraId="3AD60968">
            <w:pPr>
              <w:pStyle w:val="15"/>
              <w:spacing w:line="360" w:lineRule="auto"/>
              <w:ind w:firstLine="0" w:firstLineChars="0"/>
              <w:contextualSpacing/>
              <w:jc w:val="center"/>
              <w:rPr>
                <w:rFonts w:hint="eastAsia" w:ascii="宋体" w:hAnsi="宋体" w:eastAsia="宋体" w:cs="仿宋_GB2312"/>
                <w:color w:val="auto"/>
                <w:kern w:val="2"/>
                <w:sz w:val="24"/>
                <w:szCs w:val="24"/>
              </w:rPr>
            </w:pPr>
          </w:p>
        </w:tc>
        <w:tc>
          <w:tcPr>
            <w:tcW w:w="2469" w:type="dxa"/>
            <w:noWrap w:val="0"/>
            <w:vAlign w:val="center"/>
          </w:tcPr>
          <w:p w14:paraId="64F1FB21">
            <w:pPr>
              <w:pStyle w:val="15"/>
              <w:spacing w:line="360" w:lineRule="auto"/>
              <w:ind w:firstLine="0" w:firstLineChars="0"/>
              <w:contextualSpacing/>
              <w:jc w:val="center"/>
              <w:rPr>
                <w:rFonts w:hint="eastAsia" w:ascii="宋体" w:hAnsi="宋体" w:eastAsia="宋体" w:cs="仿宋_GB2312"/>
                <w:color w:val="auto"/>
                <w:kern w:val="2"/>
                <w:sz w:val="24"/>
                <w:szCs w:val="24"/>
              </w:rPr>
            </w:pPr>
          </w:p>
        </w:tc>
        <w:tc>
          <w:tcPr>
            <w:tcW w:w="1288" w:type="dxa"/>
            <w:tcBorders>
              <w:right w:val="single" w:color="auto" w:sz="4" w:space="0"/>
            </w:tcBorders>
            <w:noWrap w:val="0"/>
            <w:vAlign w:val="center"/>
          </w:tcPr>
          <w:p w14:paraId="6FDEF54A">
            <w:pPr>
              <w:pStyle w:val="15"/>
              <w:spacing w:line="360" w:lineRule="auto"/>
              <w:ind w:firstLine="0" w:firstLineChars="0"/>
              <w:contextualSpacing/>
              <w:jc w:val="center"/>
              <w:rPr>
                <w:rFonts w:hint="eastAsia" w:ascii="宋体" w:hAnsi="宋体" w:eastAsia="宋体" w:cs="仿宋_GB2312"/>
                <w:color w:val="auto"/>
                <w:kern w:val="2"/>
                <w:sz w:val="24"/>
                <w:szCs w:val="24"/>
              </w:rPr>
            </w:pPr>
          </w:p>
        </w:tc>
      </w:tr>
      <w:tr w14:paraId="5C9C1A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25" w:type="dxa"/>
            <w:noWrap w:val="0"/>
            <w:vAlign w:val="center"/>
          </w:tcPr>
          <w:p w14:paraId="0BC90FEE">
            <w:pPr>
              <w:pStyle w:val="15"/>
              <w:spacing w:line="360" w:lineRule="auto"/>
              <w:ind w:firstLine="0" w:firstLineChars="0"/>
              <w:contextualSpacing/>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9</w:t>
            </w:r>
          </w:p>
        </w:tc>
        <w:tc>
          <w:tcPr>
            <w:tcW w:w="1770" w:type="dxa"/>
            <w:tcBorders>
              <w:right w:val="single" w:color="auto" w:sz="4" w:space="0"/>
            </w:tcBorders>
            <w:noWrap w:val="0"/>
            <w:vAlign w:val="center"/>
          </w:tcPr>
          <w:p w14:paraId="0504F100">
            <w:pPr>
              <w:pStyle w:val="15"/>
              <w:spacing w:line="360" w:lineRule="auto"/>
              <w:ind w:firstLine="0" w:firstLineChars="0"/>
              <w:contextualSpacing/>
              <w:jc w:val="center"/>
              <w:rPr>
                <w:rFonts w:hint="eastAsia" w:ascii="宋体" w:hAnsi="宋体" w:eastAsia="宋体" w:cs="仿宋_GB2312"/>
                <w:color w:val="auto"/>
                <w:kern w:val="2"/>
                <w:sz w:val="24"/>
                <w:szCs w:val="24"/>
              </w:rPr>
            </w:pPr>
          </w:p>
        </w:tc>
        <w:tc>
          <w:tcPr>
            <w:tcW w:w="2641" w:type="dxa"/>
            <w:tcBorders>
              <w:left w:val="single" w:color="auto" w:sz="4" w:space="0"/>
            </w:tcBorders>
            <w:noWrap w:val="0"/>
            <w:vAlign w:val="center"/>
          </w:tcPr>
          <w:p w14:paraId="6909EF5D">
            <w:pPr>
              <w:pStyle w:val="15"/>
              <w:spacing w:line="360" w:lineRule="auto"/>
              <w:ind w:firstLine="0" w:firstLineChars="0"/>
              <w:contextualSpacing/>
              <w:jc w:val="center"/>
              <w:rPr>
                <w:rFonts w:hint="eastAsia" w:ascii="宋体" w:hAnsi="宋体" w:eastAsia="宋体" w:cs="仿宋_GB2312"/>
                <w:color w:val="auto"/>
                <w:kern w:val="2"/>
                <w:sz w:val="24"/>
                <w:szCs w:val="24"/>
              </w:rPr>
            </w:pPr>
          </w:p>
        </w:tc>
        <w:tc>
          <w:tcPr>
            <w:tcW w:w="2469" w:type="dxa"/>
            <w:noWrap w:val="0"/>
            <w:vAlign w:val="center"/>
          </w:tcPr>
          <w:p w14:paraId="7726B628">
            <w:pPr>
              <w:pStyle w:val="15"/>
              <w:spacing w:line="360" w:lineRule="auto"/>
              <w:ind w:firstLine="0" w:firstLineChars="0"/>
              <w:contextualSpacing/>
              <w:jc w:val="center"/>
              <w:rPr>
                <w:rFonts w:hint="eastAsia" w:ascii="宋体" w:hAnsi="宋体" w:eastAsia="宋体" w:cs="仿宋_GB2312"/>
                <w:color w:val="auto"/>
                <w:kern w:val="2"/>
                <w:sz w:val="24"/>
                <w:szCs w:val="24"/>
              </w:rPr>
            </w:pPr>
          </w:p>
        </w:tc>
        <w:tc>
          <w:tcPr>
            <w:tcW w:w="1288" w:type="dxa"/>
            <w:tcBorders>
              <w:right w:val="single" w:color="auto" w:sz="4" w:space="0"/>
            </w:tcBorders>
            <w:noWrap w:val="0"/>
            <w:vAlign w:val="center"/>
          </w:tcPr>
          <w:p w14:paraId="0195AF10">
            <w:pPr>
              <w:pStyle w:val="15"/>
              <w:spacing w:line="360" w:lineRule="auto"/>
              <w:ind w:firstLine="0" w:firstLineChars="0"/>
              <w:contextualSpacing/>
              <w:jc w:val="center"/>
              <w:rPr>
                <w:rFonts w:hint="eastAsia" w:ascii="宋体" w:hAnsi="宋体" w:eastAsia="宋体" w:cs="仿宋_GB2312"/>
                <w:color w:val="auto"/>
                <w:kern w:val="2"/>
                <w:sz w:val="24"/>
                <w:szCs w:val="24"/>
              </w:rPr>
            </w:pPr>
          </w:p>
        </w:tc>
      </w:tr>
      <w:tr w14:paraId="661003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25" w:type="dxa"/>
            <w:noWrap w:val="0"/>
            <w:vAlign w:val="center"/>
          </w:tcPr>
          <w:p w14:paraId="59A29354">
            <w:pPr>
              <w:pStyle w:val="15"/>
              <w:spacing w:line="360" w:lineRule="auto"/>
              <w:ind w:firstLine="0" w:firstLineChars="0"/>
              <w:contextualSpacing/>
              <w:jc w:val="center"/>
              <w:rPr>
                <w:rFonts w:ascii="宋体" w:hAnsi="宋体" w:eastAsia="宋体" w:cs="仿宋_GB2312"/>
                <w:color w:val="auto"/>
                <w:kern w:val="2"/>
                <w:sz w:val="24"/>
                <w:szCs w:val="24"/>
              </w:rPr>
            </w:pPr>
            <w:r>
              <w:rPr>
                <w:rFonts w:ascii="宋体" w:hAnsi="宋体" w:eastAsia="宋体" w:cs="仿宋_GB2312"/>
                <w:color w:val="auto"/>
                <w:kern w:val="2"/>
                <w:sz w:val="24"/>
                <w:szCs w:val="24"/>
              </w:rPr>
              <w:t>……</w:t>
            </w:r>
          </w:p>
        </w:tc>
        <w:tc>
          <w:tcPr>
            <w:tcW w:w="1770" w:type="dxa"/>
            <w:tcBorders>
              <w:right w:val="single" w:color="auto" w:sz="4" w:space="0"/>
            </w:tcBorders>
            <w:noWrap w:val="0"/>
            <w:vAlign w:val="center"/>
          </w:tcPr>
          <w:p w14:paraId="3B2D91D4">
            <w:pPr>
              <w:pStyle w:val="15"/>
              <w:spacing w:line="360" w:lineRule="auto"/>
              <w:ind w:firstLine="0" w:firstLineChars="0"/>
              <w:contextualSpacing/>
              <w:jc w:val="center"/>
              <w:rPr>
                <w:rFonts w:hint="eastAsia" w:ascii="宋体" w:hAnsi="宋体" w:eastAsia="宋体" w:cs="仿宋_GB2312"/>
                <w:color w:val="auto"/>
                <w:kern w:val="2"/>
                <w:sz w:val="24"/>
                <w:szCs w:val="24"/>
              </w:rPr>
            </w:pPr>
            <w:r>
              <w:rPr>
                <w:rFonts w:ascii="宋体" w:hAnsi="宋体" w:eastAsia="宋体" w:cs="仿宋_GB2312"/>
                <w:color w:val="auto"/>
                <w:kern w:val="2"/>
                <w:sz w:val="24"/>
                <w:szCs w:val="24"/>
              </w:rPr>
              <w:t>……</w:t>
            </w:r>
          </w:p>
        </w:tc>
        <w:tc>
          <w:tcPr>
            <w:tcW w:w="2641" w:type="dxa"/>
            <w:tcBorders>
              <w:left w:val="single" w:color="auto" w:sz="4" w:space="0"/>
            </w:tcBorders>
            <w:noWrap w:val="0"/>
            <w:vAlign w:val="center"/>
          </w:tcPr>
          <w:p w14:paraId="53A0D594">
            <w:pPr>
              <w:pStyle w:val="15"/>
              <w:spacing w:line="360" w:lineRule="auto"/>
              <w:ind w:firstLine="0" w:firstLineChars="0"/>
              <w:contextualSpacing/>
              <w:jc w:val="center"/>
              <w:rPr>
                <w:rFonts w:hint="eastAsia" w:ascii="宋体" w:hAnsi="宋体" w:eastAsia="宋体" w:cs="仿宋_GB2312"/>
                <w:color w:val="auto"/>
                <w:kern w:val="2"/>
                <w:sz w:val="24"/>
                <w:szCs w:val="24"/>
              </w:rPr>
            </w:pPr>
          </w:p>
        </w:tc>
        <w:tc>
          <w:tcPr>
            <w:tcW w:w="2469" w:type="dxa"/>
            <w:noWrap w:val="0"/>
            <w:vAlign w:val="center"/>
          </w:tcPr>
          <w:p w14:paraId="45B4417C">
            <w:pPr>
              <w:pStyle w:val="15"/>
              <w:spacing w:line="360" w:lineRule="auto"/>
              <w:ind w:firstLine="0" w:firstLineChars="0"/>
              <w:contextualSpacing/>
              <w:jc w:val="center"/>
              <w:rPr>
                <w:rFonts w:hint="eastAsia" w:ascii="宋体" w:hAnsi="宋体" w:eastAsia="宋体" w:cs="仿宋_GB2312"/>
                <w:color w:val="auto"/>
                <w:kern w:val="2"/>
                <w:sz w:val="24"/>
                <w:szCs w:val="24"/>
              </w:rPr>
            </w:pPr>
          </w:p>
        </w:tc>
        <w:tc>
          <w:tcPr>
            <w:tcW w:w="1288" w:type="dxa"/>
            <w:tcBorders>
              <w:right w:val="single" w:color="auto" w:sz="4" w:space="0"/>
            </w:tcBorders>
            <w:noWrap w:val="0"/>
            <w:vAlign w:val="center"/>
          </w:tcPr>
          <w:p w14:paraId="661E4571">
            <w:pPr>
              <w:pStyle w:val="15"/>
              <w:spacing w:line="360" w:lineRule="auto"/>
              <w:ind w:firstLine="0" w:firstLineChars="0"/>
              <w:contextualSpacing/>
              <w:jc w:val="center"/>
              <w:rPr>
                <w:rFonts w:hint="eastAsia" w:ascii="宋体" w:hAnsi="宋体" w:eastAsia="宋体" w:cs="仿宋_GB2312"/>
                <w:color w:val="auto"/>
                <w:kern w:val="2"/>
                <w:sz w:val="24"/>
                <w:szCs w:val="24"/>
              </w:rPr>
            </w:pPr>
          </w:p>
        </w:tc>
      </w:tr>
    </w:tbl>
    <w:p w14:paraId="7F006A43">
      <w:pPr>
        <w:adjustRightInd w:val="0"/>
        <w:spacing w:line="360" w:lineRule="auto"/>
        <w:contextualSpacing/>
        <w:rPr>
          <w:rFonts w:hint="eastAsia" w:ascii="宋体" w:hAnsi="宋体" w:cs="仿宋_GB2312"/>
          <w:color w:val="auto"/>
          <w:sz w:val="24"/>
        </w:rPr>
      </w:pPr>
    </w:p>
    <w:p w14:paraId="323F8875">
      <w:pPr>
        <w:pStyle w:val="15"/>
        <w:spacing w:line="360" w:lineRule="auto"/>
        <w:ind w:firstLine="0" w:firstLineChars="0"/>
        <w:contextualSpacing/>
        <w:rPr>
          <w:rFonts w:hint="eastAsia" w:ascii="宋体" w:hAnsi="宋体" w:eastAsia="宋体" w:cs="仿宋_GB2312"/>
          <w:color w:val="auto"/>
          <w:sz w:val="24"/>
          <w:szCs w:val="24"/>
        </w:rPr>
      </w:pPr>
      <w:r>
        <w:rPr>
          <w:rFonts w:hint="eastAsia" w:ascii="宋体" w:hAnsi="宋体" w:eastAsia="宋体" w:cs="仿宋_GB2312"/>
          <w:color w:val="auto"/>
          <w:sz w:val="24"/>
          <w:szCs w:val="24"/>
        </w:rPr>
        <w:t>注：</w:t>
      </w:r>
    </w:p>
    <w:p w14:paraId="5E8AF1A4">
      <w:pPr>
        <w:pStyle w:val="15"/>
        <w:spacing w:line="360" w:lineRule="auto"/>
        <w:ind w:firstLine="0" w:firstLineChars="0"/>
        <w:contextualSpacing/>
        <w:rPr>
          <w:rFonts w:hint="eastAsia" w:ascii="宋体" w:hAnsi="宋体" w:eastAsia="宋体" w:cs="仿宋_GB2312"/>
          <w:color w:val="auto"/>
          <w:sz w:val="24"/>
          <w:szCs w:val="24"/>
        </w:rPr>
      </w:pPr>
      <w:r>
        <w:rPr>
          <w:rFonts w:hint="eastAsia" w:ascii="宋体" w:hAnsi="宋体" w:eastAsia="宋体" w:cs="仿宋_GB2312"/>
          <w:color w:val="auto"/>
          <w:sz w:val="24"/>
          <w:szCs w:val="24"/>
        </w:rPr>
        <w:t>1. 说明：应对照磋商文件“第三章 采购需求”中的技术要求逐条作出明确响应，并作出偏离说明。</w:t>
      </w:r>
    </w:p>
    <w:p w14:paraId="4B3255F5">
      <w:pPr>
        <w:pStyle w:val="15"/>
        <w:spacing w:line="360" w:lineRule="auto"/>
        <w:ind w:firstLine="0" w:firstLineChars="0"/>
        <w:contextualSpacing/>
        <w:rPr>
          <w:rFonts w:hint="eastAsia" w:ascii="宋体" w:hAnsi="宋体" w:eastAsia="宋体" w:cs="仿宋_GB2312"/>
          <w:color w:val="auto"/>
          <w:sz w:val="24"/>
          <w:szCs w:val="24"/>
        </w:rPr>
      </w:pPr>
      <w:r>
        <w:rPr>
          <w:rFonts w:hint="eastAsia" w:ascii="宋体" w:hAnsi="宋体" w:eastAsia="宋体" w:cs="仿宋_GB2312"/>
          <w:color w:val="auto"/>
          <w:sz w:val="24"/>
          <w:szCs w:val="24"/>
        </w:rPr>
        <w:t>2.供应商应根据自身的承诺，对照磋商文件要求，在“偏离说明”中注明“正偏离”、“负偏离”或者“无偏离”。既不属于“正偏离”也不属于“负偏离”即为“无偏离”。</w:t>
      </w:r>
    </w:p>
    <w:p w14:paraId="682C922B">
      <w:pPr>
        <w:pStyle w:val="15"/>
        <w:spacing w:line="360" w:lineRule="auto"/>
        <w:ind w:firstLine="0" w:firstLineChars="0"/>
        <w:contextualSpacing/>
        <w:rPr>
          <w:rFonts w:ascii="宋体" w:hAnsi="宋体" w:eastAsia="宋体" w:cs="仿宋_GB2312"/>
          <w:color w:val="auto"/>
          <w:sz w:val="24"/>
          <w:szCs w:val="24"/>
        </w:rPr>
      </w:pPr>
      <w:r>
        <w:rPr>
          <w:rFonts w:hint="eastAsia" w:ascii="宋体" w:hAnsi="宋体" w:eastAsia="宋体" w:cs="仿宋_GB2312"/>
          <w:color w:val="auto"/>
          <w:sz w:val="24"/>
          <w:szCs w:val="24"/>
        </w:rPr>
        <w:t>3.此表格式可根据实际内容拓展。</w:t>
      </w:r>
    </w:p>
    <w:p w14:paraId="734BCBCB">
      <w:pPr>
        <w:spacing w:line="360" w:lineRule="auto"/>
        <w:ind w:right="-817" w:rightChars="-389"/>
        <w:contextualSpacing/>
        <w:rPr>
          <w:rFonts w:hint="eastAsia" w:ascii="宋体" w:hAnsi="宋体" w:cs="仿宋_GB2312"/>
          <w:color w:val="auto"/>
          <w:sz w:val="24"/>
        </w:rPr>
      </w:pPr>
    </w:p>
    <w:p w14:paraId="2C0D649A">
      <w:pPr>
        <w:spacing w:line="360" w:lineRule="auto"/>
        <w:ind w:right="-817" w:rightChars="-389" w:firstLine="960" w:firstLineChars="400"/>
        <w:contextualSpacing/>
        <w:rPr>
          <w:rFonts w:hint="eastAsia" w:ascii="宋体" w:hAnsi="宋体" w:cs="仿宋_GB2312"/>
          <w:color w:val="auto"/>
          <w:sz w:val="24"/>
        </w:rPr>
      </w:pPr>
      <w:r>
        <w:rPr>
          <w:rFonts w:hint="eastAsia" w:ascii="宋体" w:hAnsi="宋体" w:cs="仿宋_GB2312"/>
          <w:color w:val="auto"/>
          <w:sz w:val="24"/>
        </w:rPr>
        <w:t xml:space="preserve">法定代表人或者委托代理人（签字）：                    </w:t>
      </w:r>
    </w:p>
    <w:p w14:paraId="12EB8E37">
      <w:pPr>
        <w:spacing w:line="360" w:lineRule="auto"/>
        <w:ind w:right="-817" w:rightChars="-389" w:firstLine="2640" w:firstLineChars="1100"/>
        <w:contextualSpacing/>
        <w:rPr>
          <w:rFonts w:hint="eastAsia" w:ascii="宋体" w:hAnsi="宋体" w:cs="仿宋_GB2312"/>
          <w:color w:val="auto"/>
          <w:sz w:val="24"/>
        </w:rPr>
      </w:pPr>
      <w:r>
        <w:rPr>
          <w:rFonts w:hint="eastAsia" w:ascii="宋体" w:hAnsi="宋体" w:cs="仿宋_GB2312"/>
          <w:color w:val="auto"/>
          <w:sz w:val="24"/>
        </w:rPr>
        <w:t xml:space="preserve">供应商（盖公章）：      </w:t>
      </w:r>
    </w:p>
    <w:p w14:paraId="60E045CA">
      <w:pPr>
        <w:spacing w:line="360" w:lineRule="auto"/>
        <w:ind w:right="-817" w:rightChars="-389" w:firstLine="4080" w:firstLineChars="1700"/>
        <w:contextualSpacing/>
        <w:rPr>
          <w:rFonts w:ascii="宋体" w:hAnsi="宋体" w:cs="仿宋_GB2312"/>
          <w:color w:val="auto"/>
          <w:sz w:val="24"/>
        </w:rPr>
      </w:pPr>
      <w:r>
        <w:rPr>
          <w:rFonts w:hint="eastAsia" w:ascii="宋体" w:hAnsi="宋体" w:cs="仿宋_GB2312"/>
          <w:color w:val="auto"/>
          <w:sz w:val="24"/>
        </w:rPr>
        <w:t>日期：   年   月   日</w:t>
      </w:r>
    </w:p>
    <w:p w14:paraId="30B37223">
      <w:pPr>
        <w:snapToGrid w:val="0"/>
        <w:spacing w:before="156" w:beforeLines="50" w:after="50"/>
        <w:ind w:left="142"/>
        <w:jc w:val="left"/>
        <w:rPr>
          <w:rFonts w:hint="eastAsia" w:ascii="宋体" w:hAnsi="宋体"/>
          <w:b/>
          <w:color w:val="auto"/>
          <w:sz w:val="24"/>
        </w:rPr>
      </w:pPr>
      <w:r>
        <w:rPr>
          <w:rFonts w:ascii="宋体" w:hAnsi="宋体" w:cs="仿宋_GB2312"/>
          <w:color w:val="auto"/>
          <w:sz w:val="24"/>
        </w:rPr>
        <w:br w:type="page"/>
      </w:r>
      <w:r>
        <w:rPr>
          <w:rFonts w:hint="eastAsia" w:ascii="宋体" w:hAnsi="宋体"/>
          <w:b/>
          <w:color w:val="auto"/>
          <w:sz w:val="24"/>
        </w:rPr>
        <w:t>项目实施人员一览表格式</w:t>
      </w:r>
    </w:p>
    <w:p w14:paraId="77E5433B">
      <w:pPr>
        <w:snapToGrid w:val="0"/>
        <w:spacing w:before="156" w:beforeLines="50" w:after="50"/>
        <w:ind w:left="142"/>
        <w:jc w:val="left"/>
        <w:rPr>
          <w:rFonts w:hint="eastAsia" w:ascii="宋体" w:hAnsi="宋体"/>
          <w:b/>
          <w:color w:val="auto"/>
          <w:sz w:val="24"/>
        </w:rPr>
      </w:pPr>
    </w:p>
    <w:p w14:paraId="73FEFE2E">
      <w:pPr>
        <w:spacing w:line="360" w:lineRule="auto"/>
        <w:ind w:left="142"/>
        <w:contextualSpacing/>
        <w:jc w:val="center"/>
        <w:rPr>
          <w:rFonts w:hint="eastAsia" w:ascii="宋体" w:hAnsi="宋体"/>
          <w:b/>
          <w:color w:val="auto"/>
          <w:sz w:val="32"/>
          <w:szCs w:val="32"/>
        </w:rPr>
      </w:pPr>
      <w:r>
        <w:rPr>
          <w:rFonts w:hint="eastAsia" w:ascii="宋体" w:hAnsi="宋体"/>
          <w:b/>
          <w:color w:val="auto"/>
          <w:sz w:val="32"/>
          <w:szCs w:val="32"/>
        </w:rPr>
        <w:t>项目实施人员一览表</w:t>
      </w:r>
    </w:p>
    <w:p w14:paraId="321C63D8">
      <w:pPr>
        <w:pStyle w:val="18"/>
        <w:spacing w:line="360" w:lineRule="auto"/>
        <w:contextualSpacing/>
        <w:rPr>
          <w:rFonts w:hint="eastAsia"/>
          <w:color w:val="auto"/>
          <w:sz w:val="24"/>
          <w:szCs w:val="24"/>
        </w:rPr>
      </w:pPr>
      <w:r>
        <w:rPr>
          <w:rFonts w:hint="eastAsia"/>
          <w:color w:val="auto"/>
          <w:sz w:val="24"/>
          <w:szCs w:val="24"/>
        </w:rPr>
        <w:t>所竞分标：</w:t>
      </w:r>
      <w:r>
        <w:rPr>
          <w:rFonts w:hint="eastAsia"/>
          <w:color w:val="auto"/>
          <w:sz w:val="24"/>
          <w:szCs w:val="24"/>
          <w:u w:val="single"/>
        </w:rPr>
        <w:t xml:space="preserve">     </w:t>
      </w:r>
      <w:r>
        <w:rPr>
          <w:rFonts w:hint="eastAsia"/>
          <w:color w:val="auto"/>
          <w:sz w:val="24"/>
          <w:szCs w:val="24"/>
        </w:rPr>
        <w:t>分标（若没有则填“无”）</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38C91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2FF7097E">
            <w:pPr>
              <w:spacing w:line="360" w:lineRule="auto"/>
              <w:contextualSpacing/>
              <w:jc w:val="center"/>
              <w:rPr>
                <w:rFonts w:hint="eastAsia" w:ascii="宋体" w:hAnsi="宋体"/>
                <w:color w:val="auto"/>
                <w:sz w:val="24"/>
                <w:szCs w:val="20"/>
              </w:rPr>
            </w:pPr>
            <w:r>
              <w:rPr>
                <w:rFonts w:hint="eastAsia" w:ascii="宋体" w:hAnsi="宋体"/>
                <w:color w:val="auto"/>
                <w:sz w:val="24"/>
                <w:szCs w:val="20"/>
              </w:rPr>
              <w:t>姓名</w:t>
            </w:r>
          </w:p>
        </w:tc>
        <w:tc>
          <w:tcPr>
            <w:tcW w:w="709" w:type="dxa"/>
            <w:noWrap w:val="0"/>
            <w:vAlign w:val="center"/>
          </w:tcPr>
          <w:p w14:paraId="72FF970C">
            <w:pPr>
              <w:spacing w:line="360" w:lineRule="auto"/>
              <w:contextualSpacing/>
              <w:jc w:val="center"/>
              <w:rPr>
                <w:rFonts w:hint="eastAsia" w:ascii="宋体" w:hAnsi="宋体"/>
                <w:color w:val="auto"/>
                <w:sz w:val="24"/>
                <w:szCs w:val="20"/>
              </w:rPr>
            </w:pPr>
            <w:r>
              <w:rPr>
                <w:rFonts w:hint="eastAsia" w:ascii="宋体" w:hAnsi="宋体"/>
                <w:color w:val="auto"/>
                <w:sz w:val="24"/>
                <w:szCs w:val="20"/>
              </w:rPr>
              <w:t>职务</w:t>
            </w:r>
          </w:p>
        </w:tc>
        <w:tc>
          <w:tcPr>
            <w:tcW w:w="1701" w:type="dxa"/>
            <w:noWrap w:val="0"/>
            <w:vAlign w:val="center"/>
          </w:tcPr>
          <w:p w14:paraId="7A6FBE42">
            <w:pPr>
              <w:spacing w:line="360" w:lineRule="auto"/>
              <w:contextualSpacing/>
              <w:jc w:val="center"/>
              <w:rPr>
                <w:rFonts w:hint="eastAsia" w:ascii="宋体" w:hAnsi="宋体"/>
                <w:color w:val="auto"/>
                <w:sz w:val="24"/>
                <w:szCs w:val="20"/>
              </w:rPr>
            </w:pPr>
            <w:r>
              <w:rPr>
                <w:rFonts w:hint="eastAsia" w:ascii="宋体" w:hAnsi="宋体"/>
                <w:color w:val="auto"/>
                <w:sz w:val="24"/>
                <w:szCs w:val="20"/>
              </w:rPr>
              <w:t>专业技术资格（职称）或者职业资格或者执业资格证或者其他证书</w:t>
            </w:r>
          </w:p>
        </w:tc>
        <w:tc>
          <w:tcPr>
            <w:tcW w:w="1420" w:type="dxa"/>
            <w:noWrap w:val="0"/>
            <w:vAlign w:val="center"/>
          </w:tcPr>
          <w:p w14:paraId="6A9B1F62">
            <w:pPr>
              <w:spacing w:line="360" w:lineRule="auto"/>
              <w:contextualSpacing/>
              <w:jc w:val="center"/>
              <w:rPr>
                <w:rFonts w:hint="eastAsia" w:ascii="宋体" w:hAnsi="宋体"/>
                <w:color w:val="auto"/>
                <w:sz w:val="24"/>
                <w:szCs w:val="20"/>
              </w:rPr>
            </w:pPr>
            <w:r>
              <w:rPr>
                <w:rFonts w:hint="eastAsia" w:ascii="宋体" w:hAnsi="宋体"/>
                <w:color w:val="auto"/>
                <w:sz w:val="24"/>
                <w:szCs w:val="20"/>
              </w:rPr>
              <w:t>证书编号</w:t>
            </w:r>
          </w:p>
        </w:tc>
        <w:tc>
          <w:tcPr>
            <w:tcW w:w="1698" w:type="dxa"/>
            <w:noWrap w:val="0"/>
            <w:vAlign w:val="center"/>
          </w:tcPr>
          <w:p w14:paraId="345717CD">
            <w:pPr>
              <w:spacing w:line="360" w:lineRule="auto"/>
              <w:contextualSpacing/>
              <w:jc w:val="center"/>
              <w:rPr>
                <w:rFonts w:hint="eastAsia" w:ascii="宋体" w:hAnsi="宋体"/>
                <w:color w:val="auto"/>
                <w:sz w:val="24"/>
                <w:szCs w:val="20"/>
              </w:rPr>
            </w:pPr>
            <w:r>
              <w:rPr>
                <w:rFonts w:hint="eastAsia" w:ascii="宋体" w:hAnsi="宋体"/>
                <w:color w:val="auto"/>
                <w:sz w:val="24"/>
                <w:szCs w:val="20"/>
              </w:rPr>
              <w:t>参加本单位</w:t>
            </w:r>
          </w:p>
          <w:p w14:paraId="6CA279C7">
            <w:pPr>
              <w:spacing w:line="360" w:lineRule="auto"/>
              <w:contextualSpacing/>
              <w:jc w:val="center"/>
              <w:rPr>
                <w:rFonts w:hint="eastAsia" w:ascii="宋体" w:hAnsi="宋体"/>
                <w:color w:val="auto"/>
                <w:sz w:val="24"/>
                <w:szCs w:val="20"/>
              </w:rPr>
            </w:pPr>
            <w:r>
              <w:rPr>
                <w:rFonts w:hint="eastAsia" w:ascii="宋体" w:hAnsi="宋体"/>
                <w:color w:val="auto"/>
                <w:sz w:val="24"/>
                <w:szCs w:val="20"/>
              </w:rPr>
              <w:t>工作时间</w:t>
            </w:r>
          </w:p>
        </w:tc>
        <w:tc>
          <w:tcPr>
            <w:tcW w:w="1843" w:type="dxa"/>
            <w:noWrap w:val="0"/>
            <w:vAlign w:val="center"/>
          </w:tcPr>
          <w:p w14:paraId="601A6B38">
            <w:pPr>
              <w:spacing w:line="360" w:lineRule="auto"/>
              <w:contextualSpacing/>
              <w:jc w:val="center"/>
              <w:rPr>
                <w:rFonts w:hint="eastAsia" w:ascii="宋体" w:hAnsi="宋体"/>
                <w:color w:val="auto"/>
                <w:sz w:val="24"/>
                <w:szCs w:val="20"/>
              </w:rPr>
            </w:pPr>
            <w:r>
              <w:rPr>
                <w:rFonts w:hint="eastAsia" w:ascii="宋体" w:hAnsi="宋体"/>
                <w:color w:val="auto"/>
                <w:sz w:val="24"/>
                <w:szCs w:val="20"/>
              </w:rPr>
              <w:t>劳动合同编号</w:t>
            </w:r>
          </w:p>
        </w:tc>
      </w:tr>
      <w:tr w14:paraId="20944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noWrap w:val="0"/>
            <w:vAlign w:val="center"/>
          </w:tcPr>
          <w:p w14:paraId="3E200EBF">
            <w:pPr>
              <w:spacing w:line="360" w:lineRule="auto"/>
              <w:contextualSpacing/>
              <w:jc w:val="center"/>
              <w:rPr>
                <w:rFonts w:hint="eastAsia" w:ascii="宋体" w:hAnsi="宋体"/>
                <w:color w:val="auto"/>
                <w:sz w:val="24"/>
                <w:szCs w:val="20"/>
              </w:rPr>
            </w:pPr>
          </w:p>
        </w:tc>
        <w:tc>
          <w:tcPr>
            <w:tcW w:w="709" w:type="dxa"/>
            <w:noWrap w:val="0"/>
            <w:vAlign w:val="center"/>
          </w:tcPr>
          <w:p w14:paraId="5BFA1844">
            <w:pPr>
              <w:spacing w:line="360" w:lineRule="auto"/>
              <w:contextualSpacing/>
              <w:jc w:val="center"/>
              <w:rPr>
                <w:rFonts w:hint="eastAsia" w:ascii="宋体" w:hAnsi="宋体"/>
                <w:color w:val="auto"/>
                <w:sz w:val="24"/>
                <w:szCs w:val="20"/>
              </w:rPr>
            </w:pPr>
          </w:p>
        </w:tc>
        <w:tc>
          <w:tcPr>
            <w:tcW w:w="1701" w:type="dxa"/>
            <w:noWrap w:val="0"/>
            <w:vAlign w:val="center"/>
          </w:tcPr>
          <w:p w14:paraId="1EE0D1AA">
            <w:pPr>
              <w:spacing w:line="360" w:lineRule="auto"/>
              <w:contextualSpacing/>
              <w:jc w:val="center"/>
              <w:rPr>
                <w:rFonts w:hint="eastAsia" w:ascii="宋体" w:hAnsi="宋体"/>
                <w:color w:val="auto"/>
                <w:sz w:val="24"/>
                <w:szCs w:val="20"/>
              </w:rPr>
            </w:pPr>
          </w:p>
        </w:tc>
        <w:tc>
          <w:tcPr>
            <w:tcW w:w="1420" w:type="dxa"/>
            <w:noWrap w:val="0"/>
            <w:vAlign w:val="center"/>
          </w:tcPr>
          <w:p w14:paraId="47F5157F">
            <w:pPr>
              <w:spacing w:line="360" w:lineRule="auto"/>
              <w:contextualSpacing/>
              <w:jc w:val="center"/>
              <w:rPr>
                <w:rFonts w:hint="eastAsia" w:ascii="宋体" w:hAnsi="宋体"/>
                <w:color w:val="auto"/>
                <w:sz w:val="24"/>
                <w:szCs w:val="20"/>
              </w:rPr>
            </w:pPr>
          </w:p>
        </w:tc>
        <w:tc>
          <w:tcPr>
            <w:tcW w:w="1698" w:type="dxa"/>
            <w:noWrap w:val="0"/>
            <w:vAlign w:val="center"/>
          </w:tcPr>
          <w:p w14:paraId="56154FF1">
            <w:pPr>
              <w:spacing w:line="360" w:lineRule="auto"/>
              <w:contextualSpacing/>
              <w:jc w:val="center"/>
              <w:rPr>
                <w:rFonts w:hint="eastAsia" w:ascii="宋体" w:hAnsi="宋体"/>
                <w:color w:val="auto"/>
                <w:sz w:val="24"/>
                <w:szCs w:val="20"/>
              </w:rPr>
            </w:pPr>
          </w:p>
        </w:tc>
        <w:tc>
          <w:tcPr>
            <w:tcW w:w="1843" w:type="dxa"/>
            <w:noWrap w:val="0"/>
            <w:vAlign w:val="center"/>
          </w:tcPr>
          <w:p w14:paraId="188F5BA4">
            <w:pPr>
              <w:spacing w:line="360" w:lineRule="auto"/>
              <w:contextualSpacing/>
              <w:jc w:val="center"/>
              <w:rPr>
                <w:rFonts w:hint="eastAsia" w:ascii="宋体" w:hAnsi="宋体"/>
                <w:color w:val="auto"/>
                <w:sz w:val="24"/>
                <w:szCs w:val="20"/>
              </w:rPr>
            </w:pPr>
          </w:p>
        </w:tc>
      </w:tr>
      <w:tr w14:paraId="6D77B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60BE8BED">
            <w:pPr>
              <w:spacing w:line="360" w:lineRule="auto"/>
              <w:contextualSpacing/>
              <w:jc w:val="center"/>
              <w:rPr>
                <w:rFonts w:hint="eastAsia" w:ascii="宋体" w:hAnsi="宋体"/>
                <w:color w:val="auto"/>
                <w:sz w:val="24"/>
                <w:szCs w:val="20"/>
              </w:rPr>
            </w:pPr>
          </w:p>
        </w:tc>
        <w:tc>
          <w:tcPr>
            <w:tcW w:w="709" w:type="dxa"/>
            <w:noWrap w:val="0"/>
            <w:vAlign w:val="center"/>
          </w:tcPr>
          <w:p w14:paraId="6E7BE3BE">
            <w:pPr>
              <w:spacing w:line="360" w:lineRule="auto"/>
              <w:contextualSpacing/>
              <w:jc w:val="center"/>
              <w:rPr>
                <w:rFonts w:hint="eastAsia" w:ascii="宋体" w:hAnsi="宋体"/>
                <w:color w:val="auto"/>
                <w:sz w:val="24"/>
                <w:szCs w:val="20"/>
              </w:rPr>
            </w:pPr>
          </w:p>
        </w:tc>
        <w:tc>
          <w:tcPr>
            <w:tcW w:w="1701" w:type="dxa"/>
            <w:noWrap w:val="0"/>
            <w:vAlign w:val="center"/>
          </w:tcPr>
          <w:p w14:paraId="70009E36">
            <w:pPr>
              <w:spacing w:line="360" w:lineRule="auto"/>
              <w:contextualSpacing/>
              <w:jc w:val="center"/>
              <w:rPr>
                <w:rFonts w:hint="eastAsia" w:ascii="宋体" w:hAnsi="宋体"/>
                <w:color w:val="auto"/>
                <w:sz w:val="24"/>
                <w:szCs w:val="20"/>
              </w:rPr>
            </w:pPr>
          </w:p>
        </w:tc>
        <w:tc>
          <w:tcPr>
            <w:tcW w:w="1420" w:type="dxa"/>
            <w:noWrap w:val="0"/>
            <w:vAlign w:val="center"/>
          </w:tcPr>
          <w:p w14:paraId="4F39A26E">
            <w:pPr>
              <w:spacing w:line="360" w:lineRule="auto"/>
              <w:contextualSpacing/>
              <w:jc w:val="center"/>
              <w:rPr>
                <w:rFonts w:hint="eastAsia" w:ascii="宋体" w:hAnsi="宋体"/>
                <w:color w:val="auto"/>
                <w:sz w:val="24"/>
                <w:szCs w:val="20"/>
              </w:rPr>
            </w:pPr>
          </w:p>
        </w:tc>
        <w:tc>
          <w:tcPr>
            <w:tcW w:w="1698" w:type="dxa"/>
            <w:noWrap w:val="0"/>
            <w:vAlign w:val="center"/>
          </w:tcPr>
          <w:p w14:paraId="7EEDE2CC">
            <w:pPr>
              <w:spacing w:line="360" w:lineRule="auto"/>
              <w:contextualSpacing/>
              <w:jc w:val="center"/>
              <w:rPr>
                <w:rFonts w:hint="eastAsia" w:ascii="宋体" w:hAnsi="宋体"/>
                <w:color w:val="auto"/>
                <w:sz w:val="24"/>
                <w:szCs w:val="20"/>
              </w:rPr>
            </w:pPr>
          </w:p>
        </w:tc>
        <w:tc>
          <w:tcPr>
            <w:tcW w:w="1843" w:type="dxa"/>
            <w:noWrap w:val="0"/>
            <w:vAlign w:val="center"/>
          </w:tcPr>
          <w:p w14:paraId="65790739">
            <w:pPr>
              <w:spacing w:line="360" w:lineRule="auto"/>
              <w:contextualSpacing/>
              <w:jc w:val="center"/>
              <w:rPr>
                <w:rFonts w:hint="eastAsia" w:ascii="宋体" w:hAnsi="宋体"/>
                <w:color w:val="auto"/>
                <w:sz w:val="24"/>
                <w:szCs w:val="20"/>
              </w:rPr>
            </w:pPr>
          </w:p>
        </w:tc>
      </w:tr>
      <w:tr w14:paraId="5BC5C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25E7E4FD">
            <w:pPr>
              <w:spacing w:line="360" w:lineRule="auto"/>
              <w:contextualSpacing/>
              <w:jc w:val="center"/>
              <w:rPr>
                <w:rFonts w:hint="eastAsia" w:ascii="宋体" w:hAnsi="宋体"/>
                <w:color w:val="auto"/>
                <w:sz w:val="24"/>
                <w:szCs w:val="20"/>
              </w:rPr>
            </w:pPr>
          </w:p>
        </w:tc>
        <w:tc>
          <w:tcPr>
            <w:tcW w:w="709" w:type="dxa"/>
            <w:noWrap w:val="0"/>
            <w:vAlign w:val="center"/>
          </w:tcPr>
          <w:p w14:paraId="3D701BE3">
            <w:pPr>
              <w:spacing w:line="360" w:lineRule="auto"/>
              <w:contextualSpacing/>
              <w:jc w:val="center"/>
              <w:rPr>
                <w:rFonts w:hint="eastAsia" w:ascii="宋体" w:hAnsi="宋体"/>
                <w:color w:val="auto"/>
                <w:sz w:val="24"/>
                <w:szCs w:val="20"/>
              </w:rPr>
            </w:pPr>
          </w:p>
        </w:tc>
        <w:tc>
          <w:tcPr>
            <w:tcW w:w="1701" w:type="dxa"/>
            <w:noWrap w:val="0"/>
            <w:vAlign w:val="center"/>
          </w:tcPr>
          <w:p w14:paraId="6C5D1174">
            <w:pPr>
              <w:spacing w:line="360" w:lineRule="auto"/>
              <w:contextualSpacing/>
              <w:jc w:val="center"/>
              <w:rPr>
                <w:rFonts w:hint="eastAsia" w:ascii="宋体" w:hAnsi="宋体"/>
                <w:color w:val="auto"/>
                <w:sz w:val="24"/>
                <w:szCs w:val="20"/>
              </w:rPr>
            </w:pPr>
          </w:p>
        </w:tc>
        <w:tc>
          <w:tcPr>
            <w:tcW w:w="1420" w:type="dxa"/>
            <w:noWrap w:val="0"/>
            <w:vAlign w:val="center"/>
          </w:tcPr>
          <w:p w14:paraId="27E4FF34">
            <w:pPr>
              <w:spacing w:line="360" w:lineRule="auto"/>
              <w:contextualSpacing/>
              <w:jc w:val="center"/>
              <w:rPr>
                <w:rFonts w:hint="eastAsia" w:ascii="宋体" w:hAnsi="宋体"/>
                <w:color w:val="auto"/>
                <w:sz w:val="24"/>
                <w:szCs w:val="20"/>
              </w:rPr>
            </w:pPr>
          </w:p>
        </w:tc>
        <w:tc>
          <w:tcPr>
            <w:tcW w:w="1698" w:type="dxa"/>
            <w:noWrap w:val="0"/>
            <w:vAlign w:val="center"/>
          </w:tcPr>
          <w:p w14:paraId="64EA93EE">
            <w:pPr>
              <w:spacing w:line="360" w:lineRule="auto"/>
              <w:contextualSpacing/>
              <w:jc w:val="center"/>
              <w:rPr>
                <w:rFonts w:hint="eastAsia" w:ascii="宋体" w:hAnsi="宋体"/>
                <w:color w:val="auto"/>
                <w:sz w:val="24"/>
                <w:szCs w:val="20"/>
              </w:rPr>
            </w:pPr>
          </w:p>
        </w:tc>
        <w:tc>
          <w:tcPr>
            <w:tcW w:w="1843" w:type="dxa"/>
            <w:noWrap w:val="0"/>
            <w:vAlign w:val="center"/>
          </w:tcPr>
          <w:p w14:paraId="380C8E62">
            <w:pPr>
              <w:spacing w:line="360" w:lineRule="auto"/>
              <w:contextualSpacing/>
              <w:jc w:val="center"/>
              <w:rPr>
                <w:rFonts w:hint="eastAsia" w:ascii="宋体" w:hAnsi="宋体"/>
                <w:color w:val="auto"/>
                <w:sz w:val="24"/>
                <w:szCs w:val="20"/>
              </w:rPr>
            </w:pPr>
          </w:p>
        </w:tc>
      </w:tr>
    </w:tbl>
    <w:p w14:paraId="47893100">
      <w:pPr>
        <w:spacing w:line="360" w:lineRule="auto"/>
        <w:contextualSpacing/>
        <w:jc w:val="left"/>
        <w:rPr>
          <w:rFonts w:ascii="宋体" w:hAnsi="宋体"/>
          <w:color w:val="auto"/>
          <w:sz w:val="24"/>
          <w:szCs w:val="20"/>
        </w:rPr>
      </w:pPr>
      <w:r>
        <w:rPr>
          <w:rFonts w:hint="eastAsia" w:ascii="宋体" w:hAnsi="宋体"/>
          <w:color w:val="auto"/>
          <w:sz w:val="24"/>
          <w:szCs w:val="20"/>
        </w:rPr>
        <w:t>注：</w:t>
      </w:r>
    </w:p>
    <w:p w14:paraId="7FA05875">
      <w:pPr>
        <w:spacing w:line="360" w:lineRule="auto"/>
        <w:contextualSpacing/>
        <w:jc w:val="left"/>
        <w:rPr>
          <w:rFonts w:ascii="宋体" w:hAnsi="宋体"/>
          <w:color w:val="auto"/>
          <w:sz w:val="24"/>
          <w:szCs w:val="20"/>
        </w:rPr>
      </w:pPr>
      <w:r>
        <w:rPr>
          <w:rFonts w:hint="eastAsia" w:ascii="宋体" w:hAnsi="宋体"/>
          <w:color w:val="auto"/>
          <w:sz w:val="24"/>
          <w:szCs w:val="20"/>
        </w:rPr>
        <w:t>1</w:t>
      </w:r>
      <w:r>
        <w:rPr>
          <w:rFonts w:ascii="宋体" w:hAnsi="宋体"/>
          <w:color w:val="auto"/>
          <w:sz w:val="24"/>
          <w:szCs w:val="20"/>
        </w:rPr>
        <w:t>.</w:t>
      </w:r>
      <w:r>
        <w:rPr>
          <w:rFonts w:hint="eastAsia" w:ascii="宋体" w:hAnsi="宋体"/>
          <w:color w:val="auto"/>
          <w:sz w:val="24"/>
          <w:szCs w:val="20"/>
        </w:rPr>
        <w:t>在填写时，如本表格不适合供应商的实际情况，可根据本表格式自行制表填写。</w:t>
      </w:r>
    </w:p>
    <w:p w14:paraId="673ECED0">
      <w:pPr>
        <w:spacing w:line="360" w:lineRule="auto"/>
        <w:contextualSpacing/>
        <w:jc w:val="left"/>
        <w:rPr>
          <w:rFonts w:hint="eastAsia" w:ascii="宋体" w:hAnsi="宋体"/>
          <w:color w:val="auto"/>
          <w:sz w:val="24"/>
          <w:szCs w:val="20"/>
        </w:rPr>
      </w:pPr>
      <w:r>
        <w:rPr>
          <w:rFonts w:ascii="宋体" w:hAnsi="宋体"/>
          <w:color w:val="auto"/>
          <w:sz w:val="24"/>
          <w:szCs w:val="20"/>
        </w:rPr>
        <w:t>2.</w:t>
      </w:r>
      <w:r>
        <w:rPr>
          <w:rFonts w:hint="eastAsia" w:ascii="宋体" w:hAnsi="宋体"/>
          <w:color w:val="auto"/>
          <w:sz w:val="24"/>
          <w:szCs w:val="20"/>
        </w:rPr>
        <w:t>供应商应当附本表所列证书的复印件并加盖供应商公章。</w:t>
      </w:r>
    </w:p>
    <w:p w14:paraId="1AA2DD45">
      <w:pPr>
        <w:spacing w:line="360" w:lineRule="auto"/>
        <w:contextualSpacing/>
        <w:rPr>
          <w:rFonts w:hint="eastAsia" w:ascii="宋体" w:hAnsi="宋体"/>
          <w:color w:val="auto"/>
          <w:sz w:val="24"/>
        </w:rPr>
      </w:pPr>
    </w:p>
    <w:p w14:paraId="58029EA5">
      <w:pPr>
        <w:spacing w:line="360" w:lineRule="auto"/>
        <w:contextualSpacing/>
        <w:rPr>
          <w:rFonts w:hint="eastAsia" w:ascii="宋体" w:hAnsi="宋体"/>
          <w:color w:val="auto"/>
          <w:spacing w:val="20"/>
          <w:sz w:val="24"/>
          <w:szCs w:val="20"/>
          <w:u w:val="single"/>
        </w:rPr>
      </w:pPr>
      <w:r>
        <w:rPr>
          <w:rFonts w:hint="eastAsia" w:ascii="宋体" w:hAnsi="宋体"/>
          <w:color w:val="auto"/>
          <w:sz w:val="24"/>
        </w:rPr>
        <w:t>法定代表人或者委托代理人</w:t>
      </w:r>
      <w:r>
        <w:rPr>
          <w:rFonts w:hint="eastAsia" w:ascii="宋体" w:hAnsi="宋体"/>
          <w:color w:val="auto"/>
          <w:spacing w:val="20"/>
          <w:sz w:val="24"/>
        </w:rPr>
        <w:t>签字：</w:t>
      </w:r>
      <w:r>
        <w:rPr>
          <w:rFonts w:hint="eastAsia" w:ascii="宋体" w:hAnsi="宋体"/>
          <w:color w:val="auto"/>
          <w:spacing w:val="20"/>
          <w:sz w:val="24"/>
          <w:u w:val="single"/>
        </w:rPr>
        <w:t xml:space="preserve">        </w:t>
      </w:r>
    </w:p>
    <w:p w14:paraId="77954F01">
      <w:pPr>
        <w:spacing w:line="360" w:lineRule="auto"/>
        <w:contextualSpacing/>
        <w:jc w:val="left"/>
        <w:rPr>
          <w:rFonts w:hint="eastAsia" w:ascii="宋体" w:hAnsi="宋体"/>
          <w:color w:val="auto"/>
          <w:sz w:val="24"/>
          <w:szCs w:val="20"/>
        </w:rPr>
      </w:pPr>
      <w:r>
        <w:rPr>
          <w:rFonts w:hint="eastAsia" w:ascii="宋体" w:hAnsi="宋体"/>
          <w:color w:val="auto"/>
          <w:spacing w:val="20"/>
          <w:sz w:val="24"/>
        </w:rPr>
        <w:t>供应商（盖公章）：</w:t>
      </w:r>
      <w:r>
        <w:rPr>
          <w:rFonts w:hint="eastAsia" w:ascii="宋体" w:hAnsi="宋体"/>
          <w:color w:val="auto"/>
          <w:spacing w:val="20"/>
          <w:sz w:val="24"/>
          <w:u w:val="single"/>
        </w:rPr>
        <w:t xml:space="preserve">            </w:t>
      </w:r>
      <w:r>
        <w:rPr>
          <w:rFonts w:hint="eastAsia" w:ascii="宋体" w:hAnsi="宋体"/>
          <w:color w:val="auto"/>
          <w:spacing w:val="20"/>
          <w:sz w:val="24"/>
        </w:rPr>
        <w:t xml:space="preserve">              日 期：</w:t>
      </w:r>
      <w:r>
        <w:rPr>
          <w:rFonts w:hint="eastAsia" w:ascii="宋体" w:hAnsi="宋体"/>
          <w:color w:val="auto"/>
          <w:spacing w:val="20"/>
          <w:sz w:val="24"/>
          <w:u w:val="single"/>
        </w:rPr>
        <w:t xml:space="preserve">         </w:t>
      </w:r>
    </w:p>
    <w:p w14:paraId="5D83F481">
      <w:pPr>
        <w:snapToGrid w:val="0"/>
        <w:spacing w:before="50" w:after="156" w:afterLines="50"/>
        <w:jc w:val="left"/>
        <w:rPr>
          <w:rFonts w:hint="eastAsia" w:ascii="宋体" w:hAnsi="宋体"/>
          <w:color w:val="auto"/>
          <w:sz w:val="24"/>
          <w:szCs w:val="20"/>
        </w:rPr>
      </w:pPr>
    </w:p>
    <w:p w14:paraId="37ABEB82">
      <w:pPr>
        <w:snapToGrid w:val="0"/>
        <w:spacing w:before="50" w:after="50" w:line="360" w:lineRule="auto"/>
        <w:ind w:right="-817" w:rightChars="-389" w:firstLine="5461" w:firstLineChars="1700"/>
        <w:rPr>
          <w:rFonts w:hint="eastAsia" w:ascii="仿宋_GB2312" w:hAnsi="仿宋_GB2312" w:eastAsia="仿宋_GB2312" w:cs="仿宋_GB2312"/>
          <w:b/>
          <w:color w:val="auto"/>
          <w:sz w:val="32"/>
          <w:szCs w:val="32"/>
        </w:rPr>
      </w:pPr>
    </w:p>
    <w:p w14:paraId="3C511EF0">
      <w:pPr>
        <w:spacing w:line="300" w:lineRule="auto"/>
        <w:rPr>
          <w:rFonts w:hint="eastAsia" w:ascii="宋体" w:hAnsi="宋体"/>
          <w:color w:val="auto"/>
          <w:szCs w:val="21"/>
        </w:rPr>
      </w:pPr>
      <w:r>
        <w:rPr>
          <w:rFonts w:ascii="宋体" w:hAnsi="宋体"/>
          <w:b/>
          <w:bCs/>
          <w:color w:val="auto"/>
          <w:sz w:val="24"/>
        </w:rPr>
        <w:br w:type="page"/>
      </w:r>
      <w:r>
        <w:rPr>
          <w:rFonts w:hint="eastAsia" w:ascii="宋体" w:hAnsi="宋体"/>
          <w:b/>
          <w:bCs/>
          <w:color w:val="auto"/>
          <w:sz w:val="24"/>
        </w:rPr>
        <w:t>其他文书、文件格式</w:t>
      </w:r>
    </w:p>
    <w:p w14:paraId="130AF8F6">
      <w:pPr>
        <w:jc w:val="center"/>
        <w:rPr>
          <w:rFonts w:hint="eastAsia" w:ascii="方正小标宋简体" w:hAnsi="方正小标宋简体" w:eastAsia="方正小标宋简体" w:cs="方正小标宋简体"/>
          <w:color w:val="auto"/>
          <w:sz w:val="44"/>
          <w:szCs w:val="44"/>
        </w:rPr>
      </w:pPr>
      <w:bookmarkStart w:id="170" w:name="_Toc71365926"/>
      <w:r>
        <w:rPr>
          <w:rFonts w:hint="eastAsia" w:ascii="方正小标宋简体" w:hAnsi="方正小标宋简体" w:eastAsia="方正小标宋简体" w:cs="方正小标宋简体"/>
          <w:color w:val="auto"/>
          <w:sz w:val="44"/>
          <w:szCs w:val="44"/>
        </w:rPr>
        <w:t>中小企业声明函（服务）</w:t>
      </w:r>
      <w:bookmarkEnd w:id="170"/>
    </w:p>
    <w:p w14:paraId="00083B22">
      <w:pPr>
        <w:spacing w:before="2" w:line="500" w:lineRule="exact"/>
        <w:ind w:firstLine="708" w:firstLineChars="294"/>
        <w:rPr>
          <w:rFonts w:ascii="宋体" w:hAnsi="宋体" w:cs="宋体"/>
          <w:b/>
          <w:bCs/>
          <w:color w:val="auto"/>
          <w:sz w:val="24"/>
        </w:rPr>
      </w:pPr>
    </w:p>
    <w:p w14:paraId="7C7A929F">
      <w:pPr>
        <w:pStyle w:val="14"/>
        <w:spacing w:line="500" w:lineRule="exact"/>
        <w:ind w:right="142" w:firstLine="705" w:firstLineChars="294"/>
        <w:rPr>
          <w:rFonts w:ascii="宋体" w:hAnsi="宋体"/>
          <w:color w:val="auto"/>
          <w:sz w:val="24"/>
        </w:rPr>
      </w:pPr>
      <w:r>
        <w:rPr>
          <w:rFonts w:ascii="宋体" w:hAnsi="宋体"/>
          <w:color w:val="auto"/>
          <w:sz w:val="24"/>
        </w:rPr>
        <w:t>本公司（联合体）郑重声明，根据《政府采购促进中小企业发展管理办法》（财库﹝2020﹞46号）的规定，本公司（联合体）参加</w:t>
      </w:r>
      <w:r>
        <w:rPr>
          <w:rFonts w:ascii="宋体" w:hAnsi="宋体"/>
          <w:color w:val="auto"/>
          <w:sz w:val="24"/>
          <w:u w:val="single"/>
        </w:rPr>
        <w:t>（单位名称）</w:t>
      </w:r>
      <w:r>
        <w:rPr>
          <w:rFonts w:ascii="宋体" w:hAnsi="宋体"/>
          <w:color w:val="auto"/>
          <w:sz w:val="24"/>
        </w:rPr>
        <w:t>的</w:t>
      </w:r>
      <w:r>
        <w:rPr>
          <w:rFonts w:ascii="宋体" w:hAnsi="宋体"/>
          <w:color w:val="auto"/>
          <w:sz w:val="24"/>
          <w:u w:val="single"/>
        </w:rPr>
        <w:t>（项目名称）</w:t>
      </w:r>
      <w:r>
        <w:rPr>
          <w:rFonts w:ascii="宋体" w:hAnsi="宋体"/>
          <w:color w:val="auto"/>
          <w:sz w:val="24"/>
        </w:rPr>
        <w:t>采购活动，</w:t>
      </w:r>
      <w:r>
        <w:rPr>
          <w:rFonts w:hint="eastAsia" w:ascii="宋体" w:hAnsi="宋体"/>
          <w:color w:val="auto"/>
          <w:sz w:val="24"/>
        </w:rPr>
        <w:t>服务全部由符合政策要求的中小企业承接。相关企业（含联合体中的中小企业、签订分包意向协议的中小企业）的具体情况如下：</w:t>
      </w:r>
    </w:p>
    <w:p w14:paraId="72960C57">
      <w:pPr>
        <w:tabs>
          <w:tab w:val="left" w:pos="1384"/>
          <w:tab w:val="left" w:pos="4562"/>
          <w:tab w:val="left" w:pos="6803"/>
        </w:tabs>
        <w:spacing w:before="13" w:line="500" w:lineRule="exact"/>
        <w:ind w:right="142" w:firstLine="772" w:firstLineChars="322"/>
        <w:rPr>
          <w:rFonts w:ascii="宋体" w:hAnsi="宋体"/>
          <w:color w:val="auto"/>
          <w:sz w:val="24"/>
        </w:rPr>
      </w:pPr>
      <w:r>
        <w:rPr>
          <w:rFonts w:ascii="宋体" w:hAnsi="宋体"/>
          <w:color w:val="auto"/>
          <w:sz w:val="24"/>
        </w:rPr>
        <w:t>1.</w:t>
      </w:r>
      <w:r>
        <w:rPr>
          <w:rFonts w:ascii="宋体" w:hAnsi="宋体"/>
          <w:color w:val="auto"/>
          <w:sz w:val="24"/>
          <w:u w:val="single"/>
        </w:rPr>
        <w:t>（标的名称）</w:t>
      </w:r>
      <w:r>
        <w:rPr>
          <w:rFonts w:ascii="宋体" w:hAnsi="宋体"/>
          <w:color w:val="auto"/>
          <w:sz w:val="24"/>
        </w:rPr>
        <w:t>，属于</w:t>
      </w:r>
      <w:r>
        <w:rPr>
          <w:rFonts w:ascii="宋体" w:hAnsi="宋体"/>
          <w:color w:val="auto"/>
          <w:sz w:val="24"/>
          <w:u w:val="single"/>
        </w:rPr>
        <w:t>（采购文件中明确的所属</w:t>
      </w:r>
      <w:r>
        <w:rPr>
          <w:rFonts w:hint="eastAsia" w:ascii="宋体" w:hAnsi="宋体"/>
          <w:color w:val="auto"/>
          <w:sz w:val="24"/>
          <w:u w:val="single"/>
        </w:rPr>
        <w:t>行</w:t>
      </w:r>
      <w:r>
        <w:rPr>
          <w:rFonts w:ascii="宋体" w:hAnsi="宋体"/>
          <w:color w:val="auto"/>
          <w:sz w:val="24"/>
          <w:u w:val="single"/>
        </w:rPr>
        <w:t>业）</w:t>
      </w:r>
      <w:r>
        <w:rPr>
          <w:rFonts w:ascii="宋体" w:hAnsi="宋体"/>
          <w:color w:val="auto"/>
          <w:sz w:val="24"/>
        </w:rPr>
        <w:t>；</w:t>
      </w:r>
      <w:r>
        <w:rPr>
          <w:rFonts w:hint="eastAsia" w:ascii="宋体" w:hAnsi="宋体"/>
          <w:color w:val="auto"/>
          <w:sz w:val="24"/>
        </w:rPr>
        <w:t>承接企业为</w:t>
      </w:r>
      <w:r>
        <w:rPr>
          <w:rFonts w:hint="eastAsia" w:ascii="宋体" w:hAnsi="宋体"/>
          <w:color w:val="auto"/>
          <w:sz w:val="24"/>
          <w:u w:val="single"/>
        </w:rPr>
        <w:t>（企业名称）</w:t>
      </w:r>
      <w:r>
        <w:rPr>
          <w:rFonts w:hint="eastAsia" w:ascii="宋体" w:hAnsi="宋体"/>
          <w:color w:val="auto"/>
          <w:sz w:val="24"/>
        </w:rPr>
        <w:t>，从业人员</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人，营业收入为</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万元，资产总额为</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万元</w:t>
      </w:r>
      <w:r>
        <w:rPr>
          <w:rFonts w:ascii="宋体" w:hAnsi="宋体"/>
          <w:color w:val="auto"/>
          <w:sz w:val="24"/>
        </w:rPr>
        <w:t>，属于</w:t>
      </w:r>
      <w:r>
        <w:rPr>
          <w:rFonts w:ascii="宋体" w:hAnsi="宋体"/>
          <w:color w:val="auto"/>
          <w:sz w:val="24"/>
          <w:u w:val="single"/>
        </w:rPr>
        <w:t>（中型企业、</w:t>
      </w:r>
      <w:r>
        <w:rPr>
          <w:rFonts w:hint="eastAsia" w:ascii="宋体" w:hAnsi="宋体"/>
          <w:color w:val="auto"/>
          <w:sz w:val="24"/>
          <w:u w:val="single"/>
        </w:rPr>
        <w:t>小型企业、微型企业）</w:t>
      </w:r>
      <w:r>
        <w:rPr>
          <w:rFonts w:hint="eastAsia" w:ascii="宋体" w:hAnsi="宋体"/>
          <w:color w:val="auto"/>
          <w:sz w:val="24"/>
        </w:rPr>
        <w:t>；</w:t>
      </w:r>
    </w:p>
    <w:p w14:paraId="0F4303A1">
      <w:pPr>
        <w:tabs>
          <w:tab w:val="left" w:pos="1065"/>
          <w:tab w:val="left" w:pos="4262"/>
          <w:tab w:val="left" w:pos="6477"/>
        </w:tabs>
        <w:spacing w:before="20" w:line="500" w:lineRule="exact"/>
        <w:ind w:right="84" w:firstLine="772" w:firstLineChars="322"/>
        <w:rPr>
          <w:rFonts w:ascii="宋体" w:hAnsi="宋体"/>
          <w:color w:val="auto"/>
          <w:sz w:val="24"/>
          <w:u w:val="single"/>
        </w:rPr>
      </w:pPr>
      <w:r>
        <w:rPr>
          <w:rFonts w:ascii="宋体" w:hAnsi="宋体"/>
          <w:color w:val="auto"/>
          <w:sz w:val="24"/>
        </w:rPr>
        <w:t>2.</w:t>
      </w:r>
      <w:r>
        <w:rPr>
          <w:rFonts w:ascii="宋体" w:hAnsi="宋体"/>
          <w:color w:val="auto"/>
          <w:sz w:val="24"/>
          <w:u w:val="single"/>
        </w:rPr>
        <w:t>（标的名称）</w:t>
      </w:r>
      <w:r>
        <w:rPr>
          <w:rFonts w:ascii="宋体" w:hAnsi="宋体"/>
          <w:color w:val="auto"/>
          <w:sz w:val="24"/>
        </w:rPr>
        <w:t>，属于</w:t>
      </w:r>
      <w:r>
        <w:rPr>
          <w:rFonts w:ascii="宋体" w:hAnsi="宋体"/>
          <w:color w:val="auto"/>
          <w:sz w:val="24"/>
          <w:u w:val="single"/>
        </w:rPr>
        <w:t>（采购文件中明确的所属</w:t>
      </w:r>
      <w:r>
        <w:rPr>
          <w:rFonts w:hint="eastAsia" w:ascii="宋体" w:hAnsi="宋体"/>
          <w:color w:val="auto"/>
          <w:sz w:val="24"/>
          <w:u w:val="single"/>
        </w:rPr>
        <w:t>行业</w:t>
      </w:r>
      <w:r>
        <w:rPr>
          <w:rFonts w:ascii="宋体" w:hAnsi="宋体"/>
          <w:color w:val="auto"/>
          <w:sz w:val="24"/>
          <w:u w:val="single"/>
        </w:rPr>
        <w:t>）</w:t>
      </w:r>
      <w:r>
        <w:rPr>
          <w:rFonts w:ascii="宋体" w:hAnsi="宋体"/>
          <w:color w:val="auto"/>
          <w:sz w:val="24"/>
        </w:rPr>
        <w:t>；</w:t>
      </w:r>
      <w:r>
        <w:rPr>
          <w:rFonts w:hint="eastAsia" w:ascii="宋体" w:hAnsi="宋体"/>
          <w:color w:val="auto"/>
          <w:sz w:val="24"/>
        </w:rPr>
        <w:t>承接企业为</w:t>
      </w:r>
      <w:r>
        <w:rPr>
          <w:rFonts w:hint="eastAsia" w:ascii="宋体" w:hAnsi="宋体"/>
          <w:color w:val="auto"/>
          <w:sz w:val="24"/>
          <w:u w:val="single"/>
        </w:rPr>
        <w:t>（企业名称）</w:t>
      </w:r>
      <w:r>
        <w:rPr>
          <w:rFonts w:hint="eastAsia" w:ascii="宋体" w:hAnsi="宋体"/>
          <w:color w:val="auto"/>
          <w:sz w:val="24"/>
        </w:rPr>
        <w:t>，从业人员</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人，营业收入为</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万元，资产总额为</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万元</w:t>
      </w:r>
      <w:r>
        <w:rPr>
          <w:rFonts w:ascii="宋体" w:hAnsi="宋体"/>
          <w:color w:val="auto"/>
          <w:sz w:val="24"/>
        </w:rPr>
        <w:t>，属于</w:t>
      </w:r>
      <w:r>
        <w:rPr>
          <w:rFonts w:ascii="宋体" w:hAnsi="宋体"/>
          <w:color w:val="auto"/>
          <w:sz w:val="24"/>
          <w:u w:val="single"/>
        </w:rPr>
        <w:t>（中型企业、</w:t>
      </w:r>
      <w:r>
        <w:rPr>
          <w:rFonts w:hint="eastAsia" w:ascii="宋体" w:hAnsi="宋体"/>
          <w:color w:val="auto"/>
          <w:sz w:val="24"/>
          <w:u w:val="single"/>
        </w:rPr>
        <w:t>小型企业、微型企业）</w:t>
      </w:r>
      <w:r>
        <w:rPr>
          <w:rFonts w:hint="eastAsia" w:ascii="宋体" w:hAnsi="宋体"/>
          <w:color w:val="auto"/>
          <w:sz w:val="24"/>
        </w:rPr>
        <w:t>；</w:t>
      </w:r>
    </w:p>
    <w:p w14:paraId="3871FEE4">
      <w:pPr>
        <w:pStyle w:val="14"/>
        <w:spacing w:before="34" w:line="500" w:lineRule="exact"/>
        <w:ind w:right="142" w:firstLine="705" w:firstLineChars="294"/>
        <w:rPr>
          <w:rFonts w:ascii="宋体" w:hAnsi="宋体"/>
          <w:color w:val="auto"/>
          <w:sz w:val="24"/>
        </w:rPr>
      </w:pPr>
      <w:r>
        <w:rPr>
          <w:rFonts w:ascii="宋体" w:hAnsi="宋体"/>
          <w:color w:val="auto"/>
          <w:sz w:val="24"/>
        </w:rPr>
        <w:t xml:space="preserve">…… </w:t>
      </w:r>
    </w:p>
    <w:p w14:paraId="6CBCB423">
      <w:pPr>
        <w:pStyle w:val="14"/>
        <w:spacing w:before="34" w:line="500" w:lineRule="exact"/>
        <w:ind w:right="142" w:firstLine="705" w:firstLineChars="294"/>
        <w:rPr>
          <w:rFonts w:ascii="宋体" w:hAnsi="宋体"/>
          <w:color w:val="auto"/>
          <w:sz w:val="24"/>
        </w:rPr>
      </w:pPr>
      <w:r>
        <w:rPr>
          <w:rFonts w:ascii="宋体" w:hAnsi="宋体"/>
          <w:color w:val="auto"/>
          <w:sz w:val="24"/>
        </w:rPr>
        <w:t>以上企业，不属于大企业的分支机构，不存在控股股东为大企业的情形，也不存在与大企业的负责人为同一人的情形。</w:t>
      </w:r>
    </w:p>
    <w:p w14:paraId="27CC79BC">
      <w:pPr>
        <w:pStyle w:val="14"/>
        <w:spacing w:before="25" w:line="500" w:lineRule="exact"/>
        <w:ind w:right="142" w:firstLine="705" w:firstLineChars="294"/>
        <w:rPr>
          <w:rFonts w:ascii="宋体" w:hAnsi="宋体"/>
          <w:color w:val="auto"/>
          <w:sz w:val="24"/>
        </w:rPr>
      </w:pPr>
      <w:r>
        <w:rPr>
          <w:rFonts w:ascii="宋体" w:hAnsi="宋体"/>
          <w:color w:val="auto"/>
          <w:sz w:val="24"/>
        </w:rPr>
        <w:t>本企业对上述声明内容的真实性负责。如有虚假，将依法承担相应责任。</w:t>
      </w:r>
    </w:p>
    <w:p w14:paraId="7D037E6B">
      <w:pPr>
        <w:pStyle w:val="14"/>
        <w:spacing w:before="56" w:line="500" w:lineRule="exact"/>
        <w:ind w:right="1808" w:firstLine="705" w:firstLineChars="294"/>
        <w:rPr>
          <w:rFonts w:hint="eastAsia" w:ascii="宋体" w:hAnsi="宋体"/>
          <w:color w:val="auto"/>
          <w:sz w:val="24"/>
        </w:rPr>
      </w:pPr>
    </w:p>
    <w:p w14:paraId="5D08CF56">
      <w:pPr>
        <w:pStyle w:val="14"/>
        <w:spacing w:before="56" w:line="500" w:lineRule="exact"/>
        <w:ind w:right="650" w:firstLine="5625" w:firstLineChars="2344"/>
        <w:rPr>
          <w:rFonts w:ascii="宋体" w:hAnsi="宋体"/>
          <w:color w:val="auto"/>
          <w:sz w:val="24"/>
        </w:rPr>
      </w:pPr>
      <w:r>
        <w:rPr>
          <w:rFonts w:ascii="宋体" w:hAnsi="宋体"/>
          <w:color w:val="auto"/>
          <w:sz w:val="24"/>
        </w:rPr>
        <w:t xml:space="preserve">企业名称（章）： </w:t>
      </w:r>
    </w:p>
    <w:p w14:paraId="6F0316A6">
      <w:pPr>
        <w:pStyle w:val="14"/>
        <w:spacing w:before="56" w:line="500" w:lineRule="exact"/>
        <w:ind w:right="1808" w:firstLine="5625" w:firstLineChars="2344"/>
        <w:rPr>
          <w:rFonts w:ascii="宋体" w:hAnsi="宋体"/>
          <w:color w:val="auto"/>
          <w:sz w:val="24"/>
        </w:rPr>
      </w:pPr>
      <w:r>
        <w:rPr>
          <w:rFonts w:ascii="宋体" w:hAnsi="宋体"/>
          <w:color w:val="auto"/>
          <w:sz w:val="24"/>
        </w:rPr>
        <w:t>日 期：</w:t>
      </w:r>
    </w:p>
    <w:p w14:paraId="5C39E105">
      <w:pPr>
        <w:spacing w:line="520" w:lineRule="exact"/>
        <w:jc w:val="left"/>
        <w:rPr>
          <w:rFonts w:hint="eastAsia" w:ascii="宋体" w:hAnsi="宋体" w:cs="仿宋_GB2312"/>
          <w:color w:val="auto"/>
          <w:sz w:val="24"/>
        </w:rPr>
      </w:pPr>
      <w:r>
        <w:rPr>
          <w:rFonts w:hint="eastAsia" w:ascii="宋体" w:hAnsi="宋体" w:cs="仿宋_GB2312"/>
          <w:color w:val="auto"/>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2AF70741">
      <w:pPr>
        <w:spacing w:line="520" w:lineRule="exact"/>
        <w:jc w:val="center"/>
        <w:rPr>
          <w:rFonts w:hint="eastAsia" w:ascii="仿宋_GB2312" w:hAnsi="仿宋_GB2312" w:eastAsia="仿宋_GB2312" w:cs="仿宋_GB2312"/>
          <w:color w:val="auto"/>
          <w:sz w:val="32"/>
          <w:szCs w:val="32"/>
        </w:rPr>
      </w:pPr>
      <w:r>
        <w:rPr>
          <w:rFonts w:ascii="宋体" w:hAnsi="宋体"/>
          <w:color w:val="auto"/>
          <w:sz w:val="24"/>
        </w:rPr>
        <w:br w:type="page"/>
      </w:r>
      <w:r>
        <w:rPr>
          <w:rFonts w:hint="eastAsia" w:ascii="方正小标宋简体" w:hAnsi="方正小标宋简体" w:eastAsia="方正小标宋简体" w:cs="方正小标宋简体"/>
          <w:color w:val="auto"/>
          <w:sz w:val="44"/>
          <w:szCs w:val="44"/>
        </w:rPr>
        <w:t>残疾人福利性单位声明函</w:t>
      </w:r>
    </w:p>
    <w:p w14:paraId="4A0E0712">
      <w:pPr>
        <w:spacing w:line="360" w:lineRule="auto"/>
        <w:contextualSpacing/>
        <w:rPr>
          <w:rFonts w:hint="eastAsia" w:ascii="仿宋_GB2312" w:hAnsi="仿宋_GB2312" w:eastAsia="仿宋_GB2312" w:cs="仿宋_GB2312"/>
          <w:color w:val="auto"/>
          <w:sz w:val="32"/>
          <w:szCs w:val="32"/>
        </w:rPr>
      </w:pPr>
    </w:p>
    <w:p w14:paraId="5B25CDBE">
      <w:pPr>
        <w:spacing w:line="360" w:lineRule="auto"/>
        <w:ind w:firstLine="480" w:firstLineChars="200"/>
        <w:contextualSpacing/>
        <w:rPr>
          <w:rFonts w:hint="eastAsia" w:ascii="宋体" w:hAnsi="宋体" w:cs="仿宋_GB2312"/>
          <w:color w:val="auto"/>
          <w:sz w:val="24"/>
        </w:rPr>
      </w:pPr>
      <w:r>
        <w:rPr>
          <w:rFonts w:hint="eastAsia" w:ascii="宋体" w:hAnsi="宋体" w:cs="仿宋_GB2312"/>
          <w:color w:val="auto"/>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z w:val="24"/>
          <w:u w:val="single"/>
        </w:rPr>
        <w:t xml:space="preserve">       </w:t>
      </w:r>
      <w:r>
        <w:rPr>
          <w:rFonts w:hint="eastAsia" w:ascii="宋体" w:hAnsi="宋体" w:cs="仿宋_GB2312"/>
          <w:color w:val="auto"/>
          <w:sz w:val="24"/>
        </w:rPr>
        <w:t>单位的</w:t>
      </w:r>
      <w:r>
        <w:rPr>
          <w:rFonts w:hint="eastAsia" w:ascii="宋体" w:hAnsi="宋体" w:cs="仿宋_GB2312"/>
          <w:color w:val="auto"/>
          <w:sz w:val="24"/>
          <w:u w:val="single"/>
        </w:rPr>
        <w:t xml:space="preserve">        </w:t>
      </w:r>
      <w:r>
        <w:rPr>
          <w:rFonts w:hint="eastAsia" w:ascii="宋体" w:hAnsi="宋体" w:cs="仿宋_GB2312"/>
          <w:color w:val="auto"/>
          <w:sz w:val="24"/>
        </w:rPr>
        <w:t>项目采购活动提供本单位制造的货物（由本单位承担工程/提供服务），或者提供其他残疾人福利性单位制造的货物（不包括使用非残疾人福利性单位注册商标的货物）。</w:t>
      </w:r>
    </w:p>
    <w:p w14:paraId="282E65E7">
      <w:pPr>
        <w:spacing w:line="360" w:lineRule="auto"/>
        <w:ind w:firstLine="480" w:firstLineChars="200"/>
        <w:contextualSpacing/>
        <w:rPr>
          <w:rFonts w:hint="eastAsia" w:ascii="宋体" w:hAnsi="宋体" w:cs="仿宋_GB2312"/>
          <w:color w:val="auto"/>
          <w:sz w:val="24"/>
        </w:rPr>
      </w:pPr>
      <w:r>
        <w:rPr>
          <w:rFonts w:hint="eastAsia" w:ascii="宋体" w:hAnsi="宋体" w:cs="仿宋_GB2312"/>
          <w:color w:val="auto"/>
          <w:sz w:val="24"/>
        </w:rPr>
        <w:t>本单位对上述声明的真实性负责。如有虚假，将依法承担相应责任。</w:t>
      </w:r>
    </w:p>
    <w:p w14:paraId="11ED7D8C">
      <w:pPr>
        <w:spacing w:line="360" w:lineRule="auto"/>
        <w:contextualSpacing/>
        <w:rPr>
          <w:rFonts w:hint="eastAsia" w:ascii="宋体" w:hAnsi="宋体" w:cs="仿宋_GB2312"/>
          <w:color w:val="auto"/>
          <w:sz w:val="24"/>
        </w:rPr>
      </w:pPr>
    </w:p>
    <w:p w14:paraId="3E409D2E">
      <w:pPr>
        <w:spacing w:line="360" w:lineRule="auto"/>
        <w:contextualSpacing/>
        <w:rPr>
          <w:rFonts w:hint="eastAsia" w:ascii="宋体" w:hAnsi="宋体" w:cs="仿宋_GB2312"/>
          <w:color w:val="auto"/>
          <w:sz w:val="24"/>
        </w:rPr>
      </w:pPr>
    </w:p>
    <w:p w14:paraId="679A7F12">
      <w:pPr>
        <w:spacing w:line="360" w:lineRule="auto"/>
        <w:contextualSpacing/>
        <w:rPr>
          <w:rFonts w:hint="eastAsia" w:ascii="宋体" w:hAnsi="宋体" w:cs="仿宋_GB2312"/>
          <w:color w:val="auto"/>
          <w:sz w:val="24"/>
        </w:rPr>
      </w:pPr>
    </w:p>
    <w:p w14:paraId="3E2FAAAD">
      <w:pPr>
        <w:spacing w:line="360" w:lineRule="auto"/>
        <w:ind w:firstLine="2400" w:firstLineChars="1000"/>
        <w:contextualSpacing/>
        <w:rPr>
          <w:rFonts w:hint="eastAsia" w:ascii="宋体" w:hAnsi="宋体" w:cs="仿宋_GB2312"/>
          <w:color w:val="auto"/>
          <w:sz w:val="24"/>
        </w:rPr>
      </w:pPr>
      <w:r>
        <w:rPr>
          <w:rFonts w:hint="eastAsia" w:ascii="宋体" w:hAnsi="宋体" w:cs="仿宋_GB2312"/>
          <w:color w:val="auto"/>
          <w:sz w:val="24"/>
        </w:rPr>
        <w:t>单位名称（盖章）：</w:t>
      </w:r>
    </w:p>
    <w:p w14:paraId="1C5436C1">
      <w:pPr>
        <w:spacing w:line="360" w:lineRule="auto"/>
        <w:ind w:firstLine="3600" w:firstLineChars="1500"/>
        <w:contextualSpacing/>
        <w:rPr>
          <w:rFonts w:hint="eastAsia" w:ascii="宋体" w:hAnsi="宋体" w:cs="仿宋_GB2312"/>
          <w:color w:val="auto"/>
          <w:sz w:val="24"/>
        </w:rPr>
      </w:pPr>
      <w:r>
        <w:rPr>
          <w:rFonts w:hint="eastAsia" w:ascii="宋体" w:hAnsi="宋体" w:cs="仿宋_GB2312"/>
          <w:color w:val="auto"/>
          <w:sz w:val="24"/>
        </w:rPr>
        <w:t>日  期：</w:t>
      </w:r>
    </w:p>
    <w:p w14:paraId="008389BE">
      <w:pPr>
        <w:spacing w:line="360" w:lineRule="auto"/>
        <w:contextualSpacing/>
        <w:rPr>
          <w:rFonts w:hint="eastAsia" w:ascii="宋体" w:hAnsi="宋体" w:cs="仿宋_GB2312"/>
          <w:color w:val="auto"/>
          <w:sz w:val="24"/>
        </w:rPr>
      </w:pPr>
    </w:p>
    <w:p w14:paraId="227C97C5">
      <w:pPr>
        <w:spacing w:line="360" w:lineRule="auto"/>
        <w:contextualSpacing/>
        <w:rPr>
          <w:rFonts w:hint="eastAsia" w:ascii="宋体" w:hAnsi="宋体" w:cs="仿宋_GB2312"/>
          <w:color w:val="auto"/>
          <w:sz w:val="24"/>
        </w:rPr>
      </w:pPr>
    </w:p>
    <w:p w14:paraId="40D65DC4">
      <w:pPr>
        <w:spacing w:line="360" w:lineRule="auto"/>
        <w:contextualSpacing/>
        <w:rPr>
          <w:rFonts w:hint="eastAsia" w:ascii="宋体" w:hAnsi="宋体" w:cs="仿宋_GB2312"/>
          <w:color w:val="auto"/>
          <w:sz w:val="24"/>
        </w:rPr>
      </w:pPr>
    </w:p>
    <w:p w14:paraId="41C7A4C3">
      <w:pPr>
        <w:spacing w:line="360" w:lineRule="auto"/>
        <w:contextualSpacing/>
        <w:rPr>
          <w:rFonts w:ascii="宋体" w:hAnsi="宋体" w:cs="仿宋_GB2312"/>
          <w:color w:val="auto"/>
          <w:sz w:val="24"/>
        </w:rPr>
      </w:pPr>
      <w:r>
        <w:rPr>
          <w:rFonts w:hint="eastAsia" w:ascii="宋体" w:hAnsi="宋体" w:cs="仿宋_GB2312"/>
          <w:color w:val="auto"/>
          <w:sz w:val="24"/>
        </w:rPr>
        <w:t>注：请根据自己的真实情况出具《残疾人福利性单位声明函》。依法享受中小企业优惠政策的，采购人或者采购代理机构在公告中标结果时，同时公告其《残疾人福利性单位声明函》，接受社会监督。</w:t>
      </w:r>
    </w:p>
    <w:p w14:paraId="7C0974EE">
      <w:pPr>
        <w:spacing w:line="360" w:lineRule="auto"/>
        <w:jc w:val="center"/>
        <w:rPr>
          <w:rFonts w:ascii="宋体" w:hAnsi="宋体" w:cs="仿宋_GB2312"/>
          <w:color w:val="auto"/>
          <w:sz w:val="24"/>
        </w:rPr>
      </w:pPr>
      <w:r>
        <w:rPr>
          <w:rFonts w:ascii="宋体" w:hAnsi="宋体" w:cs="仿宋_GB2312"/>
          <w:color w:val="auto"/>
          <w:sz w:val="24"/>
        </w:rPr>
        <w:br w:type="page"/>
      </w:r>
    </w:p>
    <w:p w14:paraId="728ADF7D">
      <w:pPr>
        <w:spacing w:line="360" w:lineRule="auto"/>
        <w:jc w:val="center"/>
        <w:rPr>
          <w:rFonts w:hint="eastAsia" w:ascii="宋体" w:hAnsi="宋体"/>
          <w:b/>
          <w:bCs/>
          <w:color w:val="auto"/>
          <w:sz w:val="32"/>
          <w:szCs w:val="32"/>
        </w:rPr>
      </w:pPr>
      <w:r>
        <w:rPr>
          <w:rFonts w:hint="eastAsia" w:ascii="方正小标宋简体" w:hAnsi="方正小标宋简体" w:eastAsia="方正小标宋简体" w:cs="方正小标宋简体"/>
          <w:color w:val="auto"/>
          <w:sz w:val="44"/>
          <w:szCs w:val="44"/>
        </w:rPr>
        <w:t>质疑函（格式）</w:t>
      </w:r>
    </w:p>
    <w:p w14:paraId="22D6AD38">
      <w:pPr>
        <w:pStyle w:val="18"/>
        <w:spacing w:line="360" w:lineRule="auto"/>
        <w:ind w:firstLine="482" w:firstLineChars="200"/>
        <w:contextualSpacing/>
        <w:rPr>
          <w:rFonts w:hAnsi="宋体"/>
          <w:b/>
          <w:bCs/>
          <w:color w:val="auto"/>
          <w:sz w:val="24"/>
          <w:szCs w:val="24"/>
        </w:rPr>
      </w:pPr>
      <w:r>
        <w:rPr>
          <w:rFonts w:hint="eastAsia" w:hAnsi="宋体"/>
          <w:b/>
          <w:bCs/>
          <w:color w:val="auto"/>
          <w:sz w:val="24"/>
          <w:szCs w:val="24"/>
        </w:rPr>
        <w:t>一、质疑供应商基本信息：</w:t>
      </w:r>
    </w:p>
    <w:p w14:paraId="1EE865DA">
      <w:pPr>
        <w:pStyle w:val="18"/>
        <w:spacing w:line="360" w:lineRule="auto"/>
        <w:ind w:firstLine="480" w:firstLineChars="200"/>
        <w:contextualSpacing/>
        <w:rPr>
          <w:rFonts w:hint="eastAsia" w:hAnsi="宋体"/>
          <w:bCs/>
          <w:color w:val="auto"/>
          <w:sz w:val="24"/>
          <w:szCs w:val="24"/>
          <w:u w:val="single"/>
        </w:rPr>
      </w:pPr>
      <w:r>
        <w:rPr>
          <w:rFonts w:hint="eastAsia" w:hAnsi="宋体"/>
          <w:bCs/>
          <w:color w:val="auto"/>
          <w:sz w:val="24"/>
          <w:szCs w:val="24"/>
        </w:rPr>
        <w:t>质疑供应商：</w:t>
      </w:r>
      <w:r>
        <w:rPr>
          <w:rFonts w:hint="eastAsia" w:hAnsi="宋体"/>
          <w:bCs/>
          <w:color w:val="auto"/>
          <w:sz w:val="24"/>
          <w:szCs w:val="24"/>
          <w:u w:val="single"/>
        </w:rPr>
        <w:t xml:space="preserve">                                       </w:t>
      </w:r>
      <w:r>
        <w:rPr>
          <w:rFonts w:hint="eastAsia" w:hAnsi="宋体"/>
          <w:bCs/>
          <w:color w:val="auto"/>
          <w:sz w:val="24"/>
          <w:szCs w:val="24"/>
        </w:rPr>
        <w:t xml:space="preserve">                 </w:t>
      </w:r>
    </w:p>
    <w:p w14:paraId="3779F30A">
      <w:pPr>
        <w:pStyle w:val="18"/>
        <w:spacing w:line="360" w:lineRule="auto"/>
        <w:ind w:firstLine="480" w:firstLineChars="200"/>
        <w:contextualSpacing/>
        <w:rPr>
          <w:rFonts w:hint="eastAsia"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14:paraId="360F0978">
      <w:pPr>
        <w:pStyle w:val="18"/>
        <w:spacing w:line="360" w:lineRule="auto"/>
        <w:ind w:firstLine="480" w:firstLineChars="200"/>
        <w:contextualSpacing/>
        <w:rPr>
          <w:rFonts w:hint="eastAsia" w:hAnsi="宋体"/>
          <w:bCs/>
          <w:color w:val="auto"/>
          <w:sz w:val="24"/>
          <w:szCs w:val="24"/>
        </w:rPr>
      </w:pPr>
      <w:r>
        <w:rPr>
          <w:rFonts w:hAnsi="宋体"/>
          <w:bCs/>
          <w:color w:val="auto"/>
          <w:sz w:val="24"/>
          <w:szCs w:val="24"/>
        </w:rPr>
        <w:t>联系人</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联系电话</w:t>
      </w:r>
      <w:r>
        <w:rPr>
          <w:rFonts w:hint="eastAsia" w:hAnsi="宋体"/>
          <w:bCs/>
          <w:color w:val="auto"/>
          <w:sz w:val="24"/>
          <w:szCs w:val="24"/>
        </w:rPr>
        <w:t>：</w:t>
      </w:r>
      <w:r>
        <w:rPr>
          <w:rFonts w:hint="eastAsia" w:hAnsi="宋体"/>
          <w:bCs/>
          <w:color w:val="auto"/>
          <w:sz w:val="24"/>
          <w:szCs w:val="24"/>
          <w:u w:val="single"/>
        </w:rPr>
        <w:t xml:space="preserve">                 </w:t>
      </w:r>
    </w:p>
    <w:p w14:paraId="413F39A4">
      <w:pPr>
        <w:pStyle w:val="18"/>
        <w:spacing w:line="360" w:lineRule="auto"/>
        <w:ind w:firstLine="480" w:firstLineChars="200"/>
        <w:contextualSpacing/>
        <w:rPr>
          <w:rFonts w:hint="eastAsia" w:hAnsi="宋体"/>
          <w:bCs/>
          <w:color w:val="auto"/>
          <w:sz w:val="24"/>
          <w:szCs w:val="24"/>
        </w:rPr>
      </w:pPr>
      <w:r>
        <w:rPr>
          <w:rFonts w:hint="eastAsia" w:hAnsi="宋体"/>
          <w:bCs/>
          <w:color w:val="auto"/>
          <w:sz w:val="24"/>
          <w:szCs w:val="24"/>
        </w:rPr>
        <w:t>授权代表：</w:t>
      </w:r>
      <w:r>
        <w:rPr>
          <w:rFonts w:hint="eastAsia" w:hAnsi="宋体"/>
          <w:bCs/>
          <w:color w:val="auto"/>
          <w:sz w:val="24"/>
          <w:szCs w:val="24"/>
          <w:u w:val="single"/>
        </w:rPr>
        <w:t xml:space="preserve">                      </w:t>
      </w:r>
    </w:p>
    <w:p w14:paraId="76D952A9">
      <w:pPr>
        <w:pStyle w:val="18"/>
        <w:spacing w:line="360" w:lineRule="auto"/>
        <w:ind w:firstLine="480" w:firstLineChars="200"/>
        <w:contextualSpacing/>
        <w:rPr>
          <w:rFonts w:hint="eastAsia" w:hAnsi="宋体"/>
          <w:bCs/>
          <w:color w:val="auto"/>
          <w:sz w:val="24"/>
          <w:szCs w:val="24"/>
          <w:u w:val="single"/>
        </w:rPr>
      </w:pPr>
      <w:r>
        <w:rPr>
          <w:rFonts w:hAnsi="宋体"/>
          <w:bCs/>
          <w:color w:val="auto"/>
          <w:sz w:val="24"/>
          <w:szCs w:val="24"/>
        </w:rPr>
        <w:t>联系</w:t>
      </w:r>
      <w:r>
        <w:rPr>
          <w:rFonts w:hint="eastAsia" w:hAnsi="宋体"/>
          <w:bCs/>
          <w:color w:val="auto"/>
          <w:sz w:val="24"/>
          <w:szCs w:val="24"/>
        </w:rPr>
        <w:t>电话：</w:t>
      </w:r>
      <w:r>
        <w:rPr>
          <w:rFonts w:hint="eastAsia" w:hAnsi="宋体"/>
          <w:bCs/>
          <w:color w:val="auto"/>
          <w:sz w:val="24"/>
          <w:szCs w:val="24"/>
          <w:u w:val="single"/>
        </w:rPr>
        <w:t xml:space="preserve">                      </w:t>
      </w:r>
    </w:p>
    <w:p w14:paraId="4E0673C7">
      <w:pPr>
        <w:pStyle w:val="18"/>
        <w:spacing w:line="360" w:lineRule="auto"/>
        <w:ind w:firstLine="480" w:firstLineChars="200"/>
        <w:contextualSpacing/>
        <w:rPr>
          <w:rFonts w:hint="eastAsia"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14:paraId="55097756">
      <w:pPr>
        <w:pStyle w:val="18"/>
        <w:spacing w:line="360" w:lineRule="auto"/>
        <w:ind w:firstLine="482" w:firstLineChars="200"/>
        <w:contextualSpacing/>
        <w:rPr>
          <w:rFonts w:hint="eastAsia" w:hAnsi="宋体"/>
          <w:b/>
          <w:bCs/>
          <w:color w:val="auto"/>
          <w:sz w:val="24"/>
          <w:szCs w:val="24"/>
        </w:rPr>
      </w:pPr>
      <w:r>
        <w:rPr>
          <w:rFonts w:hint="eastAsia" w:hAnsi="宋体"/>
          <w:b/>
          <w:bCs/>
          <w:color w:val="auto"/>
          <w:sz w:val="24"/>
          <w:szCs w:val="24"/>
        </w:rPr>
        <w:t>二、质疑项目基本情况：</w:t>
      </w:r>
    </w:p>
    <w:p w14:paraId="57D2F6FD">
      <w:pPr>
        <w:pStyle w:val="18"/>
        <w:spacing w:line="360" w:lineRule="auto"/>
        <w:ind w:left="25" w:leftChars="12" w:firstLine="472" w:firstLineChars="197"/>
        <w:contextualSpacing/>
        <w:rPr>
          <w:rFonts w:hint="eastAsia" w:hAnsi="宋体"/>
          <w:color w:val="auto"/>
          <w:sz w:val="24"/>
          <w:szCs w:val="24"/>
        </w:rPr>
      </w:pPr>
      <w:r>
        <w:rPr>
          <w:rFonts w:hint="eastAsia" w:hAnsi="宋体"/>
          <w:bCs/>
          <w:color w:val="auto"/>
          <w:sz w:val="24"/>
          <w:szCs w:val="24"/>
        </w:rPr>
        <w:t>质疑</w:t>
      </w:r>
      <w:r>
        <w:rPr>
          <w:rFonts w:hint="eastAsia" w:hAnsi="宋体"/>
          <w:color w:val="auto"/>
          <w:sz w:val="24"/>
          <w:szCs w:val="24"/>
        </w:rPr>
        <w:t>项目的名称：</w:t>
      </w:r>
      <w:r>
        <w:rPr>
          <w:rFonts w:hint="eastAsia" w:hAnsi="宋体"/>
          <w:bCs/>
          <w:color w:val="auto"/>
          <w:sz w:val="24"/>
          <w:szCs w:val="24"/>
          <w:u w:val="single"/>
        </w:rPr>
        <w:t xml:space="preserve">                                     </w:t>
      </w:r>
    </w:p>
    <w:p w14:paraId="0ABC6ADF">
      <w:pPr>
        <w:pStyle w:val="18"/>
        <w:spacing w:line="360" w:lineRule="auto"/>
        <w:ind w:left="25" w:leftChars="12" w:firstLine="472" w:firstLineChars="197"/>
        <w:contextualSpacing/>
        <w:rPr>
          <w:rFonts w:hint="eastAsia" w:hAnsi="宋体"/>
          <w:color w:val="auto"/>
          <w:sz w:val="24"/>
          <w:szCs w:val="24"/>
        </w:rPr>
      </w:pPr>
      <w:r>
        <w:rPr>
          <w:rFonts w:hint="eastAsia" w:hAnsi="宋体"/>
          <w:bCs/>
          <w:color w:val="auto"/>
          <w:sz w:val="24"/>
          <w:szCs w:val="24"/>
        </w:rPr>
        <w:t>质疑</w:t>
      </w:r>
      <w:r>
        <w:rPr>
          <w:rFonts w:hint="eastAsia" w:hAnsi="宋体"/>
          <w:color w:val="auto"/>
          <w:sz w:val="24"/>
          <w:szCs w:val="24"/>
        </w:rPr>
        <w:t>项目的编号：</w:t>
      </w:r>
      <w:r>
        <w:rPr>
          <w:rFonts w:hint="eastAsia" w:hAnsi="宋体"/>
          <w:bCs/>
          <w:color w:val="auto"/>
          <w:sz w:val="24"/>
          <w:szCs w:val="24"/>
          <w:u w:val="single"/>
        </w:rPr>
        <w:t xml:space="preserve">                                     </w:t>
      </w:r>
    </w:p>
    <w:p w14:paraId="74FE6BAE">
      <w:pPr>
        <w:pStyle w:val="18"/>
        <w:spacing w:line="360" w:lineRule="auto"/>
        <w:ind w:left="25" w:leftChars="12" w:firstLine="472" w:firstLineChars="197"/>
        <w:contextualSpacing/>
        <w:rPr>
          <w:rFonts w:hint="eastAsia" w:hAnsi="宋体"/>
          <w:color w:val="auto"/>
          <w:sz w:val="24"/>
          <w:szCs w:val="24"/>
        </w:rPr>
      </w:pPr>
      <w:r>
        <w:rPr>
          <w:rFonts w:hint="eastAsia" w:hAnsi="宋体"/>
          <w:color w:val="auto"/>
          <w:sz w:val="24"/>
          <w:szCs w:val="24"/>
        </w:rPr>
        <w:t>采购人名称：</w:t>
      </w:r>
      <w:r>
        <w:rPr>
          <w:rFonts w:hint="eastAsia" w:hAnsi="宋体"/>
          <w:bCs/>
          <w:color w:val="auto"/>
          <w:sz w:val="24"/>
          <w:szCs w:val="24"/>
          <w:u w:val="single"/>
        </w:rPr>
        <w:t xml:space="preserve">                                         </w:t>
      </w:r>
    </w:p>
    <w:p w14:paraId="2CFE8EEE">
      <w:pPr>
        <w:pStyle w:val="18"/>
        <w:spacing w:line="360" w:lineRule="auto"/>
        <w:ind w:left="25" w:leftChars="12" w:firstLine="472" w:firstLineChars="197"/>
        <w:contextualSpacing/>
        <w:rPr>
          <w:rFonts w:hint="eastAsia" w:hAnsi="宋体"/>
          <w:color w:val="auto"/>
          <w:sz w:val="24"/>
          <w:szCs w:val="24"/>
        </w:rPr>
      </w:pPr>
      <w:r>
        <w:rPr>
          <w:rFonts w:hint="eastAsia" w:hAnsi="宋体"/>
          <w:color w:val="auto"/>
          <w:sz w:val="24"/>
          <w:szCs w:val="24"/>
        </w:rPr>
        <w:t>质疑事项：</w:t>
      </w:r>
    </w:p>
    <w:p w14:paraId="1342DA4E">
      <w:pPr>
        <w:pStyle w:val="18"/>
        <w:spacing w:line="360" w:lineRule="auto"/>
        <w:ind w:left="25" w:leftChars="12" w:firstLine="352" w:firstLineChars="147"/>
        <w:contextualSpacing/>
        <w:rPr>
          <w:rFonts w:hint="eastAsia" w:hAnsi="宋体"/>
          <w:color w:val="auto"/>
          <w:sz w:val="24"/>
          <w:szCs w:val="24"/>
        </w:rPr>
      </w:pPr>
      <w:r>
        <w:rPr>
          <w:rFonts w:hint="eastAsia" w:hAnsi="宋体"/>
          <w:color w:val="auto"/>
          <w:sz w:val="24"/>
          <w:szCs w:val="24"/>
        </w:rPr>
        <w:t>□采购文件   采购文件获取日期：</w:t>
      </w:r>
      <w:r>
        <w:rPr>
          <w:rFonts w:hint="eastAsia" w:hAnsi="宋体"/>
          <w:bCs/>
          <w:color w:val="auto"/>
          <w:sz w:val="24"/>
          <w:szCs w:val="24"/>
          <w:u w:val="single"/>
        </w:rPr>
        <w:t xml:space="preserve">                                   </w:t>
      </w:r>
    </w:p>
    <w:p w14:paraId="08CF54B5">
      <w:pPr>
        <w:pStyle w:val="18"/>
        <w:spacing w:line="360" w:lineRule="auto"/>
        <w:ind w:left="25" w:leftChars="12" w:firstLine="352" w:firstLineChars="147"/>
        <w:contextualSpacing/>
        <w:rPr>
          <w:rFonts w:hint="eastAsia" w:hAnsi="宋体"/>
          <w:color w:val="auto"/>
          <w:sz w:val="24"/>
          <w:szCs w:val="24"/>
        </w:rPr>
      </w:pPr>
      <w:r>
        <w:rPr>
          <w:rFonts w:hint="eastAsia" w:hAnsi="宋体"/>
          <w:color w:val="auto"/>
          <w:sz w:val="24"/>
          <w:szCs w:val="24"/>
        </w:rPr>
        <w:t xml:space="preserve">□采购过程   </w:t>
      </w:r>
    </w:p>
    <w:p w14:paraId="123605D1">
      <w:pPr>
        <w:pStyle w:val="18"/>
        <w:spacing w:line="360" w:lineRule="auto"/>
        <w:ind w:left="25" w:leftChars="12" w:firstLine="352" w:firstLineChars="147"/>
        <w:contextualSpacing/>
        <w:rPr>
          <w:rFonts w:hint="eastAsia" w:hAnsi="宋体"/>
          <w:bCs/>
          <w:color w:val="auto"/>
          <w:sz w:val="24"/>
          <w:szCs w:val="24"/>
          <w:u w:val="single"/>
        </w:rPr>
      </w:pPr>
      <w:r>
        <w:rPr>
          <w:rFonts w:hint="eastAsia" w:hAnsi="宋体"/>
          <w:color w:val="auto"/>
          <w:sz w:val="24"/>
          <w:szCs w:val="24"/>
        </w:rPr>
        <w:t xml:space="preserve">□成交结果   </w:t>
      </w:r>
    </w:p>
    <w:p w14:paraId="6CFEC0D5">
      <w:pPr>
        <w:pStyle w:val="18"/>
        <w:spacing w:line="360" w:lineRule="auto"/>
        <w:ind w:left="25" w:leftChars="12" w:firstLine="472" w:firstLineChars="196"/>
        <w:contextualSpacing/>
        <w:rPr>
          <w:rFonts w:hint="eastAsia" w:hAnsi="宋体"/>
          <w:b/>
          <w:color w:val="auto"/>
          <w:sz w:val="24"/>
          <w:szCs w:val="24"/>
        </w:rPr>
      </w:pPr>
      <w:r>
        <w:rPr>
          <w:rFonts w:hint="eastAsia" w:hAnsi="宋体"/>
          <w:b/>
          <w:color w:val="auto"/>
          <w:sz w:val="24"/>
          <w:szCs w:val="24"/>
        </w:rPr>
        <w:t>三、质疑事项具体内容</w:t>
      </w:r>
    </w:p>
    <w:p w14:paraId="19892E58">
      <w:pPr>
        <w:pStyle w:val="18"/>
        <w:spacing w:line="360" w:lineRule="auto"/>
        <w:ind w:left="25" w:leftChars="12" w:firstLine="472" w:firstLineChars="197"/>
        <w:contextualSpacing/>
        <w:rPr>
          <w:rFonts w:hint="eastAsia" w:hAnsi="宋体"/>
          <w:color w:val="auto"/>
          <w:sz w:val="24"/>
          <w:szCs w:val="24"/>
        </w:rPr>
      </w:pPr>
      <w:r>
        <w:rPr>
          <w:rFonts w:hint="eastAsia" w:hAnsi="宋体"/>
          <w:color w:val="auto"/>
          <w:sz w:val="24"/>
          <w:szCs w:val="24"/>
        </w:rPr>
        <w:t>质疑事项1：</w:t>
      </w:r>
      <w:r>
        <w:rPr>
          <w:rFonts w:hint="eastAsia" w:hAnsi="宋体"/>
          <w:bCs/>
          <w:color w:val="auto"/>
          <w:sz w:val="24"/>
          <w:szCs w:val="24"/>
          <w:u w:val="single"/>
        </w:rPr>
        <w:t xml:space="preserve">                                                                    </w:t>
      </w:r>
    </w:p>
    <w:p w14:paraId="24338696">
      <w:pPr>
        <w:pStyle w:val="18"/>
        <w:spacing w:line="360" w:lineRule="auto"/>
        <w:ind w:left="25" w:leftChars="12" w:firstLine="472" w:firstLineChars="197"/>
        <w:contextualSpacing/>
        <w:rPr>
          <w:rFonts w:hint="eastAsia" w:hAnsi="宋体"/>
          <w:color w:val="auto"/>
          <w:sz w:val="24"/>
          <w:szCs w:val="24"/>
        </w:rPr>
      </w:pPr>
      <w:r>
        <w:rPr>
          <w:rFonts w:hint="eastAsia" w:hAnsi="宋体"/>
          <w:color w:val="auto"/>
          <w:sz w:val="24"/>
          <w:szCs w:val="24"/>
        </w:rPr>
        <w:t>事实依据：</w:t>
      </w:r>
      <w:r>
        <w:rPr>
          <w:rFonts w:hint="eastAsia" w:hAnsi="宋体"/>
          <w:bCs/>
          <w:color w:val="auto"/>
          <w:sz w:val="24"/>
          <w:szCs w:val="24"/>
          <w:u w:val="single"/>
        </w:rPr>
        <w:t xml:space="preserve">                                                                      </w:t>
      </w:r>
    </w:p>
    <w:p w14:paraId="1DB2AFD0">
      <w:pPr>
        <w:pStyle w:val="18"/>
        <w:spacing w:line="360" w:lineRule="auto"/>
        <w:ind w:left="25" w:leftChars="12" w:firstLine="472" w:firstLineChars="197"/>
        <w:contextualSpacing/>
        <w:rPr>
          <w:rFonts w:hint="eastAsia" w:hAnsi="宋体"/>
          <w:color w:val="auto"/>
          <w:sz w:val="24"/>
          <w:szCs w:val="24"/>
        </w:rPr>
      </w:pPr>
      <w:r>
        <w:rPr>
          <w:rFonts w:hint="eastAsia" w:hAnsi="宋体"/>
          <w:color w:val="auto"/>
          <w:sz w:val="24"/>
          <w:szCs w:val="24"/>
        </w:rPr>
        <w:t>法律依据：</w:t>
      </w:r>
      <w:r>
        <w:rPr>
          <w:rFonts w:hint="eastAsia" w:hAnsi="宋体"/>
          <w:color w:val="auto"/>
          <w:sz w:val="24"/>
          <w:szCs w:val="24"/>
          <w:u w:val="single"/>
        </w:rPr>
        <w:t xml:space="preserve">                                                        </w:t>
      </w:r>
      <w:r>
        <w:rPr>
          <w:rFonts w:hint="eastAsia" w:hAnsi="宋体"/>
          <w:bCs/>
          <w:color w:val="auto"/>
          <w:sz w:val="24"/>
          <w:szCs w:val="24"/>
          <w:u w:val="single"/>
        </w:rPr>
        <w:t xml:space="preserve">               </w:t>
      </w:r>
    </w:p>
    <w:p w14:paraId="3F621A08">
      <w:pPr>
        <w:pStyle w:val="18"/>
        <w:spacing w:line="360" w:lineRule="auto"/>
        <w:ind w:left="25" w:leftChars="12" w:firstLine="472" w:firstLineChars="197"/>
        <w:contextualSpacing/>
        <w:rPr>
          <w:rFonts w:hint="eastAsia" w:hAnsi="宋体"/>
          <w:color w:val="auto"/>
          <w:sz w:val="24"/>
          <w:szCs w:val="24"/>
        </w:rPr>
      </w:pPr>
      <w:r>
        <w:rPr>
          <w:rFonts w:hint="eastAsia" w:hAnsi="宋体"/>
          <w:color w:val="auto"/>
          <w:sz w:val="24"/>
          <w:szCs w:val="24"/>
        </w:rPr>
        <w:t>质疑事项2</w:t>
      </w:r>
    </w:p>
    <w:p w14:paraId="53146755">
      <w:pPr>
        <w:pStyle w:val="18"/>
        <w:spacing w:line="360" w:lineRule="auto"/>
        <w:ind w:left="25" w:leftChars="12" w:firstLine="472" w:firstLineChars="197"/>
        <w:contextualSpacing/>
        <w:rPr>
          <w:rFonts w:hint="eastAsia" w:hAnsi="宋体"/>
          <w:color w:val="auto"/>
          <w:sz w:val="24"/>
          <w:szCs w:val="24"/>
        </w:rPr>
      </w:pPr>
      <w:r>
        <w:rPr>
          <w:rFonts w:hAnsi="宋体"/>
          <w:color w:val="auto"/>
          <w:sz w:val="24"/>
          <w:szCs w:val="24"/>
        </w:rPr>
        <w:t>……</w:t>
      </w:r>
    </w:p>
    <w:p w14:paraId="56EA88FB">
      <w:pPr>
        <w:pStyle w:val="18"/>
        <w:spacing w:line="360" w:lineRule="auto"/>
        <w:ind w:left="25" w:leftChars="12" w:firstLine="472" w:firstLineChars="197"/>
        <w:contextualSpacing/>
        <w:rPr>
          <w:rFonts w:hint="eastAsia" w:hAnsi="宋体"/>
          <w:color w:val="auto"/>
          <w:sz w:val="24"/>
          <w:szCs w:val="24"/>
        </w:rPr>
      </w:pPr>
      <w:r>
        <w:rPr>
          <w:rFonts w:hint="eastAsia" w:hAnsi="宋体"/>
          <w:color w:val="auto"/>
          <w:sz w:val="24"/>
          <w:szCs w:val="24"/>
        </w:rPr>
        <w:t>四、与质疑事项相关的质疑请求：</w:t>
      </w:r>
    </w:p>
    <w:p w14:paraId="74922858">
      <w:pPr>
        <w:pStyle w:val="18"/>
        <w:spacing w:line="360" w:lineRule="auto"/>
        <w:ind w:left="25" w:leftChars="12" w:firstLine="472" w:firstLineChars="197"/>
        <w:contextualSpacing/>
        <w:rPr>
          <w:rFonts w:hint="eastAsia" w:hAnsi="宋体"/>
          <w:color w:val="auto"/>
          <w:sz w:val="24"/>
          <w:szCs w:val="24"/>
        </w:rPr>
      </w:pPr>
      <w:r>
        <w:rPr>
          <w:rFonts w:hint="eastAsia" w:hAnsi="宋体"/>
          <w:color w:val="auto"/>
          <w:sz w:val="24"/>
          <w:szCs w:val="24"/>
        </w:rPr>
        <w:t>请求：</w:t>
      </w:r>
      <w:r>
        <w:rPr>
          <w:rFonts w:hint="eastAsia" w:hAnsi="宋体"/>
          <w:bCs/>
          <w:color w:val="auto"/>
          <w:sz w:val="24"/>
          <w:szCs w:val="24"/>
          <w:u w:val="single"/>
        </w:rPr>
        <w:t xml:space="preserve">                                                                </w:t>
      </w:r>
    </w:p>
    <w:p w14:paraId="13F22F4A">
      <w:pPr>
        <w:pStyle w:val="18"/>
        <w:spacing w:line="360" w:lineRule="auto"/>
        <w:ind w:left="25" w:leftChars="12" w:firstLine="352" w:firstLineChars="147"/>
        <w:contextualSpacing/>
        <w:rPr>
          <w:rFonts w:hint="eastAsia" w:hAnsi="宋体"/>
          <w:color w:val="auto"/>
          <w:sz w:val="24"/>
          <w:szCs w:val="24"/>
        </w:rPr>
      </w:pPr>
    </w:p>
    <w:p w14:paraId="1AC38F5C">
      <w:pPr>
        <w:pStyle w:val="18"/>
        <w:spacing w:line="360" w:lineRule="auto"/>
        <w:ind w:left="25" w:leftChars="12" w:firstLine="472" w:firstLineChars="197"/>
        <w:contextualSpacing/>
        <w:rPr>
          <w:rFonts w:hint="eastAsia" w:hAnsi="宋体"/>
          <w:color w:val="auto"/>
          <w:sz w:val="24"/>
          <w:szCs w:val="24"/>
        </w:rPr>
      </w:pPr>
      <w:r>
        <w:rPr>
          <w:rFonts w:hint="eastAsia" w:hAnsi="宋体"/>
          <w:color w:val="auto"/>
          <w:sz w:val="24"/>
          <w:szCs w:val="24"/>
        </w:rPr>
        <w:t>签字（签章）：                                       公章：</w:t>
      </w:r>
    </w:p>
    <w:p w14:paraId="34491E59">
      <w:pPr>
        <w:pStyle w:val="18"/>
        <w:spacing w:line="360" w:lineRule="auto"/>
        <w:ind w:firstLine="480" w:firstLineChars="200"/>
        <w:contextualSpacing/>
        <w:rPr>
          <w:rFonts w:hint="eastAsia" w:hAnsi="宋体"/>
          <w:b/>
          <w:color w:val="auto"/>
          <w:sz w:val="24"/>
          <w:szCs w:val="24"/>
        </w:rPr>
      </w:pPr>
      <w:r>
        <w:rPr>
          <w:rFonts w:hint="eastAsia" w:hAnsi="宋体"/>
          <w:color w:val="auto"/>
          <w:sz w:val="24"/>
          <w:szCs w:val="24"/>
        </w:rPr>
        <w:t>日期：</w:t>
      </w:r>
    </w:p>
    <w:p w14:paraId="2A00E4C3">
      <w:pPr>
        <w:pStyle w:val="18"/>
        <w:spacing w:line="360" w:lineRule="auto"/>
        <w:contextualSpacing/>
        <w:rPr>
          <w:rFonts w:hint="eastAsia" w:hAnsi="宋体"/>
          <w:b/>
          <w:color w:val="auto"/>
          <w:sz w:val="24"/>
          <w:szCs w:val="24"/>
        </w:rPr>
      </w:pPr>
      <w:r>
        <w:rPr>
          <w:rFonts w:hint="eastAsia" w:hAnsi="宋体"/>
          <w:b/>
          <w:color w:val="auto"/>
          <w:sz w:val="24"/>
          <w:szCs w:val="24"/>
        </w:rPr>
        <w:t>说明：</w:t>
      </w:r>
    </w:p>
    <w:p w14:paraId="7EFAB945">
      <w:pPr>
        <w:pStyle w:val="18"/>
        <w:spacing w:line="360" w:lineRule="auto"/>
        <w:ind w:left="25" w:leftChars="12" w:firstLine="354" w:firstLineChars="147"/>
        <w:contextualSpacing/>
        <w:rPr>
          <w:rFonts w:hint="eastAsia" w:hAnsi="宋体"/>
          <w:b/>
          <w:bCs/>
          <w:color w:val="auto"/>
          <w:sz w:val="24"/>
          <w:szCs w:val="24"/>
        </w:rPr>
      </w:pPr>
      <w:r>
        <w:rPr>
          <w:rFonts w:hint="eastAsia" w:hAnsi="宋体"/>
          <w:b/>
          <w:color w:val="auto"/>
          <w:sz w:val="24"/>
          <w:szCs w:val="24"/>
        </w:rPr>
        <w:t>1.供应商提出质疑时，应提交质疑函和必要的证明材料</w:t>
      </w:r>
      <w:r>
        <w:rPr>
          <w:rFonts w:hint="eastAsia" w:hAnsi="宋体"/>
          <w:b/>
          <w:bCs/>
          <w:color w:val="auto"/>
          <w:sz w:val="24"/>
          <w:szCs w:val="24"/>
        </w:rPr>
        <w:t>。</w:t>
      </w:r>
    </w:p>
    <w:p w14:paraId="567190F1">
      <w:pPr>
        <w:pStyle w:val="18"/>
        <w:spacing w:line="360" w:lineRule="auto"/>
        <w:ind w:left="25" w:leftChars="12" w:firstLine="354" w:firstLineChars="147"/>
        <w:contextualSpacing/>
        <w:rPr>
          <w:rFonts w:hint="eastAsia" w:hAnsi="宋体"/>
          <w:b/>
          <w:color w:val="auto"/>
          <w:sz w:val="24"/>
          <w:szCs w:val="24"/>
        </w:rPr>
      </w:pPr>
      <w:r>
        <w:rPr>
          <w:rFonts w:hint="eastAsia" w:hAnsi="宋体"/>
          <w:b/>
          <w:color w:val="auto"/>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4E9C565">
      <w:pPr>
        <w:pStyle w:val="18"/>
        <w:spacing w:line="360" w:lineRule="auto"/>
        <w:ind w:left="25" w:leftChars="12" w:firstLine="354" w:firstLineChars="147"/>
        <w:contextualSpacing/>
        <w:rPr>
          <w:rFonts w:hint="eastAsia" w:hAnsi="宋体"/>
          <w:b/>
          <w:color w:val="auto"/>
          <w:sz w:val="24"/>
          <w:szCs w:val="24"/>
        </w:rPr>
      </w:pPr>
      <w:r>
        <w:rPr>
          <w:rFonts w:hint="eastAsia" w:hAnsi="宋体"/>
          <w:b/>
          <w:color w:val="auto"/>
          <w:sz w:val="24"/>
          <w:szCs w:val="24"/>
        </w:rPr>
        <w:t>3.质疑函的质疑事项应具体、明确，并有必要的事实依据和法律依据。</w:t>
      </w:r>
    </w:p>
    <w:p w14:paraId="44BC28A4">
      <w:pPr>
        <w:pStyle w:val="18"/>
        <w:spacing w:line="360" w:lineRule="auto"/>
        <w:ind w:left="25" w:leftChars="12" w:firstLine="354" w:firstLineChars="147"/>
        <w:contextualSpacing/>
        <w:rPr>
          <w:rFonts w:hint="eastAsia" w:hAnsi="宋体"/>
          <w:b/>
          <w:color w:val="auto"/>
          <w:sz w:val="24"/>
          <w:szCs w:val="24"/>
        </w:rPr>
      </w:pPr>
      <w:r>
        <w:rPr>
          <w:rFonts w:hint="eastAsia" w:hAnsi="宋体"/>
          <w:b/>
          <w:color w:val="auto"/>
          <w:sz w:val="24"/>
          <w:szCs w:val="24"/>
        </w:rPr>
        <w:t>4.质疑函的质疑请求应与质疑事项相关。</w:t>
      </w:r>
    </w:p>
    <w:p w14:paraId="3F7D8515">
      <w:pPr>
        <w:pStyle w:val="18"/>
        <w:spacing w:line="360" w:lineRule="auto"/>
        <w:ind w:left="25" w:leftChars="12" w:firstLine="354" w:firstLineChars="147"/>
        <w:contextualSpacing/>
        <w:rPr>
          <w:rFonts w:hint="eastAsia" w:hAnsi="宋体"/>
          <w:b/>
          <w:color w:val="auto"/>
        </w:rPr>
      </w:pPr>
      <w:r>
        <w:rPr>
          <w:rFonts w:hint="eastAsia" w:hAnsi="宋体"/>
          <w:b/>
          <w:color w:val="auto"/>
          <w:sz w:val="24"/>
          <w:szCs w:val="24"/>
        </w:rPr>
        <w:t>5.质疑供应商为法人或者其他组织的，质疑函应由法定代表人、主要负责人，或者其授权代表签字或者盖章，并加盖公章。</w:t>
      </w:r>
    </w:p>
    <w:p w14:paraId="6261CECB">
      <w:pPr>
        <w:pStyle w:val="18"/>
        <w:snapToGrid w:val="0"/>
        <w:rPr>
          <w:rFonts w:hint="eastAsia"/>
          <w:b/>
          <w:color w:val="auto"/>
          <w:sz w:val="24"/>
          <w:szCs w:val="24"/>
        </w:rPr>
      </w:pPr>
    </w:p>
    <w:p w14:paraId="20C23646">
      <w:pPr>
        <w:rPr>
          <w:rFonts w:hint="eastAsia"/>
          <w:color w:val="auto"/>
          <w:sz w:val="32"/>
          <w:szCs w:val="40"/>
        </w:rPr>
      </w:pPr>
    </w:p>
    <w:p w14:paraId="0918F8E7">
      <w:pPr>
        <w:rPr>
          <w:rFonts w:hint="eastAsia"/>
          <w:color w:val="auto"/>
          <w:sz w:val="32"/>
          <w:szCs w:val="40"/>
        </w:rPr>
      </w:pPr>
    </w:p>
    <w:p w14:paraId="3EC53D0F">
      <w:pPr>
        <w:rPr>
          <w:rFonts w:hint="eastAsia"/>
          <w:color w:val="auto"/>
          <w:sz w:val="32"/>
          <w:szCs w:val="40"/>
        </w:rPr>
      </w:pPr>
    </w:p>
    <w:p w14:paraId="12C9127B">
      <w:pPr>
        <w:rPr>
          <w:rFonts w:hint="eastAsia"/>
          <w:color w:val="auto"/>
          <w:sz w:val="32"/>
          <w:szCs w:val="40"/>
        </w:rPr>
      </w:pPr>
    </w:p>
    <w:p w14:paraId="6C6785D2">
      <w:pPr>
        <w:rPr>
          <w:rFonts w:hint="eastAsia"/>
          <w:color w:val="auto"/>
          <w:sz w:val="32"/>
          <w:szCs w:val="40"/>
        </w:rPr>
      </w:pPr>
    </w:p>
    <w:p w14:paraId="1A190F67">
      <w:pPr>
        <w:rPr>
          <w:rFonts w:hint="eastAsia"/>
          <w:color w:val="auto"/>
          <w:sz w:val="32"/>
          <w:szCs w:val="40"/>
        </w:rPr>
      </w:pPr>
    </w:p>
    <w:p w14:paraId="3FB54B37">
      <w:pPr>
        <w:rPr>
          <w:rFonts w:hint="eastAsia"/>
          <w:color w:val="auto"/>
          <w:sz w:val="32"/>
          <w:szCs w:val="40"/>
        </w:rPr>
      </w:pPr>
    </w:p>
    <w:p w14:paraId="5180CA5D">
      <w:pPr>
        <w:rPr>
          <w:rFonts w:hint="eastAsia"/>
          <w:color w:val="auto"/>
          <w:sz w:val="32"/>
          <w:szCs w:val="40"/>
        </w:rPr>
      </w:pPr>
    </w:p>
    <w:p w14:paraId="24BF8B1A">
      <w:pPr>
        <w:rPr>
          <w:rFonts w:hint="eastAsia"/>
          <w:color w:val="auto"/>
          <w:sz w:val="32"/>
          <w:szCs w:val="40"/>
        </w:rPr>
      </w:pPr>
    </w:p>
    <w:p w14:paraId="5E5C8F86">
      <w:pPr>
        <w:rPr>
          <w:rFonts w:hint="eastAsia"/>
          <w:color w:val="auto"/>
          <w:sz w:val="32"/>
          <w:szCs w:val="40"/>
        </w:rPr>
      </w:pPr>
    </w:p>
    <w:p w14:paraId="7A804440">
      <w:pPr>
        <w:rPr>
          <w:rFonts w:hint="eastAsia"/>
          <w:color w:val="auto"/>
          <w:sz w:val="32"/>
          <w:szCs w:val="40"/>
        </w:rPr>
      </w:pPr>
    </w:p>
    <w:p w14:paraId="3B2A77EA">
      <w:pPr>
        <w:rPr>
          <w:rFonts w:hint="eastAsia"/>
          <w:color w:val="auto"/>
          <w:sz w:val="32"/>
          <w:szCs w:val="40"/>
        </w:rPr>
      </w:pPr>
    </w:p>
    <w:p w14:paraId="6A91CEF8">
      <w:pPr>
        <w:rPr>
          <w:rFonts w:hint="eastAsia"/>
          <w:color w:val="auto"/>
          <w:sz w:val="32"/>
          <w:szCs w:val="40"/>
        </w:rPr>
      </w:pPr>
    </w:p>
    <w:p w14:paraId="66FB9802">
      <w:pPr>
        <w:rPr>
          <w:rFonts w:hint="eastAsia"/>
          <w:color w:val="auto"/>
          <w:sz w:val="32"/>
          <w:szCs w:val="40"/>
        </w:rPr>
      </w:pPr>
    </w:p>
    <w:p w14:paraId="2AF3C613">
      <w:pPr>
        <w:rPr>
          <w:rFonts w:hint="eastAsia"/>
          <w:color w:val="auto"/>
          <w:sz w:val="32"/>
          <w:szCs w:val="40"/>
        </w:rPr>
      </w:pPr>
    </w:p>
    <w:p w14:paraId="2B8808C5">
      <w:pPr>
        <w:rPr>
          <w:rFonts w:hint="eastAsia"/>
          <w:color w:val="auto"/>
          <w:sz w:val="32"/>
          <w:szCs w:val="40"/>
        </w:rPr>
      </w:pPr>
    </w:p>
    <w:p w14:paraId="52487A27">
      <w:pPr>
        <w:rPr>
          <w:rFonts w:hint="eastAsia"/>
          <w:color w:val="auto"/>
          <w:sz w:val="32"/>
          <w:szCs w:val="40"/>
        </w:rPr>
      </w:pPr>
    </w:p>
    <w:p w14:paraId="58012FE4">
      <w:pPr>
        <w:rPr>
          <w:rFonts w:hint="eastAsia"/>
          <w:color w:val="auto"/>
          <w:sz w:val="32"/>
          <w:szCs w:val="40"/>
        </w:rPr>
      </w:pPr>
    </w:p>
    <w:p w14:paraId="72CECD72">
      <w:pPr>
        <w:rPr>
          <w:rFonts w:hint="eastAsia"/>
          <w:color w:val="auto"/>
          <w:sz w:val="32"/>
          <w:szCs w:val="40"/>
        </w:rPr>
      </w:pPr>
    </w:p>
    <w:p w14:paraId="54FD5F64">
      <w:pPr>
        <w:rPr>
          <w:rFonts w:hint="eastAsia"/>
          <w:color w:val="auto"/>
          <w:sz w:val="32"/>
          <w:szCs w:val="40"/>
        </w:rPr>
      </w:pPr>
    </w:p>
    <w:p w14:paraId="4498E5FD">
      <w:pPr>
        <w:rPr>
          <w:rFonts w:hint="eastAsia"/>
          <w:color w:val="auto"/>
          <w:sz w:val="32"/>
          <w:szCs w:val="40"/>
        </w:rPr>
      </w:pPr>
    </w:p>
    <w:p w14:paraId="1EFEE465">
      <w:pPr>
        <w:rPr>
          <w:rFonts w:hint="eastAsia"/>
          <w:color w:val="auto"/>
          <w:sz w:val="32"/>
          <w:szCs w:val="40"/>
        </w:rPr>
      </w:pPr>
    </w:p>
    <w:p w14:paraId="0E907ADB">
      <w:pPr>
        <w:rPr>
          <w:rFonts w:hint="eastAsia"/>
          <w:color w:val="auto"/>
          <w:sz w:val="32"/>
          <w:szCs w:val="40"/>
        </w:rPr>
      </w:pPr>
    </w:p>
    <w:p w14:paraId="43A81103">
      <w:pPr>
        <w:rPr>
          <w:rFonts w:hint="eastAsia"/>
          <w:color w:val="auto"/>
          <w:sz w:val="32"/>
          <w:szCs w:val="40"/>
        </w:rPr>
      </w:pPr>
    </w:p>
    <w:p w14:paraId="71B3AE7E">
      <w:pPr>
        <w:rPr>
          <w:rFonts w:hint="eastAsia"/>
          <w:color w:val="auto"/>
          <w:sz w:val="32"/>
          <w:szCs w:val="40"/>
        </w:rPr>
      </w:pPr>
    </w:p>
    <w:p w14:paraId="6C034A6B">
      <w:pPr>
        <w:rPr>
          <w:rFonts w:hint="eastAsia"/>
          <w:color w:val="auto"/>
          <w:sz w:val="32"/>
          <w:szCs w:val="40"/>
        </w:rPr>
      </w:pPr>
    </w:p>
    <w:p w14:paraId="739421D1">
      <w:pPr>
        <w:spacing w:line="360" w:lineRule="auto"/>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投诉书（格式）</w:t>
      </w:r>
    </w:p>
    <w:p w14:paraId="7D7EE0E8">
      <w:pPr>
        <w:pStyle w:val="18"/>
        <w:snapToGrid w:val="0"/>
        <w:spacing w:line="360" w:lineRule="auto"/>
        <w:ind w:firstLine="482" w:firstLineChars="200"/>
        <w:rPr>
          <w:rFonts w:hAnsi="宋体"/>
          <w:b/>
          <w:bCs/>
          <w:color w:val="auto"/>
          <w:sz w:val="24"/>
          <w:szCs w:val="24"/>
        </w:rPr>
      </w:pPr>
      <w:r>
        <w:rPr>
          <w:rFonts w:hint="eastAsia" w:hAnsi="宋体"/>
          <w:b/>
          <w:bCs/>
          <w:color w:val="auto"/>
          <w:sz w:val="24"/>
          <w:szCs w:val="24"/>
        </w:rPr>
        <w:t>一、投诉相关主体基本情况：</w:t>
      </w:r>
    </w:p>
    <w:p w14:paraId="3BE9EB0F">
      <w:pPr>
        <w:pStyle w:val="18"/>
        <w:snapToGrid w:val="0"/>
        <w:spacing w:line="360" w:lineRule="auto"/>
        <w:ind w:firstLine="480" w:firstLineChars="200"/>
        <w:rPr>
          <w:rFonts w:hint="eastAsia" w:hAnsi="宋体"/>
          <w:bCs/>
          <w:color w:val="auto"/>
          <w:sz w:val="24"/>
          <w:szCs w:val="24"/>
          <w:u w:val="single"/>
        </w:rPr>
      </w:pPr>
      <w:r>
        <w:rPr>
          <w:rFonts w:hint="eastAsia" w:hAnsi="宋体"/>
          <w:bCs/>
          <w:color w:val="auto"/>
          <w:sz w:val="24"/>
          <w:szCs w:val="24"/>
        </w:rPr>
        <w:t>供应商：</w:t>
      </w:r>
      <w:r>
        <w:rPr>
          <w:rFonts w:hint="eastAsia" w:hAnsi="宋体"/>
          <w:bCs/>
          <w:color w:val="auto"/>
          <w:sz w:val="24"/>
          <w:szCs w:val="24"/>
          <w:u w:val="single"/>
        </w:rPr>
        <w:t xml:space="preserve">                                                                        </w:t>
      </w:r>
      <w:r>
        <w:rPr>
          <w:rFonts w:hint="eastAsia" w:hAnsi="宋体"/>
          <w:bCs/>
          <w:color w:val="auto"/>
          <w:sz w:val="24"/>
          <w:szCs w:val="24"/>
        </w:rPr>
        <w:t xml:space="preserve">                 </w:t>
      </w:r>
    </w:p>
    <w:p w14:paraId="57702324">
      <w:pPr>
        <w:pStyle w:val="18"/>
        <w:snapToGrid w:val="0"/>
        <w:spacing w:line="360" w:lineRule="auto"/>
        <w:ind w:firstLine="480" w:firstLineChars="200"/>
        <w:rPr>
          <w:rFonts w:hint="eastAsia"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14:paraId="6F97EE71">
      <w:pPr>
        <w:pStyle w:val="18"/>
        <w:snapToGrid w:val="0"/>
        <w:spacing w:line="360" w:lineRule="auto"/>
        <w:ind w:firstLine="480" w:firstLineChars="200"/>
        <w:rPr>
          <w:rFonts w:hint="eastAsia" w:hAnsi="宋体"/>
          <w:bCs/>
          <w:color w:val="auto"/>
          <w:sz w:val="24"/>
          <w:szCs w:val="24"/>
          <w:u w:val="single"/>
        </w:rPr>
      </w:pPr>
      <w:r>
        <w:rPr>
          <w:rFonts w:hint="eastAsia" w:hAnsi="宋体"/>
          <w:bCs/>
          <w:color w:val="auto"/>
          <w:sz w:val="24"/>
          <w:szCs w:val="24"/>
        </w:rPr>
        <w:t>法定代表人/主要负责人：</w:t>
      </w:r>
      <w:r>
        <w:rPr>
          <w:rFonts w:hint="eastAsia" w:hAnsi="宋体"/>
          <w:bCs/>
          <w:color w:val="auto"/>
          <w:sz w:val="24"/>
          <w:szCs w:val="24"/>
          <w:u w:val="single"/>
        </w:rPr>
        <w:t xml:space="preserve">                                                         </w:t>
      </w:r>
    </w:p>
    <w:p w14:paraId="6F1CF9DD">
      <w:pPr>
        <w:pStyle w:val="18"/>
        <w:snapToGrid w:val="0"/>
        <w:spacing w:line="360" w:lineRule="auto"/>
        <w:ind w:firstLine="480" w:firstLineChars="200"/>
        <w:rPr>
          <w:rFonts w:hint="eastAsia" w:hAnsi="宋体"/>
          <w:bCs/>
          <w:color w:val="auto"/>
          <w:sz w:val="24"/>
          <w:szCs w:val="24"/>
        </w:rPr>
      </w:pPr>
      <w:r>
        <w:rPr>
          <w:rFonts w:hAnsi="宋体"/>
          <w:bCs/>
          <w:color w:val="auto"/>
          <w:sz w:val="24"/>
          <w:szCs w:val="24"/>
        </w:rPr>
        <w:t>联系电话</w:t>
      </w:r>
      <w:r>
        <w:rPr>
          <w:rFonts w:hint="eastAsia" w:hAnsi="宋体"/>
          <w:bCs/>
          <w:color w:val="auto"/>
          <w:sz w:val="24"/>
          <w:szCs w:val="24"/>
        </w:rPr>
        <w:t>：</w:t>
      </w:r>
      <w:r>
        <w:rPr>
          <w:rFonts w:hint="eastAsia" w:hAnsi="宋体"/>
          <w:bCs/>
          <w:color w:val="auto"/>
          <w:sz w:val="24"/>
          <w:szCs w:val="24"/>
          <w:u w:val="single"/>
        </w:rPr>
        <w:t xml:space="preserve">                                         </w:t>
      </w:r>
    </w:p>
    <w:p w14:paraId="4EFABD5C">
      <w:pPr>
        <w:pStyle w:val="18"/>
        <w:snapToGrid w:val="0"/>
        <w:spacing w:line="360" w:lineRule="auto"/>
        <w:ind w:firstLine="480" w:firstLineChars="200"/>
        <w:rPr>
          <w:rFonts w:hint="eastAsia" w:hAnsi="宋体"/>
          <w:bCs/>
          <w:color w:val="auto"/>
          <w:sz w:val="24"/>
          <w:szCs w:val="24"/>
          <w:u w:val="single"/>
        </w:rPr>
      </w:pPr>
      <w:r>
        <w:rPr>
          <w:rFonts w:hint="eastAsia" w:hAnsi="宋体"/>
          <w:bCs/>
          <w:color w:val="auto"/>
          <w:sz w:val="24"/>
          <w:szCs w:val="24"/>
        </w:rPr>
        <w:t>授权代表：</w:t>
      </w:r>
      <w:r>
        <w:rPr>
          <w:rFonts w:hint="eastAsia" w:hAnsi="宋体"/>
          <w:bCs/>
          <w:color w:val="auto"/>
          <w:sz w:val="24"/>
          <w:szCs w:val="24"/>
          <w:u w:val="single"/>
        </w:rPr>
        <w:t xml:space="preserve">                                         </w:t>
      </w:r>
      <w:r>
        <w:rPr>
          <w:rFonts w:hAnsi="宋体"/>
          <w:bCs/>
          <w:color w:val="auto"/>
          <w:sz w:val="24"/>
          <w:szCs w:val="24"/>
        </w:rPr>
        <w:t>联系</w:t>
      </w:r>
      <w:r>
        <w:rPr>
          <w:rFonts w:hint="eastAsia" w:hAnsi="宋体"/>
          <w:bCs/>
          <w:color w:val="auto"/>
          <w:sz w:val="24"/>
          <w:szCs w:val="24"/>
        </w:rPr>
        <w:t>电话：</w:t>
      </w:r>
      <w:r>
        <w:rPr>
          <w:rFonts w:hint="eastAsia" w:hAnsi="宋体"/>
          <w:bCs/>
          <w:color w:val="auto"/>
          <w:sz w:val="24"/>
          <w:szCs w:val="24"/>
          <w:u w:val="single"/>
        </w:rPr>
        <w:t xml:space="preserve">                   </w:t>
      </w:r>
    </w:p>
    <w:p w14:paraId="3C65A8C5">
      <w:pPr>
        <w:pStyle w:val="18"/>
        <w:snapToGrid w:val="0"/>
        <w:spacing w:line="360" w:lineRule="auto"/>
        <w:ind w:firstLine="480" w:firstLineChars="200"/>
        <w:rPr>
          <w:rFonts w:hint="eastAsia" w:hAnsi="宋体"/>
          <w:bCs/>
          <w:color w:val="auto"/>
          <w:sz w:val="24"/>
          <w:szCs w:val="24"/>
          <w:u w:val="single"/>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p>
    <w:p w14:paraId="1FF2C1F7">
      <w:pPr>
        <w:pStyle w:val="18"/>
        <w:snapToGrid w:val="0"/>
        <w:spacing w:line="360" w:lineRule="auto"/>
        <w:ind w:firstLine="480" w:firstLineChars="200"/>
        <w:rPr>
          <w:rFonts w:hint="eastAsia" w:hAnsi="宋体"/>
          <w:bCs/>
          <w:color w:val="auto"/>
          <w:sz w:val="24"/>
          <w:szCs w:val="24"/>
        </w:rPr>
      </w:pP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14:paraId="7ED2D6C7">
      <w:pPr>
        <w:pStyle w:val="18"/>
        <w:snapToGrid w:val="0"/>
        <w:spacing w:line="360" w:lineRule="auto"/>
        <w:ind w:firstLine="480" w:firstLineChars="200"/>
        <w:rPr>
          <w:rFonts w:hint="eastAsia" w:hAnsi="宋体"/>
          <w:bCs/>
          <w:color w:val="auto"/>
          <w:sz w:val="24"/>
          <w:szCs w:val="24"/>
        </w:rPr>
      </w:pPr>
      <w:r>
        <w:rPr>
          <w:rFonts w:hint="eastAsia" w:hAnsi="宋体"/>
          <w:bCs/>
          <w:color w:val="auto"/>
          <w:sz w:val="24"/>
          <w:szCs w:val="24"/>
        </w:rPr>
        <w:t>被投诉人1：</w:t>
      </w:r>
    </w:p>
    <w:p w14:paraId="28FF5605">
      <w:pPr>
        <w:pStyle w:val="18"/>
        <w:snapToGrid w:val="0"/>
        <w:spacing w:line="360" w:lineRule="auto"/>
        <w:ind w:firstLine="480" w:firstLineChars="200"/>
        <w:rPr>
          <w:rFonts w:hint="eastAsia" w:hAnsi="宋体"/>
          <w:bCs/>
          <w:color w:val="auto"/>
          <w:sz w:val="24"/>
          <w:szCs w:val="24"/>
          <w:u w:val="single"/>
        </w:rPr>
      </w:pPr>
      <w:r>
        <w:rPr>
          <w:rFonts w:hint="eastAsia" w:hAnsi="宋体"/>
          <w:bCs/>
          <w:color w:val="auto"/>
          <w:sz w:val="24"/>
          <w:szCs w:val="24"/>
        </w:rPr>
        <w:t>地址：</w:t>
      </w:r>
      <w:r>
        <w:rPr>
          <w:rFonts w:hint="eastAsia" w:hAnsi="宋体"/>
          <w:bCs/>
          <w:color w:val="auto"/>
          <w:sz w:val="24"/>
          <w:szCs w:val="24"/>
          <w:u w:val="single"/>
        </w:rPr>
        <w:t xml:space="preserve">                                                            </w:t>
      </w:r>
    </w:p>
    <w:p w14:paraId="5D70BDB7">
      <w:pPr>
        <w:pStyle w:val="18"/>
        <w:snapToGrid w:val="0"/>
        <w:spacing w:line="360" w:lineRule="auto"/>
        <w:ind w:firstLine="480" w:firstLineChars="200"/>
        <w:rPr>
          <w:rFonts w:hint="eastAsia" w:hAnsi="宋体"/>
          <w:bCs/>
          <w:color w:val="auto"/>
          <w:sz w:val="24"/>
          <w:szCs w:val="24"/>
        </w:rPr>
      </w:pP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14:paraId="1E1A43EE">
      <w:pPr>
        <w:pStyle w:val="18"/>
        <w:snapToGrid w:val="0"/>
        <w:spacing w:line="360" w:lineRule="auto"/>
        <w:ind w:firstLine="480" w:firstLineChars="200"/>
        <w:rPr>
          <w:rFonts w:hint="eastAsia" w:hAnsi="宋体"/>
          <w:bCs/>
          <w:color w:val="auto"/>
          <w:sz w:val="24"/>
          <w:szCs w:val="24"/>
          <w:u w:val="single"/>
        </w:rPr>
      </w:pPr>
      <w:r>
        <w:rPr>
          <w:rFonts w:hint="eastAsia" w:hAnsi="宋体"/>
          <w:bCs/>
          <w:color w:val="auto"/>
          <w:sz w:val="24"/>
          <w:szCs w:val="24"/>
        </w:rPr>
        <w:t>联系人：</w:t>
      </w:r>
      <w:r>
        <w:rPr>
          <w:rFonts w:hint="eastAsia" w:hAnsi="宋体"/>
          <w:bCs/>
          <w:color w:val="auto"/>
          <w:sz w:val="24"/>
          <w:szCs w:val="24"/>
          <w:u w:val="single"/>
        </w:rPr>
        <w:t xml:space="preserve">                                                </w:t>
      </w:r>
      <w:r>
        <w:rPr>
          <w:rFonts w:hAnsi="宋体"/>
          <w:bCs/>
          <w:color w:val="auto"/>
          <w:sz w:val="24"/>
          <w:szCs w:val="24"/>
        </w:rPr>
        <w:t>联系</w:t>
      </w:r>
      <w:r>
        <w:rPr>
          <w:rFonts w:hint="eastAsia" w:hAnsi="宋体"/>
          <w:bCs/>
          <w:color w:val="auto"/>
          <w:sz w:val="24"/>
          <w:szCs w:val="24"/>
        </w:rPr>
        <w:t>电话：</w:t>
      </w:r>
      <w:r>
        <w:rPr>
          <w:rFonts w:hint="eastAsia" w:hAnsi="宋体"/>
          <w:bCs/>
          <w:color w:val="auto"/>
          <w:sz w:val="24"/>
          <w:szCs w:val="24"/>
          <w:u w:val="single"/>
        </w:rPr>
        <w:t xml:space="preserve">                </w:t>
      </w:r>
    </w:p>
    <w:p w14:paraId="0391D5DE">
      <w:pPr>
        <w:pStyle w:val="18"/>
        <w:snapToGrid w:val="0"/>
        <w:spacing w:line="360" w:lineRule="auto"/>
        <w:ind w:firstLine="480" w:firstLineChars="200"/>
        <w:rPr>
          <w:rFonts w:hint="eastAsia" w:hAnsi="宋体"/>
          <w:bCs/>
          <w:color w:val="auto"/>
          <w:sz w:val="24"/>
          <w:szCs w:val="24"/>
        </w:rPr>
      </w:pPr>
      <w:r>
        <w:rPr>
          <w:rFonts w:hint="eastAsia" w:hAnsi="宋体"/>
          <w:bCs/>
          <w:color w:val="auto"/>
          <w:sz w:val="24"/>
          <w:szCs w:val="24"/>
        </w:rPr>
        <w:t>被投诉人2：</w:t>
      </w:r>
    </w:p>
    <w:p w14:paraId="2083F35B">
      <w:pPr>
        <w:pStyle w:val="18"/>
        <w:snapToGrid w:val="0"/>
        <w:spacing w:line="360" w:lineRule="auto"/>
        <w:ind w:firstLine="480" w:firstLineChars="200"/>
        <w:rPr>
          <w:rFonts w:hint="eastAsia" w:hAnsi="宋体"/>
          <w:bCs/>
          <w:color w:val="auto"/>
          <w:sz w:val="24"/>
          <w:szCs w:val="24"/>
        </w:rPr>
      </w:pPr>
      <w:r>
        <w:rPr>
          <w:rFonts w:hAnsi="宋体"/>
          <w:bCs/>
          <w:color w:val="auto"/>
          <w:sz w:val="24"/>
          <w:szCs w:val="24"/>
        </w:rPr>
        <w:t>……</w:t>
      </w:r>
    </w:p>
    <w:p w14:paraId="41AF5E25">
      <w:pPr>
        <w:pStyle w:val="18"/>
        <w:snapToGrid w:val="0"/>
        <w:spacing w:line="360" w:lineRule="auto"/>
        <w:ind w:firstLine="480" w:firstLineChars="200"/>
        <w:rPr>
          <w:rFonts w:hint="eastAsia" w:hAnsi="宋体"/>
          <w:bCs/>
          <w:color w:val="auto"/>
          <w:sz w:val="24"/>
          <w:szCs w:val="24"/>
          <w:u w:val="single"/>
        </w:rPr>
      </w:pPr>
      <w:r>
        <w:rPr>
          <w:rFonts w:hint="eastAsia" w:hAnsi="宋体"/>
          <w:bCs/>
          <w:color w:val="auto"/>
          <w:sz w:val="24"/>
          <w:szCs w:val="24"/>
        </w:rPr>
        <w:t>相关供应商：</w:t>
      </w:r>
      <w:r>
        <w:rPr>
          <w:rFonts w:hint="eastAsia" w:hAnsi="宋体"/>
          <w:bCs/>
          <w:color w:val="auto"/>
          <w:sz w:val="24"/>
          <w:szCs w:val="24"/>
          <w:u w:val="single"/>
        </w:rPr>
        <w:t xml:space="preserve">                                                                       </w:t>
      </w:r>
    </w:p>
    <w:p w14:paraId="64A9163E">
      <w:pPr>
        <w:pStyle w:val="18"/>
        <w:snapToGrid w:val="0"/>
        <w:spacing w:line="360" w:lineRule="auto"/>
        <w:ind w:firstLine="480" w:firstLineChars="200"/>
        <w:rPr>
          <w:rFonts w:hint="eastAsia" w:hAnsi="宋体"/>
          <w:bCs/>
          <w:color w:val="auto"/>
          <w:sz w:val="24"/>
          <w:szCs w:val="24"/>
          <w:u w:val="single"/>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p>
    <w:p w14:paraId="59362D64">
      <w:pPr>
        <w:pStyle w:val="18"/>
        <w:snapToGrid w:val="0"/>
        <w:spacing w:line="360" w:lineRule="auto"/>
        <w:ind w:firstLine="480" w:firstLineChars="200"/>
        <w:rPr>
          <w:rFonts w:hint="eastAsia" w:hAnsi="宋体"/>
          <w:bCs/>
          <w:color w:val="auto"/>
          <w:sz w:val="24"/>
          <w:szCs w:val="24"/>
        </w:rPr>
      </w:pPr>
      <w:r>
        <w:rPr>
          <w:rFonts w:hint="eastAsia" w:hAnsi="宋体"/>
          <w:bCs/>
          <w:color w:val="auto"/>
          <w:sz w:val="24"/>
          <w:szCs w:val="24"/>
        </w:rPr>
        <w:t>联系人：</w:t>
      </w:r>
      <w:r>
        <w:rPr>
          <w:rFonts w:hint="eastAsia" w:hAnsi="宋体"/>
          <w:bCs/>
          <w:color w:val="auto"/>
          <w:sz w:val="24"/>
          <w:szCs w:val="24"/>
          <w:u w:val="single"/>
        </w:rPr>
        <w:t xml:space="preserve">                                            </w:t>
      </w:r>
      <w:r>
        <w:rPr>
          <w:rFonts w:hAnsi="宋体"/>
          <w:bCs/>
          <w:color w:val="auto"/>
          <w:sz w:val="24"/>
          <w:szCs w:val="24"/>
        </w:rPr>
        <w:t>联系</w:t>
      </w:r>
      <w:r>
        <w:rPr>
          <w:rFonts w:hint="eastAsia" w:hAnsi="宋体"/>
          <w:bCs/>
          <w:color w:val="auto"/>
          <w:sz w:val="24"/>
          <w:szCs w:val="24"/>
        </w:rPr>
        <w:t>电话：</w:t>
      </w:r>
      <w:r>
        <w:rPr>
          <w:rFonts w:hint="eastAsia" w:hAnsi="宋体"/>
          <w:bCs/>
          <w:color w:val="auto"/>
          <w:sz w:val="24"/>
          <w:szCs w:val="24"/>
          <w:u w:val="single"/>
        </w:rPr>
        <w:t xml:space="preserve">                     </w:t>
      </w:r>
      <w:r>
        <w:rPr>
          <w:rFonts w:hint="eastAsia" w:hAnsi="宋体"/>
          <w:bCs/>
          <w:color w:val="auto"/>
          <w:sz w:val="24"/>
          <w:szCs w:val="24"/>
        </w:rPr>
        <w:t xml:space="preserve">                </w:t>
      </w:r>
    </w:p>
    <w:p w14:paraId="0398091E">
      <w:pPr>
        <w:pStyle w:val="18"/>
        <w:snapToGrid w:val="0"/>
        <w:spacing w:line="360" w:lineRule="auto"/>
        <w:ind w:firstLine="482" w:firstLineChars="200"/>
        <w:rPr>
          <w:rFonts w:hint="eastAsia" w:hAnsi="宋体"/>
          <w:b/>
          <w:bCs/>
          <w:color w:val="auto"/>
          <w:sz w:val="24"/>
          <w:szCs w:val="24"/>
        </w:rPr>
      </w:pPr>
      <w:r>
        <w:rPr>
          <w:rFonts w:hint="eastAsia" w:hAnsi="宋体"/>
          <w:b/>
          <w:bCs/>
          <w:color w:val="auto"/>
          <w:sz w:val="24"/>
          <w:szCs w:val="24"/>
        </w:rPr>
        <w:t>二、投诉项目基本情况：</w:t>
      </w:r>
    </w:p>
    <w:p w14:paraId="2BD11B25">
      <w:pPr>
        <w:pStyle w:val="18"/>
        <w:spacing w:line="360" w:lineRule="auto"/>
        <w:ind w:left="25" w:leftChars="12" w:firstLine="472" w:firstLineChars="197"/>
        <w:rPr>
          <w:rFonts w:hint="eastAsia" w:hAnsi="宋体"/>
          <w:color w:val="auto"/>
          <w:sz w:val="24"/>
          <w:szCs w:val="24"/>
        </w:rPr>
      </w:pPr>
      <w:r>
        <w:rPr>
          <w:rFonts w:hint="eastAsia" w:hAnsi="宋体"/>
          <w:bCs/>
          <w:color w:val="auto"/>
          <w:sz w:val="24"/>
          <w:szCs w:val="24"/>
        </w:rPr>
        <w:t>采购</w:t>
      </w:r>
      <w:r>
        <w:rPr>
          <w:rFonts w:hint="eastAsia" w:hAnsi="宋体"/>
          <w:color w:val="auto"/>
          <w:sz w:val="24"/>
          <w:szCs w:val="24"/>
        </w:rPr>
        <w:t>项目的名称：</w:t>
      </w:r>
      <w:r>
        <w:rPr>
          <w:rFonts w:hint="eastAsia" w:hAnsi="宋体"/>
          <w:bCs/>
          <w:color w:val="auto"/>
          <w:sz w:val="24"/>
          <w:szCs w:val="24"/>
          <w:u w:val="single"/>
        </w:rPr>
        <w:t xml:space="preserve">                                                                   </w:t>
      </w:r>
    </w:p>
    <w:p w14:paraId="4BA90F3D">
      <w:pPr>
        <w:pStyle w:val="18"/>
        <w:spacing w:line="360" w:lineRule="auto"/>
        <w:ind w:left="25" w:leftChars="12" w:firstLine="472" w:firstLineChars="197"/>
        <w:rPr>
          <w:rFonts w:hint="eastAsia" w:hAnsi="宋体"/>
          <w:color w:val="auto"/>
          <w:sz w:val="24"/>
          <w:szCs w:val="24"/>
        </w:rPr>
      </w:pPr>
      <w:r>
        <w:rPr>
          <w:rFonts w:hint="eastAsia" w:hAnsi="宋体"/>
          <w:bCs/>
          <w:color w:val="auto"/>
          <w:sz w:val="24"/>
          <w:szCs w:val="24"/>
        </w:rPr>
        <w:t>采购</w:t>
      </w:r>
      <w:r>
        <w:rPr>
          <w:rFonts w:hint="eastAsia" w:hAnsi="宋体"/>
          <w:color w:val="auto"/>
          <w:sz w:val="24"/>
          <w:szCs w:val="24"/>
        </w:rPr>
        <w:t>项目的编号：</w:t>
      </w:r>
      <w:r>
        <w:rPr>
          <w:rFonts w:hint="eastAsia" w:hAnsi="宋体"/>
          <w:bCs/>
          <w:color w:val="auto"/>
          <w:sz w:val="24"/>
          <w:szCs w:val="24"/>
          <w:u w:val="single"/>
        </w:rPr>
        <w:t xml:space="preserve">                                          </w:t>
      </w:r>
    </w:p>
    <w:p w14:paraId="3CC4D835">
      <w:pPr>
        <w:pStyle w:val="18"/>
        <w:spacing w:line="360" w:lineRule="auto"/>
        <w:ind w:left="25" w:leftChars="12" w:firstLine="472" w:firstLineChars="197"/>
        <w:rPr>
          <w:rFonts w:hint="eastAsia" w:hAnsi="宋体"/>
          <w:bCs/>
          <w:color w:val="auto"/>
          <w:sz w:val="24"/>
          <w:szCs w:val="24"/>
          <w:u w:val="single"/>
        </w:rPr>
      </w:pPr>
      <w:r>
        <w:rPr>
          <w:rFonts w:hint="eastAsia" w:hAnsi="宋体"/>
          <w:color w:val="auto"/>
          <w:sz w:val="24"/>
          <w:szCs w:val="24"/>
        </w:rPr>
        <w:t>采购人名称：</w:t>
      </w:r>
      <w:r>
        <w:rPr>
          <w:rFonts w:hint="eastAsia" w:hAnsi="宋体"/>
          <w:bCs/>
          <w:color w:val="auto"/>
          <w:sz w:val="24"/>
          <w:szCs w:val="24"/>
          <w:u w:val="single"/>
        </w:rPr>
        <w:t xml:space="preserve">                                                                        </w:t>
      </w:r>
    </w:p>
    <w:p w14:paraId="3231968F">
      <w:pPr>
        <w:pStyle w:val="18"/>
        <w:spacing w:line="360" w:lineRule="auto"/>
        <w:ind w:left="25" w:leftChars="12" w:firstLine="472" w:firstLineChars="197"/>
        <w:rPr>
          <w:rFonts w:hint="eastAsia" w:hAnsi="宋体"/>
          <w:bCs/>
          <w:color w:val="auto"/>
          <w:sz w:val="24"/>
          <w:szCs w:val="24"/>
          <w:u w:val="single"/>
        </w:rPr>
      </w:pPr>
      <w:r>
        <w:rPr>
          <w:rFonts w:hint="eastAsia" w:hAnsi="宋体"/>
          <w:color w:val="auto"/>
          <w:sz w:val="24"/>
          <w:szCs w:val="24"/>
        </w:rPr>
        <w:t>代理机构名称：</w:t>
      </w:r>
      <w:r>
        <w:rPr>
          <w:rFonts w:hint="eastAsia" w:hAnsi="宋体"/>
          <w:bCs/>
          <w:color w:val="auto"/>
          <w:sz w:val="24"/>
          <w:szCs w:val="24"/>
          <w:u w:val="single"/>
        </w:rPr>
        <w:t xml:space="preserve">                                                                      </w:t>
      </w:r>
    </w:p>
    <w:p w14:paraId="501C509C">
      <w:pPr>
        <w:pStyle w:val="18"/>
        <w:spacing w:line="360" w:lineRule="auto"/>
        <w:ind w:left="25" w:leftChars="12" w:firstLine="472" w:firstLineChars="197"/>
        <w:rPr>
          <w:rFonts w:hint="eastAsia" w:hAnsi="宋体"/>
          <w:bCs/>
          <w:color w:val="auto"/>
          <w:sz w:val="24"/>
          <w:szCs w:val="24"/>
          <w:u w:val="single"/>
        </w:rPr>
      </w:pPr>
      <w:r>
        <w:rPr>
          <w:rFonts w:hint="eastAsia" w:hAnsi="宋体"/>
          <w:bCs/>
          <w:color w:val="auto"/>
          <w:sz w:val="24"/>
          <w:szCs w:val="24"/>
        </w:rPr>
        <w:t>招标文件公告：</w:t>
      </w:r>
      <w:r>
        <w:rPr>
          <w:rFonts w:hint="eastAsia" w:hAnsi="宋体"/>
          <w:bCs/>
          <w:color w:val="auto"/>
          <w:sz w:val="24"/>
          <w:szCs w:val="24"/>
          <w:u w:val="single"/>
        </w:rPr>
        <w:t>是/否</w:t>
      </w:r>
      <w:r>
        <w:rPr>
          <w:rFonts w:hint="eastAsia" w:hAnsi="宋体"/>
          <w:bCs/>
          <w:color w:val="auto"/>
          <w:sz w:val="24"/>
          <w:szCs w:val="24"/>
        </w:rPr>
        <w:t>公告期限：</w:t>
      </w:r>
      <w:r>
        <w:rPr>
          <w:rFonts w:hint="eastAsia" w:hAnsi="宋体"/>
          <w:bCs/>
          <w:color w:val="auto"/>
          <w:sz w:val="24"/>
          <w:szCs w:val="24"/>
          <w:u w:val="single"/>
        </w:rPr>
        <w:t xml:space="preserve">                                                       </w:t>
      </w:r>
    </w:p>
    <w:p w14:paraId="725C2CDE">
      <w:pPr>
        <w:pStyle w:val="18"/>
        <w:spacing w:line="360" w:lineRule="auto"/>
        <w:ind w:left="25" w:leftChars="12" w:firstLine="472" w:firstLineChars="197"/>
        <w:rPr>
          <w:rFonts w:hint="eastAsia" w:hAnsi="宋体"/>
          <w:b/>
          <w:color w:val="auto"/>
          <w:sz w:val="24"/>
          <w:szCs w:val="24"/>
        </w:rPr>
      </w:pPr>
      <w:r>
        <w:rPr>
          <w:rFonts w:hint="eastAsia" w:hAnsi="宋体"/>
          <w:bCs/>
          <w:color w:val="auto"/>
          <w:sz w:val="24"/>
          <w:szCs w:val="24"/>
        </w:rPr>
        <w:t>采购结果公告：</w:t>
      </w:r>
      <w:r>
        <w:rPr>
          <w:rFonts w:hint="eastAsia" w:hAnsi="宋体"/>
          <w:bCs/>
          <w:color w:val="auto"/>
          <w:sz w:val="24"/>
          <w:szCs w:val="24"/>
          <w:u w:val="single"/>
        </w:rPr>
        <w:t>是/否</w:t>
      </w:r>
      <w:r>
        <w:rPr>
          <w:rFonts w:hint="eastAsia" w:hAnsi="宋体"/>
          <w:bCs/>
          <w:color w:val="auto"/>
          <w:sz w:val="24"/>
          <w:szCs w:val="24"/>
        </w:rPr>
        <w:t>公告期限：</w:t>
      </w:r>
      <w:r>
        <w:rPr>
          <w:rFonts w:hint="eastAsia" w:hAnsi="宋体"/>
          <w:bCs/>
          <w:color w:val="auto"/>
          <w:sz w:val="24"/>
          <w:szCs w:val="24"/>
          <w:u w:val="single"/>
        </w:rPr>
        <w:t xml:space="preserve">                                                       </w:t>
      </w:r>
    </w:p>
    <w:p w14:paraId="60B3EC85">
      <w:pPr>
        <w:pStyle w:val="18"/>
        <w:spacing w:line="360" w:lineRule="auto"/>
        <w:ind w:left="25" w:leftChars="12" w:firstLine="472" w:firstLineChars="196"/>
        <w:rPr>
          <w:rFonts w:hint="eastAsia" w:hAnsi="宋体"/>
          <w:b/>
          <w:color w:val="auto"/>
          <w:sz w:val="24"/>
          <w:szCs w:val="24"/>
        </w:rPr>
      </w:pPr>
      <w:r>
        <w:rPr>
          <w:rFonts w:hint="eastAsia" w:hAnsi="宋体"/>
          <w:b/>
          <w:color w:val="auto"/>
          <w:sz w:val="24"/>
          <w:szCs w:val="24"/>
        </w:rPr>
        <w:t>三、质疑基本情况</w:t>
      </w:r>
    </w:p>
    <w:p w14:paraId="1A2FCEB7">
      <w:pPr>
        <w:pStyle w:val="18"/>
        <w:spacing w:line="360" w:lineRule="auto"/>
        <w:ind w:firstLine="480" w:firstLineChars="200"/>
        <w:rPr>
          <w:rFonts w:hint="eastAsia" w:hAnsi="宋体"/>
          <w:color w:val="auto"/>
          <w:sz w:val="24"/>
          <w:szCs w:val="24"/>
        </w:rPr>
      </w:pPr>
      <w:r>
        <w:rPr>
          <w:rFonts w:hint="eastAsia" w:hAnsi="宋体"/>
          <w:color w:val="auto"/>
          <w:sz w:val="24"/>
          <w:szCs w:val="24"/>
        </w:rPr>
        <w:t>投诉人于</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日，向</w:t>
      </w:r>
      <w:r>
        <w:rPr>
          <w:rFonts w:hint="eastAsia" w:hAnsi="宋体"/>
          <w:color w:val="auto"/>
          <w:sz w:val="24"/>
          <w:szCs w:val="24"/>
          <w:u w:val="single"/>
        </w:rPr>
        <w:t xml:space="preserve">                                </w:t>
      </w:r>
      <w:r>
        <w:rPr>
          <w:rFonts w:hint="eastAsia" w:hAnsi="宋体"/>
          <w:color w:val="auto"/>
          <w:sz w:val="24"/>
          <w:szCs w:val="24"/>
        </w:rPr>
        <w:t>提出质疑，质疑事项为：</w:t>
      </w:r>
    </w:p>
    <w:p w14:paraId="1D689DA4">
      <w:pPr>
        <w:pStyle w:val="18"/>
        <w:spacing w:line="360" w:lineRule="auto"/>
        <w:ind w:firstLine="241"/>
        <w:rPr>
          <w:rFonts w:hint="eastAsia" w:hAnsi="宋体"/>
          <w:bCs/>
          <w:color w:val="auto"/>
          <w:sz w:val="24"/>
          <w:szCs w:val="24"/>
          <w:u w:val="single"/>
        </w:rPr>
      </w:pPr>
      <w:r>
        <w:rPr>
          <w:rFonts w:hint="eastAsia" w:hAnsi="宋体"/>
          <w:color w:val="auto"/>
          <w:sz w:val="24"/>
          <w:szCs w:val="24"/>
        </w:rPr>
        <w:t xml:space="preserve">    </w:t>
      </w:r>
      <w:r>
        <w:rPr>
          <w:rFonts w:hint="eastAsia" w:hAnsi="宋体"/>
          <w:bCs/>
          <w:color w:val="auto"/>
          <w:sz w:val="24"/>
          <w:szCs w:val="24"/>
          <w:u w:val="single"/>
        </w:rPr>
        <w:t xml:space="preserve">                                                                                      </w:t>
      </w:r>
    </w:p>
    <w:p w14:paraId="0D1FC08E">
      <w:pPr>
        <w:pStyle w:val="18"/>
        <w:spacing w:line="360" w:lineRule="auto"/>
        <w:ind w:firstLine="241"/>
        <w:rPr>
          <w:rFonts w:hint="eastAsia" w:hAnsi="宋体"/>
          <w:bCs/>
          <w:color w:val="auto"/>
          <w:sz w:val="24"/>
          <w:szCs w:val="24"/>
          <w:u w:val="single"/>
        </w:rPr>
      </w:pPr>
      <w:r>
        <w:rPr>
          <w:rFonts w:hint="eastAsia" w:hAnsi="宋体"/>
          <w:bCs/>
          <w:color w:val="auto"/>
          <w:sz w:val="24"/>
          <w:szCs w:val="24"/>
        </w:rPr>
        <w:t xml:space="preserve">    </w:t>
      </w:r>
      <w:r>
        <w:rPr>
          <w:rFonts w:hint="eastAsia" w:hAnsi="宋体"/>
          <w:bCs/>
          <w:color w:val="auto"/>
          <w:sz w:val="24"/>
          <w:szCs w:val="24"/>
          <w:u w:val="single"/>
        </w:rPr>
        <w:t xml:space="preserve">                                                                                      </w:t>
      </w:r>
    </w:p>
    <w:p w14:paraId="0D968F8B">
      <w:pPr>
        <w:pStyle w:val="18"/>
        <w:spacing w:line="360" w:lineRule="auto"/>
        <w:ind w:firstLine="480" w:firstLineChars="200"/>
        <w:rPr>
          <w:rFonts w:hint="eastAsia" w:hAnsi="宋体"/>
          <w:color w:val="auto"/>
          <w:sz w:val="24"/>
          <w:szCs w:val="24"/>
        </w:rPr>
      </w:pPr>
      <w:r>
        <w:rPr>
          <w:rFonts w:hint="eastAsia" w:hAnsi="宋体"/>
          <w:bCs/>
          <w:color w:val="auto"/>
          <w:sz w:val="24"/>
          <w:szCs w:val="24"/>
          <w:u w:val="single"/>
        </w:rPr>
        <w:t>采购人/代理机构</w:t>
      </w:r>
      <w:r>
        <w:rPr>
          <w:rFonts w:hint="eastAsia" w:hAnsi="宋体"/>
          <w:bCs/>
          <w:color w:val="auto"/>
          <w:sz w:val="24"/>
          <w:szCs w:val="24"/>
        </w:rPr>
        <w:t>于</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r>
        <w:rPr>
          <w:rFonts w:hint="eastAsia" w:hAnsi="宋体"/>
          <w:bCs/>
          <w:color w:val="auto"/>
          <w:sz w:val="24"/>
          <w:szCs w:val="24"/>
        </w:rPr>
        <w:t xml:space="preserve">就质疑事项作出了答复/没有在法定期限内作出答复。                                                                                             </w:t>
      </w:r>
    </w:p>
    <w:p w14:paraId="37FBC8E6">
      <w:pPr>
        <w:pStyle w:val="18"/>
        <w:spacing w:line="360" w:lineRule="auto"/>
        <w:ind w:left="25" w:leftChars="12" w:firstLine="472" w:firstLineChars="196"/>
        <w:rPr>
          <w:rFonts w:hint="eastAsia" w:hAnsi="宋体"/>
          <w:b/>
          <w:color w:val="auto"/>
          <w:sz w:val="24"/>
          <w:szCs w:val="24"/>
        </w:rPr>
      </w:pPr>
      <w:r>
        <w:rPr>
          <w:rFonts w:hint="eastAsia" w:hAnsi="宋体"/>
          <w:b/>
          <w:color w:val="auto"/>
          <w:sz w:val="24"/>
          <w:szCs w:val="24"/>
        </w:rPr>
        <w:t>四、投诉事项具体内容</w:t>
      </w:r>
    </w:p>
    <w:p w14:paraId="49C77843">
      <w:pPr>
        <w:pStyle w:val="18"/>
        <w:spacing w:line="360" w:lineRule="auto"/>
        <w:ind w:left="25" w:leftChars="12" w:firstLine="472" w:firstLineChars="197"/>
        <w:rPr>
          <w:rFonts w:hint="eastAsia" w:hAnsi="宋体"/>
          <w:bCs/>
          <w:color w:val="auto"/>
          <w:sz w:val="24"/>
          <w:szCs w:val="24"/>
          <w:u w:val="single"/>
        </w:rPr>
      </w:pPr>
      <w:r>
        <w:rPr>
          <w:rFonts w:hint="eastAsia" w:hAnsi="宋体"/>
          <w:color w:val="auto"/>
          <w:sz w:val="24"/>
          <w:szCs w:val="24"/>
        </w:rPr>
        <w:t>投诉事项1：</w:t>
      </w:r>
      <w:r>
        <w:rPr>
          <w:rFonts w:hint="eastAsia" w:hAnsi="宋体"/>
          <w:bCs/>
          <w:color w:val="auto"/>
          <w:sz w:val="24"/>
          <w:szCs w:val="24"/>
          <w:u w:val="single"/>
        </w:rPr>
        <w:t xml:space="preserve">                                                                           </w:t>
      </w:r>
    </w:p>
    <w:p w14:paraId="374A97BF">
      <w:pPr>
        <w:pStyle w:val="18"/>
        <w:spacing w:line="360" w:lineRule="auto"/>
        <w:ind w:firstLine="480" w:firstLineChars="200"/>
        <w:rPr>
          <w:rFonts w:hint="eastAsia" w:hAnsi="宋体"/>
          <w:bCs/>
          <w:color w:val="auto"/>
          <w:sz w:val="24"/>
          <w:szCs w:val="24"/>
          <w:u w:val="single"/>
        </w:rPr>
      </w:pPr>
      <w:r>
        <w:rPr>
          <w:rFonts w:hint="eastAsia" w:hAnsi="宋体"/>
          <w:bCs/>
          <w:color w:val="auto"/>
          <w:sz w:val="24"/>
          <w:szCs w:val="24"/>
        </w:rPr>
        <w:t>事实依据：</w:t>
      </w:r>
      <w:r>
        <w:rPr>
          <w:rFonts w:hint="eastAsia" w:hAnsi="宋体"/>
          <w:color w:val="auto"/>
          <w:sz w:val="24"/>
          <w:szCs w:val="24"/>
        </w:rPr>
        <w:t xml:space="preserve"> </w:t>
      </w:r>
      <w:r>
        <w:rPr>
          <w:rFonts w:hint="eastAsia" w:hAnsi="宋体"/>
          <w:bCs/>
          <w:color w:val="auto"/>
          <w:sz w:val="24"/>
          <w:szCs w:val="24"/>
          <w:u w:val="single"/>
        </w:rPr>
        <w:t xml:space="preserve">                                                                                      </w:t>
      </w:r>
    </w:p>
    <w:p w14:paraId="0899E79D">
      <w:pPr>
        <w:pStyle w:val="18"/>
        <w:spacing w:line="360" w:lineRule="auto"/>
        <w:ind w:left="25" w:leftChars="12" w:firstLine="472" w:firstLineChars="197"/>
        <w:rPr>
          <w:rFonts w:hint="eastAsia" w:hAnsi="宋体"/>
          <w:color w:val="auto"/>
          <w:sz w:val="24"/>
          <w:szCs w:val="24"/>
        </w:rPr>
      </w:pPr>
      <w:r>
        <w:rPr>
          <w:rFonts w:hint="eastAsia" w:hAnsi="宋体"/>
          <w:bCs/>
          <w:color w:val="auto"/>
          <w:sz w:val="24"/>
          <w:szCs w:val="24"/>
          <w:u w:val="single"/>
        </w:rPr>
        <w:t xml:space="preserve">                                                                                        </w:t>
      </w:r>
    </w:p>
    <w:p w14:paraId="2F050DA6">
      <w:pPr>
        <w:pStyle w:val="18"/>
        <w:spacing w:line="360" w:lineRule="auto"/>
        <w:ind w:firstLine="480" w:firstLineChars="200"/>
        <w:rPr>
          <w:rFonts w:hint="eastAsia" w:hAnsi="宋体"/>
          <w:bCs/>
          <w:color w:val="auto"/>
          <w:sz w:val="24"/>
          <w:szCs w:val="24"/>
          <w:u w:val="single"/>
        </w:rPr>
      </w:pPr>
      <w:r>
        <w:rPr>
          <w:rFonts w:hint="eastAsia" w:hAnsi="宋体"/>
          <w:bCs/>
          <w:color w:val="auto"/>
          <w:sz w:val="24"/>
          <w:szCs w:val="24"/>
        </w:rPr>
        <w:t>法律依据：</w:t>
      </w:r>
      <w:r>
        <w:rPr>
          <w:rFonts w:hint="eastAsia" w:hAnsi="宋体"/>
          <w:color w:val="auto"/>
          <w:sz w:val="24"/>
          <w:szCs w:val="24"/>
        </w:rPr>
        <w:t xml:space="preserve"> </w:t>
      </w:r>
      <w:r>
        <w:rPr>
          <w:rFonts w:hint="eastAsia" w:hAnsi="宋体"/>
          <w:bCs/>
          <w:color w:val="auto"/>
          <w:sz w:val="24"/>
          <w:szCs w:val="24"/>
          <w:u w:val="single"/>
        </w:rPr>
        <w:t xml:space="preserve">                                                                                      </w:t>
      </w:r>
    </w:p>
    <w:p w14:paraId="3A98477F">
      <w:pPr>
        <w:pStyle w:val="18"/>
        <w:spacing w:line="360" w:lineRule="auto"/>
        <w:ind w:left="25" w:leftChars="12" w:firstLine="352" w:firstLineChars="147"/>
        <w:rPr>
          <w:rFonts w:hint="eastAsia" w:hAnsi="宋体"/>
          <w:bCs/>
          <w:color w:val="auto"/>
          <w:sz w:val="24"/>
          <w:szCs w:val="24"/>
          <w:u w:val="single"/>
        </w:rPr>
      </w:pPr>
      <w:r>
        <w:rPr>
          <w:rFonts w:hint="eastAsia" w:hAnsi="宋体"/>
          <w:bCs/>
          <w:color w:val="auto"/>
          <w:sz w:val="24"/>
          <w:szCs w:val="24"/>
        </w:rPr>
        <w:t xml:space="preserve"> </w:t>
      </w:r>
      <w:r>
        <w:rPr>
          <w:rFonts w:hint="eastAsia" w:hAnsi="宋体"/>
          <w:bCs/>
          <w:color w:val="auto"/>
          <w:sz w:val="24"/>
          <w:szCs w:val="24"/>
          <w:u w:val="single"/>
        </w:rPr>
        <w:t xml:space="preserve">                                                                                        </w:t>
      </w:r>
    </w:p>
    <w:p w14:paraId="7F1C3733">
      <w:pPr>
        <w:pStyle w:val="18"/>
        <w:spacing w:line="360" w:lineRule="auto"/>
        <w:ind w:left="25" w:leftChars="12" w:firstLine="472" w:firstLineChars="197"/>
        <w:rPr>
          <w:rFonts w:hint="eastAsia" w:hAnsi="宋体"/>
          <w:bCs/>
          <w:color w:val="auto"/>
          <w:sz w:val="24"/>
          <w:szCs w:val="24"/>
        </w:rPr>
      </w:pPr>
      <w:r>
        <w:rPr>
          <w:rFonts w:hint="eastAsia" w:hAnsi="宋体"/>
          <w:color w:val="auto"/>
          <w:sz w:val="24"/>
          <w:szCs w:val="24"/>
        </w:rPr>
        <w:t xml:space="preserve">投诉事项2  </w:t>
      </w:r>
      <w:r>
        <w:rPr>
          <w:rFonts w:hint="eastAsia" w:hAnsi="宋体"/>
          <w:bCs/>
          <w:color w:val="auto"/>
          <w:sz w:val="24"/>
          <w:szCs w:val="24"/>
        </w:rPr>
        <w:t xml:space="preserve">   </w:t>
      </w:r>
    </w:p>
    <w:p w14:paraId="4996AA34">
      <w:pPr>
        <w:pStyle w:val="18"/>
        <w:spacing w:line="360" w:lineRule="auto"/>
        <w:ind w:left="25" w:leftChars="12" w:firstLine="472" w:firstLineChars="197"/>
        <w:rPr>
          <w:rFonts w:hint="eastAsia" w:hAnsi="宋体"/>
          <w:bCs/>
          <w:color w:val="auto"/>
          <w:sz w:val="24"/>
          <w:szCs w:val="24"/>
        </w:rPr>
      </w:pPr>
      <w:r>
        <w:rPr>
          <w:rFonts w:hAnsi="宋体"/>
          <w:bCs/>
          <w:color w:val="auto"/>
          <w:sz w:val="24"/>
          <w:szCs w:val="24"/>
        </w:rPr>
        <w:t>……</w:t>
      </w:r>
    </w:p>
    <w:p w14:paraId="2EE9A036">
      <w:pPr>
        <w:pStyle w:val="18"/>
        <w:spacing w:line="360" w:lineRule="auto"/>
        <w:ind w:left="25" w:leftChars="12" w:firstLine="472" w:firstLineChars="196"/>
        <w:rPr>
          <w:rFonts w:hint="eastAsia" w:hAnsi="宋体"/>
          <w:b/>
          <w:color w:val="auto"/>
          <w:sz w:val="24"/>
          <w:szCs w:val="24"/>
        </w:rPr>
      </w:pPr>
      <w:r>
        <w:rPr>
          <w:rFonts w:hint="eastAsia" w:hAnsi="宋体"/>
          <w:b/>
          <w:color w:val="auto"/>
          <w:sz w:val="24"/>
          <w:szCs w:val="24"/>
        </w:rPr>
        <w:t>五、与投诉事项相关的投诉请求：</w:t>
      </w:r>
    </w:p>
    <w:p w14:paraId="58302537">
      <w:pPr>
        <w:pStyle w:val="18"/>
        <w:spacing w:line="360" w:lineRule="auto"/>
        <w:ind w:left="25" w:leftChars="12" w:firstLine="472" w:firstLineChars="197"/>
        <w:rPr>
          <w:rFonts w:hint="eastAsia" w:hAnsi="宋体"/>
          <w:color w:val="auto"/>
          <w:sz w:val="24"/>
          <w:szCs w:val="24"/>
        </w:rPr>
      </w:pPr>
      <w:r>
        <w:rPr>
          <w:rFonts w:hint="eastAsia" w:hAnsi="宋体"/>
          <w:color w:val="auto"/>
          <w:sz w:val="24"/>
          <w:szCs w:val="24"/>
        </w:rPr>
        <w:t>请求：</w:t>
      </w:r>
      <w:r>
        <w:rPr>
          <w:rFonts w:hint="eastAsia" w:hAnsi="宋体"/>
          <w:bCs/>
          <w:color w:val="auto"/>
          <w:sz w:val="24"/>
          <w:szCs w:val="24"/>
          <w:u w:val="single"/>
        </w:rPr>
        <w:t xml:space="preserve">                                                                                 </w:t>
      </w:r>
    </w:p>
    <w:p w14:paraId="01336290">
      <w:pPr>
        <w:pStyle w:val="18"/>
        <w:spacing w:line="360" w:lineRule="auto"/>
        <w:ind w:left="25" w:leftChars="12" w:firstLine="352" w:firstLineChars="147"/>
        <w:rPr>
          <w:rFonts w:hint="eastAsia" w:hAnsi="宋体"/>
          <w:color w:val="auto"/>
          <w:sz w:val="24"/>
          <w:szCs w:val="24"/>
        </w:rPr>
      </w:pPr>
    </w:p>
    <w:p w14:paraId="014E9B92">
      <w:pPr>
        <w:pStyle w:val="18"/>
        <w:spacing w:line="360" w:lineRule="auto"/>
        <w:ind w:left="25" w:leftChars="12" w:firstLine="472" w:firstLineChars="197"/>
        <w:rPr>
          <w:rFonts w:hint="eastAsia" w:hAnsi="宋体"/>
          <w:color w:val="auto"/>
          <w:sz w:val="24"/>
          <w:szCs w:val="24"/>
        </w:rPr>
      </w:pPr>
      <w:r>
        <w:rPr>
          <w:rFonts w:hint="eastAsia" w:hAnsi="宋体"/>
          <w:color w:val="auto"/>
          <w:sz w:val="24"/>
          <w:szCs w:val="24"/>
        </w:rPr>
        <w:t>签字（签章）：                                       公章：</w:t>
      </w:r>
    </w:p>
    <w:p w14:paraId="2E7E0E92">
      <w:pPr>
        <w:pStyle w:val="18"/>
        <w:spacing w:line="360" w:lineRule="auto"/>
        <w:ind w:left="25" w:leftChars="12" w:firstLine="352" w:firstLineChars="147"/>
        <w:rPr>
          <w:rFonts w:hint="eastAsia" w:hAnsi="宋体"/>
          <w:color w:val="auto"/>
          <w:sz w:val="24"/>
          <w:szCs w:val="24"/>
        </w:rPr>
      </w:pPr>
    </w:p>
    <w:p w14:paraId="05F33B66">
      <w:pPr>
        <w:pStyle w:val="18"/>
        <w:spacing w:line="360" w:lineRule="auto"/>
        <w:ind w:left="25" w:leftChars="12" w:firstLine="472" w:firstLineChars="197"/>
        <w:rPr>
          <w:rFonts w:hint="eastAsia" w:hAnsi="宋体"/>
          <w:color w:val="auto"/>
          <w:sz w:val="24"/>
          <w:szCs w:val="24"/>
        </w:rPr>
      </w:pPr>
      <w:r>
        <w:rPr>
          <w:rFonts w:hint="eastAsia" w:hAnsi="宋体"/>
          <w:color w:val="auto"/>
          <w:sz w:val="24"/>
          <w:szCs w:val="24"/>
        </w:rPr>
        <w:t>日期：</w:t>
      </w:r>
    </w:p>
    <w:p w14:paraId="61CF2645">
      <w:pPr>
        <w:pStyle w:val="18"/>
        <w:spacing w:line="360" w:lineRule="auto"/>
        <w:ind w:left="25" w:leftChars="12" w:firstLine="472" w:firstLineChars="197"/>
        <w:rPr>
          <w:rFonts w:hint="eastAsia" w:hAnsi="宋体"/>
          <w:b/>
          <w:color w:val="auto"/>
          <w:sz w:val="24"/>
          <w:szCs w:val="24"/>
        </w:rPr>
      </w:pPr>
      <w:r>
        <w:rPr>
          <w:rFonts w:hint="eastAsia" w:hAnsi="宋体"/>
          <w:bCs/>
          <w:color w:val="auto"/>
          <w:sz w:val="24"/>
          <w:szCs w:val="24"/>
        </w:rPr>
        <w:t xml:space="preserve">                                                                                 </w:t>
      </w:r>
    </w:p>
    <w:p w14:paraId="6E068C16">
      <w:pPr>
        <w:pStyle w:val="18"/>
        <w:snapToGrid w:val="0"/>
        <w:spacing w:line="360" w:lineRule="auto"/>
        <w:rPr>
          <w:rFonts w:hint="eastAsia" w:hAnsi="宋体"/>
          <w:b/>
          <w:color w:val="auto"/>
          <w:sz w:val="24"/>
          <w:szCs w:val="24"/>
        </w:rPr>
      </w:pPr>
      <w:r>
        <w:rPr>
          <w:rFonts w:hint="eastAsia" w:hAnsi="宋体"/>
          <w:b/>
          <w:color w:val="auto"/>
          <w:sz w:val="24"/>
          <w:szCs w:val="24"/>
        </w:rPr>
        <w:t>说明：</w:t>
      </w:r>
    </w:p>
    <w:p w14:paraId="2D56C45A">
      <w:pPr>
        <w:pStyle w:val="18"/>
        <w:spacing w:line="360" w:lineRule="auto"/>
        <w:ind w:left="25" w:leftChars="12" w:firstLine="354" w:firstLineChars="147"/>
        <w:rPr>
          <w:rFonts w:hint="eastAsia" w:hAnsi="宋体"/>
          <w:b/>
          <w:bCs/>
          <w:color w:val="auto"/>
          <w:sz w:val="24"/>
          <w:szCs w:val="24"/>
        </w:rPr>
      </w:pPr>
      <w:r>
        <w:rPr>
          <w:rFonts w:hint="eastAsia" w:hAnsi="宋体"/>
          <w:b/>
          <w:color w:val="auto"/>
          <w:sz w:val="24"/>
          <w:szCs w:val="24"/>
        </w:rPr>
        <w:t>1.投诉人提起投诉时，应当提交投诉书和必要的证明材料，并按照被投诉人和与投诉事项有关的供应商数量提供投诉书副本</w:t>
      </w:r>
      <w:r>
        <w:rPr>
          <w:rFonts w:hint="eastAsia" w:hAnsi="宋体"/>
          <w:b/>
          <w:bCs/>
          <w:color w:val="auto"/>
          <w:sz w:val="24"/>
          <w:szCs w:val="24"/>
        </w:rPr>
        <w:t>。</w:t>
      </w:r>
    </w:p>
    <w:p w14:paraId="1A043A7D">
      <w:pPr>
        <w:pStyle w:val="18"/>
        <w:spacing w:line="360" w:lineRule="auto"/>
        <w:ind w:left="25" w:leftChars="12" w:firstLine="354" w:firstLineChars="147"/>
        <w:rPr>
          <w:rFonts w:hint="eastAsia" w:hAnsi="宋体"/>
          <w:b/>
          <w:color w:val="auto"/>
          <w:sz w:val="24"/>
          <w:szCs w:val="24"/>
        </w:rPr>
      </w:pPr>
      <w:r>
        <w:rPr>
          <w:rFonts w:hint="eastAsia" w:hAnsi="宋体"/>
          <w:b/>
          <w:color w:val="auto"/>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0A3F60C">
      <w:pPr>
        <w:pStyle w:val="18"/>
        <w:spacing w:line="360" w:lineRule="auto"/>
        <w:ind w:left="25" w:leftChars="12" w:firstLine="354" w:firstLineChars="147"/>
        <w:rPr>
          <w:rFonts w:hint="eastAsia" w:hAnsi="宋体"/>
          <w:b/>
          <w:color w:val="auto"/>
          <w:sz w:val="24"/>
          <w:szCs w:val="24"/>
        </w:rPr>
      </w:pPr>
      <w:r>
        <w:rPr>
          <w:rFonts w:hint="eastAsia" w:hAnsi="宋体"/>
          <w:b/>
          <w:color w:val="auto"/>
          <w:sz w:val="24"/>
          <w:szCs w:val="24"/>
        </w:rPr>
        <w:t>3.投诉书应简要列明质疑事项，质疑函、质疑答复等作为附件材料提供。</w:t>
      </w:r>
    </w:p>
    <w:p w14:paraId="771ED916">
      <w:pPr>
        <w:pStyle w:val="18"/>
        <w:spacing w:line="360" w:lineRule="auto"/>
        <w:ind w:left="25" w:leftChars="12" w:firstLine="354" w:firstLineChars="147"/>
        <w:rPr>
          <w:rFonts w:hint="eastAsia" w:hAnsi="宋体"/>
          <w:b/>
          <w:color w:val="auto"/>
          <w:sz w:val="24"/>
          <w:szCs w:val="24"/>
        </w:rPr>
      </w:pPr>
      <w:r>
        <w:rPr>
          <w:rFonts w:hint="eastAsia" w:hAnsi="宋体"/>
          <w:b/>
          <w:color w:val="auto"/>
          <w:sz w:val="24"/>
          <w:szCs w:val="24"/>
        </w:rPr>
        <w:t>4.投诉书的投诉事项应具体、明确，并有必要的事实依据和法律依据。</w:t>
      </w:r>
    </w:p>
    <w:p w14:paraId="1A6FF2FE">
      <w:pPr>
        <w:pStyle w:val="18"/>
        <w:spacing w:line="360" w:lineRule="auto"/>
        <w:ind w:left="25" w:leftChars="12" w:firstLine="354" w:firstLineChars="147"/>
        <w:rPr>
          <w:rFonts w:hint="eastAsia" w:hAnsi="宋体"/>
          <w:b/>
          <w:color w:val="auto"/>
          <w:sz w:val="24"/>
          <w:szCs w:val="24"/>
        </w:rPr>
      </w:pPr>
      <w:r>
        <w:rPr>
          <w:rFonts w:hint="eastAsia" w:hAnsi="宋体"/>
          <w:b/>
          <w:color w:val="auto"/>
          <w:sz w:val="24"/>
          <w:szCs w:val="24"/>
        </w:rPr>
        <w:t>5.投诉书的投诉请求应与投诉事项相关。</w:t>
      </w:r>
    </w:p>
    <w:p w14:paraId="1E78C5F5">
      <w:pPr>
        <w:pStyle w:val="18"/>
        <w:spacing w:line="360" w:lineRule="auto"/>
        <w:ind w:left="25" w:leftChars="12" w:firstLine="354" w:firstLineChars="147"/>
        <w:rPr>
          <w:rFonts w:hint="eastAsia" w:hAnsi="宋体"/>
          <w:b/>
          <w:color w:val="auto"/>
        </w:rPr>
      </w:pPr>
      <w:r>
        <w:rPr>
          <w:rFonts w:hint="eastAsia" w:hAnsi="宋体"/>
          <w:b/>
          <w:color w:val="auto"/>
          <w:sz w:val="24"/>
          <w:szCs w:val="24"/>
        </w:rPr>
        <w:t>6.投诉人为法人或者其他组织的，投诉书应由法定代表人、主要负责人，或者其授权代表签字或者盖章，并加盖公章。</w:t>
      </w:r>
    </w:p>
    <w:p w14:paraId="5C7B7F96">
      <w:pPr>
        <w:pStyle w:val="3"/>
        <w:jc w:val="center"/>
        <w:rPr>
          <w:rFonts w:hint="eastAsia"/>
          <w:color w:val="auto"/>
        </w:rPr>
      </w:pPr>
      <w:bookmarkStart w:id="171" w:name="_Toc74323461"/>
      <w:r>
        <w:rPr>
          <w:rFonts w:hint="eastAsia"/>
          <w:color w:val="auto"/>
        </w:rPr>
        <w:t>第六章 合同文本</w:t>
      </w:r>
      <w:bookmarkEnd w:id="171"/>
    </w:p>
    <w:p w14:paraId="7FA29229">
      <w:pPr>
        <w:spacing w:before="98" w:line="219" w:lineRule="auto"/>
        <w:ind w:left="3451"/>
        <w:rPr>
          <w:rFonts w:ascii="宋体" w:hAnsi="宋体" w:eastAsia="宋体" w:cs="宋体"/>
          <w:color w:val="auto"/>
          <w:sz w:val="30"/>
          <w:szCs w:val="30"/>
        </w:rPr>
      </w:pPr>
      <w:r>
        <w:rPr>
          <w:rFonts w:ascii="宋体" w:hAnsi="宋体" w:eastAsia="宋体" w:cs="宋体"/>
          <w:color w:val="auto"/>
          <w:spacing w:val="-5"/>
          <w:sz w:val="30"/>
          <w:szCs w:val="30"/>
        </w:rPr>
        <w:t>（参考格式）</w:t>
      </w:r>
    </w:p>
    <w:p w14:paraId="30DC0C34">
      <w:pPr>
        <w:spacing w:before="266" w:line="371" w:lineRule="auto"/>
        <w:ind w:left="2711" w:hanging="2711"/>
        <w:rPr>
          <w:rFonts w:ascii="宋体" w:hAnsi="宋体" w:eastAsia="宋体" w:cs="宋体"/>
          <w:color w:val="auto"/>
          <w:sz w:val="30"/>
          <w:szCs w:val="30"/>
        </w:rPr>
      </w:pPr>
      <w:r>
        <w:rPr>
          <w:rFonts w:ascii="宋体" w:hAnsi="宋体" w:eastAsia="宋体" w:cs="宋体"/>
          <w:color w:val="auto"/>
          <w:spacing w:val="-1"/>
          <w:sz w:val="30"/>
          <w:szCs w:val="30"/>
        </w:rPr>
        <w:t>（注：本合同格式仅为合同的参考文本，合同签订双方可根据项目</w:t>
      </w:r>
      <w:r>
        <w:rPr>
          <w:rFonts w:ascii="宋体" w:hAnsi="宋体" w:eastAsia="宋体" w:cs="宋体"/>
          <w:color w:val="auto"/>
          <w:spacing w:val="3"/>
          <w:sz w:val="30"/>
          <w:szCs w:val="30"/>
        </w:rPr>
        <w:t xml:space="preserve"> </w:t>
      </w:r>
      <w:r>
        <w:rPr>
          <w:rFonts w:ascii="宋体" w:hAnsi="宋体" w:eastAsia="宋体" w:cs="宋体"/>
          <w:color w:val="auto"/>
          <w:spacing w:val="-4"/>
          <w:sz w:val="30"/>
          <w:szCs w:val="30"/>
        </w:rPr>
        <w:t>的具体要求进行修订。）</w:t>
      </w:r>
    </w:p>
    <w:p w14:paraId="30C0B544">
      <w:pPr>
        <w:pStyle w:val="14"/>
        <w:spacing w:line="269" w:lineRule="auto"/>
        <w:rPr>
          <w:color w:val="auto"/>
        </w:rPr>
      </w:pPr>
    </w:p>
    <w:p w14:paraId="1D5A31D3">
      <w:pPr>
        <w:pStyle w:val="14"/>
        <w:spacing w:line="269" w:lineRule="auto"/>
        <w:rPr>
          <w:color w:val="auto"/>
        </w:rPr>
      </w:pPr>
    </w:p>
    <w:p w14:paraId="1155B7F8">
      <w:pPr>
        <w:pStyle w:val="14"/>
        <w:spacing w:line="269" w:lineRule="auto"/>
        <w:rPr>
          <w:color w:val="auto"/>
        </w:rPr>
      </w:pPr>
    </w:p>
    <w:p w14:paraId="6F3427F8">
      <w:pPr>
        <w:pStyle w:val="14"/>
        <w:spacing w:line="269" w:lineRule="auto"/>
        <w:rPr>
          <w:color w:val="auto"/>
        </w:rPr>
      </w:pPr>
    </w:p>
    <w:p w14:paraId="5174D50C">
      <w:pPr>
        <w:spacing w:before="140" w:line="222" w:lineRule="auto"/>
        <w:ind w:left="3016"/>
        <w:rPr>
          <w:rFonts w:ascii="宋体" w:hAnsi="宋体" w:eastAsia="宋体" w:cs="宋体"/>
          <w:color w:val="auto"/>
          <w:sz w:val="43"/>
          <w:szCs w:val="43"/>
        </w:rPr>
      </w:pPr>
      <w:r>
        <w:rPr>
          <w:rFonts w:ascii="宋体" w:hAnsi="宋体" w:eastAsia="宋体" w:cs="宋体"/>
          <w:b/>
          <w:bCs/>
          <w:color w:val="auto"/>
          <w:spacing w:val="4"/>
          <w:sz w:val="43"/>
          <w:szCs w:val="43"/>
        </w:rPr>
        <w:t>政府采购合同</w:t>
      </w:r>
    </w:p>
    <w:p w14:paraId="068548ED">
      <w:pPr>
        <w:pStyle w:val="14"/>
        <w:spacing w:line="244" w:lineRule="auto"/>
        <w:rPr>
          <w:color w:val="auto"/>
        </w:rPr>
      </w:pPr>
    </w:p>
    <w:p w14:paraId="4897F325">
      <w:pPr>
        <w:pStyle w:val="14"/>
        <w:spacing w:line="244" w:lineRule="auto"/>
        <w:rPr>
          <w:color w:val="auto"/>
        </w:rPr>
      </w:pPr>
    </w:p>
    <w:p w14:paraId="5406D112">
      <w:pPr>
        <w:pStyle w:val="14"/>
        <w:spacing w:line="244" w:lineRule="auto"/>
        <w:rPr>
          <w:color w:val="auto"/>
        </w:rPr>
      </w:pPr>
    </w:p>
    <w:p w14:paraId="7370C9FE">
      <w:pPr>
        <w:pStyle w:val="14"/>
        <w:spacing w:line="244" w:lineRule="auto"/>
        <w:rPr>
          <w:color w:val="auto"/>
        </w:rPr>
      </w:pPr>
    </w:p>
    <w:p w14:paraId="1CDD060D">
      <w:pPr>
        <w:pStyle w:val="14"/>
        <w:spacing w:line="244" w:lineRule="auto"/>
        <w:rPr>
          <w:color w:val="auto"/>
        </w:rPr>
      </w:pPr>
    </w:p>
    <w:p w14:paraId="463D2F3A">
      <w:pPr>
        <w:pStyle w:val="14"/>
        <w:spacing w:line="244" w:lineRule="auto"/>
        <w:rPr>
          <w:color w:val="auto"/>
        </w:rPr>
      </w:pPr>
    </w:p>
    <w:p w14:paraId="27BBF9AF">
      <w:pPr>
        <w:pStyle w:val="14"/>
        <w:spacing w:line="244" w:lineRule="auto"/>
        <w:rPr>
          <w:color w:val="auto"/>
        </w:rPr>
      </w:pPr>
    </w:p>
    <w:p w14:paraId="75F66AA0">
      <w:pPr>
        <w:pStyle w:val="14"/>
        <w:spacing w:line="245" w:lineRule="auto"/>
        <w:rPr>
          <w:color w:val="auto"/>
        </w:rPr>
      </w:pPr>
    </w:p>
    <w:p w14:paraId="230B758F">
      <w:pPr>
        <w:spacing w:before="91" w:line="398" w:lineRule="auto"/>
        <w:ind w:left="2183" w:right="1704" w:firstLine="40"/>
        <w:rPr>
          <w:rFonts w:ascii="宋体" w:hAnsi="宋体" w:eastAsia="宋体" w:cs="宋体"/>
          <w:color w:val="auto"/>
          <w:sz w:val="28"/>
          <w:szCs w:val="28"/>
        </w:rPr>
      </w:pPr>
      <w:r>
        <w:rPr>
          <w:rFonts w:ascii="宋体" w:hAnsi="宋体" w:eastAsia="宋体" w:cs="宋体"/>
          <w:color w:val="auto"/>
          <w:spacing w:val="-1"/>
          <w:sz w:val="28"/>
          <w:szCs w:val="28"/>
        </w:rPr>
        <w:t>合同名称：</w:t>
      </w:r>
      <w:r>
        <w:rPr>
          <w:rFonts w:ascii="宋体" w:hAnsi="宋体" w:eastAsia="宋体" w:cs="宋体"/>
          <w:color w:val="auto"/>
          <w:spacing w:val="-1"/>
          <w:sz w:val="28"/>
          <w:szCs w:val="28"/>
          <w:u w:val="single" w:color="auto"/>
        </w:rPr>
        <w:t xml:space="preserve">                        </w:t>
      </w:r>
      <w:r>
        <w:rPr>
          <w:rFonts w:ascii="宋体" w:hAnsi="宋体" w:eastAsia="宋体" w:cs="宋体"/>
          <w:color w:val="auto"/>
          <w:spacing w:val="14"/>
          <w:sz w:val="28"/>
          <w:szCs w:val="28"/>
        </w:rPr>
        <w:t xml:space="preserve"> </w:t>
      </w:r>
      <w:r>
        <w:rPr>
          <w:rFonts w:ascii="宋体" w:hAnsi="宋体" w:eastAsia="宋体" w:cs="宋体"/>
          <w:color w:val="auto"/>
          <w:spacing w:val="-3"/>
          <w:sz w:val="28"/>
          <w:szCs w:val="28"/>
        </w:rPr>
        <w:t>合同编号：</w:t>
      </w:r>
      <w:r>
        <w:rPr>
          <w:rFonts w:ascii="宋体" w:hAnsi="宋体" w:eastAsia="宋体" w:cs="宋体"/>
          <w:color w:val="auto"/>
          <w:sz w:val="28"/>
          <w:szCs w:val="28"/>
          <w:u w:val="single" w:color="auto"/>
        </w:rPr>
        <w:t xml:space="preserve">                        </w:t>
      </w:r>
    </w:p>
    <w:p w14:paraId="258DE20F">
      <w:pPr>
        <w:pStyle w:val="14"/>
        <w:spacing w:line="284" w:lineRule="auto"/>
        <w:rPr>
          <w:color w:val="auto"/>
        </w:rPr>
      </w:pPr>
    </w:p>
    <w:p w14:paraId="3E8A5600">
      <w:pPr>
        <w:pStyle w:val="14"/>
        <w:spacing w:line="285" w:lineRule="auto"/>
        <w:rPr>
          <w:color w:val="auto"/>
        </w:rPr>
      </w:pPr>
    </w:p>
    <w:p w14:paraId="0E1441C5">
      <w:pPr>
        <w:spacing w:before="91" w:line="398" w:lineRule="auto"/>
        <w:ind w:left="2182" w:right="1464" w:hanging="1"/>
        <w:rPr>
          <w:rFonts w:ascii="宋体" w:hAnsi="宋体" w:eastAsia="宋体" w:cs="宋体"/>
          <w:color w:val="auto"/>
          <w:sz w:val="28"/>
          <w:szCs w:val="28"/>
        </w:rPr>
      </w:pPr>
      <w:r>
        <w:rPr>
          <w:rFonts w:ascii="宋体" w:hAnsi="宋体" w:eastAsia="宋体" w:cs="宋体"/>
          <w:color w:val="auto"/>
          <w:spacing w:val="-1"/>
          <w:sz w:val="28"/>
          <w:szCs w:val="28"/>
        </w:rPr>
        <w:t>采购人（甲方）</w:t>
      </w:r>
      <w:r>
        <w:rPr>
          <w:rFonts w:ascii="宋体" w:hAnsi="宋体" w:eastAsia="宋体" w:cs="宋体"/>
          <w:color w:val="auto"/>
          <w:spacing w:val="-1"/>
          <w:sz w:val="28"/>
          <w:szCs w:val="28"/>
          <w:u w:val="single" w:color="auto"/>
        </w:rPr>
        <w:t xml:space="preserve">                      </w:t>
      </w:r>
      <w:r>
        <w:rPr>
          <w:rFonts w:ascii="宋体" w:hAnsi="宋体" w:eastAsia="宋体" w:cs="宋体"/>
          <w:color w:val="auto"/>
          <w:spacing w:val="17"/>
          <w:sz w:val="28"/>
          <w:szCs w:val="28"/>
        </w:rPr>
        <w:t xml:space="preserve"> </w:t>
      </w:r>
      <w:r>
        <w:rPr>
          <w:rFonts w:ascii="宋体" w:hAnsi="宋体" w:eastAsia="宋体" w:cs="宋体"/>
          <w:color w:val="auto"/>
          <w:spacing w:val="-2"/>
          <w:sz w:val="28"/>
          <w:szCs w:val="28"/>
        </w:rPr>
        <w:t>供应商（乙方）</w:t>
      </w:r>
      <w:r>
        <w:rPr>
          <w:rFonts w:ascii="宋体" w:hAnsi="宋体" w:eastAsia="宋体" w:cs="宋体"/>
          <w:color w:val="auto"/>
          <w:sz w:val="28"/>
          <w:szCs w:val="28"/>
          <w:u w:val="single" w:color="auto"/>
        </w:rPr>
        <w:t xml:space="preserve">                      </w:t>
      </w:r>
    </w:p>
    <w:p w14:paraId="59D12369">
      <w:pPr>
        <w:pStyle w:val="14"/>
        <w:spacing w:line="285" w:lineRule="auto"/>
        <w:rPr>
          <w:color w:val="auto"/>
        </w:rPr>
      </w:pPr>
    </w:p>
    <w:p w14:paraId="25346F4D">
      <w:pPr>
        <w:pStyle w:val="14"/>
        <w:spacing w:line="286" w:lineRule="auto"/>
        <w:rPr>
          <w:color w:val="auto"/>
        </w:rPr>
      </w:pPr>
    </w:p>
    <w:p w14:paraId="7B7DF49F">
      <w:pPr>
        <w:spacing w:before="91" w:line="399" w:lineRule="auto"/>
        <w:ind w:left="2182" w:right="1743"/>
        <w:rPr>
          <w:rFonts w:ascii="宋体" w:hAnsi="宋体" w:eastAsia="宋体" w:cs="宋体"/>
          <w:color w:val="auto"/>
          <w:sz w:val="28"/>
          <w:szCs w:val="28"/>
        </w:rPr>
      </w:pPr>
      <w:r>
        <w:rPr>
          <w:rFonts w:ascii="宋体" w:hAnsi="宋体" w:eastAsia="宋体" w:cs="宋体"/>
          <w:color w:val="auto"/>
          <w:spacing w:val="-1"/>
          <w:sz w:val="28"/>
          <w:szCs w:val="28"/>
        </w:rPr>
        <w:t>签订合同地点</w:t>
      </w:r>
      <w:r>
        <w:rPr>
          <w:rFonts w:ascii="宋体" w:hAnsi="宋体" w:eastAsia="宋体" w:cs="宋体"/>
          <w:color w:val="auto"/>
          <w:spacing w:val="-1"/>
          <w:sz w:val="28"/>
          <w:szCs w:val="28"/>
          <w:u w:val="single" w:color="auto"/>
        </w:rPr>
        <w:t xml:space="preserve">                      </w:t>
      </w:r>
      <w:r>
        <w:rPr>
          <w:rFonts w:ascii="宋体" w:hAnsi="宋体" w:eastAsia="宋体" w:cs="宋体"/>
          <w:color w:val="auto"/>
          <w:spacing w:val="16"/>
          <w:sz w:val="28"/>
          <w:szCs w:val="28"/>
        </w:rPr>
        <w:t xml:space="preserve"> </w:t>
      </w:r>
      <w:r>
        <w:rPr>
          <w:rFonts w:ascii="宋体" w:hAnsi="宋体" w:eastAsia="宋体" w:cs="宋体"/>
          <w:color w:val="auto"/>
          <w:spacing w:val="-2"/>
          <w:sz w:val="28"/>
          <w:szCs w:val="28"/>
        </w:rPr>
        <w:t>签订合同时间</w:t>
      </w:r>
      <w:r>
        <w:rPr>
          <w:rFonts w:ascii="宋体" w:hAnsi="宋体" w:eastAsia="宋体" w:cs="宋体"/>
          <w:color w:val="auto"/>
          <w:sz w:val="28"/>
          <w:szCs w:val="28"/>
          <w:u w:val="single" w:color="auto"/>
        </w:rPr>
        <w:t xml:space="preserve">                       </w:t>
      </w:r>
    </w:p>
    <w:p w14:paraId="4089D158">
      <w:pPr>
        <w:spacing w:line="399" w:lineRule="auto"/>
        <w:rPr>
          <w:rFonts w:ascii="宋体" w:hAnsi="宋体" w:eastAsia="宋体" w:cs="宋体"/>
          <w:color w:val="auto"/>
          <w:sz w:val="28"/>
          <w:szCs w:val="28"/>
        </w:rPr>
        <w:sectPr>
          <w:footerReference r:id="rId11" w:type="default"/>
          <w:pgSz w:w="11906" w:h="16839"/>
          <w:pgMar w:top="1431" w:right="1518" w:bottom="1449" w:left="1711" w:header="0" w:footer="1287" w:gutter="0"/>
          <w:cols w:space="720" w:num="1"/>
        </w:sectPr>
      </w:pPr>
    </w:p>
    <w:p w14:paraId="789CC7EB">
      <w:pPr>
        <w:spacing w:before="84" w:line="344" w:lineRule="auto"/>
        <w:ind w:left="4000" w:right="334" w:hanging="3657"/>
        <w:jc w:val="center"/>
        <w:rPr>
          <w:rFonts w:ascii="宋体" w:hAnsi="宋体" w:eastAsia="宋体" w:cs="宋体"/>
          <w:b/>
          <w:bCs/>
          <w:color w:val="auto"/>
          <w:spacing w:val="-5"/>
          <w:sz w:val="28"/>
          <w:szCs w:val="28"/>
        </w:rPr>
      </w:pPr>
      <w:bookmarkStart w:id="172" w:name="bookmark13"/>
      <w:bookmarkEnd w:id="172"/>
      <w:r>
        <w:rPr>
          <w:rFonts w:hint="eastAsia" w:ascii="宋体" w:hAnsi="宋体" w:eastAsia="宋体" w:cs="宋体"/>
          <w:b/>
          <w:bCs/>
          <w:color w:val="auto"/>
          <w:spacing w:val="-5"/>
          <w:sz w:val="28"/>
          <w:szCs w:val="28"/>
          <w:lang w:val="en-US" w:eastAsia="zh-CN"/>
        </w:rPr>
        <w:t>钦州幼儿师范高等专科学校图书馆25万册电子图书服务采购</w:t>
      </w:r>
      <w:r>
        <w:rPr>
          <w:rFonts w:ascii="宋体" w:hAnsi="宋体" w:eastAsia="宋体" w:cs="宋体"/>
          <w:b/>
          <w:bCs/>
          <w:color w:val="auto"/>
          <w:spacing w:val="-5"/>
          <w:sz w:val="28"/>
          <w:szCs w:val="28"/>
        </w:rPr>
        <w:t>采购合同</w:t>
      </w:r>
    </w:p>
    <w:p w14:paraId="15E6B394">
      <w:pPr>
        <w:spacing w:before="32"/>
        <w:rPr>
          <w:color w:val="auto"/>
        </w:rPr>
      </w:pPr>
    </w:p>
    <w:p w14:paraId="1E7E82D3">
      <w:pPr>
        <w:spacing w:before="32"/>
        <w:rPr>
          <w:color w:val="auto"/>
        </w:rPr>
      </w:pPr>
    </w:p>
    <w:p w14:paraId="00E01726">
      <w:pPr>
        <w:spacing w:before="31"/>
        <w:rPr>
          <w:color w:val="auto"/>
        </w:rPr>
      </w:pPr>
    </w:p>
    <w:p w14:paraId="46E4135C">
      <w:pPr>
        <w:spacing w:before="31"/>
        <w:rPr>
          <w:color w:val="auto"/>
        </w:rPr>
      </w:pPr>
    </w:p>
    <w:tbl>
      <w:tblPr>
        <w:tblStyle w:val="27"/>
        <w:tblW w:w="8779" w:type="dxa"/>
        <w:tblInd w:w="3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56"/>
        <w:gridCol w:w="3623"/>
      </w:tblGrid>
      <w:tr w14:paraId="7CEBF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 w:hRule="atLeast"/>
        </w:trPr>
        <w:tc>
          <w:tcPr>
            <w:tcW w:w="5156" w:type="dxa"/>
            <w:noWrap w:val="0"/>
            <w:vAlign w:val="top"/>
          </w:tcPr>
          <w:p w14:paraId="0EEE403F">
            <w:pPr>
              <w:pStyle w:val="53"/>
              <w:spacing w:line="219" w:lineRule="auto"/>
              <w:ind w:left="1"/>
              <w:rPr>
                <w:color w:val="auto"/>
                <w:sz w:val="24"/>
                <w:szCs w:val="24"/>
              </w:rPr>
            </w:pPr>
            <w:r>
              <w:rPr>
                <w:color w:val="auto"/>
                <w:spacing w:val="-3"/>
                <w:sz w:val="24"/>
                <w:szCs w:val="24"/>
              </w:rPr>
              <w:t>合同编号：</w:t>
            </w:r>
          </w:p>
        </w:tc>
        <w:tc>
          <w:tcPr>
            <w:tcW w:w="3623" w:type="dxa"/>
            <w:noWrap w:val="0"/>
            <w:vAlign w:val="top"/>
          </w:tcPr>
          <w:p w14:paraId="557AECB0">
            <w:pPr>
              <w:rPr>
                <w:rFonts w:ascii="Arial"/>
                <w:color w:val="auto"/>
                <w:sz w:val="21"/>
              </w:rPr>
            </w:pPr>
          </w:p>
        </w:tc>
      </w:tr>
      <w:tr w14:paraId="153F9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8" w:hRule="atLeast"/>
        </w:trPr>
        <w:tc>
          <w:tcPr>
            <w:tcW w:w="5156" w:type="dxa"/>
            <w:noWrap w:val="0"/>
            <w:vAlign w:val="top"/>
          </w:tcPr>
          <w:p w14:paraId="59DB1871">
            <w:pPr>
              <w:pStyle w:val="53"/>
              <w:spacing w:before="173" w:line="219" w:lineRule="auto"/>
              <w:rPr>
                <w:color w:val="auto"/>
                <w:sz w:val="24"/>
                <w:szCs w:val="24"/>
              </w:rPr>
            </w:pPr>
            <w:r>
              <w:rPr>
                <w:color w:val="auto"/>
                <w:spacing w:val="-2"/>
                <w:sz w:val="24"/>
                <w:szCs w:val="24"/>
              </w:rPr>
              <w:t>采购单位（甲方）</w:t>
            </w:r>
            <w:r>
              <w:rPr>
                <w:color w:val="auto"/>
                <w:sz w:val="24"/>
                <w:szCs w:val="24"/>
                <w:u w:val="single" w:color="auto"/>
              </w:rPr>
              <w:t xml:space="preserve">                         </w:t>
            </w:r>
          </w:p>
        </w:tc>
        <w:tc>
          <w:tcPr>
            <w:tcW w:w="3623" w:type="dxa"/>
            <w:noWrap w:val="0"/>
            <w:vAlign w:val="top"/>
          </w:tcPr>
          <w:p w14:paraId="69044B51">
            <w:pPr>
              <w:pStyle w:val="53"/>
              <w:spacing w:before="173" w:line="219" w:lineRule="auto"/>
              <w:ind w:left="244"/>
              <w:rPr>
                <w:color w:val="auto"/>
                <w:sz w:val="24"/>
                <w:szCs w:val="24"/>
              </w:rPr>
            </w:pPr>
            <w:r>
              <w:rPr>
                <w:color w:val="auto"/>
                <w:spacing w:val="-2"/>
                <w:sz w:val="24"/>
                <w:szCs w:val="24"/>
              </w:rPr>
              <w:t>采购计划号：</w:t>
            </w:r>
            <w:r>
              <w:rPr>
                <w:color w:val="auto"/>
                <w:sz w:val="24"/>
                <w:szCs w:val="24"/>
                <w:u w:val="single" w:color="auto"/>
              </w:rPr>
              <w:t xml:space="preserve">                 </w:t>
            </w:r>
          </w:p>
        </w:tc>
      </w:tr>
      <w:tr w14:paraId="28E03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5156" w:type="dxa"/>
            <w:noWrap w:val="0"/>
            <w:vAlign w:val="top"/>
          </w:tcPr>
          <w:p w14:paraId="7CC66A16">
            <w:pPr>
              <w:pStyle w:val="53"/>
              <w:spacing w:before="171" w:line="221" w:lineRule="auto"/>
              <w:ind w:left="2"/>
              <w:rPr>
                <w:color w:val="auto"/>
                <w:sz w:val="24"/>
                <w:szCs w:val="24"/>
              </w:rPr>
            </w:pPr>
            <w:r>
              <w:rPr>
                <w:color w:val="auto"/>
                <w:spacing w:val="-2"/>
                <w:sz w:val="24"/>
                <w:szCs w:val="24"/>
              </w:rPr>
              <w:t>成交人（乙方）</w:t>
            </w:r>
            <w:r>
              <w:rPr>
                <w:color w:val="auto"/>
                <w:sz w:val="24"/>
                <w:szCs w:val="24"/>
                <w:u w:val="single" w:color="auto"/>
              </w:rPr>
              <w:t xml:space="preserve">                           </w:t>
            </w:r>
          </w:p>
        </w:tc>
        <w:tc>
          <w:tcPr>
            <w:tcW w:w="3623" w:type="dxa"/>
            <w:noWrap w:val="0"/>
            <w:vAlign w:val="top"/>
          </w:tcPr>
          <w:p w14:paraId="3962D185">
            <w:pPr>
              <w:pStyle w:val="53"/>
              <w:spacing w:before="171" w:line="220" w:lineRule="auto"/>
              <w:ind w:left="248"/>
              <w:rPr>
                <w:color w:val="auto"/>
                <w:sz w:val="24"/>
                <w:szCs w:val="24"/>
              </w:rPr>
            </w:pPr>
            <w:r>
              <w:rPr>
                <w:color w:val="auto"/>
                <w:spacing w:val="-6"/>
                <w:sz w:val="24"/>
                <w:szCs w:val="24"/>
              </w:rPr>
              <w:t>项目名称</w:t>
            </w:r>
            <w:r>
              <w:rPr>
                <w:color w:val="auto"/>
                <w:spacing w:val="31"/>
                <w:sz w:val="24"/>
                <w:szCs w:val="24"/>
              </w:rPr>
              <w:t xml:space="preserve"> </w:t>
            </w:r>
            <w:r>
              <w:rPr>
                <w:color w:val="auto"/>
                <w:spacing w:val="-6"/>
                <w:sz w:val="24"/>
                <w:szCs w:val="24"/>
              </w:rPr>
              <w:t>：</w:t>
            </w:r>
            <w:r>
              <w:rPr>
                <w:color w:val="auto"/>
                <w:spacing w:val="-6"/>
                <w:sz w:val="24"/>
                <w:szCs w:val="24"/>
                <w:u w:val="single" w:color="auto"/>
              </w:rPr>
              <w:t xml:space="preserve">                  </w:t>
            </w:r>
          </w:p>
        </w:tc>
      </w:tr>
      <w:tr w14:paraId="7B5BB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7" w:hRule="atLeast"/>
        </w:trPr>
        <w:tc>
          <w:tcPr>
            <w:tcW w:w="5156" w:type="dxa"/>
            <w:noWrap w:val="0"/>
            <w:vAlign w:val="top"/>
          </w:tcPr>
          <w:p w14:paraId="37072D38">
            <w:pPr>
              <w:pStyle w:val="53"/>
              <w:spacing w:before="174" w:line="222" w:lineRule="auto"/>
              <w:rPr>
                <w:color w:val="auto"/>
                <w:sz w:val="24"/>
                <w:szCs w:val="24"/>
              </w:rPr>
            </w:pPr>
            <w:r>
              <w:rPr>
                <w:color w:val="auto"/>
                <w:spacing w:val="-14"/>
                <w:sz w:val="24"/>
                <w:szCs w:val="24"/>
              </w:rPr>
              <w:t>签</w:t>
            </w:r>
            <w:r>
              <w:rPr>
                <w:color w:val="auto"/>
                <w:spacing w:val="7"/>
                <w:sz w:val="24"/>
                <w:szCs w:val="24"/>
              </w:rPr>
              <w:t xml:space="preserve">  </w:t>
            </w:r>
            <w:r>
              <w:rPr>
                <w:color w:val="auto"/>
                <w:spacing w:val="-14"/>
                <w:sz w:val="24"/>
                <w:szCs w:val="24"/>
              </w:rPr>
              <w:t>订</w:t>
            </w:r>
            <w:r>
              <w:rPr>
                <w:color w:val="auto"/>
                <w:spacing w:val="5"/>
                <w:sz w:val="24"/>
                <w:szCs w:val="24"/>
              </w:rPr>
              <w:t xml:space="preserve">  </w:t>
            </w:r>
            <w:r>
              <w:rPr>
                <w:color w:val="auto"/>
                <w:spacing w:val="-14"/>
                <w:sz w:val="24"/>
                <w:szCs w:val="24"/>
              </w:rPr>
              <w:t>地</w:t>
            </w:r>
            <w:r>
              <w:rPr>
                <w:color w:val="auto"/>
                <w:spacing w:val="10"/>
                <w:sz w:val="24"/>
                <w:szCs w:val="24"/>
              </w:rPr>
              <w:t xml:space="preserve">  </w:t>
            </w:r>
            <w:r>
              <w:rPr>
                <w:color w:val="auto"/>
                <w:spacing w:val="-14"/>
                <w:sz w:val="24"/>
                <w:szCs w:val="24"/>
              </w:rPr>
              <w:t>点</w:t>
            </w:r>
            <w:r>
              <w:rPr>
                <w:color w:val="auto"/>
                <w:sz w:val="24"/>
                <w:szCs w:val="24"/>
                <w:u w:val="single" w:color="auto"/>
              </w:rPr>
              <w:t xml:space="preserve">                            </w:t>
            </w:r>
          </w:p>
        </w:tc>
        <w:tc>
          <w:tcPr>
            <w:tcW w:w="3623" w:type="dxa"/>
            <w:noWrap w:val="0"/>
            <w:vAlign w:val="top"/>
          </w:tcPr>
          <w:p w14:paraId="0439CCB0">
            <w:pPr>
              <w:pStyle w:val="53"/>
              <w:spacing w:before="175" w:line="221" w:lineRule="auto"/>
              <w:ind w:left="364"/>
              <w:rPr>
                <w:color w:val="auto"/>
                <w:sz w:val="24"/>
                <w:szCs w:val="24"/>
              </w:rPr>
            </w:pPr>
            <w:r>
              <w:rPr>
                <w:color w:val="auto"/>
                <w:spacing w:val="-18"/>
                <w:sz w:val="24"/>
                <w:szCs w:val="24"/>
              </w:rPr>
              <w:t>签</w:t>
            </w:r>
            <w:r>
              <w:rPr>
                <w:color w:val="auto"/>
                <w:spacing w:val="12"/>
                <w:sz w:val="24"/>
                <w:szCs w:val="24"/>
              </w:rPr>
              <w:t xml:space="preserve"> </w:t>
            </w:r>
            <w:r>
              <w:rPr>
                <w:color w:val="auto"/>
                <w:spacing w:val="-18"/>
                <w:sz w:val="24"/>
                <w:szCs w:val="24"/>
              </w:rPr>
              <w:t>订</w:t>
            </w:r>
            <w:r>
              <w:rPr>
                <w:color w:val="auto"/>
                <w:spacing w:val="21"/>
                <w:sz w:val="24"/>
                <w:szCs w:val="24"/>
              </w:rPr>
              <w:t xml:space="preserve"> </w:t>
            </w:r>
            <w:r>
              <w:rPr>
                <w:color w:val="auto"/>
                <w:spacing w:val="-18"/>
                <w:sz w:val="24"/>
                <w:szCs w:val="24"/>
              </w:rPr>
              <w:t>时</w:t>
            </w:r>
            <w:r>
              <w:rPr>
                <w:color w:val="auto"/>
                <w:spacing w:val="28"/>
                <w:sz w:val="24"/>
                <w:szCs w:val="24"/>
              </w:rPr>
              <w:t xml:space="preserve"> </w:t>
            </w:r>
            <w:r>
              <w:rPr>
                <w:color w:val="auto"/>
                <w:spacing w:val="-18"/>
                <w:sz w:val="24"/>
                <w:szCs w:val="24"/>
              </w:rPr>
              <w:t>间</w:t>
            </w:r>
            <w:r>
              <w:rPr>
                <w:color w:val="auto"/>
                <w:sz w:val="24"/>
                <w:szCs w:val="24"/>
                <w:u w:val="single" w:color="auto"/>
              </w:rPr>
              <w:t xml:space="preserve">                 </w:t>
            </w:r>
          </w:p>
        </w:tc>
      </w:tr>
      <w:tr w14:paraId="676E1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trPr>
        <w:tc>
          <w:tcPr>
            <w:tcW w:w="5156" w:type="dxa"/>
            <w:noWrap w:val="0"/>
            <w:vAlign w:val="top"/>
          </w:tcPr>
          <w:p w14:paraId="07050AE3">
            <w:pPr>
              <w:pStyle w:val="53"/>
              <w:spacing w:before="173" w:line="176" w:lineRule="auto"/>
              <w:ind w:left="1"/>
              <w:rPr>
                <w:color w:val="auto"/>
                <w:sz w:val="24"/>
                <w:szCs w:val="24"/>
              </w:rPr>
            </w:pPr>
            <w:r>
              <w:rPr>
                <w:color w:val="auto"/>
                <w:spacing w:val="3"/>
                <w:sz w:val="24"/>
                <w:szCs w:val="24"/>
              </w:rPr>
              <w:t>本合同为中小企业预留合同</w:t>
            </w:r>
            <w:r>
              <w:rPr>
                <w:color w:val="auto"/>
                <w:spacing w:val="-15"/>
                <w:sz w:val="24"/>
                <w:szCs w:val="24"/>
              </w:rPr>
              <w:t>：</w:t>
            </w:r>
            <w:r>
              <w:rPr>
                <w:color w:val="auto"/>
                <w:spacing w:val="-15"/>
                <w:sz w:val="24"/>
                <w:szCs w:val="24"/>
                <w:u w:val="single" w:color="auto"/>
              </w:rPr>
              <w:t>（</w:t>
            </w:r>
            <w:r>
              <w:rPr>
                <w:color w:val="auto"/>
                <w:spacing w:val="3"/>
                <w:sz w:val="24"/>
                <w:szCs w:val="24"/>
                <w:u w:val="single" w:color="auto"/>
              </w:rPr>
              <w:t>是/否）。</w:t>
            </w:r>
          </w:p>
        </w:tc>
        <w:tc>
          <w:tcPr>
            <w:tcW w:w="3623" w:type="dxa"/>
            <w:noWrap w:val="0"/>
            <w:vAlign w:val="top"/>
          </w:tcPr>
          <w:p w14:paraId="7AB21478">
            <w:pPr>
              <w:rPr>
                <w:rFonts w:ascii="Arial"/>
                <w:color w:val="auto"/>
                <w:sz w:val="21"/>
              </w:rPr>
            </w:pPr>
          </w:p>
        </w:tc>
      </w:tr>
    </w:tbl>
    <w:p w14:paraId="046FF361">
      <w:pPr>
        <w:pStyle w:val="14"/>
        <w:spacing w:line="269" w:lineRule="auto"/>
        <w:rPr>
          <w:color w:val="auto"/>
        </w:rPr>
      </w:pPr>
    </w:p>
    <w:p w14:paraId="4241208D">
      <w:pPr>
        <w:spacing w:before="78" w:line="346" w:lineRule="auto"/>
        <w:ind w:left="307" w:right="295" w:firstLine="479"/>
        <w:rPr>
          <w:rFonts w:ascii="宋体" w:hAnsi="宋体" w:eastAsia="宋体" w:cs="宋体"/>
          <w:color w:val="auto"/>
          <w:sz w:val="24"/>
          <w:szCs w:val="24"/>
        </w:rPr>
      </w:pPr>
      <w:r>
        <w:rPr>
          <w:rFonts w:ascii="宋体" w:hAnsi="宋体" w:eastAsia="宋体" w:cs="宋体"/>
          <w:color w:val="auto"/>
          <w:spacing w:val="-3"/>
          <w:sz w:val="24"/>
          <w:szCs w:val="24"/>
        </w:rPr>
        <w:t>根据《中华人民共和国政府采购法》、《中华人民共和国民法典》等法律、法规</w:t>
      </w:r>
      <w:r>
        <w:rPr>
          <w:rFonts w:ascii="宋体" w:hAnsi="宋体" w:eastAsia="宋体" w:cs="宋体"/>
          <w:color w:val="auto"/>
          <w:spacing w:val="3"/>
          <w:sz w:val="24"/>
          <w:szCs w:val="24"/>
        </w:rPr>
        <w:t xml:space="preserve"> </w:t>
      </w:r>
      <w:r>
        <w:rPr>
          <w:rFonts w:ascii="宋体" w:hAnsi="宋体" w:eastAsia="宋体" w:cs="宋体"/>
          <w:color w:val="auto"/>
          <w:sz w:val="24"/>
          <w:szCs w:val="24"/>
        </w:rPr>
        <w:t>规定，按照招投标文件规定条款和成交供应商承</w:t>
      </w:r>
      <w:r>
        <w:rPr>
          <w:rFonts w:ascii="宋体" w:hAnsi="宋体" w:eastAsia="宋体" w:cs="宋体"/>
          <w:color w:val="auto"/>
          <w:spacing w:val="-1"/>
          <w:sz w:val="24"/>
          <w:szCs w:val="24"/>
        </w:rPr>
        <w:t>诺，甲乙双方签订本合同。</w:t>
      </w:r>
    </w:p>
    <w:p w14:paraId="5627DEEB">
      <w:pPr>
        <w:spacing w:before="153" w:line="219" w:lineRule="auto"/>
        <w:ind w:left="786"/>
        <w:rPr>
          <w:rFonts w:ascii="宋体" w:hAnsi="宋体" w:eastAsia="宋体" w:cs="宋体"/>
          <w:color w:val="auto"/>
          <w:sz w:val="24"/>
          <w:szCs w:val="24"/>
        </w:rPr>
      </w:pPr>
      <w:r>
        <w:rPr>
          <w:rFonts w:ascii="宋体" w:hAnsi="宋体" w:eastAsia="宋体" w:cs="宋体"/>
          <w:b/>
          <w:bCs/>
          <w:color w:val="auto"/>
          <w:spacing w:val="-3"/>
          <w:sz w:val="24"/>
          <w:szCs w:val="24"/>
        </w:rPr>
        <w:t>第一条</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合同标的</w:t>
      </w:r>
    </w:p>
    <w:p w14:paraId="06214E5C">
      <w:pPr>
        <w:spacing w:before="303" w:line="219" w:lineRule="auto"/>
        <w:ind w:left="803"/>
        <w:rPr>
          <w:rFonts w:ascii="宋体" w:hAnsi="宋体" w:eastAsia="宋体" w:cs="宋体"/>
          <w:color w:val="auto"/>
          <w:sz w:val="24"/>
          <w:szCs w:val="24"/>
        </w:rPr>
      </w:pPr>
      <w:r>
        <w:rPr>
          <w:rFonts w:ascii="宋体" w:hAnsi="宋体" w:eastAsia="宋体" w:cs="宋体"/>
          <w:color w:val="auto"/>
          <w:spacing w:val="-4"/>
          <w:sz w:val="24"/>
          <w:szCs w:val="24"/>
        </w:rPr>
        <w:t>1、服务内容一览表</w:t>
      </w:r>
    </w:p>
    <w:p w14:paraId="59DD7F63">
      <w:pPr>
        <w:spacing w:line="145" w:lineRule="exact"/>
        <w:rPr>
          <w:color w:val="auto"/>
        </w:rPr>
      </w:pPr>
    </w:p>
    <w:tbl>
      <w:tblPr>
        <w:tblStyle w:val="27"/>
        <w:tblW w:w="9376" w:type="dxa"/>
        <w:tblInd w:w="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959"/>
        <w:gridCol w:w="1730"/>
        <w:gridCol w:w="2505"/>
        <w:gridCol w:w="849"/>
        <w:gridCol w:w="760"/>
        <w:gridCol w:w="1274"/>
        <w:gridCol w:w="1299"/>
      </w:tblGrid>
      <w:tr w14:paraId="64A8DF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28" w:hRule="atLeast"/>
        </w:trPr>
        <w:tc>
          <w:tcPr>
            <w:tcW w:w="959" w:type="dxa"/>
            <w:tcBorders>
              <w:top w:val="single" w:color="auto" w:sz="2" w:space="0"/>
              <w:left w:val="single" w:color="auto" w:sz="2" w:space="0"/>
              <w:bottom w:val="single" w:color="auto" w:sz="2" w:space="0"/>
              <w:right w:val="single" w:color="auto" w:sz="2" w:space="0"/>
            </w:tcBorders>
            <w:noWrap w:val="0"/>
            <w:vAlign w:val="top"/>
          </w:tcPr>
          <w:p w14:paraId="7EFA9270">
            <w:pPr>
              <w:pStyle w:val="53"/>
              <w:spacing w:before="276" w:line="221" w:lineRule="auto"/>
              <w:ind w:left="245"/>
              <w:rPr>
                <w:color w:val="auto"/>
                <w:sz w:val="24"/>
                <w:szCs w:val="24"/>
              </w:rPr>
            </w:pPr>
            <w:r>
              <w:rPr>
                <w:b/>
                <w:bCs/>
                <w:color w:val="auto"/>
                <w:spacing w:val="-7"/>
                <w:sz w:val="24"/>
                <w:szCs w:val="24"/>
              </w:rPr>
              <w:t>序号</w:t>
            </w:r>
          </w:p>
        </w:tc>
        <w:tc>
          <w:tcPr>
            <w:tcW w:w="1730" w:type="dxa"/>
            <w:tcBorders>
              <w:top w:val="single" w:color="auto" w:sz="2" w:space="0"/>
              <w:left w:val="single" w:color="auto" w:sz="2" w:space="0"/>
              <w:bottom w:val="single" w:color="auto" w:sz="2" w:space="0"/>
              <w:right w:val="single" w:color="auto" w:sz="2" w:space="0"/>
            </w:tcBorders>
            <w:noWrap w:val="0"/>
            <w:vAlign w:val="top"/>
          </w:tcPr>
          <w:p w14:paraId="5562FDA7">
            <w:pPr>
              <w:pStyle w:val="53"/>
              <w:spacing w:before="276" w:line="219" w:lineRule="auto"/>
              <w:ind w:left="387"/>
              <w:rPr>
                <w:color w:val="auto"/>
                <w:sz w:val="24"/>
                <w:szCs w:val="24"/>
              </w:rPr>
            </w:pPr>
            <w:r>
              <w:rPr>
                <w:b/>
                <w:bCs/>
                <w:color w:val="auto"/>
                <w:spacing w:val="-5"/>
                <w:sz w:val="24"/>
                <w:szCs w:val="24"/>
              </w:rPr>
              <w:t>采购名称</w:t>
            </w:r>
          </w:p>
        </w:tc>
        <w:tc>
          <w:tcPr>
            <w:tcW w:w="2505" w:type="dxa"/>
            <w:tcBorders>
              <w:top w:val="single" w:color="auto" w:sz="2" w:space="0"/>
              <w:left w:val="single" w:color="auto" w:sz="2" w:space="0"/>
              <w:bottom w:val="single" w:color="auto" w:sz="2" w:space="0"/>
              <w:right w:val="single" w:color="auto" w:sz="2" w:space="0"/>
            </w:tcBorders>
            <w:noWrap w:val="0"/>
            <w:vAlign w:val="top"/>
          </w:tcPr>
          <w:p w14:paraId="3A1EE691">
            <w:pPr>
              <w:pStyle w:val="53"/>
              <w:spacing w:before="277" w:line="219" w:lineRule="auto"/>
              <w:ind w:left="777"/>
              <w:rPr>
                <w:color w:val="auto"/>
                <w:sz w:val="24"/>
                <w:szCs w:val="24"/>
              </w:rPr>
            </w:pPr>
            <w:r>
              <w:rPr>
                <w:b/>
                <w:bCs/>
                <w:color w:val="auto"/>
                <w:spacing w:val="-5"/>
                <w:sz w:val="24"/>
                <w:szCs w:val="24"/>
              </w:rPr>
              <w:t>服务内容</w:t>
            </w:r>
          </w:p>
        </w:tc>
        <w:tc>
          <w:tcPr>
            <w:tcW w:w="849" w:type="dxa"/>
            <w:tcBorders>
              <w:top w:val="single" w:color="auto" w:sz="2" w:space="0"/>
              <w:left w:val="single" w:color="auto" w:sz="2" w:space="0"/>
              <w:bottom w:val="single" w:color="auto" w:sz="2" w:space="0"/>
              <w:right w:val="single" w:color="auto" w:sz="2" w:space="0"/>
            </w:tcBorders>
            <w:noWrap w:val="0"/>
            <w:vAlign w:val="top"/>
          </w:tcPr>
          <w:p w14:paraId="37D524DF">
            <w:pPr>
              <w:pStyle w:val="53"/>
              <w:spacing w:before="277" w:line="219" w:lineRule="auto"/>
              <w:ind w:left="192"/>
              <w:rPr>
                <w:color w:val="auto"/>
                <w:sz w:val="24"/>
                <w:szCs w:val="24"/>
              </w:rPr>
            </w:pPr>
            <w:r>
              <w:rPr>
                <w:b/>
                <w:bCs/>
                <w:color w:val="auto"/>
                <w:spacing w:val="-9"/>
                <w:sz w:val="24"/>
                <w:szCs w:val="24"/>
              </w:rPr>
              <w:t>数量</w:t>
            </w:r>
          </w:p>
        </w:tc>
        <w:tc>
          <w:tcPr>
            <w:tcW w:w="760" w:type="dxa"/>
            <w:tcBorders>
              <w:top w:val="single" w:color="auto" w:sz="2" w:space="0"/>
              <w:left w:val="single" w:color="auto" w:sz="2" w:space="0"/>
              <w:bottom w:val="single" w:color="auto" w:sz="2" w:space="0"/>
              <w:right w:val="single" w:color="auto" w:sz="2" w:space="0"/>
            </w:tcBorders>
            <w:noWrap w:val="0"/>
            <w:vAlign w:val="top"/>
          </w:tcPr>
          <w:p w14:paraId="068AA226">
            <w:pPr>
              <w:pStyle w:val="53"/>
              <w:spacing w:before="277" w:line="220" w:lineRule="auto"/>
              <w:ind w:left="149"/>
              <w:rPr>
                <w:color w:val="auto"/>
                <w:sz w:val="24"/>
                <w:szCs w:val="24"/>
              </w:rPr>
            </w:pPr>
            <w:r>
              <w:rPr>
                <w:b/>
                <w:bCs/>
                <w:color w:val="auto"/>
                <w:spacing w:val="-9"/>
                <w:sz w:val="24"/>
                <w:szCs w:val="24"/>
              </w:rPr>
              <w:t>单位</w:t>
            </w:r>
          </w:p>
        </w:tc>
        <w:tc>
          <w:tcPr>
            <w:tcW w:w="1274" w:type="dxa"/>
            <w:tcBorders>
              <w:top w:val="single" w:color="auto" w:sz="2" w:space="0"/>
              <w:left w:val="single" w:color="auto" w:sz="2" w:space="0"/>
              <w:bottom w:val="single" w:color="auto" w:sz="2" w:space="0"/>
              <w:right w:val="single" w:color="auto" w:sz="2" w:space="0"/>
            </w:tcBorders>
            <w:noWrap w:val="0"/>
            <w:vAlign w:val="top"/>
          </w:tcPr>
          <w:p w14:paraId="2AE83870">
            <w:pPr>
              <w:pStyle w:val="53"/>
              <w:spacing w:before="277" w:line="218" w:lineRule="auto"/>
              <w:jc w:val="right"/>
              <w:rPr>
                <w:color w:val="auto"/>
                <w:sz w:val="24"/>
                <w:szCs w:val="24"/>
              </w:rPr>
            </w:pPr>
            <w:r>
              <w:rPr>
                <w:b/>
                <w:bCs/>
                <w:color w:val="auto"/>
                <w:spacing w:val="-14"/>
                <w:sz w:val="24"/>
                <w:szCs w:val="24"/>
              </w:rPr>
              <w:t>单价（元）</w:t>
            </w:r>
          </w:p>
        </w:tc>
        <w:tc>
          <w:tcPr>
            <w:tcW w:w="1299" w:type="dxa"/>
            <w:tcBorders>
              <w:top w:val="single" w:color="auto" w:sz="2" w:space="0"/>
              <w:left w:val="single" w:color="auto" w:sz="2" w:space="0"/>
              <w:bottom w:val="single" w:color="auto" w:sz="2" w:space="0"/>
              <w:right w:val="single" w:color="auto" w:sz="2" w:space="0"/>
            </w:tcBorders>
            <w:noWrap w:val="0"/>
            <w:vAlign w:val="top"/>
          </w:tcPr>
          <w:p w14:paraId="27091CC4">
            <w:pPr>
              <w:pStyle w:val="53"/>
              <w:spacing w:before="277" w:line="219" w:lineRule="auto"/>
              <w:jc w:val="right"/>
              <w:rPr>
                <w:color w:val="auto"/>
                <w:sz w:val="24"/>
                <w:szCs w:val="24"/>
              </w:rPr>
            </w:pPr>
            <w:r>
              <w:rPr>
                <w:b/>
                <w:bCs/>
                <w:color w:val="auto"/>
                <w:spacing w:val="-10"/>
                <w:sz w:val="24"/>
                <w:szCs w:val="24"/>
              </w:rPr>
              <w:t>金额（元）</w:t>
            </w:r>
          </w:p>
        </w:tc>
      </w:tr>
      <w:tr w14:paraId="272045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1" w:hRule="atLeast"/>
        </w:trPr>
        <w:tc>
          <w:tcPr>
            <w:tcW w:w="959" w:type="dxa"/>
            <w:tcBorders>
              <w:top w:val="single" w:color="auto" w:sz="2" w:space="0"/>
              <w:left w:val="single" w:color="auto" w:sz="2" w:space="0"/>
              <w:bottom w:val="single" w:color="auto" w:sz="2" w:space="0"/>
              <w:right w:val="single" w:color="auto" w:sz="2" w:space="0"/>
            </w:tcBorders>
            <w:noWrap w:val="0"/>
            <w:vAlign w:val="top"/>
          </w:tcPr>
          <w:p w14:paraId="13BD5427">
            <w:pPr>
              <w:pStyle w:val="53"/>
              <w:spacing w:before="193" w:line="184" w:lineRule="auto"/>
              <w:ind w:left="443"/>
              <w:rPr>
                <w:color w:val="auto"/>
                <w:sz w:val="24"/>
                <w:szCs w:val="24"/>
              </w:rPr>
            </w:pPr>
            <w:r>
              <w:rPr>
                <w:color w:val="auto"/>
                <w:sz w:val="24"/>
                <w:szCs w:val="24"/>
              </w:rPr>
              <w:t>1</w:t>
            </w:r>
          </w:p>
        </w:tc>
        <w:tc>
          <w:tcPr>
            <w:tcW w:w="1730" w:type="dxa"/>
            <w:tcBorders>
              <w:top w:val="single" w:color="auto" w:sz="2" w:space="0"/>
              <w:left w:val="single" w:color="auto" w:sz="2" w:space="0"/>
              <w:bottom w:val="single" w:color="auto" w:sz="2" w:space="0"/>
              <w:right w:val="single" w:color="auto" w:sz="2" w:space="0"/>
            </w:tcBorders>
            <w:noWrap w:val="0"/>
            <w:vAlign w:val="top"/>
          </w:tcPr>
          <w:p w14:paraId="59DA6DBF">
            <w:pPr>
              <w:rPr>
                <w:rFonts w:ascii="Arial"/>
                <w:color w:val="auto"/>
                <w:sz w:val="21"/>
              </w:rPr>
            </w:pPr>
          </w:p>
        </w:tc>
        <w:tc>
          <w:tcPr>
            <w:tcW w:w="2505" w:type="dxa"/>
            <w:tcBorders>
              <w:top w:val="single" w:color="auto" w:sz="2" w:space="0"/>
              <w:left w:val="single" w:color="auto" w:sz="2" w:space="0"/>
              <w:bottom w:val="single" w:color="auto" w:sz="2" w:space="0"/>
              <w:right w:val="single" w:color="auto" w:sz="2" w:space="0"/>
            </w:tcBorders>
            <w:noWrap w:val="0"/>
            <w:vAlign w:val="top"/>
          </w:tcPr>
          <w:p w14:paraId="7EBFD41D">
            <w:pPr>
              <w:rPr>
                <w:rFonts w:ascii="Arial"/>
                <w:color w:val="auto"/>
                <w:sz w:val="21"/>
              </w:rPr>
            </w:pPr>
          </w:p>
        </w:tc>
        <w:tc>
          <w:tcPr>
            <w:tcW w:w="849" w:type="dxa"/>
            <w:tcBorders>
              <w:top w:val="single" w:color="auto" w:sz="2" w:space="0"/>
              <w:left w:val="single" w:color="auto" w:sz="2" w:space="0"/>
              <w:bottom w:val="single" w:color="auto" w:sz="2" w:space="0"/>
              <w:right w:val="single" w:color="auto" w:sz="2" w:space="0"/>
            </w:tcBorders>
            <w:noWrap w:val="0"/>
            <w:vAlign w:val="top"/>
          </w:tcPr>
          <w:p w14:paraId="1761853B">
            <w:pPr>
              <w:rPr>
                <w:rFonts w:ascii="Arial"/>
                <w:color w:val="auto"/>
                <w:sz w:val="21"/>
              </w:rPr>
            </w:pPr>
          </w:p>
        </w:tc>
        <w:tc>
          <w:tcPr>
            <w:tcW w:w="760" w:type="dxa"/>
            <w:tcBorders>
              <w:top w:val="single" w:color="auto" w:sz="2" w:space="0"/>
              <w:left w:val="single" w:color="auto" w:sz="2" w:space="0"/>
              <w:bottom w:val="single" w:color="auto" w:sz="2" w:space="0"/>
              <w:right w:val="single" w:color="auto" w:sz="2" w:space="0"/>
            </w:tcBorders>
            <w:noWrap w:val="0"/>
            <w:vAlign w:val="top"/>
          </w:tcPr>
          <w:p w14:paraId="5D625391">
            <w:pPr>
              <w:rPr>
                <w:rFonts w:ascii="Arial"/>
                <w:color w:val="auto"/>
                <w:sz w:val="21"/>
              </w:rPr>
            </w:pPr>
          </w:p>
        </w:tc>
        <w:tc>
          <w:tcPr>
            <w:tcW w:w="1274" w:type="dxa"/>
            <w:tcBorders>
              <w:top w:val="single" w:color="auto" w:sz="2" w:space="0"/>
              <w:left w:val="single" w:color="auto" w:sz="2" w:space="0"/>
              <w:bottom w:val="single" w:color="auto" w:sz="2" w:space="0"/>
              <w:right w:val="single" w:color="auto" w:sz="2" w:space="0"/>
            </w:tcBorders>
            <w:noWrap w:val="0"/>
            <w:vAlign w:val="top"/>
          </w:tcPr>
          <w:p w14:paraId="03780AA5">
            <w:pPr>
              <w:rPr>
                <w:rFonts w:ascii="Arial"/>
                <w:color w:val="auto"/>
                <w:sz w:val="21"/>
              </w:rPr>
            </w:pPr>
          </w:p>
        </w:tc>
        <w:tc>
          <w:tcPr>
            <w:tcW w:w="1299" w:type="dxa"/>
            <w:tcBorders>
              <w:top w:val="single" w:color="auto" w:sz="2" w:space="0"/>
              <w:left w:val="single" w:color="auto" w:sz="2" w:space="0"/>
              <w:bottom w:val="single" w:color="auto" w:sz="2" w:space="0"/>
              <w:right w:val="single" w:color="auto" w:sz="2" w:space="0"/>
            </w:tcBorders>
            <w:noWrap w:val="0"/>
            <w:vAlign w:val="top"/>
          </w:tcPr>
          <w:p w14:paraId="0C92DFC7">
            <w:pPr>
              <w:rPr>
                <w:rFonts w:ascii="Arial"/>
                <w:color w:val="auto"/>
                <w:sz w:val="21"/>
              </w:rPr>
            </w:pPr>
          </w:p>
        </w:tc>
      </w:tr>
      <w:tr w14:paraId="371830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1" w:hRule="atLeast"/>
        </w:trPr>
        <w:tc>
          <w:tcPr>
            <w:tcW w:w="959" w:type="dxa"/>
            <w:tcBorders>
              <w:top w:val="single" w:color="auto" w:sz="2" w:space="0"/>
              <w:left w:val="single" w:color="auto" w:sz="2" w:space="0"/>
              <w:bottom w:val="single" w:color="auto" w:sz="2" w:space="0"/>
              <w:right w:val="single" w:color="auto" w:sz="2" w:space="0"/>
            </w:tcBorders>
            <w:noWrap w:val="0"/>
            <w:vAlign w:val="top"/>
          </w:tcPr>
          <w:p w14:paraId="4F023933">
            <w:pPr>
              <w:spacing w:line="255" w:lineRule="auto"/>
              <w:rPr>
                <w:rFonts w:ascii="Arial"/>
                <w:color w:val="auto"/>
                <w:sz w:val="21"/>
              </w:rPr>
            </w:pPr>
          </w:p>
          <w:p w14:paraId="209BCE18">
            <w:pPr>
              <w:pStyle w:val="53"/>
              <w:spacing w:before="78" w:line="99" w:lineRule="exact"/>
              <w:ind w:left="312"/>
              <w:rPr>
                <w:color w:val="auto"/>
                <w:sz w:val="24"/>
                <w:szCs w:val="24"/>
              </w:rPr>
            </w:pPr>
            <w:r>
              <w:rPr>
                <w:color w:val="auto"/>
                <w:position w:val="1"/>
                <w:sz w:val="24"/>
                <w:szCs w:val="24"/>
              </w:rPr>
              <w:t>...</w:t>
            </w:r>
          </w:p>
        </w:tc>
        <w:tc>
          <w:tcPr>
            <w:tcW w:w="1730" w:type="dxa"/>
            <w:tcBorders>
              <w:top w:val="single" w:color="auto" w:sz="2" w:space="0"/>
              <w:left w:val="single" w:color="auto" w:sz="2" w:space="0"/>
              <w:bottom w:val="single" w:color="auto" w:sz="2" w:space="0"/>
              <w:right w:val="single" w:color="auto" w:sz="2" w:space="0"/>
            </w:tcBorders>
            <w:noWrap w:val="0"/>
            <w:vAlign w:val="top"/>
          </w:tcPr>
          <w:p w14:paraId="0FC4908C">
            <w:pPr>
              <w:rPr>
                <w:rFonts w:ascii="Arial"/>
                <w:color w:val="auto"/>
                <w:sz w:val="21"/>
              </w:rPr>
            </w:pPr>
          </w:p>
        </w:tc>
        <w:tc>
          <w:tcPr>
            <w:tcW w:w="2505" w:type="dxa"/>
            <w:tcBorders>
              <w:top w:val="single" w:color="auto" w:sz="2" w:space="0"/>
              <w:left w:val="single" w:color="auto" w:sz="2" w:space="0"/>
              <w:bottom w:val="single" w:color="auto" w:sz="2" w:space="0"/>
              <w:right w:val="single" w:color="auto" w:sz="2" w:space="0"/>
            </w:tcBorders>
            <w:noWrap w:val="0"/>
            <w:vAlign w:val="top"/>
          </w:tcPr>
          <w:p w14:paraId="34EC16D7">
            <w:pPr>
              <w:rPr>
                <w:rFonts w:ascii="Arial"/>
                <w:color w:val="auto"/>
                <w:sz w:val="21"/>
              </w:rPr>
            </w:pPr>
          </w:p>
        </w:tc>
        <w:tc>
          <w:tcPr>
            <w:tcW w:w="849" w:type="dxa"/>
            <w:tcBorders>
              <w:top w:val="single" w:color="auto" w:sz="2" w:space="0"/>
              <w:left w:val="single" w:color="auto" w:sz="2" w:space="0"/>
              <w:bottom w:val="single" w:color="auto" w:sz="2" w:space="0"/>
              <w:right w:val="single" w:color="auto" w:sz="2" w:space="0"/>
            </w:tcBorders>
            <w:noWrap w:val="0"/>
            <w:vAlign w:val="top"/>
          </w:tcPr>
          <w:p w14:paraId="77353550">
            <w:pPr>
              <w:rPr>
                <w:rFonts w:ascii="Arial"/>
                <w:color w:val="auto"/>
                <w:sz w:val="21"/>
              </w:rPr>
            </w:pPr>
          </w:p>
        </w:tc>
        <w:tc>
          <w:tcPr>
            <w:tcW w:w="760" w:type="dxa"/>
            <w:tcBorders>
              <w:top w:val="single" w:color="auto" w:sz="2" w:space="0"/>
              <w:left w:val="single" w:color="auto" w:sz="2" w:space="0"/>
              <w:bottom w:val="single" w:color="auto" w:sz="2" w:space="0"/>
              <w:right w:val="single" w:color="auto" w:sz="2" w:space="0"/>
            </w:tcBorders>
            <w:noWrap w:val="0"/>
            <w:vAlign w:val="top"/>
          </w:tcPr>
          <w:p w14:paraId="7802CDCA">
            <w:pPr>
              <w:rPr>
                <w:rFonts w:ascii="Arial"/>
                <w:color w:val="auto"/>
                <w:sz w:val="21"/>
              </w:rPr>
            </w:pPr>
          </w:p>
        </w:tc>
        <w:tc>
          <w:tcPr>
            <w:tcW w:w="1274" w:type="dxa"/>
            <w:tcBorders>
              <w:top w:val="single" w:color="auto" w:sz="2" w:space="0"/>
              <w:left w:val="single" w:color="auto" w:sz="2" w:space="0"/>
              <w:bottom w:val="single" w:color="auto" w:sz="2" w:space="0"/>
              <w:right w:val="single" w:color="auto" w:sz="2" w:space="0"/>
            </w:tcBorders>
            <w:noWrap w:val="0"/>
            <w:vAlign w:val="top"/>
          </w:tcPr>
          <w:p w14:paraId="41F949C1">
            <w:pPr>
              <w:rPr>
                <w:rFonts w:ascii="Arial"/>
                <w:color w:val="auto"/>
                <w:sz w:val="21"/>
              </w:rPr>
            </w:pPr>
          </w:p>
        </w:tc>
        <w:tc>
          <w:tcPr>
            <w:tcW w:w="1299" w:type="dxa"/>
            <w:tcBorders>
              <w:top w:val="single" w:color="auto" w:sz="2" w:space="0"/>
              <w:left w:val="single" w:color="auto" w:sz="2" w:space="0"/>
              <w:bottom w:val="single" w:color="auto" w:sz="2" w:space="0"/>
              <w:right w:val="single" w:color="auto" w:sz="2" w:space="0"/>
            </w:tcBorders>
            <w:noWrap w:val="0"/>
            <w:vAlign w:val="top"/>
          </w:tcPr>
          <w:p w14:paraId="11AF7F65">
            <w:pPr>
              <w:rPr>
                <w:rFonts w:ascii="Arial"/>
                <w:color w:val="auto"/>
                <w:sz w:val="21"/>
              </w:rPr>
            </w:pPr>
          </w:p>
        </w:tc>
      </w:tr>
      <w:tr w14:paraId="3BAF3F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1" w:hRule="atLeast"/>
        </w:trPr>
        <w:tc>
          <w:tcPr>
            <w:tcW w:w="9376" w:type="dxa"/>
            <w:gridSpan w:val="7"/>
            <w:tcBorders>
              <w:top w:val="single" w:color="auto" w:sz="2" w:space="0"/>
              <w:left w:val="single" w:color="auto" w:sz="2" w:space="0"/>
              <w:bottom w:val="single" w:color="auto" w:sz="2" w:space="0"/>
              <w:right w:val="single" w:color="auto" w:sz="2" w:space="0"/>
            </w:tcBorders>
            <w:noWrap w:val="0"/>
            <w:vAlign w:val="top"/>
          </w:tcPr>
          <w:p w14:paraId="0F31CE67">
            <w:pPr>
              <w:pStyle w:val="53"/>
              <w:spacing w:before="158" w:line="219" w:lineRule="auto"/>
              <w:ind w:left="116"/>
              <w:rPr>
                <w:color w:val="auto"/>
                <w:sz w:val="24"/>
                <w:szCs w:val="24"/>
              </w:rPr>
            </w:pPr>
            <w:r>
              <w:rPr>
                <w:color w:val="auto"/>
                <w:spacing w:val="-2"/>
                <w:sz w:val="24"/>
                <w:szCs w:val="24"/>
              </w:rPr>
              <w:t>服务期限：</w:t>
            </w:r>
          </w:p>
        </w:tc>
      </w:tr>
      <w:tr w14:paraId="699A5D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6" w:hRule="atLeast"/>
        </w:trPr>
        <w:tc>
          <w:tcPr>
            <w:tcW w:w="9376" w:type="dxa"/>
            <w:gridSpan w:val="7"/>
            <w:tcBorders>
              <w:top w:val="single" w:color="auto" w:sz="2" w:space="0"/>
              <w:left w:val="single" w:color="auto" w:sz="2" w:space="0"/>
              <w:bottom w:val="single" w:color="auto" w:sz="2" w:space="0"/>
              <w:right w:val="single" w:color="auto" w:sz="2" w:space="0"/>
            </w:tcBorders>
            <w:noWrap w:val="0"/>
            <w:vAlign w:val="top"/>
          </w:tcPr>
          <w:p w14:paraId="47A9AAB0">
            <w:pPr>
              <w:pStyle w:val="53"/>
              <w:spacing w:before="159" w:line="221" w:lineRule="auto"/>
              <w:ind w:left="117"/>
              <w:rPr>
                <w:color w:val="auto"/>
                <w:sz w:val="24"/>
                <w:szCs w:val="24"/>
              </w:rPr>
            </w:pPr>
            <w:r>
              <w:rPr>
                <w:color w:val="auto"/>
                <w:spacing w:val="-4"/>
                <w:sz w:val="24"/>
                <w:szCs w:val="24"/>
              </w:rPr>
              <w:t>合计：</w:t>
            </w:r>
          </w:p>
        </w:tc>
      </w:tr>
    </w:tbl>
    <w:p w14:paraId="33317542">
      <w:pPr>
        <w:spacing w:before="157" w:line="350" w:lineRule="auto"/>
        <w:ind w:left="310" w:right="244" w:firstLine="478"/>
        <w:jc w:val="both"/>
        <w:rPr>
          <w:rFonts w:ascii="宋体" w:hAnsi="宋体" w:eastAsia="宋体" w:cs="宋体"/>
          <w:color w:val="auto"/>
          <w:sz w:val="24"/>
          <w:szCs w:val="24"/>
        </w:rPr>
      </w:pPr>
      <w:r>
        <w:rPr>
          <w:rFonts w:ascii="宋体" w:hAnsi="宋体" w:eastAsia="宋体" w:cs="宋体"/>
          <w:color w:val="auto"/>
          <w:sz w:val="24"/>
          <w:szCs w:val="24"/>
        </w:rPr>
        <w:t>2、合同合计金额包含满足本次竞标全部采购需求所应提供的服务，以及伴随的</w:t>
      </w:r>
      <w:r>
        <w:rPr>
          <w:rFonts w:ascii="宋体" w:hAnsi="宋体" w:eastAsia="宋体" w:cs="宋体"/>
          <w:color w:val="auto"/>
          <w:spacing w:val="13"/>
          <w:sz w:val="24"/>
          <w:szCs w:val="24"/>
        </w:rPr>
        <w:t xml:space="preserve"> </w:t>
      </w:r>
      <w:r>
        <w:rPr>
          <w:rFonts w:ascii="宋体" w:hAnsi="宋体" w:eastAsia="宋体" w:cs="宋体"/>
          <w:color w:val="auto"/>
          <w:spacing w:val="-1"/>
          <w:sz w:val="24"/>
          <w:szCs w:val="24"/>
        </w:rPr>
        <w:t>货物和工程（如有）的价格；包含竞标服务</w:t>
      </w:r>
      <w:r>
        <w:rPr>
          <w:rFonts w:ascii="宋体" w:hAnsi="宋体" w:eastAsia="宋体" w:cs="宋体"/>
          <w:color w:val="auto"/>
          <w:spacing w:val="-2"/>
          <w:sz w:val="24"/>
          <w:szCs w:val="24"/>
        </w:rPr>
        <w:t>、货物、工程的成本、运输（含保险）、</w:t>
      </w:r>
      <w:r>
        <w:rPr>
          <w:rFonts w:ascii="宋体" w:hAnsi="宋体" w:eastAsia="宋体" w:cs="宋体"/>
          <w:color w:val="auto"/>
          <w:sz w:val="24"/>
          <w:szCs w:val="24"/>
        </w:rPr>
        <w:t xml:space="preserve"> </w:t>
      </w:r>
      <w:r>
        <w:rPr>
          <w:rFonts w:ascii="宋体" w:hAnsi="宋体" w:eastAsia="宋体" w:cs="宋体"/>
          <w:color w:val="auto"/>
          <w:spacing w:val="-1"/>
          <w:sz w:val="24"/>
          <w:szCs w:val="24"/>
        </w:rPr>
        <w:t>安装（如有）、调试、检验、技术服务、培训、税费等所有费用。</w:t>
      </w:r>
    </w:p>
    <w:p w14:paraId="45A1B900">
      <w:pPr>
        <w:spacing w:before="156" w:line="219" w:lineRule="auto"/>
        <w:ind w:left="786"/>
        <w:rPr>
          <w:rFonts w:ascii="宋体" w:hAnsi="宋体" w:eastAsia="宋体" w:cs="宋体"/>
          <w:color w:val="auto"/>
          <w:sz w:val="24"/>
          <w:szCs w:val="24"/>
        </w:rPr>
      </w:pPr>
      <w:r>
        <w:rPr>
          <w:rFonts w:ascii="宋体" w:hAnsi="宋体" w:eastAsia="宋体" w:cs="宋体"/>
          <w:b/>
          <w:bCs/>
          <w:color w:val="auto"/>
          <w:spacing w:val="-3"/>
          <w:sz w:val="24"/>
          <w:szCs w:val="24"/>
        </w:rPr>
        <w:t>第二条</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质量保证</w:t>
      </w:r>
    </w:p>
    <w:p w14:paraId="0AF531FC">
      <w:pPr>
        <w:spacing w:before="300" w:line="219" w:lineRule="auto"/>
        <w:ind w:left="803"/>
        <w:rPr>
          <w:rFonts w:ascii="宋体" w:hAnsi="宋体" w:eastAsia="宋体" w:cs="宋体"/>
          <w:color w:val="auto"/>
          <w:sz w:val="24"/>
          <w:szCs w:val="24"/>
        </w:rPr>
      </w:pPr>
      <w:r>
        <w:rPr>
          <w:rFonts w:ascii="宋体" w:hAnsi="宋体" w:eastAsia="宋体" w:cs="宋体"/>
          <w:color w:val="auto"/>
          <w:spacing w:val="-1"/>
          <w:sz w:val="24"/>
          <w:szCs w:val="24"/>
        </w:rPr>
        <w:t>1、乙方所提供的服务内容必须与招投标文件和承诺相一</w:t>
      </w:r>
      <w:r>
        <w:rPr>
          <w:rFonts w:ascii="宋体" w:hAnsi="宋体" w:eastAsia="宋体" w:cs="宋体"/>
          <w:color w:val="auto"/>
          <w:spacing w:val="-2"/>
          <w:sz w:val="24"/>
          <w:szCs w:val="24"/>
        </w:rPr>
        <w:t>致。</w:t>
      </w:r>
    </w:p>
    <w:p w14:paraId="1EB1D465">
      <w:pPr>
        <w:spacing w:before="302" w:line="219" w:lineRule="auto"/>
        <w:ind w:left="786"/>
        <w:rPr>
          <w:rFonts w:ascii="宋体" w:hAnsi="宋体" w:eastAsia="宋体" w:cs="宋体"/>
          <w:color w:val="auto"/>
          <w:sz w:val="24"/>
          <w:szCs w:val="24"/>
        </w:rPr>
      </w:pPr>
      <w:r>
        <w:rPr>
          <w:rFonts w:ascii="宋体" w:hAnsi="宋体" w:eastAsia="宋体" w:cs="宋体"/>
          <w:b/>
          <w:bCs/>
          <w:color w:val="auto"/>
          <w:spacing w:val="-3"/>
          <w:sz w:val="24"/>
          <w:szCs w:val="24"/>
        </w:rPr>
        <w:t>第三条</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权力保证</w:t>
      </w:r>
    </w:p>
    <w:p w14:paraId="2ED9475E">
      <w:pPr>
        <w:spacing w:line="219" w:lineRule="auto"/>
        <w:rPr>
          <w:rFonts w:ascii="宋体" w:hAnsi="宋体" w:eastAsia="宋体" w:cs="宋体"/>
          <w:color w:val="auto"/>
          <w:sz w:val="24"/>
          <w:szCs w:val="24"/>
        </w:rPr>
        <w:sectPr>
          <w:footerReference r:id="rId12" w:type="default"/>
          <w:pgSz w:w="11906" w:h="16839"/>
          <w:pgMar w:top="1431" w:right="1177" w:bottom="1449" w:left="1347" w:header="0" w:footer="1287" w:gutter="0"/>
          <w:cols w:space="720" w:num="1"/>
        </w:sectPr>
      </w:pPr>
    </w:p>
    <w:p w14:paraId="70CCD10A">
      <w:pPr>
        <w:spacing w:before="79" w:line="345" w:lineRule="auto"/>
        <w:ind w:firstLine="503"/>
        <w:rPr>
          <w:rFonts w:ascii="宋体" w:hAnsi="宋体" w:eastAsia="宋体" w:cs="宋体"/>
          <w:color w:val="auto"/>
          <w:sz w:val="24"/>
          <w:szCs w:val="24"/>
        </w:rPr>
      </w:pPr>
      <w:r>
        <w:rPr>
          <w:rFonts w:ascii="宋体" w:hAnsi="宋体" w:eastAsia="宋体" w:cs="宋体"/>
          <w:color w:val="auto"/>
          <w:spacing w:val="-4"/>
          <w:sz w:val="24"/>
          <w:szCs w:val="24"/>
        </w:rPr>
        <w:t>乙方应保证所提供服务在使用时不会侵犯任何第三方的专利权、商标权、工业设</w:t>
      </w:r>
      <w:r>
        <w:rPr>
          <w:rFonts w:ascii="宋体" w:hAnsi="宋体" w:eastAsia="宋体" w:cs="宋体"/>
          <w:color w:val="auto"/>
          <w:spacing w:val="-2"/>
          <w:sz w:val="24"/>
          <w:szCs w:val="24"/>
        </w:rPr>
        <w:t>计权或其他权利。</w:t>
      </w:r>
    </w:p>
    <w:p w14:paraId="5A125B0C">
      <w:pPr>
        <w:spacing w:before="154" w:line="219" w:lineRule="auto"/>
        <w:ind w:left="504"/>
        <w:rPr>
          <w:rFonts w:ascii="宋体" w:hAnsi="宋体" w:eastAsia="宋体" w:cs="宋体"/>
          <w:color w:val="auto"/>
          <w:sz w:val="24"/>
          <w:szCs w:val="24"/>
        </w:rPr>
      </w:pPr>
      <w:r>
        <w:rPr>
          <w:rFonts w:ascii="宋体" w:hAnsi="宋体" w:eastAsia="宋体" w:cs="宋体"/>
          <w:color w:val="auto"/>
          <w:spacing w:val="-1"/>
          <w:sz w:val="24"/>
          <w:szCs w:val="24"/>
        </w:rPr>
        <w:t>乙方应按招标文件规定的时间向甲方提供服务的有</w:t>
      </w:r>
      <w:r>
        <w:rPr>
          <w:rFonts w:ascii="宋体" w:hAnsi="宋体" w:eastAsia="宋体" w:cs="宋体"/>
          <w:color w:val="auto"/>
          <w:spacing w:val="-2"/>
          <w:sz w:val="24"/>
          <w:szCs w:val="24"/>
        </w:rPr>
        <w:t>关技术资料。</w:t>
      </w:r>
    </w:p>
    <w:p w14:paraId="2273D156">
      <w:pPr>
        <w:spacing w:before="302" w:line="353" w:lineRule="auto"/>
        <w:ind w:firstLine="483"/>
        <w:jc w:val="both"/>
        <w:rPr>
          <w:rFonts w:ascii="宋体" w:hAnsi="宋体" w:eastAsia="宋体" w:cs="宋体"/>
          <w:color w:val="auto"/>
          <w:sz w:val="24"/>
          <w:szCs w:val="24"/>
        </w:rPr>
      </w:pPr>
      <w:r>
        <w:rPr>
          <w:rFonts w:ascii="宋体" w:hAnsi="宋体" w:eastAsia="宋体" w:cs="宋体"/>
          <w:color w:val="auto"/>
          <w:spacing w:val="-3"/>
          <w:sz w:val="24"/>
          <w:szCs w:val="24"/>
        </w:rPr>
        <w:t>没有甲方事先书面同意，乙方不得将由甲方提供的有关合同或任何合同条文、规</w:t>
      </w:r>
      <w:r>
        <w:rPr>
          <w:rFonts w:ascii="宋体" w:hAnsi="宋体" w:eastAsia="宋体" w:cs="宋体"/>
          <w:color w:val="auto"/>
          <w:sz w:val="24"/>
          <w:szCs w:val="24"/>
        </w:rPr>
        <w:t xml:space="preserve"> </w:t>
      </w:r>
      <w:r>
        <w:rPr>
          <w:rFonts w:ascii="宋体" w:hAnsi="宋体" w:eastAsia="宋体" w:cs="宋体"/>
          <w:color w:val="auto"/>
          <w:spacing w:val="-3"/>
          <w:sz w:val="24"/>
          <w:szCs w:val="24"/>
        </w:rPr>
        <w:t>格、计划、图纸、样品或资料提供给与履行本合同无关的任何其他人。即使向履行本合同有关的人员提供，也应注意保密并限于履行合同的必需范围。如有泄漏，乙方需</w:t>
      </w:r>
      <w:r>
        <w:rPr>
          <w:rFonts w:ascii="宋体" w:hAnsi="宋体" w:eastAsia="宋体" w:cs="宋体"/>
          <w:color w:val="auto"/>
          <w:spacing w:val="-1"/>
          <w:sz w:val="24"/>
          <w:szCs w:val="24"/>
        </w:rPr>
        <w:t>承担相应的法律责任。</w:t>
      </w:r>
    </w:p>
    <w:p w14:paraId="330FFB25">
      <w:pPr>
        <w:spacing w:before="152" w:line="347" w:lineRule="auto"/>
        <w:ind w:firstLine="504"/>
        <w:rPr>
          <w:rFonts w:ascii="宋体" w:hAnsi="宋体" w:eastAsia="宋体" w:cs="宋体"/>
          <w:color w:val="auto"/>
          <w:sz w:val="24"/>
          <w:szCs w:val="24"/>
        </w:rPr>
      </w:pPr>
      <w:r>
        <w:rPr>
          <w:rFonts w:ascii="宋体" w:hAnsi="宋体" w:eastAsia="宋体" w:cs="宋体"/>
          <w:color w:val="auto"/>
          <w:spacing w:val="-4"/>
          <w:sz w:val="24"/>
          <w:szCs w:val="24"/>
        </w:rPr>
        <w:t>乙方保证所交付的服务的所有权完全属于乙方且无任何抵押、质押、查封等产权</w:t>
      </w:r>
      <w:r>
        <w:rPr>
          <w:rFonts w:ascii="宋体" w:hAnsi="宋体" w:eastAsia="宋体" w:cs="宋体"/>
          <w:color w:val="auto"/>
          <w:spacing w:val="-3"/>
          <w:sz w:val="24"/>
          <w:szCs w:val="24"/>
        </w:rPr>
        <w:t>瑕疵。</w:t>
      </w:r>
    </w:p>
    <w:p w14:paraId="183118ED">
      <w:pPr>
        <w:spacing w:before="152" w:line="219" w:lineRule="auto"/>
        <w:ind w:left="480"/>
        <w:rPr>
          <w:rFonts w:ascii="宋体" w:hAnsi="宋体" w:eastAsia="宋体" w:cs="宋体"/>
          <w:color w:val="auto"/>
          <w:sz w:val="24"/>
          <w:szCs w:val="24"/>
        </w:rPr>
      </w:pPr>
      <w:r>
        <w:rPr>
          <w:rFonts w:ascii="宋体" w:hAnsi="宋体" w:eastAsia="宋体" w:cs="宋体"/>
          <w:b/>
          <w:bCs/>
          <w:color w:val="auto"/>
          <w:spacing w:val="-3"/>
          <w:sz w:val="24"/>
          <w:szCs w:val="24"/>
        </w:rPr>
        <w:t>第四条</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交付和验收</w:t>
      </w:r>
    </w:p>
    <w:p w14:paraId="53D1A64C">
      <w:pPr>
        <w:spacing w:before="303" w:line="219" w:lineRule="auto"/>
        <w:ind w:left="498"/>
        <w:rPr>
          <w:rFonts w:ascii="宋体" w:hAnsi="宋体" w:eastAsia="宋体" w:cs="宋体"/>
          <w:color w:val="auto"/>
          <w:sz w:val="24"/>
          <w:szCs w:val="24"/>
        </w:rPr>
      </w:pPr>
      <w:r>
        <w:rPr>
          <w:rFonts w:ascii="宋体" w:hAnsi="宋体" w:eastAsia="宋体" w:cs="宋体"/>
          <w:color w:val="auto"/>
          <w:spacing w:val="-2"/>
          <w:sz w:val="24"/>
          <w:szCs w:val="24"/>
        </w:rPr>
        <w:t>1、服务期限</w:t>
      </w:r>
      <w:r>
        <w:rPr>
          <w:rFonts w:ascii="宋体" w:hAnsi="宋体" w:eastAsia="宋体" w:cs="宋体"/>
          <w:color w:val="auto"/>
          <w:spacing w:val="-4"/>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91"/>
          <w:sz w:val="24"/>
          <w:szCs w:val="24"/>
        </w:rPr>
        <w:t xml:space="preserve"> </w:t>
      </w:r>
      <w:r>
        <w:rPr>
          <w:rFonts w:ascii="宋体" w:hAnsi="宋体" w:eastAsia="宋体" w:cs="宋体"/>
          <w:color w:val="auto"/>
          <w:spacing w:val="-4"/>
          <w:sz w:val="24"/>
          <w:szCs w:val="24"/>
        </w:rPr>
        <w:t>，</w:t>
      </w:r>
      <w:r>
        <w:rPr>
          <w:rFonts w:ascii="宋体" w:hAnsi="宋体" w:eastAsia="宋体" w:cs="宋体"/>
          <w:color w:val="auto"/>
          <w:spacing w:val="-2"/>
          <w:sz w:val="24"/>
          <w:szCs w:val="24"/>
        </w:rPr>
        <w:t xml:space="preserve">服务地点： </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2"/>
          <w:sz w:val="24"/>
          <w:szCs w:val="24"/>
        </w:rPr>
        <w:t>。</w:t>
      </w:r>
    </w:p>
    <w:p w14:paraId="7627F83F">
      <w:pPr>
        <w:spacing w:before="299" w:line="290" w:lineRule="auto"/>
        <w:ind w:left="1" w:right="2" w:firstLine="481"/>
        <w:rPr>
          <w:rFonts w:ascii="宋体" w:hAnsi="宋体" w:eastAsia="宋体" w:cs="宋体"/>
          <w:color w:val="auto"/>
          <w:sz w:val="24"/>
          <w:szCs w:val="24"/>
        </w:rPr>
      </w:pPr>
      <w:r>
        <w:rPr>
          <w:rFonts w:ascii="宋体" w:hAnsi="宋体" w:eastAsia="宋体" w:cs="宋体"/>
          <w:color w:val="auto"/>
          <w:sz w:val="24"/>
          <w:szCs w:val="24"/>
        </w:rPr>
        <w:t>2、乙方应按响应文件的承诺向甲方提供相应的服务，并提供所服务内容的相关</w:t>
      </w:r>
      <w:r>
        <w:rPr>
          <w:rFonts w:ascii="宋体" w:hAnsi="宋体" w:eastAsia="宋体" w:cs="宋体"/>
          <w:color w:val="auto"/>
          <w:spacing w:val="13"/>
          <w:sz w:val="24"/>
          <w:szCs w:val="24"/>
        </w:rPr>
        <w:t xml:space="preserve"> </w:t>
      </w:r>
      <w:r>
        <w:rPr>
          <w:rFonts w:ascii="宋体" w:hAnsi="宋体" w:eastAsia="宋体" w:cs="宋体"/>
          <w:color w:val="auto"/>
          <w:spacing w:val="-3"/>
          <w:sz w:val="24"/>
          <w:szCs w:val="24"/>
        </w:rPr>
        <w:t>技术资料。</w:t>
      </w:r>
    </w:p>
    <w:p w14:paraId="317CEDE5">
      <w:pPr>
        <w:spacing w:before="300" w:line="219" w:lineRule="auto"/>
        <w:ind w:left="485"/>
        <w:rPr>
          <w:rFonts w:ascii="宋体" w:hAnsi="宋体" w:eastAsia="宋体" w:cs="宋体"/>
          <w:color w:val="auto"/>
          <w:sz w:val="24"/>
          <w:szCs w:val="24"/>
        </w:rPr>
      </w:pPr>
      <w:r>
        <w:rPr>
          <w:rFonts w:ascii="宋体" w:hAnsi="宋体" w:eastAsia="宋体" w:cs="宋体"/>
          <w:color w:val="auto"/>
          <w:spacing w:val="-1"/>
          <w:sz w:val="24"/>
          <w:szCs w:val="24"/>
        </w:rPr>
        <w:t>3、乙方提供不符合响应文件和本合同规定的服务成果，甲方有权拒绝接受。</w:t>
      </w:r>
    </w:p>
    <w:p w14:paraId="61D1C2F0">
      <w:pPr>
        <w:spacing w:before="305" w:line="312" w:lineRule="auto"/>
        <w:ind w:firstLine="479"/>
        <w:rPr>
          <w:rFonts w:ascii="宋体" w:hAnsi="宋体" w:eastAsia="宋体" w:cs="宋体"/>
          <w:color w:val="auto"/>
          <w:sz w:val="24"/>
          <w:szCs w:val="24"/>
        </w:rPr>
      </w:pPr>
      <w:r>
        <w:rPr>
          <w:rFonts w:ascii="宋体" w:hAnsi="宋体" w:eastAsia="宋体" w:cs="宋体"/>
          <w:color w:val="auto"/>
          <w:sz w:val="24"/>
          <w:szCs w:val="24"/>
        </w:rPr>
        <w:t>4、乙方完成服务后应及时书面通知甲方进行验收，甲方应在收到通知后七个工</w:t>
      </w:r>
      <w:r>
        <w:rPr>
          <w:rFonts w:ascii="宋体" w:hAnsi="宋体" w:eastAsia="宋体" w:cs="宋体"/>
          <w:color w:val="auto"/>
          <w:spacing w:val="16"/>
          <w:sz w:val="24"/>
          <w:szCs w:val="24"/>
        </w:rPr>
        <w:t xml:space="preserve"> </w:t>
      </w:r>
      <w:r>
        <w:rPr>
          <w:rFonts w:ascii="宋体" w:hAnsi="宋体" w:eastAsia="宋体" w:cs="宋体"/>
          <w:color w:val="auto"/>
          <w:spacing w:val="-3"/>
          <w:sz w:val="24"/>
          <w:szCs w:val="24"/>
        </w:rPr>
        <w:t>作日内进行验收，逾期不开始验收的，乙方可视同验收合格。验收合格后由甲乙双方</w:t>
      </w:r>
      <w:r>
        <w:rPr>
          <w:rFonts w:ascii="宋体" w:hAnsi="宋体" w:eastAsia="宋体" w:cs="宋体"/>
          <w:color w:val="auto"/>
          <w:spacing w:val="-1"/>
          <w:sz w:val="24"/>
          <w:szCs w:val="24"/>
        </w:rPr>
        <w:t>签署验收单并加盖采购人公章，甲乙双方各执一份。</w:t>
      </w:r>
    </w:p>
    <w:p w14:paraId="7BF52A9A">
      <w:pPr>
        <w:spacing w:before="300" w:line="290" w:lineRule="auto"/>
        <w:ind w:left="1" w:right="2" w:firstLine="483"/>
        <w:rPr>
          <w:rFonts w:ascii="宋体" w:hAnsi="宋体" w:eastAsia="宋体" w:cs="宋体"/>
          <w:color w:val="auto"/>
          <w:sz w:val="24"/>
          <w:szCs w:val="24"/>
        </w:rPr>
      </w:pPr>
      <w:r>
        <w:rPr>
          <w:rFonts w:ascii="宋体" w:hAnsi="宋体" w:eastAsia="宋体" w:cs="宋体"/>
          <w:color w:val="auto"/>
          <w:sz w:val="24"/>
          <w:szCs w:val="24"/>
        </w:rPr>
        <w:t>5、甲乙双方应按照《广西壮族自治区政府采购项目履约验收管理办法》、双方</w:t>
      </w:r>
      <w:r>
        <w:rPr>
          <w:rFonts w:ascii="宋体" w:hAnsi="宋体" w:eastAsia="宋体" w:cs="宋体"/>
          <w:color w:val="auto"/>
          <w:spacing w:val="11"/>
          <w:sz w:val="24"/>
          <w:szCs w:val="24"/>
        </w:rPr>
        <w:t xml:space="preserve"> </w:t>
      </w:r>
      <w:r>
        <w:rPr>
          <w:rFonts w:ascii="宋体" w:hAnsi="宋体" w:eastAsia="宋体" w:cs="宋体"/>
          <w:color w:val="auto"/>
          <w:spacing w:val="-2"/>
          <w:sz w:val="24"/>
          <w:szCs w:val="24"/>
        </w:rPr>
        <w:t>合同、响应文件验收。</w:t>
      </w:r>
    </w:p>
    <w:p w14:paraId="463CBB74">
      <w:pPr>
        <w:spacing w:before="301" w:line="313" w:lineRule="auto"/>
        <w:ind w:firstLine="481"/>
        <w:rPr>
          <w:rFonts w:ascii="宋体" w:hAnsi="宋体" w:eastAsia="宋体" w:cs="宋体"/>
          <w:color w:val="auto"/>
          <w:sz w:val="24"/>
          <w:szCs w:val="24"/>
        </w:rPr>
      </w:pPr>
      <w:r>
        <w:rPr>
          <w:rFonts w:ascii="宋体" w:hAnsi="宋体" w:eastAsia="宋体" w:cs="宋体"/>
          <w:color w:val="auto"/>
          <w:sz w:val="24"/>
          <w:szCs w:val="24"/>
        </w:rPr>
        <w:t>6、甲方在初步验收或者最终验收过程中如发现乙方提供的服务成果不满足响应</w:t>
      </w:r>
      <w:r>
        <w:rPr>
          <w:rFonts w:ascii="宋体" w:hAnsi="宋体" w:eastAsia="宋体" w:cs="宋体"/>
          <w:color w:val="auto"/>
          <w:spacing w:val="14"/>
          <w:sz w:val="24"/>
          <w:szCs w:val="24"/>
        </w:rPr>
        <w:t xml:space="preserve"> </w:t>
      </w:r>
      <w:r>
        <w:rPr>
          <w:rFonts w:ascii="宋体" w:hAnsi="宋体" w:eastAsia="宋体" w:cs="宋体"/>
          <w:color w:val="auto"/>
          <w:spacing w:val="-3"/>
          <w:sz w:val="24"/>
          <w:szCs w:val="24"/>
        </w:rPr>
        <w:t>文件及本合同规定的，可暂缓向乙方付款，直到乙方及时完善并提交相应的服务成果</w:t>
      </w:r>
      <w:r>
        <w:rPr>
          <w:rFonts w:ascii="宋体" w:hAnsi="宋体" w:eastAsia="宋体" w:cs="宋体"/>
          <w:color w:val="auto"/>
          <w:spacing w:val="9"/>
          <w:sz w:val="24"/>
          <w:szCs w:val="24"/>
        </w:rPr>
        <w:t xml:space="preserve"> </w:t>
      </w:r>
      <w:r>
        <w:rPr>
          <w:rFonts w:ascii="宋体" w:hAnsi="宋体" w:eastAsia="宋体" w:cs="宋体"/>
          <w:color w:val="auto"/>
          <w:spacing w:val="-1"/>
          <w:sz w:val="24"/>
          <w:szCs w:val="24"/>
        </w:rPr>
        <w:t>且经甲方验收合格后，方可办理付款。</w:t>
      </w:r>
    </w:p>
    <w:p w14:paraId="29AC702C">
      <w:pPr>
        <w:spacing w:before="300" w:line="290" w:lineRule="auto"/>
        <w:ind w:left="42" w:right="2" w:firstLine="444"/>
        <w:rPr>
          <w:rFonts w:ascii="宋体" w:hAnsi="宋体" w:eastAsia="宋体" w:cs="宋体"/>
          <w:color w:val="auto"/>
          <w:sz w:val="24"/>
          <w:szCs w:val="24"/>
        </w:rPr>
      </w:pPr>
      <w:r>
        <w:rPr>
          <w:rFonts w:ascii="宋体" w:hAnsi="宋体" w:eastAsia="宋体" w:cs="宋体"/>
          <w:color w:val="auto"/>
          <w:sz w:val="24"/>
          <w:szCs w:val="24"/>
        </w:rPr>
        <w:t>7、甲方验收时以书面形式提出异议的，乙方应自收到甲方书面异议后五个工作</w:t>
      </w:r>
      <w:r>
        <w:rPr>
          <w:rFonts w:ascii="宋体" w:hAnsi="宋体" w:eastAsia="宋体" w:cs="宋体"/>
          <w:color w:val="auto"/>
          <w:spacing w:val="10"/>
          <w:sz w:val="24"/>
          <w:szCs w:val="24"/>
        </w:rPr>
        <w:t xml:space="preserve"> </w:t>
      </w:r>
      <w:r>
        <w:rPr>
          <w:rFonts w:ascii="宋体" w:hAnsi="宋体" w:eastAsia="宋体" w:cs="宋体"/>
          <w:color w:val="auto"/>
          <w:spacing w:val="-2"/>
          <w:sz w:val="24"/>
          <w:szCs w:val="24"/>
        </w:rPr>
        <w:t>日内及时予以解决，否则甲方有权不出具服务验收合格单。</w:t>
      </w:r>
    </w:p>
    <w:p w14:paraId="2C53E7BD">
      <w:pPr>
        <w:spacing w:before="301" w:line="219" w:lineRule="auto"/>
        <w:ind w:left="480"/>
        <w:rPr>
          <w:rFonts w:ascii="宋体" w:hAnsi="宋体" w:eastAsia="宋体" w:cs="宋体"/>
          <w:color w:val="auto"/>
          <w:sz w:val="24"/>
          <w:szCs w:val="24"/>
        </w:rPr>
      </w:pPr>
      <w:r>
        <w:rPr>
          <w:rFonts w:ascii="宋体" w:hAnsi="宋体" w:eastAsia="宋体" w:cs="宋体"/>
          <w:b/>
          <w:bCs/>
          <w:color w:val="auto"/>
          <w:spacing w:val="-3"/>
          <w:sz w:val="24"/>
          <w:szCs w:val="24"/>
        </w:rPr>
        <w:t>第五条</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售后服务、保修期</w:t>
      </w:r>
    </w:p>
    <w:p w14:paraId="7EB9FF94">
      <w:pPr>
        <w:spacing w:before="300" w:line="219" w:lineRule="auto"/>
        <w:jc w:val="right"/>
        <w:rPr>
          <w:rFonts w:ascii="宋体" w:hAnsi="宋体" w:eastAsia="宋体" w:cs="宋体"/>
          <w:color w:val="auto"/>
          <w:sz w:val="24"/>
          <w:szCs w:val="24"/>
        </w:rPr>
      </w:pPr>
      <w:r>
        <w:rPr>
          <w:rFonts w:ascii="宋体" w:hAnsi="宋体" w:eastAsia="宋体" w:cs="宋体"/>
          <w:color w:val="auto"/>
          <w:spacing w:val="-1"/>
          <w:sz w:val="24"/>
          <w:szCs w:val="24"/>
        </w:rPr>
        <w:t>1、乙方应按照国家有关法律法规和“三包</w:t>
      </w:r>
      <w:r>
        <w:rPr>
          <w:rFonts w:ascii="宋体" w:hAnsi="宋体" w:eastAsia="宋体" w:cs="宋体"/>
          <w:color w:val="auto"/>
          <w:spacing w:val="-85"/>
          <w:sz w:val="24"/>
          <w:szCs w:val="24"/>
        </w:rPr>
        <w:t xml:space="preserve"> </w:t>
      </w:r>
      <w:r>
        <w:rPr>
          <w:rFonts w:ascii="宋体" w:hAnsi="宋体" w:eastAsia="宋体" w:cs="宋体"/>
          <w:color w:val="auto"/>
          <w:spacing w:val="-1"/>
          <w:sz w:val="24"/>
          <w:szCs w:val="24"/>
        </w:rPr>
        <w:t>”规定以及招投标文件和本合同所附</w:t>
      </w:r>
    </w:p>
    <w:p w14:paraId="34CC68AF">
      <w:pPr>
        <w:spacing w:line="219" w:lineRule="auto"/>
        <w:rPr>
          <w:rFonts w:ascii="宋体" w:hAnsi="宋体" w:eastAsia="宋体" w:cs="宋体"/>
          <w:color w:val="auto"/>
          <w:sz w:val="24"/>
          <w:szCs w:val="24"/>
        </w:rPr>
        <w:sectPr>
          <w:footerReference r:id="rId13" w:type="default"/>
          <w:pgSz w:w="11906" w:h="16839"/>
          <w:pgMar w:top="1431" w:right="1473" w:bottom="1446" w:left="1652" w:header="0" w:footer="1287" w:gutter="0"/>
          <w:cols w:space="720" w:num="1"/>
        </w:sectPr>
      </w:pPr>
    </w:p>
    <w:p w14:paraId="3926662A">
      <w:pPr>
        <w:spacing w:before="79" w:line="219" w:lineRule="auto"/>
        <w:ind w:left="18"/>
        <w:rPr>
          <w:rFonts w:ascii="宋体" w:hAnsi="宋体" w:eastAsia="宋体" w:cs="宋体"/>
          <w:color w:val="auto"/>
          <w:sz w:val="24"/>
          <w:szCs w:val="24"/>
        </w:rPr>
      </w:pPr>
      <w:r>
        <w:rPr>
          <w:rFonts w:ascii="宋体" w:hAnsi="宋体" w:eastAsia="宋体" w:cs="宋体"/>
          <w:color w:val="auto"/>
          <w:spacing w:val="-2"/>
          <w:sz w:val="24"/>
          <w:szCs w:val="24"/>
        </w:rPr>
        <w:t>的《服务承诺》，为甲方提供售后服务。</w:t>
      </w:r>
    </w:p>
    <w:p w14:paraId="11120BD5">
      <w:pPr>
        <w:spacing w:before="300" w:line="219" w:lineRule="auto"/>
        <w:ind w:left="481"/>
        <w:rPr>
          <w:rFonts w:ascii="宋体" w:hAnsi="宋体" w:eastAsia="宋体" w:cs="宋体"/>
          <w:color w:val="auto"/>
          <w:sz w:val="24"/>
          <w:szCs w:val="24"/>
        </w:rPr>
      </w:pPr>
      <w:r>
        <w:rPr>
          <w:rFonts w:ascii="宋体" w:hAnsi="宋体" w:eastAsia="宋体" w:cs="宋体"/>
          <w:color w:val="auto"/>
          <w:spacing w:val="-1"/>
          <w:sz w:val="24"/>
          <w:szCs w:val="24"/>
        </w:rPr>
        <w:t>2、乙方提供的服务承诺和售后服务及保修期责任等其它具体约定事项。</w:t>
      </w:r>
    </w:p>
    <w:p w14:paraId="1EAE1DB5">
      <w:pPr>
        <w:spacing w:before="301" w:line="219" w:lineRule="auto"/>
        <w:ind w:left="483"/>
        <w:rPr>
          <w:rFonts w:ascii="宋体" w:hAnsi="宋体" w:eastAsia="宋体" w:cs="宋体"/>
          <w:color w:val="auto"/>
          <w:sz w:val="24"/>
          <w:szCs w:val="24"/>
        </w:rPr>
      </w:pPr>
      <w:r>
        <w:rPr>
          <w:rFonts w:ascii="宋体" w:hAnsi="宋体" w:eastAsia="宋体" w:cs="宋体"/>
          <w:color w:val="auto"/>
          <w:sz w:val="24"/>
          <w:szCs w:val="24"/>
        </w:rPr>
        <w:t>3、乙方负责甲方有关人员的培训。培训时间、地点：</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 xml:space="preserve"> 。</w:t>
      </w:r>
    </w:p>
    <w:p w14:paraId="7A66C62C">
      <w:pPr>
        <w:spacing w:before="303" w:line="219" w:lineRule="auto"/>
        <w:ind w:left="479"/>
        <w:rPr>
          <w:rFonts w:ascii="宋体" w:hAnsi="宋体" w:eastAsia="宋体" w:cs="宋体"/>
          <w:color w:val="auto"/>
          <w:sz w:val="24"/>
          <w:szCs w:val="24"/>
        </w:rPr>
      </w:pPr>
      <w:r>
        <w:rPr>
          <w:rFonts w:ascii="宋体" w:hAnsi="宋体" w:eastAsia="宋体" w:cs="宋体"/>
          <w:b/>
          <w:bCs/>
          <w:color w:val="auto"/>
          <w:spacing w:val="-3"/>
          <w:sz w:val="24"/>
          <w:szCs w:val="24"/>
        </w:rPr>
        <w:t>第六条</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付款方式</w:t>
      </w:r>
    </w:p>
    <w:p w14:paraId="6854A55D">
      <w:pPr>
        <w:spacing w:before="300" w:line="220" w:lineRule="auto"/>
        <w:ind w:left="496"/>
        <w:rPr>
          <w:rFonts w:ascii="宋体" w:hAnsi="宋体" w:eastAsia="宋体" w:cs="宋体"/>
          <w:color w:val="auto"/>
          <w:sz w:val="24"/>
          <w:szCs w:val="24"/>
        </w:rPr>
      </w:pPr>
      <w:r>
        <w:rPr>
          <w:rFonts w:ascii="宋体" w:hAnsi="宋体" w:eastAsia="宋体" w:cs="宋体"/>
          <w:color w:val="auto"/>
          <w:spacing w:val="-2"/>
          <w:sz w:val="24"/>
          <w:szCs w:val="24"/>
        </w:rPr>
        <w:t>1、资金性质：</w:t>
      </w:r>
      <w:r>
        <w:rPr>
          <w:rFonts w:ascii="宋体" w:hAnsi="宋体" w:eastAsia="宋体" w:cs="宋体"/>
          <w:color w:val="auto"/>
          <w:spacing w:val="-2"/>
          <w:sz w:val="24"/>
          <w:szCs w:val="24"/>
          <w:u w:val="single" w:color="auto"/>
        </w:rPr>
        <w:t xml:space="preserve">  财政资金</w:t>
      </w:r>
      <w:r>
        <w:rPr>
          <w:rFonts w:ascii="宋体" w:hAnsi="宋体" w:eastAsia="宋体" w:cs="宋体"/>
          <w:color w:val="auto"/>
          <w:spacing w:val="16"/>
          <w:sz w:val="24"/>
          <w:szCs w:val="24"/>
          <w:u w:val="single" w:color="auto"/>
        </w:rPr>
        <w:t xml:space="preserve">  </w:t>
      </w:r>
      <w:r>
        <w:rPr>
          <w:rFonts w:ascii="宋体" w:hAnsi="宋体" w:eastAsia="宋体" w:cs="宋体"/>
          <w:color w:val="auto"/>
          <w:spacing w:val="-2"/>
          <w:sz w:val="24"/>
          <w:szCs w:val="24"/>
          <w:u w:val="single" w:color="auto"/>
        </w:rPr>
        <w:t>。</w:t>
      </w:r>
    </w:p>
    <w:p w14:paraId="7A1C9154">
      <w:pPr>
        <w:spacing w:before="300" w:line="219" w:lineRule="auto"/>
        <w:ind w:left="481"/>
        <w:rPr>
          <w:rFonts w:ascii="宋体" w:hAnsi="宋体" w:eastAsia="宋体" w:cs="宋体"/>
          <w:color w:val="auto"/>
          <w:spacing w:val="-2"/>
          <w:sz w:val="24"/>
          <w:szCs w:val="24"/>
        </w:rPr>
      </w:pPr>
      <w:r>
        <w:rPr>
          <w:rFonts w:ascii="宋体" w:hAnsi="宋体" w:eastAsia="宋体" w:cs="宋体"/>
          <w:color w:val="auto"/>
          <w:spacing w:val="-2"/>
          <w:sz w:val="24"/>
          <w:szCs w:val="24"/>
        </w:rPr>
        <w:t>2、付款方式：</w:t>
      </w:r>
      <w:r>
        <w:rPr>
          <w:rFonts w:hint="eastAsia" w:ascii="宋体" w:hAnsi="宋体" w:eastAsia="宋体" w:cs="宋体"/>
          <w:color w:val="auto"/>
          <w:spacing w:val="-2"/>
          <w:sz w:val="24"/>
          <w:szCs w:val="24"/>
        </w:rPr>
        <w:t>合同签订后，采购人向成交人支付合同总金额的</w:t>
      </w:r>
      <w:r>
        <w:rPr>
          <w:rFonts w:hint="eastAsia" w:ascii="宋体" w:hAnsi="宋体" w:eastAsia="宋体" w:cs="宋体"/>
          <w:color w:val="auto"/>
          <w:spacing w:val="-2"/>
          <w:sz w:val="24"/>
          <w:szCs w:val="24"/>
          <w:lang w:val="en-US" w:eastAsia="zh-CN"/>
        </w:rPr>
        <w:t>3</w:t>
      </w:r>
      <w:r>
        <w:rPr>
          <w:rFonts w:hint="eastAsia" w:ascii="宋体" w:hAnsi="宋体" w:eastAsia="宋体" w:cs="宋体"/>
          <w:color w:val="auto"/>
          <w:spacing w:val="-2"/>
          <w:sz w:val="24"/>
          <w:szCs w:val="24"/>
        </w:rPr>
        <w:t>0%预付款，本合同项下的全部服务完毕并经最终验收合格后甲方向乙方支付剩余</w:t>
      </w:r>
      <w:r>
        <w:rPr>
          <w:rFonts w:hint="eastAsia" w:ascii="宋体" w:hAnsi="宋体" w:eastAsia="宋体" w:cs="宋体"/>
          <w:color w:val="auto"/>
          <w:spacing w:val="-2"/>
          <w:sz w:val="24"/>
          <w:szCs w:val="24"/>
          <w:lang w:val="en-US" w:eastAsia="zh-CN"/>
        </w:rPr>
        <w:t>7</w:t>
      </w:r>
      <w:r>
        <w:rPr>
          <w:rFonts w:hint="eastAsia" w:ascii="宋体" w:hAnsi="宋体" w:eastAsia="宋体" w:cs="宋体"/>
          <w:color w:val="auto"/>
          <w:spacing w:val="-2"/>
          <w:sz w:val="24"/>
          <w:szCs w:val="24"/>
        </w:rPr>
        <w:t>0%的合同款（不计利息）。甲方每一次付款前，乙方应向甲方提供《请款函》和开具等额有效的增值税发票，甲方未收到《请款函》和发票的，有权不予支付相应款项直至乙方提供合格《请款函》和发票，并不承担延迟付款责任。</w:t>
      </w:r>
    </w:p>
    <w:p w14:paraId="278A4C55">
      <w:pPr>
        <w:spacing w:before="304" w:line="219" w:lineRule="auto"/>
        <w:ind w:left="479"/>
        <w:rPr>
          <w:rFonts w:ascii="宋体" w:hAnsi="宋体" w:eastAsia="宋体" w:cs="宋体"/>
          <w:color w:val="auto"/>
          <w:sz w:val="24"/>
          <w:szCs w:val="24"/>
        </w:rPr>
      </w:pPr>
      <w:r>
        <w:rPr>
          <w:rFonts w:ascii="宋体" w:hAnsi="宋体" w:eastAsia="宋体" w:cs="宋体"/>
          <w:b/>
          <w:bCs/>
          <w:color w:val="auto"/>
          <w:spacing w:val="-3"/>
          <w:sz w:val="24"/>
          <w:szCs w:val="24"/>
        </w:rPr>
        <w:t>第七条</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履约保证金</w:t>
      </w:r>
    </w:p>
    <w:p w14:paraId="7E3FDC2B">
      <w:pPr>
        <w:spacing w:before="300" w:line="219" w:lineRule="auto"/>
        <w:ind w:left="480"/>
        <w:rPr>
          <w:rFonts w:ascii="宋体" w:hAnsi="宋体" w:eastAsia="宋体" w:cs="宋体"/>
          <w:color w:val="auto"/>
          <w:sz w:val="24"/>
          <w:szCs w:val="24"/>
        </w:rPr>
      </w:pPr>
      <w:r>
        <w:rPr>
          <w:rFonts w:ascii="宋体" w:hAnsi="宋体" w:eastAsia="宋体" w:cs="宋体"/>
          <w:color w:val="auto"/>
          <w:spacing w:val="-1"/>
          <w:sz w:val="24"/>
          <w:szCs w:val="24"/>
        </w:rPr>
        <w:t>本项目不收取履约保证金。</w:t>
      </w:r>
    </w:p>
    <w:p w14:paraId="52590E30">
      <w:pPr>
        <w:spacing w:before="304" w:line="219" w:lineRule="auto"/>
        <w:ind w:left="479"/>
        <w:rPr>
          <w:rFonts w:ascii="宋体" w:hAnsi="宋体" w:eastAsia="宋体" w:cs="宋体"/>
          <w:color w:val="auto"/>
          <w:sz w:val="24"/>
          <w:szCs w:val="24"/>
        </w:rPr>
      </w:pPr>
      <w:r>
        <w:rPr>
          <w:rFonts w:ascii="宋体" w:hAnsi="宋体" w:eastAsia="宋体" w:cs="宋体"/>
          <w:b/>
          <w:bCs/>
          <w:color w:val="auto"/>
          <w:spacing w:val="-2"/>
          <w:sz w:val="24"/>
          <w:szCs w:val="24"/>
        </w:rPr>
        <w:t>第八条</w:t>
      </w:r>
      <w:r>
        <w:rPr>
          <w:rFonts w:ascii="宋体" w:hAnsi="宋体" w:eastAsia="宋体" w:cs="宋体"/>
          <w:color w:val="auto"/>
          <w:spacing w:val="-2"/>
          <w:sz w:val="24"/>
          <w:szCs w:val="24"/>
        </w:rPr>
        <w:t xml:space="preserve">  </w:t>
      </w:r>
      <w:r>
        <w:rPr>
          <w:rFonts w:ascii="宋体" w:hAnsi="宋体" w:eastAsia="宋体" w:cs="宋体"/>
          <w:b/>
          <w:bCs/>
          <w:color w:val="auto"/>
          <w:spacing w:val="-2"/>
          <w:sz w:val="24"/>
          <w:szCs w:val="24"/>
        </w:rPr>
        <w:t>本合同执行中相关的一切税费均由乙方负担。</w:t>
      </w:r>
    </w:p>
    <w:p w14:paraId="052D8A1D">
      <w:pPr>
        <w:spacing w:before="301" w:line="219" w:lineRule="auto"/>
        <w:ind w:left="479"/>
        <w:rPr>
          <w:rFonts w:ascii="宋体" w:hAnsi="宋体" w:eastAsia="宋体" w:cs="宋体"/>
          <w:color w:val="auto"/>
          <w:sz w:val="24"/>
          <w:szCs w:val="24"/>
        </w:rPr>
      </w:pPr>
      <w:r>
        <w:rPr>
          <w:rFonts w:ascii="宋体" w:hAnsi="宋体" w:eastAsia="宋体" w:cs="宋体"/>
          <w:b/>
          <w:bCs/>
          <w:color w:val="auto"/>
          <w:spacing w:val="-3"/>
          <w:sz w:val="24"/>
          <w:szCs w:val="24"/>
        </w:rPr>
        <w:t>第九条</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违约责任</w:t>
      </w:r>
    </w:p>
    <w:p w14:paraId="01B9349F">
      <w:pPr>
        <w:spacing w:before="304" w:line="350" w:lineRule="auto"/>
        <w:ind w:right="61" w:firstLine="496"/>
        <w:jc w:val="both"/>
        <w:rPr>
          <w:rFonts w:ascii="宋体" w:hAnsi="宋体" w:eastAsia="宋体" w:cs="宋体"/>
          <w:color w:val="auto"/>
          <w:sz w:val="24"/>
          <w:szCs w:val="24"/>
        </w:rPr>
      </w:pPr>
      <w:r>
        <w:rPr>
          <w:rFonts w:ascii="宋体" w:hAnsi="宋体" w:eastAsia="宋体" w:cs="宋体"/>
          <w:color w:val="auto"/>
          <w:sz w:val="24"/>
          <w:szCs w:val="24"/>
        </w:rPr>
        <w:t>1、乙方所提供的服务质量不合格的，应及时调整；因所提供的服务质量问</w:t>
      </w:r>
      <w:r>
        <w:rPr>
          <w:rFonts w:ascii="宋体" w:hAnsi="宋体" w:eastAsia="宋体" w:cs="宋体"/>
          <w:color w:val="auto"/>
          <w:spacing w:val="-1"/>
          <w:sz w:val="24"/>
          <w:szCs w:val="24"/>
        </w:rPr>
        <w:t>题甲</w:t>
      </w:r>
      <w:r>
        <w:rPr>
          <w:rFonts w:ascii="宋体" w:hAnsi="宋体" w:eastAsia="宋体" w:cs="宋体"/>
          <w:color w:val="auto"/>
          <w:sz w:val="24"/>
          <w:szCs w:val="24"/>
        </w:rPr>
        <w:t xml:space="preserve"> 方不同意接收的或特殊情况甲方同意接收的，乙方应向甲方支付违约款额 5%违约金</w:t>
      </w:r>
      <w:r>
        <w:rPr>
          <w:rFonts w:ascii="宋体" w:hAnsi="宋体" w:eastAsia="宋体" w:cs="宋体"/>
          <w:color w:val="auto"/>
          <w:spacing w:val="17"/>
          <w:sz w:val="24"/>
          <w:szCs w:val="24"/>
        </w:rPr>
        <w:t xml:space="preserve"> </w:t>
      </w:r>
      <w:r>
        <w:rPr>
          <w:rFonts w:ascii="宋体" w:hAnsi="宋体" w:eastAsia="宋体" w:cs="宋体"/>
          <w:color w:val="auto"/>
          <w:spacing w:val="-2"/>
          <w:sz w:val="24"/>
          <w:szCs w:val="24"/>
        </w:rPr>
        <w:t>并赔偿甲方经济损失。</w:t>
      </w:r>
    </w:p>
    <w:p w14:paraId="24AA433D">
      <w:pPr>
        <w:spacing w:before="153" w:line="290" w:lineRule="auto"/>
        <w:ind w:right="63" w:firstLine="481"/>
        <w:rPr>
          <w:rFonts w:ascii="宋体" w:hAnsi="宋体" w:eastAsia="宋体" w:cs="宋体"/>
          <w:color w:val="auto"/>
          <w:sz w:val="24"/>
          <w:szCs w:val="24"/>
        </w:rPr>
      </w:pPr>
      <w:r>
        <w:rPr>
          <w:rFonts w:ascii="宋体" w:hAnsi="宋体" w:eastAsia="宋体" w:cs="宋体"/>
          <w:color w:val="auto"/>
          <w:sz w:val="24"/>
          <w:szCs w:val="24"/>
        </w:rPr>
        <w:t>2、乙方提供的服务如侵犯了第三方合法权益而引发的任何纠纷或诉讼，均由乙</w:t>
      </w:r>
      <w:r>
        <w:rPr>
          <w:rFonts w:ascii="宋体" w:hAnsi="宋体" w:eastAsia="宋体" w:cs="宋体"/>
          <w:color w:val="auto"/>
          <w:spacing w:val="13"/>
          <w:sz w:val="24"/>
          <w:szCs w:val="24"/>
        </w:rPr>
        <w:t xml:space="preserve"> </w:t>
      </w:r>
      <w:r>
        <w:rPr>
          <w:rFonts w:ascii="宋体" w:hAnsi="宋体" w:eastAsia="宋体" w:cs="宋体"/>
          <w:color w:val="auto"/>
          <w:spacing w:val="-1"/>
          <w:sz w:val="24"/>
          <w:szCs w:val="24"/>
        </w:rPr>
        <w:t>方负责交涉并承担全部责任。</w:t>
      </w:r>
    </w:p>
    <w:p w14:paraId="233F5FE4">
      <w:pPr>
        <w:spacing w:before="301" w:line="351" w:lineRule="auto"/>
        <w:ind w:firstLine="483"/>
        <w:jc w:val="both"/>
        <w:rPr>
          <w:rFonts w:ascii="宋体" w:hAnsi="宋体" w:eastAsia="宋体" w:cs="宋体"/>
          <w:color w:val="auto"/>
          <w:sz w:val="24"/>
          <w:szCs w:val="24"/>
        </w:rPr>
      </w:pPr>
      <w:r>
        <w:rPr>
          <w:rFonts w:ascii="宋体" w:hAnsi="宋体" w:eastAsia="宋体" w:cs="宋体"/>
          <w:color w:val="auto"/>
          <w:sz w:val="24"/>
          <w:szCs w:val="24"/>
        </w:rPr>
        <w:t>3、乙方未按本合同和投标文件中规定的服务承诺提供售后服务的，乙方应按本</w:t>
      </w:r>
      <w:r>
        <w:rPr>
          <w:rFonts w:ascii="宋体" w:hAnsi="宋体" w:eastAsia="宋体" w:cs="宋体"/>
          <w:color w:val="auto"/>
          <w:spacing w:val="11"/>
          <w:sz w:val="24"/>
          <w:szCs w:val="24"/>
        </w:rPr>
        <w:t xml:space="preserve"> </w:t>
      </w:r>
      <w:r>
        <w:rPr>
          <w:rFonts w:ascii="宋体" w:hAnsi="宋体" w:eastAsia="宋体" w:cs="宋体"/>
          <w:color w:val="auto"/>
          <w:spacing w:val="-4"/>
          <w:sz w:val="24"/>
          <w:szCs w:val="24"/>
        </w:rPr>
        <w:t>合同合计金额 5%向甲方支付违约金。同时，乙方未按本合同和投标文件</w:t>
      </w:r>
      <w:r>
        <w:rPr>
          <w:rFonts w:ascii="宋体" w:hAnsi="宋体" w:eastAsia="宋体" w:cs="宋体"/>
          <w:color w:val="auto"/>
          <w:spacing w:val="-5"/>
          <w:sz w:val="24"/>
          <w:szCs w:val="24"/>
        </w:rPr>
        <w:t>提供服务的，</w:t>
      </w:r>
      <w:r>
        <w:rPr>
          <w:rFonts w:ascii="宋体" w:hAnsi="宋体" w:eastAsia="宋体" w:cs="宋体"/>
          <w:color w:val="auto"/>
          <w:sz w:val="24"/>
          <w:szCs w:val="24"/>
        </w:rPr>
        <w:t xml:space="preserve"> 甲方有权行使合同解除权，违约方除违约金外还应承</w:t>
      </w:r>
      <w:r>
        <w:rPr>
          <w:rFonts w:ascii="宋体" w:hAnsi="宋体" w:eastAsia="宋体" w:cs="宋体"/>
          <w:color w:val="auto"/>
          <w:spacing w:val="-1"/>
          <w:sz w:val="24"/>
          <w:szCs w:val="24"/>
        </w:rPr>
        <w:t>担给对方造成的经济损失。</w:t>
      </w:r>
    </w:p>
    <w:p w14:paraId="57E0A47E">
      <w:pPr>
        <w:spacing w:before="152" w:line="219" w:lineRule="auto"/>
        <w:ind w:left="478"/>
        <w:rPr>
          <w:rFonts w:ascii="宋体" w:hAnsi="宋体" w:eastAsia="宋体" w:cs="宋体"/>
          <w:color w:val="auto"/>
          <w:sz w:val="24"/>
          <w:szCs w:val="24"/>
        </w:rPr>
      </w:pPr>
      <w:r>
        <w:rPr>
          <w:rFonts w:ascii="宋体" w:hAnsi="宋体" w:eastAsia="宋体" w:cs="宋体"/>
          <w:color w:val="auto"/>
          <w:spacing w:val="-1"/>
          <w:sz w:val="24"/>
          <w:szCs w:val="24"/>
        </w:rPr>
        <w:t>4、其它违约行为按违约款额</w:t>
      </w:r>
      <w:r>
        <w:rPr>
          <w:rFonts w:ascii="宋体" w:hAnsi="宋体" w:eastAsia="宋体" w:cs="宋体"/>
          <w:color w:val="auto"/>
          <w:spacing w:val="-42"/>
          <w:sz w:val="24"/>
          <w:szCs w:val="24"/>
        </w:rPr>
        <w:t xml:space="preserve"> </w:t>
      </w:r>
      <w:r>
        <w:rPr>
          <w:rFonts w:ascii="宋体" w:hAnsi="宋体" w:eastAsia="宋体" w:cs="宋体"/>
          <w:color w:val="auto"/>
          <w:spacing w:val="-1"/>
          <w:sz w:val="24"/>
          <w:szCs w:val="24"/>
        </w:rPr>
        <w:t>5%收取违约金并赔偿经济损失。</w:t>
      </w:r>
    </w:p>
    <w:p w14:paraId="1183A060">
      <w:pPr>
        <w:spacing w:before="304" w:line="219" w:lineRule="auto"/>
        <w:ind w:left="479"/>
        <w:rPr>
          <w:rFonts w:ascii="宋体" w:hAnsi="宋体" w:eastAsia="宋体" w:cs="宋体"/>
          <w:color w:val="auto"/>
          <w:sz w:val="24"/>
          <w:szCs w:val="24"/>
        </w:rPr>
      </w:pPr>
      <w:r>
        <w:rPr>
          <w:rFonts w:ascii="宋体" w:hAnsi="宋体" w:eastAsia="宋体" w:cs="宋体"/>
          <w:b/>
          <w:bCs/>
          <w:color w:val="auto"/>
          <w:spacing w:val="-3"/>
          <w:sz w:val="24"/>
          <w:szCs w:val="24"/>
        </w:rPr>
        <w:t>第十条</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不可抗力事件处理</w:t>
      </w:r>
    </w:p>
    <w:p w14:paraId="1ED9CCA2">
      <w:pPr>
        <w:spacing w:before="300" w:line="219" w:lineRule="auto"/>
        <w:ind w:left="496"/>
        <w:rPr>
          <w:rFonts w:ascii="宋体" w:hAnsi="宋体" w:eastAsia="宋体" w:cs="宋体"/>
          <w:color w:val="auto"/>
          <w:sz w:val="24"/>
          <w:szCs w:val="24"/>
        </w:rPr>
      </w:pPr>
      <w:r>
        <w:rPr>
          <w:rFonts w:ascii="宋体" w:hAnsi="宋体" w:eastAsia="宋体" w:cs="宋体"/>
          <w:color w:val="auto"/>
          <w:sz w:val="24"/>
          <w:szCs w:val="24"/>
        </w:rPr>
        <w:t>1. 在合同有效期内，任何一方因不可抗力事件导致不能履行合同，则合同</w:t>
      </w:r>
      <w:r>
        <w:rPr>
          <w:rFonts w:ascii="宋体" w:hAnsi="宋体" w:eastAsia="宋体" w:cs="宋体"/>
          <w:color w:val="auto"/>
          <w:spacing w:val="-1"/>
          <w:sz w:val="24"/>
          <w:szCs w:val="24"/>
        </w:rPr>
        <w:t>履行</w:t>
      </w:r>
    </w:p>
    <w:p w14:paraId="4A0D4CCE">
      <w:pPr>
        <w:spacing w:line="219" w:lineRule="auto"/>
        <w:rPr>
          <w:rFonts w:ascii="宋体" w:hAnsi="宋体" w:eastAsia="宋体" w:cs="宋体"/>
          <w:color w:val="auto"/>
          <w:sz w:val="24"/>
          <w:szCs w:val="24"/>
        </w:rPr>
        <w:sectPr>
          <w:footerReference r:id="rId14" w:type="default"/>
          <w:pgSz w:w="11906" w:h="16839"/>
          <w:pgMar w:top="1431" w:right="1411" w:bottom="1449" w:left="1654" w:header="0" w:footer="1287" w:gutter="0"/>
          <w:cols w:space="720" w:num="1"/>
        </w:sectPr>
      </w:pPr>
    </w:p>
    <w:p w14:paraId="54C677CD">
      <w:pPr>
        <w:spacing w:before="80" w:line="219" w:lineRule="auto"/>
        <w:ind w:left="3"/>
        <w:rPr>
          <w:rFonts w:ascii="宋体" w:hAnsi="宋体" w:eastAsia="宋体" w:cs="宋体"/>
          <w:color w:val="auto"/>
          <w:sz w:val="24"/>
          <w:szCs w:val="24"/>
        </w:rPr>
      </w:pPr>
      <w:r>
        <w:rPr>
          <w:rFonts w:ascii="宋体" w:hAnsi="宋体" w:eastAsia="宋体" w:cs="宋体"/>
          <w:color w:val="auto"/>
          <w:spacing w:val="-1"/>
          <w:sz w:val="24"/>
          <w:szCs w:val="24"/>
        </w:rPr>
        <w:t>期可延长，其延长期与不可抗力影响期相同。</w:t>
      </w:r>
    </w:p>
    <w:p w14:paraId="6391A1C1">
      <w:pPr>
        <w:spacing w:before="299" w:line="219" w:lineRule="auto"/>
        <w:ind w:left="483"/>
        <w:rPr>
          <w:rFonts w:ascii="宋体" w:hAnsi="宋体" w:eastAsia="宋体" w:cs="宋体"/>
          <w:color w:val="auto"/>
          <w:sz w:val="24"/>
          <w:szCs w:val="24"/>
        </w:rPr>
      </w:pPr>
      <w:r>
        <w:rPr>
          <w:rFonts w:ascii="宋体" w:hAnsi="宋体" w:eastAsia="宋体" w:cs="宋体"/>
          <w:color w:val="auto"/>
          <w:sz w:val="24"/>
          <w:szCs w:val="24"/>
        </w:rPr>
        <w:t>2. 不可抗力事件发生后，应立即通知对方，并</w:t>
      </w:r>
      <w:r>
        <w:rPr>
          <w:rFonts w:ascii="宋体" w:hAnsi="宋体" w:eastAsia="宋体" w:cs="宋体"/>
          <w:color w:val="auto"/>
          <w:spacing w:val="-1"/>
          <w:sz w:val="24"/>
          <w:szCs w:val="24"/>
        </w:rPr>
        <w:t>寄送有关权威机构出具的证明。</w:t>
      </w:r>
    </w:p>
    <w:p w14:paraId="5FDF17D9">
      <w:pPr>
        <w:spacing w:before="300" w:line="291" w:lineRule="auto"/>
        <w:ind w:left="24" w:right="63" w:firstLine="461"/>
        <w:rPr>
          <w:rFonts w:ascii="宋体" w:hAnsi="宋体" w:eastAsia="宋体" w:cs="宋体"/>
          <w:color w:val="auto"/>
          <w:sz w:val="24"/>
          <w:szCs w:val="24"/>
        </w:rPr>
      </w:pPr>
      <w:r>
        <w:rPr>
          <w:rFonts w:ascii="宋体" w:hAnsi="宋体" w:eastAsia="宋体" w:cs="宋体"/>
          <w:color w:val="auto"/>
          <w:spacing w:val="-1"/>
          <w:sz w:val="24"/>
          <w:szCs w:val="24"/>
        </w:rPr>
        <w:t>3. 不可抗力事件延续</w:t>
      </w:r>
      <w:r>
        <w:rPr>
          <w:rFonts w:ascii="宋体" w:hAnsi="宋体" w:eastAsia="宋体" w:cs="宋体"/>
          <w:color w:val="auto"/>
          <w:spacing w:val="-27"/>
          <w:sz w:val="24"/>
          <w:szCs w:val="24"/>
        </w:rPr>
        <w:t xml:space="preserve"> </w:t>
      </w:r>
      <w:r>
        <w:rPr>
          <w:rFonts w:ascii="宋体" w:hAnsi="宋体" w:eastAsia="宋体" w:cs="宋体"/>
          <w:color w:val="auto"/>
          <w:spacing w:val="-1"/>
          <w:sz w:val="24"/>
          <w:szCs w:val="24"/>
        </w:rPr>
        <w:t>120</w:t>
      </w:r>
      <w:r>
        <w:rPr>
          <w:rFonts w:ascii="宋体" w:hAnsi="宋体" w:eastAsia="宋体" w:cs="宋体"/>
          <w:color w:val="auto"/>
          <w:spacing w:val="-45"/>
          <w:sz w:val="24"/>
          <w:szCs w:val="24"/>
        </w:rPr>
        <w:t xml:space="preserve"> </w:t>
      </w:r>
      <w:r>
        <w:rPr>
          <w:rFonts w:ascii="宋体" w:hAnsi="宋体" w:eastAsia="宋体" w:cs="宋体"/>
          <w:color w:val="auto"/>
          <w:spacing w:val="-1"/>
          <w:sz w:val="24"/>
          <w:szCs w:val="24"/>
        </w:rPr>
        <w:t>天以上，双方应通过友好协商，确定是否继续履行合</w:t>
      </w:r>
      <w:r>
        <w:rPr>
          <w:rFonts w:ascii="宋体" w:hAnsi="宋体" w:eastAsia="宋体" w:cs="宋体"/>
          <w:color w:val="auto"/>
          <w:sz w:val="24"/>
          <w:szCs w:val="24"/>
        </w:rPr>
        <w:t xml:space="preserve"> </w:t>
      </w:r>
      <w:r>
        <w:rPr>
          <w:rFonts w:ascii="宋体" w:hAnsi="宋体" w:eastAsia="宋体" w:cs="宋体"/>
          <w:color w:val="auto"/>
          <w:spacing w:val="-17"/>
          <w:sz w:val="24"/>
          <w:szCs w:val="24"/>
        </w:rPr>
        <w:t>同。</w:t>
      </w:r>
    </w:p>
    <w:p w14:paraId="1CE31DA5">
      <w:pPr>
        <w:spacing w:before="298" w:line="219" w:lineRule="auto"/>
        <w:ind w:left="480"/>
        <w:rPr>
          <w:rFonts w:ascii="宋体" w:hAnsi="宋体" w:eastAsia="宋体" w:cs="宋体"/>
          <w:color w:val="auto"/>
          <w:sz w:val="24"/>
          <w:szCs w:val="24"/>
        </w:rPr>
      </w:pPr>
      <w:r>
        <w:rPr>
          <w:rFonts w:ascii="宋体" w:hAnsi="宋体" w:eastAsia="宋体" w:cs="宋体"/>
          <w:b/>
          <w:bCs/>
          <w:color w:val="auto"/>
          <w:spacing w:val="-3"/>
          <w:sz w:val="24"/>
          <w:szCs w:val="24"/>
        </w:rPr>
        <w:t>第十一条</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合同争议解决</w:t>
      </w:r>
    </w:p>
    <w:p w14:paraId="24944FCD">
      <w:pPr>
        <w:spacing w:before="303" w:line="289" w:lineRule="auto"/>
        <w:ind w:right="63" w:firstLine="498"/>
        <w:rPr>
          <w:rFonts w:ascii="宋体" w:hAnsi="宋体" w:eastAsia="宋体" w:cs="宋体"/>
          <w:color w:val="auto"/>
          <w:sz w:val="24"/>
          <w:szCs w:val="24"/>
        </w:rPr>
      </w:pPr>
      <w:r>
        <w:rPr>
          <w:rFonts w:ascii="宋体" w:hAnsi="宋体" w:eastAsia="宋体" w:cs="宋体"/>
          <w:color w:val="auto"/>
          <w:sz w:val="24"/>
          <w:szCs w:val="24"/>
        </w:rPr>
        <w:t>1、因履行本合同引起的或与本合同有关的争议，甲乙双方应首先通过友好</w:t>
      </w:r>
      <w:r>
        <w:rPr>
          <w:rFonts w:ascii="宋体" w:hAnsi="宋体" w:eastAsia="宋体" w:cs="宋体"/>
          <w:color w:val="auto"/>
          <w:spacing w:val="-1"/>
          <w:sz w:val="24"/>
          <w:szCs w:val="24"/>
        </w:rPr>
        <w:t>协商</w:t>
      </w:r>
      <w:r>
        <w:rPr>
          <w:rFonts w:ascii="宋体" w:hAnsi="宋体" w:eastAsia="宋体" w:cs="宋体"/>
          <w:color w:val="auto"/>
          <w:sz w:val="24"/>
          <w:szCs w:val="24"/>
        </w:rPr>
        <w:t xml:space="preserve"> 解决，如果协商不能解决，可向采购人所在</w:t>
      </w:r>
      <w:r>
        <w:rPr>
          <w:rFonts w:ascii="宋体" w:hAnsi="宋体" w:eastAsia="宋体" w:cs="宋体"/>
          <w:color w:val="auto"/>
          <w:spacing w:val="-1"/>
          <w:sz w:val="24"/>
          <w:szCs w:val="24"/>
        </w:rPr>
        <w:t>地人民法院提起诉讼。</w:t>
      </w:r>
    </w:p>
    <w:p w14:paraId="21B6F527">
      <w:pPr>
        <w:spacing w:before="301" w:line="219" w:lineRule="auto"/>
        <w:ind w:left="483"/>
        <w:rPr>
          <w:rFonts w:ascii="宋体" w:hAnsi="宋体" w:eastAsia="宋体" w:cs="宋体"/>
          <w:color w:val="auto"/>
          <w:sz w:val="24"/>
          <w:szCs w:val="24"/>
        </w:rPr>
      </w:pPr>
      <w:r>
        <w:rPr>
          <w:rFonts w:ascii="宋体" w:hAnsi="宋体" w:eastAsia="宋体" w:cs="宋体"/>
          <w:color w:val="auto"/>
          <w:spacing w:val="-1"/>
          <w:sz w:val="24"/>
          <w:szCs w:val="24"/>
        </w:rPr>
        <w:t>2、诉讼期间，本合同继续履行。</w:t>
      </w:r>
    </w:p>
    <w:p w14:paraId="2704A361">
      <w:pPr>
        <w:spacing w:before="304" w:line="219" w:lineRule="auto"/>
        <w:ind w:left="480"/>
        <w:rPr>
          <w:rFonts w:ascii="宋体" w:hAnsi="宋体" w:eastAsia="宋体" w:cs="宋体"/>
          <w:color w:val="auto"/>
          <w:sz w:val="24"/>
          <w:szCs w:val="24"/>
        </w:rPr>
      </w:pPr>
      <w:r>
        <w:rPr>
          <w:rFonts w:ascii="宋体" w:hAnsi="宋体" w:eastAsia="宋体" w:cs="宋体"/>
          <w:b/>
          <w:bCs/>
          <w:color w:val="auto"/>
          <w:spacing w:val="-2"/>
          <w:sz w:val="24"/>
          <w:szCs w:val="24"/>
        </w:rPr>
        <w:t>第十二条</w:t>
      </w:r>
      <w:r>
        <w:rPr>
          <w:rFonts w:ascii="宋体" w:hAnsi="宋体" w:eastAsia="宋体" w:cs="宋体"/>
          <w:color w:val="auto"/>
          <w:spacing w:val="-2"/>
          <w:sz w:val="24"/>
          <w:szCs w:val="24"/>
        </w:rPr>
        <w:t xml:space="preserve">   </w:t>
      </w:r>
      <w:r>
        <w:rPr>
          <w:rFonts w:ascii="宋体" w:hAnsi="宋体" w:eastAsia="宋体" w:cs="宋体"/>
          <w:b/>
          <w:bCs/>
          <w:color w:val="auto"/>
          <w:spacing w:val="-2"/>
          <w:sz w:val="24"/>
          <w:szCs w:val="24"/>
        </w:rPr>
        <w:t>合同生效及其它</w:t>
      </w:r>
    </w:p>
    <w:p w14:paraId="24475C8E">
      <w:pPr>
        <w:spacing w:before="300" w:line="219" w:lineRule="auto"/>
        <w:ind w:left="498"/>
        <w:rPr>
          <w:rFonts w:ascii="宋体" w:hAnsi="宋体" w:eastAsia="宋体" w:cs="宋体"/>
          <w:color w:val="auto"/>
          <w:sz w:val="24"/>
          <w:szCs w:val="24"/>
        </w:rPr>
      </w:pPr>
      <w:r>
        <w:rPr>
          <w:rFonts w:ascii="宋体" w:hAnsi="宋体" w:eastAsia="宋体" w:cs="宋体"/>
          <w:color w:val="auto"/>
          <w:spacing w:val="-1"/>
          <w:sz w:val="24"/>
          <w:szCs w:val="24"/>
        </w:rPr>
        <w:t>1．合同经双方法定代表人或授权代表签字并加盖单位公章后生效。</w:t>
      </w:r>
    </w:p>
    <w:p w14:paraId="2C84ABF4">
      <w:pPr>
        <w:spacing w:before="305" w:line="288" w:lineRule="auto"/>
        <w:ind w:right="63" w:firstLine="482"/>
        <w:rPr>
          <w:rFonts w:ascii="宋体" w:hAnsi="宋体" w:eastAsia="宋体" w:cs="宋体"/>
          <w:color w:val="auto"/>
          <w:sz w:val="24"/>
          <w:szCs w:val="24"/>
        </w:rPr>
      </w:pPr>
      <w:r>
        <w:rPr>
          <w:rFonts w:ascii="宋体" w:hAnsi="宋体" w:eastAsia="宋体" w:cs="宋体"/>
          <w:color w:val="auto"/>
          <w:sz w:val="24"/>
          <w:szCs w:val="24"/>
        </w:rPr>
        <w:t>2．合同执行中涉及采购资金和采购内容修改或补充的，须经财政部门审批，并</w:t>
      </w:r>
      <w:r>
        <w:rPr>
          <w:rFonts w:ascii="宋体" w:hAnsi="宋体" w:eastAsia="宋体" w:cs="宋体"/>
          <w:color w:val="auto"/>
          <w:spacing w:val="13"/>
          <w:sz w:val="24"/>
          <w:szCs w:val="24"/>
        </w:rPr>
        <w:t xml:space="preserve"> </w:t>
      </w:r>
      <w:r>
        <w:rPr>
          <w:rFonts w:ascii="宋体" w:hAnsi="宋体" w:eastAsia="宋体" w:cs="宋体"/>
          <w:color w:val="auto"/>
          <w:sz w:val="24"/>
          <w:szCs w:val="24"/>
        </w:rPr>
        <w:t>签书面补充协议报财政部门备案，方可作为主</w:t>
      </w:r>
      <w:r>
        <w:rPr>
          <w:rFonts w:ascii="宋体" w:hAnsi="宋体" w:eastAsia="宋体" w:cs="宋体"/>
          <w:color w:val="auto"/>
          <w:spacing w:val="-1"/>
          <w:sz w:val="24"/>
          <w:szCs w:val="24"/>
        </w:rPr>
        <w:t>合同不可分割的一部分。</w:t>
      </w:r>
    </w:p>
    <w:p w14:paraId="67D5B9E2">
      <w:pPr>
        <w:spacing w:before="304" w:line="220" w:lineRule="auto"/>
        <w:ind w:left="485"/>
        <w:rPr>
          <w:rFonts w:ascii="宋体" w:hAnsi="宋体" w:eastAsia="宋体" w:cs="宋体"/>
          <w:color w:val="auto"/>
          <w:sz w:val="24"/>
          <w:szCs w:val="24"/>
        </w:rPr>
      </w:pPr>
      <w:r>
        <w:rPr>
          <w:rFonts w:ascii="宋体" w:hAnsi="宋体" w:eastAsia="宋体" w:cs="宋体"/>
          <w:color w:val="auto"/>
          <w:spacing w:val="-1"/>
          <w:sz w:val="24"/>
          <w:szCs w:val="24"/>
        </w:rPr>
        <w:t>3．如为联合体成交，乙方指联合体双方。</w:t>
      </w:r>
    </w:p>
    <w:p w14:paraId="5419E748">
      <w:pPr>
        <w:spacing w:before="299" w:line="219" w:lineRule="auto"/>
        <w:ind w:left="480"/>
        <w:rPr>
          <w:rFonts w:ascii="宋体" w:hAnsi="宋体" w:eastAsia="宋体" w:cs="宋体"/>
          <w:color w:val="auto"/>
          <w:sz w:val="24"/>
          <w:szCs w:val="24"/>
        </w:rPr>
      </w:pPr>
      <w:r>
        <w:rPr>
          <w:rFonts w:ascii="宋体" w:hAnsi="宋体" w:eastAsia="宋体" w:cs="宋体"/>
          <w:color w:val="auto"/>
          <w:spacing w:val="-1"/>
          <w:sz w:val="24"/>
          <w:szCs w:val="24"/>
        </w:rPr>
        <w:t>4．本合同未尽事宜，遵照《民法典》有关条文执行。</w:t>
      </w:r>
    </w:p>
    <w:p w14:paraId="57678386">
      <w:pPr>
        <w:spacing w:before="304" w:line="219" w:lineRule="auto"/>
        <w:ind w:left="480"/>
        <w:rPr>
          <w:rFonts w:ascii="宋体" w:hAnsi="宋体" w:eastAsia="宋体" w:cs="宋体"/>
          <w:color w:val="auto"/>
          <w:sz w:val="24"/>
          <w:szCs w:val="24"/>
        </w:rPr>
      </w:pPr>
      <w:r>
        <w:rPr>
          <w:rFonts w:ascii="宋体" w:hAnsi="宋体" w:eastAsia="宋体" w:cs="宋体"/>
          <w:b/>
          <w:bCs/>
          <w:color w:val="auto"/>
          <w:spacing w:val="-2"/>
          <w:sz w:val="24"/>
          <w:szCs w:val="24"/>
        </w:rPr>
        <w:t>第十三条</w:t>
      </w:r>
      <w:r>
        <w:rPr>
          <w:rFonts w:ascii="宋体" w:hAnsi="宋体" w:eastAsia="宋体" w:cs="宋体"/>
          <w:color w:val="auto"/>
          <w:spacing w:val="-2"/>
          <w:sz w:val="24"/>
          <w:szCs w:val="24"/>
        </w:rPr>
        <w:t xml:space="preserve">  </w:t>
      </w:r>
      <w:r>
        <w:rPr>
          <w:rFonts w:ascii="宋体" w:hAnsi="宋体" w:eastAsia="宋体" w:cs="宋体"/>
          <w:b/>
          <w:bCs/>
          <w:color w:val="auto"/>
          <w:spacing w:val="-2"/>
          <w:sz w:val="24"/>
          <w:szCs w:val="24"/>
        </w:rPr>
        <w:t>合同的变更、终止与转让</w:t>
      </w:r>
    </w:p>
    <w:p w14:paraId="25EEBB2D">
      <w:pPr>
        <w:spacing w:before="300" w:line="290" w:lineRule="auto"/>
        <w:ind w:left="31" w:firstLine="466"/>
        <w:rPr>
          <w:rFonts w:ascii="宋体" w:hAnsi="宋体" w:eastAsia="宋体" w:cs="宋体"/>
          <w:color w:val="auto"/>
          <w:sz w:val="24"/>
          <w:szCs w:val="24"/>
        </w:rPr>
      </w:pPr>
      <w:r>
        <w:rPr>
          <w:rFonts w:ascii="宋体" w:hAnsi="宋体" w:eastAsia="宋体" w:cs="宋体"/>
          <w:color w:val="auto"/>
          <w:spacing w:val="-5"/>
          <w:sz w:val="24"/>
          <w:szCs w:val="24"/>
        </w:rPr>
        <w:t>1、除《中华人民共和国政府采购法》第五十条规定的情形外，本合同一经签订，</w:t>
      </w:r>
      <w:r>
        <w:rPr>
          <w:rFonts w:ascii="宋体" w:hAnsi="宋体" w:eastAsia="宋体" w:cs="宋体"/>
          <w:color w:val="auto"/>
          <w:spacing w:val="2"/>
          <w:sz w:val="24"/>
          <w:szCs w:val="24"/>
        </w:rPr>
        <w:t xml:space="preserve"> </w:t>
      </w:r>
      <w:r>
        <w:rPr>
          <w:rFonts w:ascii="宋体" w:hAnsi="宋体" w:eastAsia="宋体" w:cs="宋体"/>
          <w:color w:val="auto"/>
          <w:spacing w:val="-3"/>
          <w:sz w:val="24"/>
          <w:szCs w:val="24"/>
        </w:rPr>
        <w:t>甲乙双方不得擅自变更、中止或终止。</w:t>
      </w:r>
    </w:p>
    <w:p w14:paraId="7224632A">
      <w:pPr>
        <w:spacing w:before="301" w:line="219" w:lineRule="auto"/>
        <w:ind w:left="483"/>
        <w:rPr>
          <w:rFonts w:ascii="宋体" w:hAnsi="宋体" w:eastAsia="宋体" w:cs="宋体"/>
          <w:color w:val="auto"/>
          <w:sz w:val="24"/>
          <w:szCs w:val="24"/>
        </w:rPr>
      </w:pPr>
      <w:r>
        <w:rPr>
          <w:rFonts w:ascii="宋体" w:hAnsi="宋体" w:eastAsia="宋体" w:cs="宋体"/>
          <w:color w:val="auto"/>
          <w:spacing w:val="-1"/>
          <w:sz w:val="24"/>
          <w:szCs w:val="24"/>
        </w:rPr>
        <w:t>2、乙方不得擅自转让其应履行的合同义务。</w:t>
      </w:r>
    </w:p>
    <w:p w14:paraId="4E8A7636">
      <w:pPr>
        <w:spacing w:before="302" w:line="219" w:lineRule="auto"/>
        <w:ind w:left="480"/>
        <w:rPr>
          <w:rFonts w:ascii="宋体" w:hAnsi="宋体" w:eastAsia="宋体" w:cs="宋体"/>
          <w:color w:val="auto"/>
          <w:sz w:val="24"/>
          <w:szCs w:val="24"/>
        </w:rPr>
      </w:pPr>
      <w:r>
        <w:rPr>
          <w:rFonts w:ascii="宋体" w:hAnsi="宋体" w:eastAsia="宋体" w:cs="宋体"/>
          <w:b/>
          <w:bCs/>
          <w:color w:val="auto"/>
          <w:spacing w:val="-3"/>
          <w:sz w:val="24"/>
          <w:szCs w:val="24"/>
        </w:rPr>
        <w:t>第十四条</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签订本合同依据</w:t>
      </w:r>
    </w:p>
    <w:p w14:paraId="2F6FA39F">
      <w:pPr>
        <w:spacing w:before="302" w:line="346" w:lineRule="auto"/>
        <w:ind w:left="5" w:right="61" w:firstLine="492"/>
        <w:rPr>
          <w:rFonts w:ascii="宋体" w:hAnsi="宋体" w:eastAsia="宋体" w:cs="宋体"/>
          <w:color w:val="auto"/>
          <w:sz w:val="24"/>
          <w:szCs w:val="24"/>
        </w:rPr>
      </w:pPr>
      <w:r>
        <w:rPr>
          <w:rFonts w:ascii="宋体" w:hAnsi="宋体" w:eastAsia="宋体" w:cs="宋体"/>
          <w:color w:val="auto"/>
          <w:spacing w:val="-3"/>
          <w:sz w:val="24"/>
          <w:szCs w:val="24"/>
        </w:rPr>
        <w:t>1、政府采购招标文件；2、乙方提供的投标文件；3、投标承</w:t>
      </w:r>
      <w:r>
        <w:rPr>
          <w:rFonts w:ascii="宋体" w:hAnsi="宋体" w:eastAsia="宋体" w:cs="宋体"/>
          <w:color w:val="auto"/>
          <w:spacing w:val="-4"/>
          <w:sz w:val="24"/>
          <w:szCs w:val="24"/>
        </w:rPr>
        <w:t>诺书；4、成交通知</w:t>
      </w:r>
      <w:r>
        <w:rPr>
          <w:rFonts w:ascii="宋体" w:hAnsi="宋体" w:eastAsia="宋体" w:cs="宋体"/>
          <w:color w:val="auto"/>
          <w:sz w:val="24"/>
          <w:szCs w:val="24"/>
        </w:rPr>
        <w:t xml:space="preserve"> </w:t>
      </w:r>
      <w:r>
        <w:rPr>
          <w:rFonts w:ascii="宋体" w:hAnsi="宋体" w:eastAsia="宋体" w:cs="宋体"/>
          <w:color w:val="auto"/>
          <w:spacing w:val="-8"/>
          <w:sz w:val="24"/>
          <w:szCs w:val="24"/>
        </w:rPr>
        <w:t>书。</w:t>
      </w:r>
    </w:p>
    <w:p w14:paraId="7AEB2A5B">
      <w:pPr>
        <w:spacing w:before="154" w:line="345" w:lineRule="auto"/>
        <w:ind w:left="28" w:right="63" w:firstLine="452"/>
        <w:rPr>
          <w:rFonts w:ascii="宋体" w:hAnsi="宋体" w:eastAsia="宋体" w:cs="宋体"/>
          <w:color w:val="auto"/>
          <w:sz w:val="24"/>
          <w:szCs w:val="24"/>
        </w:rPr>
      </w:pPr>
      <w:r>
        <w:rPr>
          <w:rFonts w:ascii="宋体" w:hAnsi="宋体" w:eastAsia="宋体" w:cs="宋体"/>
          <w:b/>
          <w:bCs/>
          <w:color w:val="auto"/>
          <w:spacing w:val="1"/>
          <w:sz w:val="24"/>
          <w:szCs w:val="24"/>
        </w:rPr>
        <w:t>第十五条</w:t>
      </w:r>
      <w:r>
        <w:rPr>
          <w:rFonts w:ascii="宋体" w:hAnsi="宋体" w:eastAsia="宋体" w:cs="宋体"/>
          <w:color w:val="auto"/>
          <w:spacing w:val="1"/>
          <w:sz w:val="24"/>
          <w:szCs w:val="24"/>
        </w:rPr>
        <w:t xml:space="preserve">  </w:t>
      </w:r>
      <w:r>
        <w:rPr>
          <w:rFonts w:ascii="宋体" w:hAnsi="宋体" w:eastAsia="宋体" w:cs="宋体"/>
          <w:b/>
          <w:bCs/>
          <w:color w:val="auto"/>
          <w:spacing w:val="1"/>
          <w:sz w:val="24"/>
          <w:szCs w:val="24"/>
        </w:rPr>
        <w:t>本合同一式六份，具有同等法律效力，财政部门（政府采购监管部</w:t>
      </w:r>
      <w:r>
        <w:rPr>
          <w:rFonts w:ascii="宋体" w:hAnsi="宋体" w:eastAsia="宋体" w:cs="宋体"/>
          <w:color w:val="auto"/>
          <w:spacing w:val="17"/>
          <w:sz w:val="24"/>
          <w:szCs w:val="24"/>
        </w:rPr>
        <w:t xml:space="preserve"> </w:t>
      </w:r>
      <w:r>
        <w:rPr>
          <w:rFonts w:ascii="宋体" w:hAnsi="宋体" w:eastAsia="宋体" w:cs="宋体"/>
          <w:b/>
          <w:bCs/>
          <w:color w:val="auto"/>
          <w:spacing w:val="-3"/>
          <w:sz w:val="24"/>
          <w:szCs w:val="24"/>
        </w:rPr>
        <w:t>门）、采购代理机构各一份，甲乙双方各两份（可根据需要另增加）。</w:t>
      </w:r>
    </w:p>
    <w:p w14:paraId="2B7F84BB">
      <w:pPr>
        <w:spacing w:before="160" w:line="344" w:lineRule="auto"/>
        <w:ind w:left="3" w:right="61" w:firstLine="478"/>
        <w:rPr>
          <w:rFonts w:ascii="宋体" w:hAnsi="宋体" w:eastAsia="宋体" w:cs="宋体"/>
          <w:color w:val="auto"/>
          <w:sz w:val="24"/>
          <w:szCs w:val="24"/>
        </w:rPr>
      </w:pPr>
      <w:r>
        <w:rPr>
          <w:rFonts w:ascii="宋体" w:hAnsi="宋体" w:eastAsia="宋体" w:cs="宋体"/>
          <w:color w:val="auto"/>
          <w:spacing w:val="-3"/>
          <w:sz w:val="24"/>
          <w:szCs w:val="24"/>
        </w:rPr>
        <w:t>本合同甲乙双方签字盖章后生效，自签订之日起七个工作日内，采购人或采购代</w:t>
      </w:r>
      <w:r>
        <w:rPr>
          <w:rFonts w:ascii="宋体" w:hAnsi="宋体" w:eastAsia="宋体" w:cs="宋体"/>
          <w:color w:val="auto"/>
          <w:spacing w:val="2"/>
          <w:sz w:val="24"/>
          <w:szCs w:val="24"/>
        </w:rPr>
        <w:t xml:space="preserve"> </w:t>
      </w:r>
      <w:r>
        <w:rPr>
          <w:rFonts w:ascii="宋体" w:hAnsi="宋体" w:eastAsia="宋体" w:cs="宋体"/>
          <w:color w:val="auto"/>
          <w:spacing w:val="-1"/>
          <w:sz w:val="24"/>
          <w:szCs w:val="24"/>
        </w:rPr>
        <w:t>理机构应当将合同副本报同级财政部门备案。</w:t>
      </w:r>
    </w:p>
    <w:p w14:paraId="0C32A8B0">
      <w:pPr>
        <w:spacing w:line="344" w:lineRule="auto"/>
        <w:rPr>
          <w:rFonts w:ascii="宋体" w:hAnsi="宋体" w:eastAsia="宋体" w:cs="宋体"/>
          <w:color w:val="auto"/>
          <w:sz w:val="24"/>
          <w:szCs w:val="24"/>
        </w:rPr>
        <w:sectPr>
          <w:footerReference r:id="rId15" w:type="default"/>
          <w:pgSz w:w="11906" w:h="16839"/>
          <w:pgMar w:top="1431" w:right="1411" w:bottom="1446" w:left="1652" w:header="0" w:footer="1287" w:gutter="0"/>
          <w:cols w:space="720" w:num="1"/>
        </w:sectPr>
      </w:pPr>
    </w:p>
    <w:p w14:paraId="461451B5">
      <w:pPr>
        <w:spacing w:line="42" w:lineRule="exact"/>
        <w:rPr>
          <w:color w:val="auto"/>
        </w:rPr>
      </w:pPr>
    </w:p>
    <w:tbl>
      <w:tblPr>
        <w:tblStyle w:val="27"/>
        <w:tblW w:w="9364" w:type="dxa"/>
        <w:tblInd w:w="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682"/>
        <w:gridCol w:w="4682"/>
      </w:tblGrid>
      <w:tr w14:paraId="124DBD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83" w:hRule="atLeast"/>
        </w:trPr>
        <w:tc>
          <w:tcPr>
            <w:tcW w:w="4682" w:type="dxa"/>
            <w:tcBorders>
              <w:top w:val="single" w:color="auto" w:sz="2" w:space="0"/>
              <w:left w:val="single" w:color="auto" w:sz="2" w:space="0"/>
              <w:bottom w:val="single" w:color="auto" w:sz="2" w:space="0"/>
              <w:right w:val="single" w:color="auto" w:sz="2" w:space="0"/>
            </w:tcBorders>
            <w:noWrap w:val="0"/>
            <w:vAlign w:val="top"/>
          </w:tcPr>
          <w:p w14:paraId="15741971">
            <w:pPr>
              <w:pStyle w:val="53"/>
              <w:spacing w:before="160" w:line="219" w:lineRule="auto"/>
              <w:ind w:left="148"/>
              <w:rPr>
                <w:color w:val="auto"/>
                <w:sz w:val="24"/>
                <w:szCs w:val="24"/>
              </w:rPr>
            </w:pPr>
            <w:r>
              <w:rPr>
                <w:color w:val="auto"/>
                <w:spacing w:val="-9"/>
                <w:sz w:val="24"/>
                <w:szCs w:val="24"/>
              </w:rPr>
              <w:t>甲方（章）</w:t>
            </w:r>
          </w:p>
          <w:p w14:paraId="682FBEC0">
            <w:pPr>
              <w:pStyle w:val="53"/>
              <w:spacing w:before="301" w:line="219" w:lineRule="auto"/>
              <w:ind w:left="3142"/>
              <w:rPr>
                <w:color w:val="auto"/>
                <w:sz w:val="24"/>
                <w:szCs w:val="24"/>
              </w:rPr>
            </w:pPr>
            <w:r>
              <w:rPr>
                <w:color w:val="auto"/>
                <w:spacing w:val="-9"/>
                <w:sz w:val="24"/>
                <w:szCs w:val="24"/>
              </w:rPr>
              <w:t>年</w:t>
            </w:r>
            <w:r>
              <w:rPr>
                <w:color w:val="auto"/>
                <w:spacing w:val="5"/>
                <w:sz w:val="24"/>
                <w:szCs w:val="24"/>
              </w:rPr>
              <w:t xml:space="preserve">   </w:t>
            </w:r>
            <w:r>
              <w:rPr>
                <w:color w:val="auto"/>
                <w:spacing w:val="-9"/>
                <w:sz w:val="24"/>
                <w:szCs w:val="24"/>
              </w:rPr>
              <w:t>月</w:t>
            </w:r>
            <w:r>
              <w:rPr>
                <w:color w:val="auto"/>
                <w:spacing w:val="17"/>
                <w:sz w:val="24"/>
                <w:szCs w:val="24"/>
              </w:rPr>
              <w:t xml:space="preserve">   </w:t>
            </w:r>
            <w:r>
              <w:rPr>
                <w:color w:val="auto"/>
                <w:spacing w:val="-9"/>
                <w:sz w:val="24"/>
                <w:szCs w:val="24"/>
              </w:rPr>
              <w:t>日</w:t>
            </w:r>
          </w:p>
        </w:tc>
        <w:tc>
          <w:tcPr>
            <w:tcW w:w="4682" w:type="dxa"/>
            <w:tcBorders>
              <w:top w:val="single" w:color="auto" w:sz="2" w:space="0"/>
              <w:left w:val="single" w:color="auto" w:sz="2" w:space="0"/>
              <w:bottom w:val="single" w:color="auto" w:sz="2" w:space="0"/>
              <w:right w:val="single" w:color="auto" w:sz="2" w:space="0"/>
            </w:tcBorders>
            <w:noWrap w:val="0"/>
            <w:vAlign w:val="top"/>
          </w:tcPr>
          <w:p w14:paraId="5E62A7A1">
            <w:pPr>
              <w:pStyle w:val="53"/>
              <w:spacing w:before="160" w:line="219" w:lineRule="auto"/>
              <w:ind w:left="138"/>
              <w:rPr>
                <w:color w:val="auto"/>
                <w:sz w:val="24"/>
                <w:szCs w:val="24"/>
              </w:rPr>
            </w:pPr>
            <w:r>
              <w:rPr>
                <w:color w:val="auto"/>
                <w:spacing w:val="-7"/>
                <w:sz w:val="24"/>
                <w:szCs w:val="24"/>
              </w:rPr>
              <w:t>乙方（章）</w:t>
            </w:r>
          </w:p>
          <w:p w14:paraId="72E71B55">
            <w:pPr>
              <w:pStyle w:val="53"/>
              <w:spacing w:before="301" w:line="219" w:lineRule="auto"/>
              <w:ind w:left="3140"/>
              <w:rPr>
                <w:color w:val="auto"/>
                <w:sz w:val="24"/>
                <w:szCs w:val="24"/>
              </w:rPr>
            </w:pPr>
            <w:r>
              <w:rPr>
                <w:color w:val="auto"/>
                <w:spacing w:val="-9"/>
                <w:sz w:val="24"/>
                <w:szCs w:val="24"/>
              </w:rPr>
              <w:t>年</w:t>
            </w:r>
            <w:r>
              <w:rPr>
                <w:color w:val="auto"/>
                <w:spacing w:val="5"/>
                <w:sz w:val="24"/>
                <w:szCs w:val="24"/>
              </w:rPr>
              <w:t xml:space="preserve">   </w:t>
            </w:r>
            <w:r>
              <w:rPr>
                <w:color w:val="auto"/>
                <w:spacing w:val="-9"/>
                <w:sz w:val="24"/>
                <w:szCs w:val="24"/>
              </w:rPr>
              <w:t>月</w:t>
            </w:r>
            <w:r>
              <w:rPr>
                <w:color w:val="auto"/>
                <w:spacing w:val="17"/>
                <w:sz w:val="24"/>
                <w:szCs w:val="24"/>
              </w:rPr>
              <w:t xml:space="preserve">   </w:t>
            </w:r>
            <w:r>
              <w:rPr>
                <w:color w:val="auto"/>
                <w:spacing w:val="-9"/>
                <w:sz w:val="24"/>
                <w:szCs w:val="24"/>
              </w:rPr>
              <w:t>日</w:t>
            </w:r>
          </w:p>
        </w:tc>
      </w:tr>
      <w:tr w14:paraId="6AC6D7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1" w:hRule="atLeast"/>
        </w:trPr>
        <w:tc>
          <w:tcPr>
            <w:tcW w:w="4682" w:type="dxa"/>
            <w:tcBorders>
              <w:top w:val="single" w:color="auto" w:sz="2" w:space="0"/>
              <w:left w:val="single" w:color="auto" w:sz="2" w:space="0"/>
              <w:bottom w:val="single" w:color="auto" w:sz="2" w:space="0"/>
              <w:right w:val="single" w:color="auto" w:sz="2" w:space="0"/>
            </w:tcBorders>
            <w:noWrap w:val="0"/>
            <w:vAlign w:val="top"/>
          </w:tcPr>
          <w:p w14:paraId="340A7BF8">
            <w:pPr>
              <w:pStyle w:val="53"/>
              <w:spacing w:before="156" w:line="220" w:lineRule="auto"/>
              <w:ind w:left="119"/>
              <w:rPr>
                <w:color w:val="auto"/>
                <w:sz w:val="24"/>
                <w:szCs w:val="24"/>
              </w:rPr>
            </w:pPr>
            <w:r>
              <w:rPr>
                <w:color w:val="auto"/>
                <w:spacing w:val="-3"/>
                <w:sz w:val="24"/>
                <w:szCs w:val="24"/>
              </w:rPr>
              <w:t>单位地址：</w:t>
            </w:r>
          </w:p>
        </w:tc>
        <w:tc>
          <w:tcPr>
            <w:tcW w:w="4682" w:type="dxa"/>
            <w:tcBorders>
              <w:top w:val="single" w:color="auto" w:sz="2" w:space="0"/>
              <w:left w:val="single" w:color="auto" w:sz="2" w:space="0"/>
              <w:bottom w:val="single" w:color="auto" w:sz="2" w:space="0"/>
              <w:right w:val="single" w:color="auto" w:sz="2" w:space="0"/>
            </w:tcBorders>
            <w:noWrap w:val="0"/>
            <w:vAlign w:val="top"/>
          </w:tcPr>
          <w:p w14:paraId="76F57105">
            <w:pPr>
              <w:pStyle w:val="53"/>
              <w:spacing w:before="156" w:line="220" w:lineRule="auto"/>
              <w:ind w:left="117"/>
              <w:rPr>
                <w:color w:val="auto"/>
                <w:sz w:val="24"/>
                <w:szCs w:val="24"/>
              </w:rPr>
            </w:pPr>
            <w:r>
              <w:rPr>
                <w:color w:val="auto"/>
                <w:spacing w:val="-3"/>
                <w:sz w:val="24"/>
                <w:szCs w:val="24"/>
              </w:rPr>
              <w:t>单位地址：</w:t>
            </w:r>
          </w:p>
        </w:tc>
      </w:tr>
      <w:tr w14:paraId="3C6067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1" w:hRule="atLeast"/>
        </w:trPr>
        <w:tc>
          <w:tcPr>
            <w:tcW w:w="4682" w:type="dxa"/>
            <w:tcBorders>
              <w:top w:val="single" w:color="auto" w:sz="2" w:space="0"/>
              <w:left w:val="single" w:color="auto" w:sz="2" w:space="0"/>
              <w:bottom w:val="single" w:color="auto" w:sz="2" w:space="0"/>
              <w:right w:val="single" w:color="auto" w:sz="2" w:space="0"/>
            </w:tcBorders>
            <w:noWrap w:val="0"/>
            <w:vAlign w:val="top"/>
          </w:tcPr>
          <w:p w14:paraId="5C8901A2">
            <w:pPr>
              <w:pStyle w:val="53"/>
              <w:spacing w:before="156" w:line="219" w:lineRule="auto"/>
              <w:ind w:left="118"/>
              <w:rPr>
                <w:color w:val="auto"/>
                <w:sz w:val="24"/>
                <w:szCs w:val="24"/>
              </w:rPr>
            </w:pPr>
            <w:r>
              <w:rPr>
                <w:color w:val="auto"/>
                <w:spacing w:val="-2"/>
                <w:sz w:val="24"/>
                <w:szCs w:val="24"/>
              </w:rPr>
              <w:t>法定代表人：</w:t>
            </w:r>
          </w:p>
        </w:tc>
        <w:tc>
          <w:tcPr>
            <w:tcW w:w="4682" w:type="dxa"/>
            <w:tcBorders>
              <w:top w:val="single" w:color="auto" w:sz="2" w:space="0"/>
              <w:left w:val="single" w:color="auto" w:sz="2" w:space="0"/>
              <w:bottom w:val="single" w:color="auto" w:sz="2" w:space="0"/>
              <w:right w:val="single" w:color="auto" w:sz="2" w:space="0"/>
            </w:tcBorders>
            <w:noWrap w:val="0"/>
            <w:vAlign w:val="top"/>
          </w:tcPr>
          <w:p w14:paraId="7A1B47F9">
            <w:pPr>
              <w:pStyle w:val="53"/>
              <w:spacing w:before="156" w:line="219" w:lineRule="auto"/>
              <w:ind w:left="116"/>
              <w:rPr>
                <w:color w:val="auto"/>
                <w:sz w:val="24"/>
                <w:szCs w:val="24"/>
              </w:rPr>
            </w:pPr>
            <w:r>
              <w:rPr>
                <w:color w:val="auto"/>
                <w:spacing w:val="-2"/>
                <w:sz w:val="24"/>
                <w:szCs w:val="24"/>
              </w:rPr>
              <w:t>法定代表人：</w:t>
            </w:r>
          </w:p>
        </w:tc>
      </w:tr>
      <w:tr w14:paraId="162D35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1" w:hRule="atLeast"/>
        </w:trPr>
        <w:tc>
          <w:tcPr>
            <w:tcW w:w="4682" w:type="dxa"/>
            <w:tcBorders>
              <w:top w:val="single" w:color="auto" w:sz="2" w:space="0"/>
              <w:left w:val="single" w:color="auto" w:sz="2" w:space="0"/>
              <w:bottom w:val="single" w:color="auto" w:sz="2" w:space="0"/>
              <w:right w:val="single" w:color="auto" w:sz="2" w:space="0"/>
            </w:tcBorders>
            <w:noWrap w:val="0"/>
            <w:vAlign w:val="top"/>
          </w:tcPr>
          <w:p w14:paraId="788A3956">
            <w:pPr>
              <w:pStyle w:val="53"/>
              <w:spacing w:before="157" w:line="219" w:lineRule="auto"/>
              <w:ind w:left="116"/>
              <w:rPr>
                <w:color w:val="auto"/>
                <w:sz w:val="24"/>
                <w:szCs w:val="24"/>
              </w:rPr>
            </w:pPr>
            <w:r>
              <w:rPr>
                <w:color w:val="auto"/>
                <w:spacing w:val="-2"/>
                <w:sz w:val="24"/>
                <w:szCs w:val="24"/>
              </w:rPr>
              <w:t>委托代理人：</w:t>
            </w:r>
          </w:p>
        </w:tc>
        <w:tc>
          <w:tcPr>
            <w:tcW w:w="4682" w:type="dxa"/>
            <w:tcBorders>
              <w:top w:val="single" w:color="auto" w:sz="2" w:space="0"/>
              <w:left w:val="single" w:color="auto" w:sz="2" w:space="0"/>
              <w:bottom w:val="single" w:color="auto" w:sz="2" w:space="0"/>
              <w:right w:val="single" w:color="auto" w:sz="2" w:space="0"/>
            </w:tcBorders>
            <w:noWrap w:val="0"/>
            <w:vAlign w:val="top"/>
          </w:tcPr>
          <w:p w14:paraId="5EA06732">
            <w:pPr>
              <w:pStyle w:val="53"/>
              <w:spacing w:before="157" w:line="219" w:lineRule="auto"/>
              <w:ind w:left="114"/>
              <w:rPr>
                <w:color w:val="auto"/>
                <w:sz w:val="24"/>
                <w:szCs w:val="24"/>
              </w:rPr>
            </w:pPr>
            <w:r>
              <w:rPr>
                <w:color w:val="auto"/>
                <w:spacing w:val="-2"/>
                <w:sz w:val="24"/>
                <w:szCs w:val="24"/>
              </w:rPr>
              <w:t>委托代理人</w:t>
            </w:r>
          </w:p>
        </w:tc>
      </w:tr>
      <w:tr w14:paraId="026518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1" w:hRule="atLeast"/>
        </w:trPr>
        <w:tc>
          <w:tcPr>
            <w:tcW w:w="4682" w:type="dxa"/>
            <w:tcBorders>
              <w:top w:val="single" w:color="auto" w:sz="2" w:space="0"/>
              <w:left w:val="single" w:color="auto" w:sz="2" w:space="0"/>
              <w:bottom w:val="single" w:color="auto" w:sz="2" w:space="0"/>
              <w:right w:val="single" w:color="auto" w:sz="2" w:space="0"/>
            </w:tcBorders>
            <w:noWrap w:val="0"/>
            <w:vAlign w:val="top"/>
          </w:tcPr>
          <w:p w14:paraId="717E9DC6">
            <w:pPr>
              <w:pStyle w:val="53"/>
              <w:spacing w:before="159" w:line="221" w:lineRule="auto"/>
              <w:ind w:left="145"/>
              <w:rPr>
                <w:color w:val="auto"/>
                <w:sz w:val="24"/>
                <w:szCs w:val="24"/>
              </w:rPr>
            </w:pPr>
            <w:r>
              <w:rPr>
                <w:color w:val="auto"/>
                <w:spacing w:val="-13"/>
                <w:sz w:val="24"/>
                <w:szCs w:val="24"/>
              </w:rPr>
              <w:t>电话：</w:t>
            </w:r>
          </w:p>
        </w:tc>
        <w:tc>
          <w:tcPr>
            <w:tcW w:w="4682" w:type="dxa"/>
            <w:tcBorders>
              <w:top w:val="single" w:color="auto" w:sz="2" w:space="0"/>
              <w:left w:val="single" w:color="auto" w:sz="2" w:space="0"/>
              <w:bottom w:val="single" w:color="auto" w:sz="2" w:space="0"/>
              <w:right w:val="single" w:color="auto" w:sz="2" w:space="0"/>
            </w:tcBorders>
            <w:noWrap w:val="0"/>
            <w:vAlign w:val="top"/>
          </w:tcPr>
          <w:p w14:paraId="322DE3F1">
            <w:pPr>
              <w:pStyle w:val="53"/>
              <w:spacing w:before="159" w:line="221" w:lineRule="auto"/>
              <w:ind w:left="143"/>
              <w:rPr>
                <w:color w:val="auto"/>
                <w:sz w:val="24"/>
                <w:szCs w:val="24"/>
              </w:rPr>
            </w:pPr>
            <w:r>
              <w:rPr>
                <w:color w:val="auto"/>
                <w:spacing w:val="-13"/>
                <w:sz w:val="24"/>
                <w:szCs w:val="24"/>
              </w:rPr>
              <w:t>电话：</w:t>
            </w:r>
          </w:p>
        </w:tc>
      </w:tr>
      <w:tr w14:paraId="30DFDF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34" w:hRule="atLeast"/>
        </w:trPr>
        <w:tc>
          <w:tcPr>
            <w:tcW w:w="4682" w:type="dxa"/>
            <w:tcBorders>
              <w:top w:val="single" w:color="auto" w:sz="2" w:space="0"/>
              <w:left w:val="single" w:color="auto" w:sz="2" w:space="0"/>
              <w:bottom w:val="single" w:color="auto" w:sz="2" w:space="0"/>
              <w:right w:val="single" w:color="auto" w:sz="2" w:space="0"/>
            </w:tcBorders>
            <w:noWrap w:val="0"/>
            <w:vAlign w:val="top"/>
          </w:tcPr>
          <w:p w14:paraId="5A69F915">
            <w:pPr>
              <w:pStyle w:val="53"/>
              <w:spacing w:before="179" w:line="220" w:lineRule="auto"/>
              <w:ind w:left="118"/>
              <w:rPr>
                <w:color w:val="auto"/>
                <w:sz w:val="24"/>
                <w:szCs w:val="24"/>
              </w:rPr>
            </w:pPr>
            <w:r>
              <w:rPr>
                <w:color w:val="auto"/>
                <w:spacing w:val="-3"/>
                <w:sz w:val="24"/>
                <w:szCs w:val="24"/>
              </w:rPr>
              <w:t>开户银行：</w:t>
            </w:r>
          </w:p>
        </w:tc>
        <w:tc>
          <w:tcPr>
            <w:tcW w:w="4682" w:type="dxa"/>
            <w:tcBorders>
              <w:top w:val="single" w:color="auto" w:sz="2" w:space="0"/>
              <w:left w:val="single" w:color="auto" w:sz="2" w:space="0"/>
              <w:bottom w:val="single" w:color="auto" w:sz="2" w:space="0"/>
              <w:right w:val="single" w:color="auto" w:sz="2" w:space="0"/>
            </w:tcBorders>
            <w:noWrap w:val="0"/>
            <w:vAlign w:val="top"/>
          </w:tcPr>
          <w:p w14:paraId="01BB5167">
            <w:pPr>
              <w:pStyle w:val="53"/>
              <w:spacing w:before="179" w:line="220" w:lineRule="auto"/>
              <w:ind w:left="116"/>
              <w:rPr>
                <w:color w:val="auto"/>
                <w:sz w:val="24"/>
                <w:szCs w:val="24"/>
              </w:rPr>
            </w:pPr>
            <w:r>
              <w:rPr>
                <w:color w:val="auto"/>
                <w:spacing w:val="-3"/>
                <w:sz w:val="24"/>
                <w:szCs w:val="24"/>
              </w:rPr>
              <w:t>开户银行：</w:t>
            </w:r>
          </w:p>
        </w:tc>
      </w:tr>
      <w:tr w14:paraId="30BF15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6" w:hRule="atLeast"/>
        </w:trPr>
        <w:tc>
          <w:tcPr>
            <w:tcW w:w="4682" w:type="dxa"/>
            <w:tcBorders>
              <w:top w:val="single" w:color="auto" w:sz="2" w:space="0"/>
              <w:left w:val="single" w:color="auto" w:sz="2" w:space="0"/>
              <w:bottom w:val="single" w:color="auto" w:sz="2" w:space="0"/>
              <w:right w:val="single" w:color="auto" w:sz="2" w:space="0"/>
            </w:tcBorders>
            <w:noWrap w:val="0"/>
            <w:vAlign w:val="top"/>
          </w:tcPr>
          <w:p w14:paraId="75A9D6FA">
            <w:pPr>
              <w:pStyle w:val="53"/>
              <w:spacing w:before="159" w:line="221" w:lineRule="auto"/>
              <w:ind w:left="121"/>
              <w:rPr>
                <w:color w:val="auto"/>
                <w:sz w:val="24"/>
                <w:szCs w:val="24"/>
              </w:rPr>
            </w:pPr>
            <w:r>
              <w:rPr>
                <w:color w:val="auto"/>
                <w:spacing w:val="-5"/>
                <w:sz w:val="24"/>
                <w:szCs w:val="24"/>
              </w:rPr>
              <w:t>账号：</w:t>
            </w:r>
          </w:p>
        </w:tc>
        <w:tc>
          <w:tcPr>
            <w:tcW w:w="4682" w:type="dxa"/>
            <w:tcBorders>
              <w:top w:val="single" w:color="auto" w:sz="2" w:space="0"/>
              <w:left w:val="single" w:color="auto" w:sz="2" w:space="0"/>
              <w:bottom w:val="single" w:color="auto" w:sz="2" w:space="0"/>
              <w:right w:val="single" w:color="auto" w:sz="2" w:space="0"/>
            </w:tcBorders>
            <w:noWrap w:val="0"/>
            <w:vAlign w:val="top"/>
          </w:tcPr>
          <w:p w14:paraId="2CB93027">
            <w:pPr>
              <w:pStyle w:val="53"/>
              <w:spacing w:before="159" w:line="221" w:lineRule="auto"/>
              <w:ind w:left="119"/>
              <w:rPr>
                <w:color w:val="auto"/>
                <w:sz w:val="24"/>
                <w:szCs w:val="24"/>
              </w:rPr>
            </w:pPr>
            <w:r>
              <w:rPr>
                <w:color w:val="auto"/>
                <w:spacing w:val="-5"/>
                <w:sz w:val="24"/>
                <w:szCs w:val="24"/>
              </w:rPr>
              <w:t>账号：</w:t>
            </w:r>
          </w:p>
        </w:tc>
      </w:tr>
    </w:tbl>
    <w:p w14:paraId="4C3AB8B8">
      <w:pPr>
        <w:snapToGrid w:val="0"/>
        <w:spacing w:line="360" w:lineRule="auto"/>
        <w:ind w:right="480"/>
        <w:rPr>
          <w:color w:val="auto"/>
        </w:rPr>
      </w:pPr>
    </w:p>
    <w:sectPr>
      <w:footerReference r:id="rId17" w:type="first"/>
      <w:footerReference r:id="rId16" w:type="default"/>
      <w:pgSz w:w="11906" w:h="16838"/>
      <w:pgMar w:top="1440" w:right="1498" w:bottom="1440" w:left="1685"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hakuyoxingshu7000"/>
    <w:panose1 w:val="02010600030101010101"/>
    <w:charset w:val="7A"/>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7A"/>
    <w:family w:val="auto"/>
    <w:pitch w:val="default"/>
    <w:sig w:usb0="80000287" w:usb1="280F3C52"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1E731">
    <w:pPr>
      <w:pStyle w:val="21"/>
      <w:tabs>
        <w:tab w:val="center" w:pos="4439"/>
        <w:tab w:val="clear" w:pos="4153"/>
      </w:tabs>
      <w:jc w:val="both"/>
    </w:pPr>
  </w:p>
  <w:p w14:paraId="51D2AD9B">
    <w:pPr>
      <w:pStyle w:val="2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6947B">
    <w:pPr>
      <w:spacing w:line="173" w:lineRule="auto"/>
      <w:ind w:left="430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C2EF1D">
                          <w:pPr>
                            <w:pStyle w:val="21"/>
                          </w:pPr>
                          <w:r>
                            <w:fldChar w:fldCharType="begin"/>
                          </w:r>
                          <w:r>
                            <w:instrText xml:space="preserve"> PAGE  \* MERGEFORMAT </w:instrText>
                          </w:r>
                          <w:r>
                            <w:fldChar w:fldCharType="separate"/>
                          </w:r>
                          <w:r>
                            <w:t>75</w:t>
                          </w:r>
                          <w: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L4kufIAQAAmgMAAA4AAAAAAAAAAQAgAAAAHgEAAGRycy9lMm9Eb2Mu&#10;eG1sUEsFBgAAAAAGAAYAWQEAAFgFAAAAAA==&#10;">
              <v:fill on="f" focussize="0,0"/>
              <v:stroke on="f"/>
              <v:imagedata o:title=""/>
              <o:lock v:ext="edit" aspectratio="f"/>
              <v:textbox inset="0mm,0mm,0mm,0mm" style="mso-fit-shape-to-text:t;">
                <w:txbxContent>
                  <w:p w14:paraId="45C2EF1D">
                    <w:pPr>
                      <w:pStyle w:val="21"/>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8C862">
    <w:pPr>
      <w:pStyle w:val="2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BF57B7">
                          <w:pPr>
                            <w:pStyle w:val="21"/>
                            <w:jc w:val="center"/>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JeGxPIAQAAmQMAAA4AAAAAAAAAAQAgAAAAHgEAAGRycy9lMm9Eb2Mu&#10;eG1sUEsFBgAAAAAGAAYAWQEAAFgFAAAAAA==&#10;">
              <v:fill on="f" focussize="0,0"/>
              <v:stroke on="f"/>
              <v:imagedata o:title=""/>
              <o:lock v:ext="edit" aspectratio="f"/>
              <v:textbox inset="0mm,0mm,0mm,0mm" style="mso-fit-shape-to-text:t;">
                <w:txbxContent>
                  <w:p w14:paraId="51BF57B7">
                    <w:pPr>
                      <w:pStyle w:val="21"/>
                      <w:jc w:val="center"/>
                    </w:pPr>
                    <w:r>
                      <w:fldChar w:fldCharType="begin"/>
                    </w:r>
                    <w:r>
                      <w:instrText xml:space="preserve"> PAGE  \* MERGEFORMAT </w:instrText>
                    </w:r>
                    <w:r>
                      <w:fldChar w:fldCharType="separate"/>
                    </w:r>
                    <w:r>
                      <w:t>2</w:t>
                    </w:r>
                    <w:r>
                      <w:fldChar w:fldCharType="end"/>
                    </w:r>
                  </w:p>
                </w:txbxContent>
              </v:textbox>
            </v:shape>
          </w:pict>
        </mc:Fallback>
      </mc:AlternateContent>
    </w:r>
  </w:p>
  <w:p w14:paraId="3301BDD3">
    <w:pPr>
      <w:pStyle w:val="21"/>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06F2F">
    <w:pPr>
      <w:pStyle w:val="21"/>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EEDCE9">
                          <w:pPr>
                            <w:pStyle w:val="21"/>
                          </w:pPr>
                          <w:r>
                            <w:fldChar w:fldCharType="begin"/>
                          </w:r>
                          <w:r>
                            <w:instrText xml:space="preserve"> PAGE  \* MERGEFORMAT </w:instrText>
                          </w:r>
                          <w:r>
                            <w:fldChar w:fldCharType="separate"/>
                          </w:r>
                          <w:r>
                            <w:t>76</w:t>
                          </w:r>
                          <w: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oifGPyQEAAJsDAAAOAAAAAAAAAAEAIAAAAB4BAABkcnMvZTJvRG9j&#10;LnhtbFBLBQYAAAAABgAGAFkBAABZBQAAAAA=&#10;">
              <v:fill on="f" focussize="0,0"/>
              <v:stroke on="f"/>
              <v:imagedata o:title=""/>
              <o:lock v:ext="edit" aspectratio="f"/>
              <v:textbox inset="0mm,0mm,0mm,0mm" style="mso-fit-shape-to-text:t;">
                <w:txbxContent>
                  <w:p w14:paraId="63EEDCE9">
                    <w:pPr>
                      <w:pStyle w:val="21"/>
                    </w:pPr>
                    <w:r>
                      <w:fldChar w:fldCharType="begin"/>
                    </w:r>
                    <w:r>
                      <w:instrText xml:space="preserve"> PAGE  \* MERGEFORMAT </w:instrText>
                    </w:r>
                    <w:r>
                      <w:fldChar w:fldCharType="separate"/>
                    </w:r>
                    <w:r>
                      <w:t>76</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9060E1">
                          <w:pPr>
                            <w:pStyle w:val="21"/>
                            <w:rPr>
                              <w:rFonts w:hint="eastAsia"/>
                            </w:rPr>
                          </w:pPr>
                        </w:p>
                      </w:txbxContent>
                    </wps:txbx>
                    <wps:bodyPr wrap="none" lIns="0" tIns="0" rIns="0" bIns="0" upright="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6vQMoBAACaAwAADgAAAAAAAAABACAAAAAeAQAAZHJzL2Uyb0Rv&#10;Yy54bWxQSwUGAAAAAAYABgBZAQAAWgUAAAAA&#10;">
              <v:fill on="f" focussize="0,0"/>
              <v:stroke on="f"/>
              <v:imagedata o:title=""/>
              <o:lock v:ext="edit" aspectratio="f"/>
              <v:textbox inset="0mm,0mm,0mm,0mm" style="mso-fit-shape-to-text:t;">
                <w:txbxContent>
                  <w:p w14:paraId="139060E1">
                    <w:pPr>
                      <w:pStyle w:val="21"/>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A5CED">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29CE6">
    <w:pPr>
      <w:pStyle w:val="21"/>
      <w:tabs>
        <w:tab w:val="center" w:pos="443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741F94"/>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VBTYMkBAACZ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WJ4xYHfvn+7fLj1+XnV/Iy&#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tUFNgyQEAAJkDAAAOAAAAAAAAAAEAIAAAAB4BAABkcnMvZTJvRG9j&#10;LnhtbFBLBQYAAAAABgAGAFkBAABZBQAAAAA=&#10;">
              <v:fill on="f" focussize="0,0"/>
              <v:stroke on="f"/>
              <v:imagedata o:title=""/>
              <o:lock v:ext="edit" aspectratio="f"/>
              <v:textbox inset="0mm,0mm,0mm,0mm" style="mso-fit-shape-to-text:t;">
                <w:txbxContent>
                  <w:p w14:paraId="64741F94"/>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3902C">
    <w:pPr>
      <w:pStyle w:val="21"/>
      <w:tabs>
        <w:tab w:val="center" w:pos="4439"/>
        <w:tab w:val="clear" w:pos="4153"/>
      </w:tabs>
      <w:jc w:val="both"/>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D9BCA4">
                          <w:pPr>
                            <w:pStyle w:val="21"/>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dKTf8gBAACa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SLm7CixHGLE7/8/HH59efy+ztZ&#10;5v70AWpMuw+YmIZ3fsDc2Q/ozLIHFW3+oiCCcezu+dpdOSQi8qP1ar2uMCQwNl8Qnz08DxHSe+kt&#10;yUZDI46vdJWfPkIaU+eUXM35O21MGaFx/zgQM3tY5j5yzFYa9sMkaO/bM+rpcfINdbjolJgPDhub&#10;l2Q24mzsZ+MYoj50SG1ZeEG4PSYkUbjlCiPsVBhHVtRN65V34vG9ZD38Ut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HnSk3/IAQAAmgMAAA4AAAAAAAAAAQAgAAAAHgEAAGRycy9lMm9Eb2Mu&#10;eG1sUEsFBgAAAAAGAAYAWQEAAFgFAAAAAA==&#10;">
              <v:fill on="f" focussize="0,0"/>
              <v:stroke on="f"/>
              <v:imagedata o:title=""/>
              <o:lock v:ext="edit" aspectratio="f"/>
              <v:textbox inset="0mm,0mm,0mm,0mm" style="mso-fit-shape-to-text:t;">
                <w:txbxContent>
                  <w:p w14:paraId="43D9BCA4">
                    <w:pPr>
                      <w:pStyle w:val="21"/>
                    </w:pPr>
                    <w:r>
                      <w:fldChar w:fldCharType="begin"/>
                    </w:r>
                    <w:r>
                      <w:instrText xml:space="preserve"> PAGE  \* MERGEFORMAT </w:instrText>
                    </w:r>
                    <w:r>
                      <w:fldChar w:fldCharType="separate"/>
                    </w:r>
                    <w:r>
                      <w:t>1</w:t>
                    </w:r>
                    <w:r>
                      <w:fldChar w:fldCharType="end"/>
                    </w:r>
                  </w:p>
                </w:txbxContent>
              </v:textbox>
            </v:shape>
          </w:pict>
        </mc:Fallback>
      </mc:AlternateContent>
    </w:r>
  </w:p>
  <w:p w14:paraId="63BCFBDD">
    <w:pPr>
      <w:pStyle w:val="2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C4703">
    <w:pPr>
      <w:pStyle w:val="21"/>
      <w:tabs>
        <w:tab w:val="center" w:pos="4439"/>
        <w:tab w:val="clear" w:pos="4153"/>
      </w:tabs>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8A1DE5">
                          <w:pPr>
                            <w:pStyle w:val="21"/>
                          </w:pPr>
                          <w:r>
                            <w:fldChar w:fldCharType="begin"/>
                          </w:r>
                          <w:r>
                            <w:instrText xml:space="preserve"> PAGE  \* MERGEFORMAT </w:instrText>
                          </w:r>
                          <w:r>
                            <w:fldChar w:fldCharType="separate"/>
                          </w:r>
                          <w:r>
                            <w:t>0</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z6CfskBAACa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CaEsctTvzy/dvlx6/Lz69k&#10;lfvTB6gx7SFgYhru/IC5sx/QmWUPKtr8RUEE49jd87W7ckhE5Efr1XpdYUhgbL4gPnt8HiKkt9Jb&#10;ko2GRhxf6So/vYc0ps4puZrz99qYMkLj/nIgZvawzH3kmK007IdJ0N63Z9TT4+Qb6nDRKTHvHDY2&#10;L8lsxNnYz8YxRH3okNqy8IJwe0xIonDLFUbYqTCOrKib1ivvxJ/3kvX4S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LPoJ+yQEAAJoDAAAOAAAAAAAAAAEAIAAAAB4BAABkcnMvZTJvRG9j&#10;LnhtbFBLBQYAAAAABgAGAFkBAABZBQAAAAA=&#10;">
              <v:fill on="f" focussize="0,0"/>
              <v:stroke on="f"/>
              <v:imagedata o:title=""/>
              <o:lock v:ext="edit" aspectratio="f"/>
              <v:textbox inset="0mm,0mm,0mm,0mm" style="mso-fit-shape-to-text:t;">
                <w:txbxContent>
                  <w:p w14:paraId="798A1DE5">
                    <w:pPr>
                      <w:pStyle w:val="21"/>
                    </w:pPr>
                    <w:r>
                      <w:fldChar w:fldCharType="begin"/>
                    </w:r>
                    <w:r>
                      <w:instrText xml:space="preserve"> PAGE  \* MERGEFORMAT </w:instrText>
                    </w:r>
                    <w:r>
                      <w:fldChar w:fldCharType="separate"/>
                    </w:r>
                    <w:r>
                      <w:t>0</w:t>
                    </w:r>
                    <w:r>
                      <w:fldChar w:fldCharType="end"/>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94DA08"/>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ZBto8kBAACa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e4Ca8ocdzixC/fv11+/Lr8/Epe&#10;5v70AWpMuwuYmIa3fsDc2Q/ozLIHFW3+oiCCcezu+dpdOSQi8qP1ar2uMCQwNl8Qnz08DxHSO+kt&#10;yUZDI46vdJWfPkAaU+eUXM35W21MGaFxfzkQM3tY5j5yzFYa9sMkaO/bM+rpcfINdbjolJj3Dhub&#10;l2Q24mzsZ+MYoj50SG1ZeEF4c0xIonDLFUbYqTCOrKib1ivvxJ/3kvXwS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dkG2jyQEAAJoDAAAOAAAAAAAAAAEAIAAAAB4BAABkcnMvZTJvRG9j&#10;LnhtbFBLBQYAAAAABgAGAFkBAABZBQAAAAA=&#10;">
              <v:fill on="f" focussize="0,0"/>
              <v:stroke on="f"/>
              <v:imagedata o:title=""/>
              <o:lock v:ext="edit" aspectratio="f"/>
              <v:textbox inset="0mm,0mm,0mm,0mm" style="mso-fit-shape-to-text:t;">
                <w:txbxContent>
                  <w:p w14:paraId="3F94DA08"/>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63D01">
    <w:pPr>
      <w:spacing w:line="176" w:lineRule="auto"/>
      <w:ind w:left="42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3F79AA">
                          <w:pPr>
                            <w:pStyle w:val="21"/>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MwjeckBAACZAwAADgAAAGRycy9lMm9Eb2MueG1srVPNjtMwEL4j8Q6W&#10;79Rph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A0ljlsc+OXH98vP35df38jr&#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IzCN5yQEAAJkDAAAOAAAAAAAAAAEAIAAAAB4BAABkcnMvZTJvRG9j&#10;LnhtbFBLBQYAAAAABgAGAFkBAABZBQAAAAA=&#10;">
              <v:fill on="f" focussize="0,0"/>
              <v:stroke on="f"/>
              <v:imagedata o:title=""/>
              <o:lock v:ext="edit" aspectratio="f"/>
              <v:textbox inset="0mm,0mm,0mm,0mm" style="mso-fit-shape-to-text:t;">
                <w:txbxContent>
                  <w:p w14:paraId="103F79AA">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BC2C6">
    <w:pPr>
      <w:spacing w:line="176" w:lineRule="auto"/>
      <w:ind w:left="460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02F137">
                          <w:pPr>
                            <w:pStyle w:val="21"/>
                          </w:pPr>
                          <w:r>
                            <w:fldChar w:fldCharType="begin"/>
                          </w:r>
                          <w:r>
                            <w:instrText xml:space="preserve"> PAGE  \* MERGEFORMAT </w:instrText>
                          </w:r>
                          <w:r>
                            <w:fldChar w:fldCharType="separate"/>
                          </w:r>
                          <w:r>
                            <w:t>72</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KqUTskBAACZ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Iy&#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4qpROyQEAAJkDAAAOAAAAAAAAAAEAIAAAAB4BAABkcnMvZTJvRG9j&#10;LnhtbFBLBQYAAAAABgAGAFkBAABZBQAAAAA=&#10;">
              <v:fill on="f" focussize="0,0"/>
              <v:stroke on="f"/>
              <v:imagedata o:title=""/>
              <o:lock v:ext="edit" aspectratio="f"/>
              <v:textbox inset="0mm,0mm,0mm,0mm" style="mso-fit-shape-to-text:t;">
                <w:txbxContent>
                  <w:p w14:paraId="3A02F137">
                    <w:pPr>
                      <w:pStyle w:val="21"/>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04564">
    <w:pPr>
      <w:spacing w:line="173" w:lineRule="auto"/>
      <w:ind w:left="430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955CA0">
                          <w:pPr>
                            <w:pStyle w:val="21"/>
                          </w:pPr>
                          <w:r>
                            <w:fldChar w:fldCharType="begin"/>
                          </w:r>
                          <w:r>
                            <w:instrText xml:space="preserve"> PAGE  \* MERGEFORMAT </w:instrText>
                          </w:r>
                          <w:r>
                            <w:fldChar w:fldCharType="separate"/>
                          </w:r>
                          <w:r>
                            <w:t>73</w:t>
                          </w:r>
                          <w: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eNGcgBAACZ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TbUBy74xYHfvn+7fLj1+XnV3KT&#10;29MHqDHrMWBeGu79gEsz+wGdWfWgos1f1EMwjs09X5srh0REfrRerdcVhgTG5gvis6fnIUJ6K70l&#10;2WhoxOmVpvLTe0hj6pySqzn/oI0pEzTuLwdiZg/L3EeO2UrDfpgE7X17Rj09Dr6hDvecEvPOYV/z&#10;jsxGnI39bBxD1IcOqS0LLwh3x4QkCrdcYYSdCuPEirppu/JK/HkvWU9/1P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XjRnIAQAAmQMAAA4AAAAAAAAAAQAgAAAAHgEAAGRycy9lMm9Eb2Mu&#10;eG1sUEsFBgAAAAAGAAYAWQEAAFgFAAAAAA==&#10;">
              <v:fill on="f" focussize="0,0"/>
              <v:stroke on="f"/>
              <v:imagedata o:title=""/>
              <o:lock v:ext="edit" aspectratio="f"/>
              <v:textbox inset="0mm,0mm,0mm,0mm" style="mso-fit-shape-to-text:t;">
                <w:txbxContent>
                  <w:p w14:paraId="1A955CA0">
                    <w:pPr>
                      <w:pStyle w:val="21"/>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0B30F">
    <w:pPr>
      <w:spacing w:line="176" w:lineRule="auto"/>
      <w:ind w:left="429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236A78">
                          <w:pPr>
                            <w:pStyle w:val="21"/>
                          </w:pPr>
                          <w:r>
                            <w:fldChar w:fldCharType="begin"/>
                          </w:r>
                          <w:r>
                            <w:instrText xml:space="preserve"> PAGE  \* MERGEFORMAT </w:instrText>
                          </w:r>
                          <w:r>
                            <w:fldChar w:fldCharType="separate"/>
                          </w:r>
                          <w:r>
                            <w:t>74</w:t>
                          </w:r>
                          <w: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XxOi7IAQAAmQMAAA4AAAAAAAAAAQAgAAAAHgEAAGRycy9lMm9Eb2Mu&#10;eG1sUEsFBgAAAAAGAAYAWQEAAFgFAAAAAA==&#10;">
              <v:fill on="f" focussize="0,0"/>
              <v:stroke on="f"/>
              <v:imagedata o:title=""/>
              <o:lock v:ext="edit" aspectratio="f"/>
              <v:textbox inset="0mm,0mm,0mm,0mm" style="mso-fit-shape-to-text:t;">
                <w:txbxContent>
                  <w:p w14:paraId="75236A78">
                    <w:pPr>
                      <w:pStyle w:val="21"/>
                    </w:pPr>
                    <w:r>
                      <w:fldChar w:fldCharType="begin"/>
                    </w:r>
                    <w:r>
                      <w:instrText xml:space="preserve"> PAGE  \* MERGEFORMAT </w:instrText>
                    </w:r>
                    <w:r>
                      <w:fldChar w:fldCharType="separate"/>
                    </w:r>
                    <w:r>
                      <w:t>74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F04C3">
    <w:pPr>
      <w:pStyle w:val="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42EA0">
    <w:pPr>
      <w:pStyle w:val="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B0F52">
    <w:pPr>
      <w:pStyle w:val="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773" w:hanging="360"/>
      </w:pPr>
      <w:rPr>
        <w:rFonts w:hint="default"/>
        <w:b/>
        <w:sz w:val="24"/>
        <w:szCs w:val="24"/>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672"/>
    <w:rsid w:val="00001013"/>
    <w:rsid w:val="00001799"/>
    <w:rsid w:val="00001AF2"/>
    <w:rsid w:val="00001ECA"/>
    <w:rsid w:val="00002D29"/>
    <w:rsid w:val="00003B93"/>
    <w:rsid w:val="0000474D"/>
    <w:rsid w:val="00005FDF"/>
    <w:rsid w:val="000070B3"/>
    <w:rsid w:val="000076B8"/>
    <w:rsid w:val="000109DC"/>
    <w:rsid w:val="00010D39"/>
    <w:rsid w:val="0001172C"/>
    <w:rsid w:val="00011BC9"/>
    <w:rsid w:val="00012854"/>
    <w:rsid w:val="00012EA6"/>
    <w:rsid w:val="00013359"/>
    <w:rsid w:val="000139CF"/>
    <w:rsid w:val="000139DD"/>
    <w:rsid w:val="00013AA4"/>
    <w:rsid w:val="00013DFE"/>
    <w:rsid w:val="000141EA"/>
    <w:rsid w:val="000153EE"/>
    <w:rsid w:val="00016ABC"/>
    <w:rsid w:val="000177DB"/>
    <w:rsid w:val="000179C9"/>
    <w:rsid w:val="00017CCC"/>
    <w:rsid w:val="00020227"/>
    <w:rsid w:val="00020263"/>
    <w:rsid w:val="00020455"/>
    <w:rsid w:val="00020813"/>
    <w:rsid w:val="000220B2"/>
    <w:rsid w:val="0002264C"/>
    <w:rsid w:val="00022731"/>
    <w:rsid w:val="00022792"/>
    <w:rsid w:val="00024463"/>
    <w:rsid w:val="00025461"/>
    <w:rsid w:val="00025636"/>
    <w:rsid w:val="00025E36"/>
    <w:rsid w:val="00026653"/>
    <w:rsid w:val="00026855"/>
    <w:rsid w:val="00026886"/>
    <w:rsid w:val="0002785D"/>
    <w:rsid w:val="00027A8E"/>
    <w:rsid w:val="00027EB1"/>
    <w:rsid w:val="000307BE"/>
    <w:rsid w:val="000329E0"/>
    <w:rsid w:val="000352E9"/>
    <w:rsid w:val="00035494"/>
    <w:rsid w:val="00036125"/>
    <w:rsid w:val="00036A07"/>
    <w:rsid w:val="0003780B"/>
    <w:rsid w:val="00037D4B"/>
    <w:rsid w:val="00040571"/>
    <w:rsid w:val="00040973"/>
    <w:rsid w:val="00040FAE"/>
    <w:rsid w:val="0004156E"/>
    <w:rsid w:val="00041713"/>
    <w:rsid w:val="0004440C"/>
    <w:rsid w:val="00045C85"/>
    <w:rsid w:val="00046B5E"/>
    <w:rsid w:val="0004707F"/>
    <w:rsid w:val="000470CB"/>
    <w:rsid w:val="000509D9"/>
    <w:rsid w:val="000512AF"/>
    <w:rsid w:val="00051ACB"/>
    <w:rsid w:val="0005213C"/>
    <w:rsid w:val="000533E7"/>
    <w:rsid w:val="000545A0"/>
    <w:rsid w:val="00055D41"/>
    <w:rsid w:val="00056EF6"/>
    <w:rsid w:val="00057CD6"/>
    <w:rsid w:val="00060DCE"/>
    <w:rsid w:val="000610E3"/>
    <w:rsid w:val="000614F3"/>
    <w:rsid w:val="000623B4"/>
    <w:rsid w:val="00062405"/>
    <w:rsid w:val="000634A7"/>
    <w:rsid w:val="00063B0B"/>
    <w:rsid w:val="00063F81"/>
    <w:rsid w:val="00064847"/>
    <w:rsid w:val="00065E08"/>
    <w:rsid w:val="000673E2"/>
    <w:rsid w:val="0007027E"/>
    <w:rsid w:val="0007063F"/>
    <w:rsid w:val="000707FD"/>
    <w:rsid w:val="00070949"/>
    <w:rsid w:val="000711E4"/>
    <w:rsid w:val="000720A1"/>
    <w:rsid w:val="000724D9"/>
    <w:rsid w:val="00072AED"/>
    <w:rsid w:val="00073CAB"/>
    <w:rsid w:val="00073F47"/>
    <w:rsid w:val="0007492F"/>
    <w:rsid w:val="00074ED8"/>
    <w:rsid w:val="00075B7E"/>
    <w:rsid w:val="000779C9"/>
    <w:rsid w:val="00077ACA"/>
    <w:rsid w:val="00077C70"/>
    <w:rsid w:val="00080957"/>
    <w:rsid w:val="000813B5"/>
    <w:rsid w:val="0008191E"/>
    <w:rsid w:val="00081BA3"/>
    <w:rsid w:val="00081D2E"/>
    <w:rsid w:val="00081F89"/>
    <w:rsid w:val="00082619"/>
    <w:rsid w:val="00082D02"/>
    <w:rsid w:val="00083871"/>
    <w:rsid w:val="00083876"/>
    <w:rsid w:val="00083B91"/>
    <w:rsid w:val="0008473C"/>
    <w:rsid w:val="0008520B"/>
    <w:rsid w:val="000857DE"/>
    <w:rsid w:val="000860BD"/>
    <w:rsid w:val="000871B8"/>
    <w:rsid w:val="00087B0A"/>
    <w:rsid w:val="000916DA"/>
    <w:rsid w:val="00092442"/>
    <w:rsid w:val="000929EF"/>
    <w:rsid w:val="00092C26"/>
    <w:rsid w:val="000933BE"/>
    <w:rsid w:val="0009560F"/>
    <w:rsid w:val="0009588E"/>
    <w:rsid w:val="000959EE"/>
    <w:rsid w:val="00096DB9"/>
    <w:rsid w:val="00097183"/>
    <w:rsid w:val="000972CB"/>
    <w:rsid w:val="00097608"/>
    <w:rsid w:val="00097CB6"/>
    <w:rsid w:val="000A1175"/>
    <w:rsid w:val="000A13F3"/>
    <w:rsid w:val="000A23B1"/>
    <w:rsid w:val="000A2B0E"/>
    <w:rsid w:val="000A398F"/>
    <w:rsid w:val="000A448C"/>
    <w:rsid w:val="000A45B1"/>
    <w:rsid w:val="000A4959"/>
    <w:rsid w:val="000A509C"/>
    <w:rsid w:val="000A54A7"/>
    <w:rsid w:val="000A5712"/>
    <w:rsid w:val="000A6007"/>
    <w:rsid w:val="000A65A6"/>
    <w:rsid w:val="000A70E3"/>
    <w:rsid w:val="000A717E"/>
    <w:rsid w:val="000A7275"/>
    <w:rsid w:val="000A7A12"/>
    <w:rsid w:val="000A7A72"/>
    <w:rsid w:val="000B1202"/>
    <w:rsid w:val="000B1801"/>
    <w:rsid w:val="000B1D0C"/>
    <w:rsid w:val="000B2273"/>
    <w:rsid w:val="000B2BC6"/>
    <w:rsid w:val="000B2D03"/>
    <w:rsid w:val="000B37F2"/>
    <w:rsid w:val="000B3815"/>
    <w:rsid w:val="000B3C7B"/>
    <w:rsid w:val="000B4321"/>
    <w:rsid w:val="000B4A8B"/>
    <w:rsid w:val="000B6871"/>
    <w:rsid w:val="000B6A6B"/>
    <w:rsid w:val="000B6C95"/>
    <w:rsid w:val="000B79FC"/>
    <w:rsid w:val="000C1679"/>
    <w:rsid w:val="000C1EE3"/>
    <w:rsid w:val="000C2A49"/>
    <w:rsid w:val="000C3AE7"/>
    <w:rsid w:val="000C3CC9"/>
    <w:rsid w:val="000C6DE4"/>
    <w:rsid w:val="000C7202"/>
    <w:rsid w:val="000D0A89"/>
    <w:rsid w:val="000D1389"/>
    <w:rsid w:val="000D1798"/>
    <w:rsid w:val="000D2626"/>
    <w:rsid w:val="000D411D"/>
    <w:rsid w:val="000D4589"/>
    <w:rsid w:val="000D4809"/>
    <w:rsid w:val="000D73DD"/>
    <w:rsid w:val="000E0C0D"/>
    <w:rsid w:val="000E1C51"/>
    <w:rsid w:val="000E28AB"/>
    <w:rsid w:val="000E2E3E"/>
    <w:rsid w:val="000E3583"/>
    <w:rsid w:val="000E3AF0"/>
    <w:rsid w:val="000E4E04"/>
    <w:rsid w:val="000E693B"/>
    <w:rsid w:val="000E6EC9"/>
    <w:rsid w:val="000E70B4"/>
    <w:rsid w:val="000E744C"/>
    <w:rsid w:val="000E7B62"/>
    <w:rsid w:val="000F0E1E"/>
    <w:rsid w:val="000F1A1B"/>
    <w:rsid w:val="000F2A95"/>
    <w:rsid w:val="000F3281"/>
    <w:rsid w:val="000F32FD"/>
    <w:rsid w:val="000F3733"/>
    <w:rsid w:val="000F384B"/>
    <w:rsid w:val="000F5F8B"/>
    <w:rsid w:val="000F6153"/>
    <w:rsid w:val="000F64AA"/>
    <w:rsid w:val="000F7AF4"/>
    <w:rsid w:val="000F7C33"/>
    <w:rsid w:val="000F7F0C"/>
    <w:rsid w:val="001004D6"/>
    <w:rsid w:val="00101D1B"/>
    <w:rsid w:val="00102676"/>
    <w:rsid w:val="00103646"/>
    <w:rsid w:val="00103918"/>
    <w:rsid w:val="00104897"/>
    <w:rsid w:val="00104EDE"/>
    <w:rsid w:val="00105CDA"/>
    <w:rsid w:val="00106BEE"/>
    <w:rsid w:val="0010711C"/>
    <w:rsid w:val="00107BDF"/>
    <w:rsid w:val="00107C74"/>
    <w:rsid w:val="00107C80"/>
    <w:rsid w:val="0011091C"/>
    <w:rsid w:val="00111266"/>
    <w:rsid w:val="001112EB"/>
    <w:rsid w:val="0011247D"/>
    <w:rsid w:val="00113678"/>
    <w:rsid w:val="00113A7D"/>
    <w:rsid w:val="00113C3E"/>
    <w:rsid w:val="00115E11"/>
    <w:rsid w:val="00115EEE"/>
    <w:rsid w:val="00115F56"/>
    <w:rsid w:val="00116CA9"/>
    <w:rsid w:val="00116F38"/>
    <w:rsid w:val="001170A4"/>
    <w:rsid w:val="00117AE7"/>
    <w:rsid w:val="00117B85"/>
    <w:rsid w:val="00117CBD"/>
    <w:rsid w:val="0012006A"/>
    <w:rsid w:val="00121979"/>
    <w:rsid w:val="00122064"/>
    <w:rsid w:val="00124341"/>
    <w:rsid w:val="00124492"/>
    <w:rsid w:val="00124B12"/>
    <w:rsid w:val="001250A0"/>
    <w:rsid w:val="001263B8"/>
    <w:rsid w:val="00127897"/>
    <w:rsid w:val="00130217"/>
    <w:rsid w:val="00130783"/>
    <w:rsid w:val="00130A47"/>
    <w:rsid w:val="00132B47"/>
    <w:rsid w:val="001337F8"/>
    <w:rsid w:val="001348B4"/>
    <w:rsid w:val="001351CB"/>
    <w:rsid w:val="00135530"/>
    <w:rsid w:val="00135947"/>
    <w:rsid w:val="001359A2"/>
    <w:rsid w:val="00135F92"/>
    <w:rsid w:val="00136020"/>
    <w:rsid w:val="0013641C"/>
    <w:rsid w:val="00136445"/>
    <w:rsid w:val="00137389"/>
    <w:rsid w:val="00140132"/>
    <w:rsid w:val="00141C9C"/>
    <w:rsid w:val="00142509"/>
    <w:rsid w:val="0014277F"/>
    <w:rsid w:val="001434BE"/>
    <w:rsid w:val="00143AAD"/>
    <w:rsid w:val="00144050"/>
    <w:rsid w:val="00144369"/>
    <w:rsid w:val="0014479F"/>
    <w:rsid w:val="001452B4"/>
    <w:rsid w:val="00145320"/>
    <w:rsid w:val="001476D3"/>
    <w:rsid w:val="001509CF"/>
    <w:rsid w:val="00150D1D"/>
    <w:rsid w:val="00150FE5"/>
    <w:rsid w:val="001525AA"/>
    <w:rsid w:val="00152A87"/>
    <w:rsid w:val="00152AC1"/>
    <w:rsid w:val="00153BB5"/>
    <w:rsid w:val="00154518"/>
    <w:rsid w:val="001553E1"/>
    <w:rsid w:val="0015617E"/>
    <w:rsid w:val="00156359"/>
    <w:rsid w:val="00156DD6"/>
    <w:rsid w:val="0016086E"/>
    <w:rsid w:val="00160C60"/>
    <w:rsid w:val="00160D0C"/>
    <w:rsid w:val="00160DD1"/>
    <w:rsid w:val="00161172"/>
    <w:rsid w:val="00161998"/>
    <w:rsid w:val="00161E65"/>
    <w:rsid w:val="00162597"/>
    <w:rsid w:val="001629AF"/>
    <w:rsid w:val="001629FD"/>
    <w:rsid w:val="0016428A"/>
    <w:rsid w:val="001647C9"/>
    <w:rsid w:val="00165627"/>
    <w:rsid w:val="001661A3"/>
    <w:rsid w:val="00167226"/>
    <w:rsid w:val="0016782B"/>
    <w:rsid w:val="0016784D"/>
    <w:rsid w:val="00167853"/>
    <w:rsid w:val="00167887"/>
    <w:rsid w:val="00172CA8"/>
    <w:rsid w:val="00173256"/>
    <w:rsid w:val="00173B0E"/>
    <w:rsid w:val="00173E03"/>
    <w:rsid w:val="0017512C"/>
    <w:rsid w:val="001756AF"/>
    <w:rsid w:val="0017586A"/>
    <w:rsid w:val="00175BA6"/>
    <w:rsid w:val="00176380"/>
    <w:rsid w:val="00176CA7"/>
    <w:rsid w:val="00176D0C"/>
    <w:rsid w:val="00176F8E"/>
    <w:rsid w:val="001778C5"/>
    <w:rsid w:val="00177E56"/>
    <w:rsid w:val="00177F0A"/>
    <w:rsid w:val="00180DA0"/>
    <w:rsid w:val="00181EAD"/>
    <w:rsid w:val="00182862"/>
    <w:rsid w:val="00184F57"/>
    <w:rsid w:val="00185091"/>
    <w:rsid w:val="00185544"/>
    <w:rsid w:val="00185617"/>
    <w:rsid w:val="00186FE1"/>
    <w:rsid w:val="00187A14"/>
    <w:rsid w:val="0019171E"/>
    <w:rsid w:val="00192368"/>
    <w:rsid w:val="001923A0"/>
    <w:rsid w:val="001928B1"/>
    <w:rsid w:val="00193537"/>
    <w:rsid w:val="00193846"/>
    <w:rsid w:val="00195424"/>
    <w:rsid w:val="001955FF"/>
    <w:rsid w:val="00197EDD"/>
    <w:rsid w:val="001A02B3"/>
    <w:rsid w:val="001A04BB"/>
    <w:rsid w:val="001A08D0"/>
    <w:rsid w:val="001A1B39"/>
    <w:rsid w:val="001A2120"/>
    <w:rsid w:val="001A28C6"/>
    <w:rsid w:val="001A2E69"/>
    <w:rsid w:val="001A3C34"/>
    <w:rsid w:val="001A3EDE"/>
    <w:rsid w:val="001A4222"/>
    <w:rsid w:val="001A50EA"/>
    <w:rsid w:val="001A5E24"/>
    <w:rsid w:val="001A6795"/>
    <w:rsid w:val="001A6B27"/>
    <w:rsid w:val="001A6D8B"/>
    <w:rsid w:val="001A6DAA"/>
    <w:rsid w:val="001A7717"/>
    <w:rsid w:val="001A793A"/>
    <w:rsid w:val="001B125A"/>
    <w:rsid w:val="001B1EBA"/>
    <w:rsid w:val="001B2142"/>
    <w:rsid w:val="001B2F2B"/>
    <w:rsid w:val="001B327A"/>
    <w:rsid w:val="001B35DE"/>
    <w:rsid w:val="001B3A13"/>
    <w:rsid w:val="001B3F5C"/>
    <w:rsid w:val="001B57C9"/>
    <w:rsid w:val="001B59FF"/>
    <w:rsid w:val="001B6512"/>
    <w:rsid w:val="001B65D7"/>
    <w:rsid w:val="001B6752"/>
    <w:rsid w:val="001B6768"/>
    <w:rsid w:val="001B6F1F"/>
    <w:rsid w:val="001B7ECC"/>
    <w:rsid w:val="001C025B"/>
    <w:rsid w:val="001C115F"/>
    <w:rsid w:val="001C1EAB"/>
    <w:rsid w:val="001C25A7"/>
    <w:rsid w:val="001C318C"/>
    <w:rsid w:val="001C35C4"/>
    <w:rsid w:val="001C4287"/>
    <w:rsid w:val="001C4479"/>
    <w:rsid w:val="001C5190"/>
    <w:rsid w:val="001C6081"/>
    <w:rsid w:val="001C73EB"/>
    <w:rsid w:val="001C7B48"/>
    <w:rsid w:val="001D0CFB"/>
    <w:rsid w:val="001D1A0D"/>
    <w:rsid w:val="001D2BF1"/>
    <w:rsid w:val="001D343C"/>
    <w:rsid w:val="001D44EF"/>
    <w:rsid w:val="001D58A1"/>
    <w:rsid w:val="001D58C2"/>
    <w:rsid w:val="001D5A8A"/>
    <w:rsid w:val="001D61CA"/>
    <w:rsid w:val="001D6E87"/>
    <w:rsid w:val="001D735E"/>
    <w:rsid w:val="001D73C8"/>
    <w:rsid w:val="001D7BC6"/>
    <w:rsid w:val="001E0495"/>
    <w:rsid w:val="001E129E"/>
    <w:rsid w:val="001E175C"/>
    <w:rsid w:val="001E1B0E"/>
    <w:rsid w:val="001E3B63"/>
    <w:rsid w:val="001E5A94"/>
    <w:rsid w:val="001E6158"/>
    <w:rsid w:val="001F2A2E"/>
    <w:rsid w:val="001F3356"/>
    <w:rsid w:val="001F3C63"/>
    <w:rsid w:val="001F4206"/>
    <w:rsid w:val="001F4460"/>
    <w:rsid w:val="001F711A"/>
    <w:rsid w:val="001F75B0"/>
    <w:rsid w:val="0020057C"/>
    <w:rsid w:val="00200CE5"/>
    <w:rsid w:val="00200F7C"/>
    <w:rsid w:val="002014DB"/>
    <w:rsid w:val="0020150B"/>
    <w:rsid w:val="00201E12"/>
    <w:rsid w:val="00202295"/>
    <w:rsid w:val="002033B5"/>
    <w:rsid w:val="0020382C"/>
    <w:rsid w:val="0020437A"/>
    <w:rsid w:val="0020454C"/>
    <w:rsid w:val="00204740"/>
    <w:rsid w:val="00205129"/>
    <w:rsid w:val="0020521F"/>
    <w:rsid w:val="0020532C"/>
    <w:rsid w:val="002114C7"/>
    <w:rsid w:val="0021302C"/>
    <w:rsid w:val="00213B1C"/>
    <w:rsid w:val="00213F1E"/>
    <w:rsid w:val="00214202"/>
    <w:rsid w:val="002148E3"/>
    <w:rsid w:val="0021552D"/>
    <w:rsid w:val="002156AE"/>
    <w:rsid w:val="00215E99"/>
    <w:rsid w:val="0022054D"/>
    <w:rsid w:val="0022107B"/>
    <w:rsid w:val="00223DDB"/>
    <w:rsid w:val="00223FA4"/>
    <w:rsid w:val="00223FB0"/>
    <w:rsid w:val="00224067"/>
    <w:rsid w:val="0022421C"/>
    <w:rsid w:val="00224A8A"/>
    <w:rsid w:val="00224C4A"/>
    <w:rsid w:val="00224E83"/>
    <w:rsid w:val="00225664"/>
    <w:rsid w:val="002260ED"/>
    <w:rsid w:val="0022663D"/>
    <w:rsid w:val="00227F2D"/>
    <w:rsid w:val="00231851"/>
    <w:rsid w:val="002319FB"/>
    <w:rsid w:val="00231B89"/>
    <w:rsid w:val="00231F11"/>
    <w:rsid w:val="00231F5E"/>
    <w:rsid w:val="002346B4"/>
    <w:rsid w:val="00234F6E"/>
    <w:rsid w:val="002355BE"/>
    <w:rsid w:val="002358EA"/>
    <w:rsid w:val="00236578"/>
    <w:rsid w:val="00236DE9"/>
    <w:rsid w:val="00237342"/>
    <w:rsid w:val="00237D5A"/>
    <w:rsid w:val="00240B3B"/>
    <w:rsid w:val="00240D75"/>
    <w:rsid w:val="002415AE"/>
    <w:rsid w:val="00241D3C"/>
    <w:rsid w:val="00242109"/>
    <w:rsid w:val="00243189"/>
    <w:rsid w:val="002439AB"/>
    <w:rsid w:val="00243C19"/>
    <w:rsid w:val="00243C33"/>
    <w:rsid w:val="00244AE8"/>
    <w:rsid w:val="00244DC9"/>
    <w:rsid w:val="00245587"/>
    <w:rsid w:val="002459B4"/>
    <w:rsid w:val="00245F2B"/>
    <w:rsid w:val="002466CD"/>
    <w:rsid w:val="00247F3A"/>
    <w:rsid w:val="00250122"/>
    <w:rsid w:val="00250755"/>
    <w:rsid w:val="00251043"/>
    <w:rsid w:val="00251C4A"/>
    <w:rsid w:val="0025271C"/>
    <w:rsid w:val="002533CD"/>
    <w:rsid w:val="002535EA"/>
    <w:rsid w:val="00254B4A"/>
    <w:rsid w:val="00254EAB"/>
    <w:rsid w:val="002557AF"/>
    <w:rsid w:val="0025589C"/>
    <w:rsid w:val="00255B62"/>
    <w:rsid w:val="002566B1"/>
    <w:rsid w:val="002575E3"/>
    <w:rsid w:val="00257A74"/>
    <w:rsid w:val="00257C5D"/>
    <w:rsid w:val="00257CF8"/>
    <w:rsid w:val="002603C1"/>
    <w:rsid w:val="002609A1"/>
    <w:rsid w:val="00260DC3"/>
    <w:rsid w:val="002612B1"/>
    <w:rsid w:val="00266165"/>
    <w:rsid w:val="00266F2C"/>
    <w:rsid w:val="0027125E"/>
    <w:rsid w:val="00271767"/>
    <w:rsid w:val="00272293"/>
    <w:rsid w:val="002723C8"/>
    <w:rsid w:val="00273C2A"/>
    <w:rsid w:val="00273CBE"/>
    <w:rsid w:val="002746B1"/>
    <w:rsid w:val="00274BAD"/>
    <w:rsid w:val="0027782A"/>
    <w:rsid w:val="00282D56"/>
    <w:rsid w:val="0028352B"/>
    <w:rsid w:val="002835B0"/>
    <w:rsid w:val="00283C74"/>
    <w:rsid w:val="0028407E"/>
    <w:rsid w:val="0028410F"/>
    <w:rsid w:val="002841F3"/>
    <w:rsid w:val="00284572"/>
    <w:rsid w:val="002850AA"/>
    <w:rsid w:val="00285221"/>
    <w:rsid w:val="00286FB5"/>
    <w:rsid w:val="00287763"/>
    <w:rsid w:val="00290606"/>
    <w:rsid w:val="002909B2"/>
    <w:rsid w:val="00291D6D"/>
    <w:rsid w:val="00291FF1"/>
    <w:rsid w:val="00292AA2"/>
    <w:rsid w:val="00293361"/>
    <w:rsid w:val="00294F10"/>
    <w:rsid w:val="002952B1"/>
    <w:rsid w:val="00295D11"/>
    <w:rsid w:val="00296E18"/>
    <w:rsid w:val="00296FB6"/>
    <w:rsid w:val="002A0001"/>
    <w:rsid w:val="002A0BD9"/>
    <w:rsid w:val="002A0C3A"/>
    <w:rsid w:val="002A0D09"/>
    <w:rsid w:val="002A0DF8"/>
    <w:rsid w:val="002A1130"/>
    <w:rsid w:val="002A1880"/>
    <w:rsid w:val="002A23B7"/>
    <w:rsid w:val="002A3A57"/>
    <w:rsid w:val="002A4125"/>
    <w:rsid w:val="002A4B4F"/>
    <w:rsid w:val="002A5448"/>
    <w:rsid w:val="002A57A8"/>
    <w:rsid w:val="002A6DEF"/>
    <w:rsid w:val="002A770B"/>
    <w:rsid w:val="002B013E"/>
    <w:rsid w:val="002B058D"/>
    <w:rsid w:val="002B0C16"/>
    <w:rsid w:val="002B2AC5"/>
    <w:rsid w:val="002B2C8C"/>
    <w:rsid w:val="002B3528"/>
    <w:rsid w:val="002B3539"/>
    <w:rsid w:val="002B4532"/>
    <w:rsid w:val="002B5042"/>
    <w:rsid w:val="002B69CC"/>
    <w:rsid w:val="002B6D71"/>
    <w:rsid w:val="002C03AE"/>
    <w:rsid w:val="002C0C1C"/>
    <w:rsid w:val="002C3890"/>
    <w:rsid w:val="002C40E2"/>
    <w:rsid w:val="002C5224"/>
    <w:rsid w:val="002C54C2"/>
    <w:rsid w:val="002C5D34"/>
    <w:rsid w:val="002C60BB"/>
    <w:rsid w:val="002C661A"/>
    <w:rsid w:val="002D0D6F"/>
    <w:rsid w:val="002D25FC"/>
    <w:rsid w:val="002D4AC6"/>
    <w:rsid w:val="002D5BF5"/>
    <w:rsid w:val="002D5EE8"/>
    <w:rsid w:val="002D7360"/>
    <w:rsid w:val="002D7648"/>
    <w:rsid w:val="002D7C80"/>
    <w:rsid w:val="002D7F7B"/>
    <w:rsid w:val="002E109C"/>
    <w:rsid w:val="002E193E"/>
    <w:rsid w:val="002E1A94"/>
    <w:rsid w:val="002E1D55"/>
    <w:rsid w:val="002E26C4"/>
    <w:rsid w:val="002E2734"/>
    <w:rsid w:val="002E30A5"/>
    <w:rsid w:val="002E47E4"/>
    <w:rsid w:val="002E4BF9"/>
    <w:rsid w:val="002E4D61"/>
    <w:rsid w:val="002E68A7"/>
    <w:rsid w:val="002E6E6C"/>
    <w:rsid w:val="002F016E"/>
    <w:rsid w:val="002F0522"/>
    <w:rsid w:val="002F16DD"/>
    <w:rsid w:val="002F199D"/>
    <w:rsid w:val="002F1DBF"/>
    <w:rsid w:val="002F213C"/>
    <w:rsid w:val="002F2453"/>
    <w:rsid w:val="002F352D"/>
    <w:rsid w:val="002F381E"/>
    <w:rsid w:val="002F4084"/>
    <w:rsid w:val="002F4A08"/>
    <w:rsid w:val="002F4ADB"/>
    <w:rsid w:val="002F531E"/>
    <w:rsid w:val="002F548D"/>
    <w:rsid w:val="002F5ACC"/>
    <w:rsid w:val="002F704B"/>
    <w:rsid w:val="002F72C3"/>
    <w:rsid w:val="002F768C"/>
    <w:rsid w:val="002F7D1E"/>
    <w:rsid w:val="002F7D39"/>
    <w:rsid w:val="00300201"/>
    <w:rsid w:val="0030025A"/>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CC1"/>
    <w:rsid w:val="00312504"/>
    <w:rsid w:val="00312B89"/>
    <w:rsid w:val="00313026"/>
    <w:rsid w:val="00313913"/>
    <w:rsid w:val="0031421F"/>
    <w:rsid w:val="00314B31"/>
    <w:rsid w:val="003150EA"/>
    <w:rsid w:val="00315A65"/>
    <w:rsid w:val="003165D7"/>
    <w:rsid w:val="00317BA7"/>
    <w:rsid w:val="00320BE2"/>
    <w:rsid w:val="00321886"/>
    <w:rsid w:val="00321EDC"/>
    <w:rsid w:val="00323694"/>
    <w:rsid w:val="00323BE7"/>
    <w:rsid w:val="00324C3A"/>
    <w:rsid w:val="00324D63"/>
    <w:rsid w:val="003255AF"/>
    <w:rsid w:val="003256EB"/>
    <w:rsid w:val="003259DB"/>
    <w:rsid w:val="00326BC9"/>
    <w:rsid w:val="00330A07"/>
    <w:rsid w:val="00330E3B"/>
    <w:rsid w:val="003314D9"/>
    <w:rsid w:val="00331653"/>
    <w:rsid w:val="00331A48"/>
    <w:rsid w:val="00331BCC"/>
    <w:rsid w:val="003330C9"/>
    <w:rsid w:val="0033364C"/>
    <w:rsid w:val="00334415"/>
    <w:rsid w:val="00335EA1"/>
    <w:rsid w:val="0033691E"/>
    <w:rsid w:val="00336A6A"/>
    <w:rsid w:val="00336CCB"/>
    <w:rsid w:val="00337045"/>
    <w:rsid w:val="003411D1"/>
    <w:rsid w:val="003416BA"/>
    <w:rsid w:val="00342148"/>
    <w:rsid w:val="00342F99"/>
    <w:rsid w:val="003441D6"/>
    <w:rsid w:val="0034575A"/>
    <w:rsid w:val="00345F57"/>
    <w:rsid w:val="00350305"/>
    <w:rsid w:val="00350458"/>
    <w:rsid w:val="00350E6C"/>
    <w:rsid w:val="003518A6"/>
    <w:rsid w:val="00351C17"/>
    <w:rsid w:val="00351E7F"/>
    <w:rsid w:val="00352953"/>
    <w:rsid w:val="0035385E"/>
    <w:rsid w:val="00354062"/>
    <w:rsid w:val="0035459E"/>
    <w:rsid w:val="00355C0D"/>
    <w:rsid w:val="003566A9"/>
    <w:rsid w:val="00356988"/>
    <w:rsid w:val="003569D3"/>
    <w:rsid w:val="00356CE9"/>
    <w:rsid w:val="003570BB"/>
    <w:rsid w:val="00357128"/>
    <w:rsid w:val="0035755E"/>
    <w:rsid w:val="0035774A"/>
    <w:rsid w:val="00357A80"/>
    <w:rsid w:val="003600A3"/>
    <w:rsid w:val="00361441"/>
    <w:rsid w:val="00361B8B"/>
    <w:rsid w:val="0036212A"/>
    <w:rsid w:val="00363F39"/>
    <w:rsid w:val="003640FC"/>
    <w:rsid w:val="0036445C"/>
    <w:rsid w:val="00364627"/>
    <w:rsid w:val="00364AB0"/>
    <w:rsid w:val="00364D71"/>
    <w:rsid w:val="003650FF"/>
    <w:rsid w:val="003667B0"/>
    <w:rsid w:val="003667DD"/>
    <w:rsid w:val="00366B48"/>
    <w:rsid w:val="00367764"/>
    <w:rsid w:val="00367E2B"/>
    <w:rsid w:val="0037020A"/>
    <w:rsid w:val="00370316"/>
    <w:rsid w:val="00370DC7"/>
    <w:rsid w:val="00371CBD"/>
    <w:rsid w:val="00371F20"/>
    <w:rsid w:val="003721E3"/>
    <w:rsid w:val="00372B98"/>
    <w:rsid w:val="003737B7"/>
    <w:rsid w:val="003740CC"/>
    <w:rsid w:val="003745F4"/>
    <w:rsid w:val="0037491A"/>
    <w:rsid w:val="00374E79"/>
    <w:rsid w:val="003750ED"/>
    <w:rsid w:val="0037529A"/>
    <w:rsid w:val="003752A2"/>
    <w:rsid w:val="00375388"/>
    <w:rsid w:val="00375559"/>
    <w:rsid w:val="00375FB9"/>
    <w:rsid w:val="00376170"/>
    <w:rsid w:val="00376851"/>
    <w:rsid w:val="00376FA2"/>
    <w:rsid w:val="00377133"/>
    <w:rsid w:val="00377A3B"/>
    <w:rsid w:val="00377E3C"/>
    <w:rsid w:val="003800ED"/>
    <w:rsid w:val="00380874"/>
    <w:rsid w:val="00380BBE"/>
    <w:rsid w:val="00381D70"/>
    <w:rsid w:val="0038235E"/>
    <w:rsid w:val="003829D0"/>
    <w:rsid w:val="0038326A"/>
    <w:rsid w:val="0038353C"/>
    <w:rsid w:val="0038444F"/>
    <w:rsid w:val="00384AE6"/>
    <w:rsid w:val="00385DF5"/>
    <w:rsid w:val="003861F0"/>
    <w:rsid w:val="00386EB2"/>
    <w:rsid w:val="00387051"/>
    <w:rsid w:val="00387ECF"/>
    <w:rsid w:val="0039021B"/>
    <w:rsid w:val="003903F7"/>
    <w:rsid w:val="00390429"/>
    <w:rsid w:val="003906A0"/>
    <w:rsid w:val="00392869"/>
    <w:rsid w:val="003931AF"/>
    <w:rsid w:val="0039366C"/>
    <w:rsid w:val="00393EC8"/>
    <w:rsid w:val="00395E42"/>
    <w:rsid w:val="00396409"/>
    <w:rsid w:val="00396A2D"/>
    <w:rsid w:val="00396FC3"/>
    <w:rsid w:val="003A1A94"/>
    <w:rsid w:val="003A204E"/>
    <w:rsid w:val="003A2D25"/>
    <w:rsid w:val="003A5728"/>
    <w:rsid w:val="003A60E7"/>
    <w:rsid w:val="003A7092"/>
    <w:rsid w:val="003A72A1"/>
    <w:rsid w:val="003A7611"/>
    <w:rsid w:val="003A7D1F"/>
    <w:rsid w:val="003A7FD8"/>
    <w:rsid w:val="003B042C"/>
    <w:rsid w:val="003B0B6A"/>
    <w:rsid w:val="003B22F7"/>
    <w:rsid w:val="003B2938"/>
    <w:rsid w:val="003B29CF"/>
    <w:rsid w:val="003B3A90"/>
    <w:rsid w:val="003B3D01"/>
    <w:rsid w:val="003B534F"/>
    <w:rsid w:val="003B7A79"/>
    <w:rsid w:val="003C0FE1"/>
    <w:rsid w:val="003C151A"/>
    <w:rsid w:val="003C350C"/>
    <w:rsid w:val="003C3903"/>
    <w:rsid w:val="003C3BA0"/>
    <w:rsid w:val="003C4580"/>
    <w:rsid w:val="003C5C5E"/>
    <w:rsid w:val="003C6746"/>
    <w:rsid w:val="003C7555"/>
    <w:rsid w:val="003C7898"/>
    <w:rsid w:val="003C7B16"/>
    <w:rsid w:val="003D0FF5"/>
    <w:rsid w:val="003D11A3"/>
    <w:rsid w:val="003D1537"/>
    <w:rsid w:val="003D162F"/>
    <w:rsid w:val="003D183C"/>
    <w:rsid w:val="003D18A7"/>
    <w:rsid w:val="003D2D1B"/>
    <w:rsid w:val="003D48C7"/>
    <w:rsid w:val="003D4C27"/>
    <w:rsid w:val="003D7109"/>
    <w:rsid w:val="003D7CE8"/>
    <w:rsid w:val="003E0514"/>
    <w:rsid w:val="003E1032"/>
    <w:rsid w:val="003E1904"/>
    <w:rsid w:val="003E285E"/>
    <w:rsid w:val="003E3124"/>
    <w:rsid w:val="003E3300"/>
    <w:rsid w:val="003E43D3"/>
    <w:rsid w:val="003E4712"/>
    <w:rsid w:val="003E48E1"/>
    <w:rsid w:val="003E50F4"/>
    <w:rsid w:val="003E59BB"/>
    <w:rsid w:val="003E6225"/>
    <w:rsid w:val="003E65AC"/>
    <w:rsid w:val="003E66AE"/>
    <w:rsid w:val="003E72B9"/>
    <w:rsid w:val="003E7612"/>
    <w:rsid w:val="003E7ED4"/>
    <w:rsid w:val="003F0922"/>
    <w:rsid w:val="003F0D07"/>
    <w:rsid w:val="003F0D47"/>
    <w:rsid w:val="003F0E52"/>
    <w:rsid w:val="003F0F6B"/>
    <w:rsid w:val="003F1FC6"/>
    <w:rsid w:val="003F1FE3"/>
    <w:rsid w:val="003F2359"/>
    <w:rsid w:val="003F3232"/>
    <w:rsid w:val="003F3865"/>
    <w:rsid w:val="003F38AC"/>
    <w:rsid w:val="003F3D55"/>
    <w:rsid w:val="003F44E2"/>
    <w:rsid w:val="003F4632"/>
    <w:rsid w:val="003F47BA"/>
    <w:rsid w:val="003F4FE6"/>
    <w:rsid w:val="003F5638"/>
    <w:rsid w:val="003F6617"/>
    <w:rsid w:val="00402332"/>
    <w:rsid w:val="004025C2"/>
    <w:rsid w:val="00403195"/>
    <w:rsid w:val="004033A9"/>
    <w:rsid w:val="004039C9"/>
    <w:rsid w:val="00403E55"/>
    <w:rsid w:val="0040407C"/>
    <w:rsid w:val="0040416C"/>
    <w:rsid w:val="00404681"/>
    <w:rsid w:val="00405445"/>
    <w:rsid w:val="00405AC1"/>
    <w:rsid w:val="00406109"/>
    <w:rsid w:val="00406923"/>
    <w:rsid w:val="0040763D"/>
    <w:rsid w:val="00410D17"/>
    <w:rsid w:val="004114AD"/>
    <w:rsid w:val="00412AA9"/>
    <w:rsid w:val="00413442"/>
    <w:rsid w:val="00413821"/>
    <w:rsid w:val="00413BA5"/>
    <w:rsid w:val="004141A3"/>
    <w:rsid w:val="00414909"/>
    <w:rsid w:val="0041582F"/>
    <w:rsid w:val="00416112"/>
    <w:rsid w:val="00417AE0"/>
    <w:rsid w:val="00417BAA"/>
    <w:rsid w:val="0042042B"/>
    <w:rsid w:val="00420B45"/>
    <w:rsid w:val="00420D7A"/>
    <w:rsid w:val="00421257"/>
    <w:rsid w:val="00421368"/>
    <w:rsid w:val="004218FD"/>
    <w:rsid w:val="00422193"/>
    <w:rsid w:val="004223DE"/>
    <w:rsid w:val="00422A10"/>
    <w:rsid w:val="00422B0A"/>
    <w:rsid w:val="00424D17"/>
    <w:rsid w:val="00425DFD"/>
    <w:rsid w:val="004263A3"/>
    <w:rsid w:val="00427713"/>
    <w:rsid w:val="00427CCC"/>
    <w:rsid w:val="0043013A"/>
    <w:rsid w:val="00430421"/>
    <w:rsid w:val="00430A36"/>
    <w:rsid w:val="00430B4F"/>
    <w:rsid w:val="00431084"/>
    <w:rsid w:val="004310D7"/>
    <w:rsid w:val="004317D6"/>
    <w:rsid w:val="004322D6"/>
    <w:rsid w:val="00432589"/>
    <w:rsid w:val="00432A94"/>
    <w:rsid w:val="00432C95"/>
    <w:rsid w:val="00433827"/>
    <w:rsid w:val="00433A40"/>
    <w:rsid w:val="00434B70"/>
    <w:rsid w:val="004360C8"/>
    <w:rsid w:val="00436823"/>
    <w:rsid w:val="004371D5"/>
    <w:rsid w:val="00437F22"/>
    <w:rsid w:val="0044006B"/>
    <w:rsid w:val="0044033F"/>
    <w:rsid w:val="00440630"/>
    <w:rsid w:val="004407D6"/>
    <w:rsid w:val="00441651"/>
    <w:rsid w:val="00441F0F"/>
    <w:rsid w:val="00442965"/>
    <w:rsid w:val="004432B6"/>
    <w:rsid w:val="00444157"/>
    <w:rsid w:val="0044417C"/>
    <w:rsid w:val="00444DB3"/>
    <w:rsid w:val="00444E2E"/>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1FC2"/>
    <w:rsid w:val="00464AB7"/>
    <w:rsid w:val="00465DE5"/>
    <w:rsid w:val="0046755D"/>
    <w:rsid w:val="00467EF8"/>
    <w:rsid w:val="00472429"/>
    <w:rsid w:val="004725E5"/>
    <w:rsid w:val="00472751"/>
    <w:rsid w:val="004727D5"/>
    <w:rsid w:val="00473128"/>
    <w:rsid w:val="00475078"/>
    <w:rsid w:val="00475767"/>
    <w:rsid w:val="004779A0"/>
    <w:rsid w:val="004808E3"/>
    <w:rsid w:val="00481016"/>
    <w:rsid w:val="0048204C"/>
    <w:rsid w:val="004821BB"/>
    <w:rsid w:val="0048237A"/>
    <w:rsid w:val="004826FE"/>
    <w:rsid w:val="004827D5"/>
    <w:rsid w:val="00482AF2"/>
    <w:rsid w:val="004830C9"/>
    <w:rsid w:val="00483347"/>
    <w:rsid w:val="00483E2E"/>
    <w:rsid w:val="004840C9"/>
    <w:rsid w:val="00484B69"/>
    <w:rsid w:val="00485406"/>
    <w:rsid w:val="0048590F"/>
    <w:rsid w:val="00486D60"/>
    <w:rsid w:val="00491FA1"/>
    <w:rsid w:val="00492A25"/>
    <w:rsid w:val="004938A3"/>
    <w:rsid w:val="0049558B"/>
    <w:rsid w:val="00496350"/>
    <w:rsid w:val="0049797C"/>
    <w:rsid w:val="004A0E8C"/>
    <w:rsid w:val="004A1405"/>
    <w:rsid w:val="004A1FC6"/>
    <w:rsid w:val="004A2E5F"/>
    <w:rsid w:val="004A38C2"/>
    <w:rsid w:val="004A3C03"/>
    <w:rsid w:val="004A3DB7"/>
    <w:rsid w:val="004A45AE"/>
    <w:rsid w:val="004A463B"/>
    <w:rsid w:val="004A5088"/>
    <w:rsid w:val="004A5255"/>
    <w:rsid w:val="004A6CB0"/>
    <w:rsid w:val="004A70FF"/>
    <w:rsid w:val="004A7EDE"/>
    <w:rsid w:val="004B0D93"/>
    <w:rsid w:val="004B1FA4"/>
    <w:rsid w:val="004B29AC"/>
    <w:rsid w:val="004B35DF"/>
    <w:rsid w:val="004B3627"/>
    <w:rsid w:val="004B4922"/>
    <w:rsid w:val="004B57DF"/>
    <w:rsid w:val="004B5976"/>
    <w:rsid w:val="004B722E"/>
    <w:rsid w:val="004B72E8"/>
    <w:rsid w:val="004C01A5"/>
    <w:rsid w:val="004C0412"/>
    <w:rsid w:val="004C2138"/>
    <w:rsid w:val="004C3940"/>
    <w:rsid w:val="004C51FD"/>
    <w:rsid w:val="004C65A8"/>
    <w:rsid w:val="004C6689"/>
    <w:rsid w:val="004C691F"/>
    <w:rsid w:val="004D139A"/>
    <w:rsid w:val="004D14DC"/>
    <w:rsid w:val="004D17C6"/>
    <w:rsid w:val="004D2858"/>
    <w:rsid w:val="004D2E49"/>
    <w:rsid w:val="004D34C8"/>
    <w:rsid w:val="004D35BA"/>
    <w:rsid w:val="004D38E5"/>
    <w:rsid w:val="004D3C5A"/>
    <w:rsid w:val="004D449A"/>
    <w:rsid w:val="004D4701"/>
    <w:rsid w:val="004D47C7"/>
    <w:rsid w:val="004D4B2B"/>
    <w:rsid w:val="004D4F35"/>
    <w:rsid w:val="004D51EE"/>
    <w:rsid w:val="004D5D45"/>
    <w:rsid w:val="004D618D"/>
    <w:rsid w:val="004D62A9"/>
    <w:rsid w:val="004D6FC3"/>
    <w:rsid w:val="004D7476"/>
    <w:rsid w:val="004D7716"/>
    <w:rsid w:val="004E0306"/>
    <w:rsid w:val="004E0572"/>
    <w:rsid w:val="004E0DDF"/>
    <w:rsid w:val="004E1641"/>
    <w:rsid w:val="004E1818"/>
    <w:rsid w:val="004E1990"/>
    <w:rsid w:val="004E25A8"/>
    <w:rsid w:val="004E263E"/>
    <w:rsid w:val="004E3930"/>
    <w:rsid w:val="004E3ED9"/>
    <w:rsid w:val="004E4E58"/>
    <w:rsid w:val="004E5866"/>
    <w:rsid w:val="004E6097"/>
    <w:rsid w:val="004E61EF"/>
    <w:rsid w:val="004E63C6"/>
    <w:rsid w:val="004E76A7"/>
    <w:rsid w:val="004E7B03"/>
    <w:rsid w:val="004F0064"/>
    <w:rsid w:val="004F06AC"/>
    <w:rsid w:val="004F0E50"/>
    <w:rsid w:val="004F1D2A"/>
    <w:rsid w:val="004F243F"/>
    <w:rsid w:val="004F252C"/>
    <w:rsid w:val="004F2A87"/>
    <w:rsid w:val="004F36A3"/>
    <w:rsid w:val="004F3E0C"/>
    <w:rsid w:val="004F4308"/>
    <w:rsid w:val="004F6037"/>
    <w:rsid w:val="004F7160"/>
    <w:rsid w:val="004F757A"/>
    <w:rsid w:val="00500258"/>
    <w:rsid w:val="00500B2D"/>
    <w:rsid w:val="00501A99"/>
    <w:rsid w:val="005026E0"/>
    <w:rsid w:val="00503180"/>
    <w:rsid w:val="005038A4"/>
    <w:rsid w:val="005050AD"/>
    <w:rsid w:val="00505450"/>
    <w:rsid w:val="005100B7"/>
    <w:rsid w:val="005105DE"/>
    <w:rsid w:val="005113C9"/>
    <w:rsid w:val="00512050"/>
    <w:rsid w:val="00512055"/>
    <w:rsid w:val="0051280C"/>
    <w:rsid w:val="00512842"/>
    <w:rsid w:val="005128BE"/>
    <w:rsid w:val="0051356F"/>
    <w:rsid w:val="00513E7C"/>
    <w:rsid w:val="005140BB"/>
    <w:rsid w:val="00514FBE"/>
    <w:rsid w:val="00514FD9"/>
    <w:rsid w:val="0051550A"/>
    <w:rsid w:val="0051608F"/>
    <w:rsid w:val="00516480"/>
    <w:rsid w:val="00520EF8"/>
    <w:rsid w:val="005210F7"/>
    <w:rsid w:val="00521753"/>
    <w:rsid w:val="0052239D"/>
    <w:rsid w:val="005224EE"/>
    <w:rsid w:val="00522879"/>
    <w:rsid w:val="00523BB1"/>
    <w:rsid w:val="005242B7"/>
    <w:rsid w:val="00524B23"/>
    <w:rsid w:val="005253DF"/>
    <w:rsid w:val="0052570E"/>
    <w:rsid w:val="005260CD"/>
    <w:rsid w:val="00526265"/>
    <w:rsid w:val="0052655D"/>
    <w:rsid w:val="005265E0"/>
    <w:rsid w:val="00526BC3"/>
    <w:rsid w:val="00531761"/>
    <w:rsid w:val="0053248F"/>
    <w:rsid w:val="005327AB"/>
    <w:rsid w:val="0053332A"/>
    <w:rsid w:val="0053358A"/>
    <w:rsid w:val="00534668"/>
    <w:rsid w:val="00534DDD"/>
    <w:rsid w:val="00535291"/>
    <w:rsid w:val="00535A94"/>
    <w:rsid w:val="00537874"/>
    <w:rsid w:val="0053795F"/>
    <w:rsid w:val="00537D3D"/>
    <w:rsid w:val="00540511"/>
    <w:rsid w:val="00540578"/>
    <w:rsid w:val="00540808"/>
    <w:rsid w:val="0054080E"/>
    <w:rsid w:val="00540D1A"/>
    <w:rsid w:val="00540EA1"/>
    <w:rsid w:val="00541A8B"/>
    <w:rsid w:val="00541E5A"/>
    <w:rsid w:val="0054358E"/>
    <w:rsid w:val="00543AF4"/>
    <w:rsid w:val="00543F53"/>
    <w:rsid w:val="00544191"/>
    <w:rsid w:val="0054440C"/>
    <w:rsid w:val="005448EC"/>
    <w:rsid w:val="00544C0A"/>
    <w:rsid w:val="00544F39"/>
    <w:rsid w:val="005457FB"/>
    <w:rsid w:val="005467B8"/>
    <w:rsid w:val="00546F90"/>
    <w:rsid w:val="00547EFB"/>
    <w:rsid w:val="005522F2"/>
    <w:rsid w:val="005531DF"/>
    <w:rsid w:val="00553874"/>
    <w:rsid w:val="00554577"/>
    <w:rsid w:val="00554AD8"/>
    <w:rsid w:val="00554F78"/>
    <w:rsid w:val="00555DA1"/>
    <w:rsid w:val="005565DF"/>
    <w:rsid w:val="00556BF7"/>
    <w:rsid w:val="00556E53"/>
    <w:rsid w:val="00557F60"/>
    <w:rsid w:val="00561730"/>
    <w:rsid w:val="00561B97"/>
    <w:rsid w:val="00562149"/>
    <w:rsid w:val="005640EB"/>
    <w:rsid w:val="00567B5D"/>
    <w:rsid w:val="00570757"/>
    <w:rsid w:val="00573733"/>
    <w:rsid w:val="00573F8B"/>
    <w:rsid w:val="00574528"/>
    <w:rsid w:val="00574554"/>
    <w:rsid w:val="00574737"/>
    <w:rsid w:val="00574E06"/>
    <w:rsid w:val="005751BB"/>
    <w:rsid w:val="00576089"/>
    <w:rsid w:val="00576431"/>
    <w:rsid w:val="005764B1"/>
    <w:rsid w:val="00576852"/>
    <w:rsid w:val="00576D06"/>
    <w:rsid w:val="005779E4"/>
    <w:rsid w:val="00580EC7"/>
    <w:rsid w:val="0058289C"/>
    <w:rsid w:val="005836C7"/>
    <w:rsid w:val="0058408E"/>
    <w:rsid w:val="00585374"/>
    <w:rsid w:val="005854CA"/>
    <w:rsid w:val="00585FAB"/>
    <w:rsid w:val="00590B77"/>
    <w:rsid w:val="00590D9A"/>
    <w:rsid w:val="005913A3"/>
    <w:rsid w:val="00592BA1"/>
    <w:rsid w:val="005940D4"/>
    <w:rsid w:val="00594A7B"/>
    <w:rsid w:val="0059580E"/>
    <w:rsid w:val="00595D90"/>
    <w:rsid w:val="00596A6F"/>
    <w:rsid w:val="00596FCE"/>
    <w:rsid w:val="005A11BC"/>
    <w:rsid w:val="005A1525"/>
    <w:rsid w:val="005A1E17"/>
    <w:rsid w:val="005A252B"/>
    <w:rsid w:val="005A2A8F"/>
    <w:rsid w:val="005A3204"/>
    <w:rsid w:val="005A3341"/>
    <w:rsid w:val="005A3C3D"/>
    <w:rsid w:val="005A3E8C"/>
    <w:rsid w:val="005A46EC"/>
    <w:rsid w:val="005A5EAE"/>
    <w:rsid w:val="005A6407"/>
    <w:rsid w:val="005A726C"/>
    <w:rsid w:val="005B07EC"/>
    <w:rsid w:val="005B2B11"/>
    <w:rsid w:val="005B2E14"/>
    <w:rsid w:val="005B32A4"/>
    <w:rsid w:val="005B3371"/>
    <w:rsid w:val="005B338D"/>
    <w:rsid w:val="005B33A1"/>
    <w:rsid w:val="005B3852"/>
    <w:rsid w:val="005B3BAF"/>
    <w:rsid w:val="005B3F83"/>
    <w:rsid w:val="005B4DA3"/>
    <w:rsid w:val="005B5BEE"/>
    <w:rsid w:val="005B5D05"/>
    <w:rsid w:val="005B72B4"/>
    <w:rsid w:val="005B77D2"/>
    <w:rsid w:val="005C019B"/>
    <w:rsid w:val="005C08D0"/>
    <w:rsid w:val="005C15A4"/>
    <w:rsid w:val="005C1AED"/>
    <w:rsid w:val="005C2136"/>
    <w:rsid w:val="005C30F5"/>
    <w:rsid w:val="005C51A5"/>
    <w:rsid w:val="005C557A"/>
    <w:rsid w:val="005C566F"/>
    <w:rsid w:val="005C5C47"/>
    <w:rsid w:val="005C61DD"/>
    <w:rsid w:val="005C6438"/>
    <w:rsid w:val="005C6B8B"/>
    <w:rsid w:val="005C727F"/>
    <w:rsid w:val="005C76F6"/>
    <w:rsid w:val="005D02E3"/>
    <w:rsid w:val="005D1F34"/>
    <w:rsid w:val="005D2C1F"/>
    <w:rsid w:val="005D34B2"/>
    <w:rsid w:val="005D3B54"/>
    <w:rsid w:val="005D40CD"/>
    <w:rsid w:val="005D6B59"/>
    <w:rsid w:val="005D784B"/>
    <w:rsid w:val="005E01D3"/>
    <w:rsid w:val="005E03E4"/>
    <w:rsid w:val="005E0454"/>
    <w:rsid w:val="005E05F6"/>
    <w:rsid w:val="005E2442"/>
    <w:rsid w:val="005E3111"/>
    <w:rsid w:val="005E3CA0"/>
    <w:rsid w:val="005E3F85"/>
    <w:rsid w:val="005E4A5F"/>
    <w:rsid w:val="005E57B0"/>
    <w:rsid w:val="005E5B01"/>
    <w:rsid w:val="005E6D3B"/>
    <w:rsid w:val="005E7F66"/>
    <w:rsid w:val="005F009E"/>
    <w:rsid w:val="005F0DF1"/>
    <w:rsid w:val="005F1516"/>
    <w:rsid w:val="005F229E"/>
    <w:rsid w:val="005F2564"/>
    <w:rsid w:val="005F3822"/>
    <w:rsid w:val="005F4635"/>
    <w:rsid w:val="005F4900"/>
    <w:rsid w:val="005F4E52"/>
    <w:rsid w:val="005F6D58"/>
    <w:rsid w:val="005F6FCA"/>
    <w:rsid w:val="005F7383"/>
    <w:rsid w:val="0060058E"/>
    <w:rsid w:val="00602A3C"/>
    <w:rsid w:val="00603EFD"/>
    <w:rsid w:val="0060448C"/>
    <w:rsid w:val="0060475B"/>
    <w:rsid w:val="00604BED"/>
    <w:rsid w:val="00604FB6"/>
    <w:rsid w:val="00605387"/>
    <w:rsid w:val="00606302"/>
    <w:rsid w:val="006076FD"/>
    <w:rsid w:val="0061143F"/>
    <w:rsid w:val="006114D8"/>
    <w:rsid w:val="00613553"/>
    <w:rsid w:val="00613601"/>
    <w:rsid w:val="00613791"/>
    <w:rsid w:val="00614A68"/>
    <w:rsid w:val="006150D6"/>
    <w:rsid w:val="00615245"/>
    <w:rsid w:val="0061590D"/>
    <w:rsid w:val="00617EEE"/>
    <w:rsid w:val="00620A1F"/>
    <w:rsid w:val="0062169D"/>
    <w:rsid w:val="0062181E"/>
    <w:rsid w:val="006220D4"/>
    <w:rsid w:val="0062211B"/>
    <w:rsid w:val="00622BB7"/>
    <w:rsid w:val="00622C1E"/>
    <w:rsid w:val="00623389"/>
    <w:rsid w:val="00623DAA"/>
    <w:rsid w:val="00623FAF"/>
    <w:rsid w:val="006245C7"/>
    <w:rsid w:val="006265C4"/>
    <w:rsid w:val="0062678A"/>
    <w:rsid w:val="006270AF"/>
    <w:rsid w:val="006279C2"/>
    <w:rsid w:val="006341C7"/>
    <w:rsid w:val="00634367"/>
    <w:rsid w:val="00635DBA"/>
    <w:rsid w:val="00637EEE"/>
    <w:rsid w:val="00640082"/>
    <w:rsid w:val="00640291"/>
    <w:rsid w:val="00640EFE"/>
    <w:rsid w:val="00641D6D"/>
    <w:rsid w:val="00641FAC"/>
    <w:rsid w:val="00643664"/>
    <w:rsid w:val="00643CAA"/>
    <w:rsid w:val="00644F16"/>
    <w:rsid w:val="006453F1"/>
    <w:rsid w:val="006455EB"/>
    <w:rsid w:val="006456C2"/>
    <w:rsid w:val="00645A65"/>
    <w:rsid w:val="00646134"/>
    <w:rsid w:val="00646436"/>
    <w:rsid w:val="006477F0"/>
    <w:rsid w:val="006478E4"/>
    <w:rsid w:val="00650E8F"/>
    <w:rsid w:val="00651099"/>
    <w:rsid w:val="0065171A"/>
    <w:rsid w:val="00652680"/>
    <w:rsid w:val="00653CDE"/>
    <w:rsid w:val="00654585"/>
    <w:rsid w:val="0065566E"/>
    <w:rsid w:val="00655AB6"/>
    <w:rsid w:val="00656061"/>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94F"/>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5D15"/>
    <w:rsid w:val="00697BD3"/>
    <w:rsid w:val="00697CE4"/>
    <w:rsid w:val="00697DFA"/>
    <w:rsid w:val="006A16D5"/>
    <w:rsid w:val="006A1772"/>
    <w:rsid w:val="006A1780"/>
    <w:rsid w:val="006A21DD"/>
    <w:rsid w:val="006A261D"/>
    <w:rsid w:val="006A26C6"/>
    <w:rsid w:val="006A3302"/>
    <w:rsid w:val="006A36FD"/>
    <w:rsid w:val="006A3882"/>
    <w:rsid w:val="006A3B28"/>
    <w:rsid w:val="006A4FEE"/>
    <w:rsid w:val="006A5549"/>
    <w:rsid w:val="006A703E"/>
    <w:rsid w:val="006A7BE3"/>
    <w:rsid w:val="006A7D32"/>
    <w:rsid w:val="006B01D1"/>
    <w:rsid w:val="006B0DF4"/>
    <w:rsid w:val="006B16EA"/>
    <w:rsid w:val="006B1780"/>
    <w:rsid w:val="006B224E"/>
    <w:rsid w:val="006B376E"/>
    <w:rsid w:val="006B4235"/>
    <w:rsid w:val="006B4589"/>
    <w:rsid w:val="006B4EA5"/>
    <w:rsid w:val="006B5157"/>
    <w:rsid w:val="006B610E"/>
    <w:rsid w:val="006B6805"/>
    <w:rsid w:val="006B6C07"/>
    <w:rsid w:val="006B6DE0"/>
    <w:rsid w:val="006C16C3"/>
    <w:rsid w:val="006C2187"/>
    <w:rsid w:val="006C32F4"/>
    <w:rsid w:val="006C3C54"/>
    <w:rsid w:val="006C4332"/>
    <w:rsid w:val="006C4B6B"/>
    <w:rsid w:val="006C4CE1"/>
    <w:rsid w:val="006C4F9F"/>
    <w:rsid w:val="006C653C"/>
    <w:rsid w:val="006C71A2"/>
    <w:rsid w:val="006C73EC"/>
    <w:rsid w:val="006C7ED7"/>
    <w:rsid w:val="006D0C1D"/>
    <w:rsid w:val="006D2E9D"/>
    <w:rsid w:val="006D4A4E"/>
    <w:rsid w:val="006D4C42"/>
    <w:rsid w:val="006D5389"/>
    <w:rsid w:val="006D53A2"/>
    <w:rsid w:val="006D5809"/>
    <w:rsid w:val="006D5948"/>
    <w:rsid w:val="006D607E"/>
    <w:rsid w:val="006D6109"/>
    <w:rsid w:val="006D6E12"/>
    <w:rsid w:val="006D70CB"/>
    <w:rsid w:val="006D715C"/>
    <w:rsid w:val="006D7363"/>
    <w:rsid w:val="006D774E"/>
    <w:rsid w:val="006E0754"/>
    <w:rsid w:val="006E1BB3"/>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31"/>
    <w:rsid w:val="006F32E9"/>
    <w:rsid w:val="006F3DE3"/>
    <w:rsid w:val="006F4787"/>
    <w:rsid w:val="006F61D8"/>
    <w:rsid w:val="006F62B7"/>
    <w:rsid w:val="006F70BC"/>
    <w:rsid w:val="006F726C"/>
    <w:rsid w:val="006F7E7C"/>
    <w:rsid w:val="0070174E"/>
    <w:rsid w:val="007018DB"/>
    <w:rsid w:val="00701947"/>
    <w:rsid w:val="00701DE6"/>
    <w:rsid w:val="00702740"/>
    <w:rsid w:val="0070381B"/>
    <w:rsid w:val="00703AFF"/>
    <w:rsid w:val="007053BA"/>
    <w:rsid w:val="0070796C"/>
    <w:rsid w:val="007109BB"/>
    <w:rsid w:val="00710EBF"/>
    <w:rsid w:val="007110B8"/>
    <w:rsid w:val="0071209F"/>
    <w:rsid w:val="007125A2"/>
    <w:rsid w:val="00713DD9"/>
    <w:rsid w:val="00713F79"/>
    <w:rsid w:val="007144EA"/>
    <w:rsid w:val="007148A8"/>
    <w:rsid w:val="00715362"/>
    <w:rsid w:val="00716AC8"/>
    <w:rsid w:val="00716E54"/>
    <w:rsid w:val="0072033C"/>
    <w:rsid w:val="00720B1B"/>
    <w:rsid w:val="00721062"/>
    <w:rsid w:val="00721E43"/>
    <w:rsid w:val="00721E5D"/>
    <w:rsid w:val="007229D4"/>
    <w:rsid w:val="007230F8"/>
    <w:rsid w:val="007233F4"/>
    <w:rsid w:val="00724044"/>
    <w:rsid w:val="007248D3"/>
    <w:rsid w:val="00724DF8"/>
    <w:rsid w:val="00724E4A"/>
    <w:rsid w:val="00725137"/>
    <w:rsid w:val="00725378"/>
    <w:rsid w:val="00726E00"/>
    <w:rsid w:val="00727A43"/>
    <w:rsid w:val="00727FF2"/>
    <w:rsid w:val="00730550"/>
    <w:rsid w:val="00730C2A"/>
    <w:rsid w:val="00731434"/>
    <w:rsid w:val="00731E59"/>
    <w:rsid w:val="00731F63"/>
    <w:rsid w:val="007323E0"/>
    <w:rsid w:val="00732911"/>
    <w:rsid w:val="00733721"/>
    <w:rsid w:val="00733DE2"/>
    <w:rsid w:val="0073414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2D0"/>
    <w:rsid w:val="007504BF"/>
    <w:rsid w:val="007506CD"/>
    <w:rsid w:val="0075267F"/>
    <w:rsid w:val="007526EC"/>
    <w:rsid w:val="00753C48"/>
    <w:rsid w:val="00754250"/>
    <w:rsid w:val="00754FBB"/>
    <w:rsid w:val="00754FE4"/>
    <w:rsid w:val="00755216"/>
    <w:rsid w:val="00756236"/>
    <w:rsid w:val="00756271"/>
    <w:rsid w:val="00756348"/>
    <w:rsid w:val="00756521"/>
    <w:rsid w:val="00756559"/>
    <w:rsid w:val="00756AB7"/>
    <w:rsid w:val="007571E3"/>
    <w:rsid w:val="00757673"/>
    <w:rsid w:val="0076106D"/>
    <w:rsid w:val="007623FB"/>
    <w:rsid w:val="00762517"/>
    <w:rsid w:val="00763240"/>
    <w:rsid w:val="0076376A"/>
    <w:rsid w:val="007648AD"/>
    <w:rsid w:val="0076504E"/>
    <w:rsid w:val="00767BFD"/>
    <w:rsid w:val="00767EA0"/>
    <w:rsid w:val="0077053E"/>
    <w:rsid w:val="0077068F"/>
    <w:rsid w:val="00771EDF"/>
    <w:rsid w:val="00772A90"/>
    <w:rsid w:val="00772F8D"/>
    <w:rsid w:val="007734DE"/>
    <w:rsid w:val="0077408D"/>
    <w:rsid w:val="00774270"/>
    <w:rsid w:val="007743F6"/>
    <w:rsid w:val="00775679"/>
    <w:rsid w:val="0077574F"/>
    <w:rsid w:val="00775823"/>
    <w:rsid w:val="00777153"/>
    <w:rsid w:val="007777CC"/>
    <w:rsid w:val="00777B32"/>
    <w:rsid w:val="0078051E"/>
    <w:rsid w:val="00781089"/>
    <w:rsid w:val="00782B2C"/>
    <w:rsid w:val="007838F3"/>
    <w:rsid w:val="007856D6"/>
    <w:rsid w:val="007856FE"/>
    <w:rsid w:val="00785A5F"/>
    <w:rsid w:val="00785C04"/>
    <w:rsid w:val="00785F46"/>
    <w:rsid w:val="007865F4"/>
    <w:rsid w:val="007868FF"/>
    <w:rsid w:val="00786D5C"/>
    <w:rsid w:val="00786E51"/>
    <w:rsid w:val="00786E96"/>
    <w:rsid w:val="00787BB6"/>
    <w:rsid w:val="00787DFF"/>
    <w:rsid w:val="00787F93"/>
    <w:rsid w:val="00791E6D"/>
    <w:rsid w:val="00791EB5"/>
    <w:rsid w:val="0079343F"/>
    <w:rsid w:val="00793696"/>
    <w:rsid w:val="00794441"/>
    <w:rsid w:val="007955DA"/>
    <w:rsid w:val="00796F65"/>
    <w:rsid w:val="007A0713"/>
    <w:rsid w:val="007A11C2"/>
    <w:rsid w:val="007A18BB"/>
    <w:rsid w:val="007A27DD"/>
    <w:rsid w:val="007A2D6D"/>
    <w:rsid w:val="007A41BF"/>
    <w:rsid w:val="007A490A"/>
    <w:rsid w:val="007A7B95"/>
    <w:rsid w:val="007B0297"/>
    <w:rsid w:val="007B02FA"/>
    <w:rsid w:val="007B0F53"/>
    <w:rsid w:val="007B21AE"/>
    <w:rsid w:val="007B2570"/>
    <w:rsid w:val="007B3113"/>
    <w:rsid w:val="007B3304"/>
    <w:rsid w:val="007B3BF0"/>
    <w:rsid w:val="007B7490"/>
    <w:rsid w:val="007C0525"/>
    <w:rsid w:val="007C13F7"/>
    <w:rsid w:val="007C218D"/>
    <w:rsid w:val="007C2D28"/>
    <w:rsid w:val="007C3E22"/>
    <w:rsid w:val="007C58C1"/>
    <w:rsid w:val="007C6218"/>
    <w:rsid w:val="007C6484"/>
    <w:rsid w:val="007C67C6"/>
    <w:rsid w:val="007C78BE"/>
    <w:rsid w:val="007C7A5D"/>
    <w:rsid w:val="007C7E59"/>
    <w:rsid w:val="007D0476"/>
    <w:rsid w:val="007D0B91"/>
    <w:rsid w:val="007D1452"/>
    <w:rsid w:val="007D1563"/>
    <w:rsid w:val="007D3DCB"/>
    <w:rsid w:val="007D460C"/>
    <w:rsid w:val="007D4996"/>
    <w:rsid w:val="007D4AD3"/>
    <w:rsid w:val="007D5D19"/>
    <w:rsid w:val="007D5FDC"/>
    <w:rsid w:val="007D6176"/>
    <w:rsid w:val="007D69CD"/>
    <w:rsid w:val="007D6D68"/>
    <w:rsid w:val="007E1D01"/>
    <w:rsid w:val="007E32DA"/>
    <w:rsid w:val="007E4998"/>
    <w:rsid w:val="007E4A9C"/>
    <w:rsid w:val="007E6914"/>
    <w:rsid w:val="007E7F78"/>
    <w:rsid w:val="007F0179"/>
    <w:rsid w:val="007F2C13"/>
    <w:rsid w:val="007F2CEC"/>
    <w:rsid w:val="007F3435"/>
    <w:rsid w:val="007F531B"/>
    <w:rsid w:val="007F54DE"/>
    <w:rsid w:val="007F55DE"/>
    <w:rsid w:val="007F6896"/>
    <w:rsid w:val="007F762D"/>
    <w:rsid w:val="007F78F0"/>
    <w:rsid w:val="007F78FF"/>
    <w:rsid w:val="008001C5"/>
    <w:rsid w:val="00800F6C"/>
    <w:rsid w:val="00801065"/>
    <w:rsid w:val="00802C0B"/>
    <w:rsid w:val="00805040"/>
    <w:rsid w:val="008051FC"/>
    <w:rsid w:val="008055A9"/>
    <w:rsid w:val="008056C4"/>
    <w:rsid w:val="008057FD"/>
    <w:rsid w:val="00805D8B"/>
    <w:rsid w:val="0081010F"/>
    <w:rsid w:val="00810BB6"/>
    <w:rsid w:val="00810C34"/>
    <w:rsid w:val="00810E8E"/>
    <w:rsid w:val="00812C44"/>
    <w:rsid w:val="008135E1"/>
    <w:rsid w:val="00813779"/>
    <w:rsid w:val="00813E26"/>
    <w:rsid w:val="0081481D"/>
    <w:rsid w:val="00814BE8"/>
    <w:rsid w:val="00814F6E"/>
    <w:rsid w:val="00815B84"/>
    <w:rsid w:val="008166F6"/>
    <w:rsid w:val="00816BE9"/>
    <w:rsid w:val="00817D10"/>
    <w:rsid w:val="008200CD"/>
    <w:rsid w:val="00822518"/>
    <w:rsid w:val="008226F5"/>
    <w:rsid w:val="00823FC6"/>
    <w:rsid w:val="00824306"/>
    <w:rsid w:val="00825C74"/>
    <w:rsid w:val="00825CFA"/>
    <w:rsid w:val="00826AB9"/>
    <w:rsid w:val="00826E0E"/>
    <w:rsid w:val="00827D11"/>
    <w:rsid w:val="00827E0F"/>
    <w:rsid w:val="00827F6E"/>
    <w:rsid w:val="00830542"/>
    <w:rsid w:val="00831758"/>
    <w:rsid w:val="008317D9"/>
    <w:rsid w:val="0083279F"/>
    <w:rsid w:val="00832EF6"/>
    <w:rsid w:val="008334DB"/>
    <w:rsid w:val="00833B7F"/>
    <w:rsid w:val="00833E8E"/>
    <w:rsid w:val="00834127"/>
    <w:rsid w:val="00834906"/>
    <w:rsid w:val="0083507A"/>
    <w:rsid w:val="00836075"/>
    <w:rsid w:val="00836417"/>
    <w:rsid w:val="00837526"/>
    <w:rsid w:val="008407A7"/>
    <w:rsid w:val="0084322B"/>
    <w:rsid w:val="00843F81"/>
    <w:rsid w:val="00844087"/>
    <w:rsid w:val="008448F1"/>
    <w:rsid w:val="0084519E"/>
    <w:rsid w:val="00845CAE"/>
    <w:rsid w:val="008462C5"/>
    <w:rsid w:val="00846370"/>
    <w:rsid w:val="00846873"/>
    <w:rsid w:val="008477E7"/>
    <w:rsid w:val="00847C2B"/>
    <w:rsid w:val="00850272"/>
    <w:rsid w:val="008506B9"/>
    <w:rsid w:val="0085086F"/>
    <w:rsid w:val="00850AC6"/>
    <w:rsid w:val="00851822"/>
    <w:rsid w:val="00851C16"/>
    <w:rsid w:val="008532BF"/>
    <w:rsid w:val="008539B2"/>
    <w:rsid w:val="00853BF4"/>
    <w:rsid w:val="00854294"/>
    <w:rsid w:val="00854295"/>
    <w:rsid w:val="0085572E"/>
    <w:rsid w:val="0085788B"/>
    <w:rsid w:val="00857A9E"/>
    <w:rsid w:val="00857DE2"/>
    <w:rsid w:val="0086003D"/>
    <w:rsid w:val="0086099E"/>
    <w:rsid w:val="00860AAC"/>
    <w:rsid w:val="00861050"/>
    <w:rsid w:val="00861B36"/>
    <w:rsid w:val="00863A8E"/>
    <w:rsid w:val="0086407F"/>
    <w:rsid w:val="008645E3"/>
    <w:rsid w:val="00864E79"/>
    <w:rsid w:val="0086661F"/>
    <w:rsid w:val="00866A0D"/>
    <w:rsid w:val="00866DB5"/>
    <w:rsid w:val="0086701D"/>
    <w:rsid w:val="0086702B"/>
    <w:rsid w:val="008672E2"/>
    <w:rsid w:val="0086784E"/>
    <w:rsid w:val="0087121C"/>
    <w:rsid w:val="008719D4"/>
    <w:rsid w:val="00871F39"/>
    <w:rsid w:val="00871FD2"/>
    <w:rsid w:val="00872084"/>
    <w:rsid w:val="00872827"/>
    <w:rsid w:val="00872A32"/>
    <w:rsid w:val="00874911"/>
    <w:rsid w:val="008754E4"/>
    <w:rsid w:val="00875626"/>
    <w:rsid w:val="00876EAE"/>
    <w:rsid w:val="00880106"/>
    <w:rsid w:val="00880421"/>
    <w:rsid w:val="00880F95"/>
    <w:rsid w:val="00882B44"/>
    <w:rsid w:val="008838AD"/>
    <w:rsid w:val="00885BC9"/>
    <w:rsid w:val="0088604F"/>
    <w:rsid w:val="008864B3"/>
    <w:rsid w:val="008865E5"/>
    <w:rsid w:val="008871B0"/>
    <w:rsid w:val="00887E6C"/>
    <w:rsid w:val="00890B57"/>
    <w:rsid w:val="008916BA"/>
    <w:rsid w:val="0089217C"/>
    <w:rsid w:val="00892790"/>
    <w:rsid w:val="00893671"/>
    <w:rsid w:val="008944E1"/>
    <w:rsid w:val="00895838"/>
    <w:rsid w:val="00895A1E"/>
    <w:rsid w:val="00895A72"/>
    <w:rsid w:val="00895CDF"/>
    <w:rsid w:val="00896679"/>
    <w:rsid w:val="00896D8C"/>
    <w:rsid w:val="008A0FC9"/>
    <w:rsid w:val="008A1956"/>
    <w:rsid w:val="008A1A7C"/>
    <w:rsid w:val="008A2CE2"/>
    <w:rsid w:val="008A40D3"/>
    <w:rsid w:val="008A469C"/>
    <w:rsid w:val="008A51D1"/>
    <w:rsid w:val="008A5DCE"/>
    <w:rsid w:val="008A5FB1"/>
    <w:rsid w:val="008A75D3"/>
    <w:rsid w:val="008B05DD"/>
    <w:rsid w:val="008B07B8"/>
    <w:rsid w:val="008B17E8"/>
    <w:rsid w:val="008B2E7C"/>
    <w:rsid w:val="008B399A"/>
    <w:rsid w:val="008B45F0"/>
    <w:rsid w:val="008B4A70"/>
    <w:rsid w:val="008B502F"/>
    <w:rsid w:val="008B6DFC"/>
    <w:rsid w:val="008B7227"/>
    <w:rsid w:val="008C02FB"/>
    <w:rsid w:val="008C04E0"/>
    <w:rsid w:val="008C191C"/>
    <w:rsid w:val="008C1DA4"/>
    <w:rsid w:val="008C2138"/>
    <w:rsid w:val="008C29B0"/>
    <w:rsid w:val="008C2CD5"/>
    <w:rsid w:val="008C3618"/>
    <w:rsid w:val="008C39E7"/>
    <w:rsid w:val="008C43AD"/>
    <w:rsid w:val="008C6118"/>
    <w:rsid w:val="008C6341"/>
    <w:rsid w:val="008C653D"/>
    <w:rsid w:val="008C731F"/>
    <w:rsid w:val="008C74D9"/>
    <w:rsid w:val="008D2050"/>
    <w:rsid w:val="008D3B2D"/>
    <w:rsid w:val="008D3C87"/>
    <w:rsid w:val="008D58D9"/>
    <w:rsid w:val="008D5AD4"/>
    <w:rsid w:val="008D695E"/>
    <w:rsid w:val="008D6DD5"/>
    <w:rsid w:val="008D6E59"/>
    <w:rsid w:val="008D712C"/>
    <w:rsid w:val="008D7155"/>
    <w:rsid w:val="008D76E0"/>
    <w:rsid w:val="008E095A"/>
    <w:rsid w:val="008E0B29"/>
    <w:rsid w:val="008E141A"/>
    <w:rsid w:val="008E1A44"/>
    <w:rsid w:val="008E28E6"/>
    <w:rsid w:val="008E2A2D"/>
    <w:rsid w:val="008E3232"/>
    <w:rsid w:val="008E3674"/>
    <w:rsid w:val="008E3B6C"/>
    <w:rsid w:val="008E3DE7"/>
    <w:rsid w:val="008E5227"/>
    <w:rsid w:val="008E562C"/>
    <w:rsid w:val="008E6540"/>
    <w:rsid w:val="008E77D4"/>
    <w:rsid w:val="008E77FF"/>
    <w:rsid w:val="008E7ADD"/>
    <w:rsid w:val="008F091F"/>
    <w:rsid w:val="008F17B2"/>
    <w:rsid w:val="008F22B3"/>
    <w:rsid w:val="008F357B"/>
    <w:rsid w:val="008F3584"/>
    <w:rsid w:val="008F44CA"/>
    <w:rsid w:val="008F49D3"/>
    <w:rsid w:val="008F6519"/>
    <w:rsid w:val="008F7012"/>
    <w:rsid w:val="008F7ADA"/>
    <w:rsid w:val="008F7B17"/>
    <w:rsid w:val="00900042"/>
    <w:rsid w:val="0090034B"/>
    <w:rsid w:val="0090087C"/>
    <w:rsid w:val="00901121"/>
    <w:rsid w:val="00902623"/>
    <w:rsid w:val="00902A67"/>
    <w:rsid w:val="00902C5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4D7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21B1"/>
    <w:rsid w:val="00932ED7"/>
    <w:rsid w:val="0093422D"/>
    <w:rsid w:val="0093483B"/>
    <w:rsid w:val="00934CF9"/>
    <w:rsid w:val="00934DD7"/>
    <w:rsid w:val="00935CB2"/>
    <w:rsid w:val="009369A9"/>
    <w:rsid w:val="00936CF7"/>
    <w:rsid w:val="00937783"/>
    <w:rsid w:val="00937EAD"/>
    <w:rsid w:val="00937F28"/>
    <w:rsid w:val="00940FE1"/>
    <w:rsid w:val="00942306"/>
    <w:rsid w:val="009424B8"/>
    <w:rsid w:val="009432E2"/>
    <w:rsid w:val="00944668"/>
    <w:rsid w:val="00944DC6"/>
    <w:rsid w:val="009458B0"/>
    <w:rsid w:val="00945B52"/>
    <w:rsid w:val="00945B7A"/>
    <w:rsid w:val="00945F05"/>
    <w:rsid w:val="00946348"/>
    <w:rsid w:val="00947224"/>
    <w:rsid w:val="00947797"/>
    <w:rsid w:val="009478A2"/>
    <w:rsid w:val="009533BD"/>
    <w:rsid w:val="00953808"/>
    <w:rsid w:val="009539A6"/>
    <w:rsid w:val="00953CC3"/>
    <w:rsid w:val="00953F87"/>
    <w:rsid w:val="00954032"/>
    <w:rsid w:val="00954537"/>
    <w:rsid w:val="0095472D"/>
    <w:rsid w:val="00955342"/>
    <w:rsid w:val="00955EA1"/>
    <w:rsid w:val="00955FBB"/>
    <w:rsid w:val="0095694B"/>
    <w:rsid w:val="00956BD5"/>
    <w:rsid w:val="00956D84"/>
    <w:rsid w:val="009577B5"/>
    <w:rsid w:val="009608E6"/>
    <w:rsid w:val="00960F57"/>
    <w:rsid w:val="00961C90"/>
    <w:rsid w:val="00964310"/>
    <w:rsid w:val="00965443"/>
    <w:rsid w:val="00965954"/>
    <w:rsid w:val="00965A21"/>
    <w:rsid w:val="00965E55"/>
    <w:rsid w:val="0096608E"/>
    <w:rsid w:val="00966522"/>
    <w:rsid w:val="00966C33"/>
    <w:rsid w:val="00970F18"/>
    <w:rsid w:val="00971CF1"/>
    <w:rsid w:val="00971F5D"/>
    <w:rsid w:val="009721E9"/>
    <w:rsid w:val="00973772"/>
    <w:rsid w:val="0097560A"/>
    <w:rsid w:val="00975E1E"/>
    <w:rsid w:val="00975E70"/>
    <w:rsid w:val="009761DE"/>
    <w:rsid w:val="009766FA"/>
    <w:rsid w:val="00977CD6"/>
    <w:rsid w:val="0098048B"/>
    <w:rsid w:val="00980908"/>
    <w:rsid w:val="00980DF9"/>
    <w:rsid w:val="00981CD8"/>
    <w:rsid w:val="0098243D"/>
    <w:rsid w:val="00982D26"/>
    <w:rsid w:val="00983B6E"/>
    <w:rsid w:val="00983FE5"/>
    <w:rsid w:val="009849E9"/>
    <w:rsid w:val="00984AFF"/>
    <w:rsid w:val="00984E4B"/>
    <w:rsid w:val="009859E4"/>
    <w:rsid w:val="00987812"/>
    <w:rsid w:val="00987BED"/>
    <w:rsid w:val="00990225"/>
    <w:rsid w:val="00991307"/>
    <w:rsid w:val="00991474"/>
    <w:rsid w:val="00991F51"/>
    <w:rsid w:val="00992A13"/>
    <w:rsid w:val="00994AAD"/>
    <w:rsid w:val="00995150"/>
    <w:rsid w:val="00995D67"/>
    <w:rsid w:val="00996187"/>
    <w:rsid w:val="00997613"/>
    <w:rsid w:val="009A013B"/>
    <w:rsid w:val="009A02F4"/>
    <w:rsid w:val="009A06BF"/>
    <w:rsid w:val="009A0D17"/>
    <w:rsid w:val="009A1FFE"/>
    <w:rsid w:val="009A2494"/>
    <w:rsid w:val="009A32B1"/>
    <w:rsid w:val="009A33A3"/>
    <w:rsid w:val="009A36F2"/>
    <w:rsid w:val="009A40C3"/>
    <w:rsid w:val="009A40D5"/>
    <w:rsid w:val="009A5268"/>
    <w:rsid w:val="009A57D0"/>
    <w:rsid w:val="009A6559"/>
    <w:rsid w:val="009A68FC"/>
    <w:rsid w:val="009A6CE4"/>
    <w:rsid w:val="009A7514"/>
    <w:rsid w:val="009A7E7A"/>
    <w:rsid w:val="009B0925"/>
    <w:rsid w:val="009B1584"/>
    <w:rsid w:val="009B18F0"/>
    <w:rsid w:val="009B1F4C"/>
    <w:rsid w:val="009B2471"/>
    <w:rsid w:val="009B2ED9"/>
    <w:rsid w:val="009B314F"/>
    <w:rsid w:val="009B439C"/>
    <w:rsid w:val="009B49A1"/>
    <w:rsid w:val="009B4A6C"/>
    <w:rsid w:val="009B4DA8"/>
    <w:rsid w:val="009B519A"/>
    <w:rsid w:val="009B620C"/>
    <w:rsid w:val="009B6753"/>
    <w:rsid w:val="009B676C"/>
    <w:rsid w:val="009B6A26"/>
    <w:rsid w:val="009B7ADE"/>
    <w:rsid w:val="009C079D"/>
    <w:rsid w:val="009C0D70"/>
    <w:rsid w:val="009C13D1"/>
    <w:rsid w:val="009C2913"/>
    <w:rsid w:val="009C2BD4"/>
    <w:rsid w:val="009C337D"/>
    <w:rsid w:val="009C5AFE"/>
    <w:rsid w:val="009C6606"/>
    <w:rsid w:val="009C6CE5"/>
    <w:rsid w:val="009C6D50"/>
    <w:rsid w:val="009C706A"/>
    <w:rsid w:val="009C7547"/>
    <w:rsid w:val="009D05EC"/>
    <w:rsid w:val="009D18D4"/>
    <w:rsid w:val="009D2F60"/>
    <w:rsid w:val="009D3A2E"/>
    <w:rsid w:val="009D5ADE"/>
    <w:rsid w:val="009D5BAC"/>
    <w:rsid w:val="009D5C56"/>
    <w:rsid w:val="009D6265"/>
    <w:rsid w:val="009D64BD"/>
    <w:rsid w:val="009D6CB1"/>
    <w:rsid w:val="009E0275"/>
    <w:rsid w:val="009E0286"/>
    <w:rsid w:val="009E153F"/>
    <w:rsid w:val="009E18C5"/>
    <w:rsid w:val="009E322A"/>
    <w:rsid w:val="009E393E"/>
    <w:rsid w:val="009E4104"/>
    <w:rsid w:val="009E444E"/>
    <w:rsid w:val="009E4968"/>
    <w:rsid w:val="009E663C"/>
    <w:rsid w:val="009E684A"/>
    <w:rsid w:val="009E6BB1"/>
    <w:rsid w:val="009E6E14"/>
    <w:rsid w:val="009E794A"/>
    <w:rsid w:val="009E7C14"/>
    <w:rsid w:val="009F0494"/>
    <w:rsid w:val="009F0CD9"/>
    <w:rsid w:val="009F1330"/>
    <w:rsid w:val="009F1A79"/>
    <w:rsid w:val="009F1F57"/>
    <w:rsid w:val="009F2DDD"/>
    <w:rsid w:val="009F3447"/>
    <w:rsid w:val="009F3918"/>
    <w:rsid w:val="009F490E"/>
    <w:rsid w:val="009F65F4"/>
    <w:rsid w:val="009F676B"/>
    <w:rsid w:val="009F6D2D"/>
    <w:rsid w:val="009F6D54"/>
    <w:rsid w:val="009F7FC3"/>
    <w:rsid w:val="00A004DF"/>
    <w:rsid w:val="00A00FD5"/>
    <w:rsid w:val="00A012C0"/>
    <w:rsid w:val="00A019A8"/>
    <w:rsid w:val="00A01B03"/>
    <w:rsid w:val="00A01B89"/>
    <w:rsid w:val="00A02C66"/>
    <w:rsid w:val="00A02C84"/>
    <w:rsid w:val="00A0464C"/>
    <w:rsid w:val="00A04EBF"/>
    <w:rsid w:val="00A050BB"/>
    <w:rsid w:val="00A0521B"/>
    <w:rsid w:val="00A054E0"/>
    <w:rsid w:val="00A05D91"/>
    <w:rsid w:val="00A0740B"/>
    <w:rsid w:val="00A07ED3"/>
    <w:rsid w:val="00A109E5"/>
    <w:rsid w:val="00A10CA8"/>
    <w:rsid w:val="00A11042"/>
    <w:rsid w:val="00A12579"/>
    <w:rsid w:val="00A12CDC"/>
    <w:rsid w:val="00A133D8"/>
    <w:rsid w:val="00A15655"/>
    <w:rsid w:val="00A160B0"/>
    <w:rsid w:val="00A1740C"/>
    <w:rsid w:val="00A17904"/>
    <w:rsid w:val="00A17A4C"/>
    <w:rsid w:val="00A20069"/>
    <w:rsid w:val="00A2244D"/>
    <w:rsid w:val="00A2253D"/>
    <w:rsid w:val="00A2267F"/>
    <w:rsid w:val="00A22CDB"/>
    <w:rsid w:val="00A247B8"/>
    <w:rsid w:val="00A2495A"/>
    <w:rsid w:val="00A24C7A"/>
    <w:rsid w:val="00A24D8F"/>
    <w:rsid w:val="00A25B8B"/>
    <w:rsid w:val="00A2689F"/>
    <w:rsid w:val="00A26ECA"/>
    <w:rsid w:val="00A2746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1BCC"/>
    <w:rsid w:val="00A42B8F"/>
    <w:rsid w:val="00A42D8E"/>
    <w:rsid w:val="00A43254"/>
    <w:rsid w:val="00A43896"/>
    <w:rsid w:val="00A43A26"/>
    <w:rsid w:val="00A447A0"/>
    <w:rsid w:val="00A459F5"/>
    <w:rsid w:val="00A45FC0"/>
    <w:rsid w:val="00A461EC"/>
    <w:rsid w:val="00A46B74"/>
    <w:rsid w:val="00A47BF7"/>
    <w:rsid w:val="00A47ECC"/>
    <w:rsid w:val="00A50171"/>
    <w:rsid w:val="00A504FA"/>
    <w:rsid w:val="00A50F81"/>
    <w:rsid w:val="00A5102E"/>
    <w:rsid w:val="00A5132E"/>
    <w:rsid w:val="00A51375"/>
    <w:rsid w:val="00A51533"/>
    <w:rsid w:val="00A516F1"/>
    <w:rsid w:val="00A531D4"/>
    <w:rsid w:val="00A54572"/>
    <w:rsid w:val="00A575B8"/>
    <w:rsid w:val="00A60115"/>
    <w:rsid w:val="00A61C60"/>
    <w:rsid w:val="00A61ECB"/>
    <w:rsid w:val="00A624AD"/>
    <w:rsid w:val="00A6410C"/>
    <w:rsid w:val="00A647B1"/>
    <w:rsid w:val="00A64DEF"/>
    <w:rsid w:val="00A654D2"/>
    <w:rsid w:val="00A665DF"/>
    <w:rsid w:val="00A6699F"/>
    <w:rsid w:val="00A6792E"/>
    <w:rsid w:val="00A67FCC"/>
    <w:rsid w:val="00A70AA5"/>
    <w:rsid w:val="00A70C03"/>
    <w:rsid w:val="00A71256"/>
    <w:rsid w:val="00A7217B"/>
    <w:rsid w:val="00A73861"/>
    <w:rsid w:val="00A739A6"/>
    <w:rsid w:val="00A740ED"/>
    <w:rsid w:val="00A74C29"/>
    <w:rsid w:val="00A74C62"/>
    <w:rsid w:val="00A75EF9"/>
    <w:rsid w:val="00A7657C"/>
    <w:rsid w:val="00A825B9"/>
    <w:rsid w:val="00A8311C"/>
    <w:rsid w:val="00A835D0"/>
    <w:rsid w:val="00A84C5F"/>
    <w:rsid w:val="00A85930"/>
    <w:rsid w:val="00A863F7"/>
    <w:rsid w:val="00A86604"/>
    <w:rsid w:val="00A87519"/>
    <w:rsid w:val="00A91B1C"/>
    <w:rsid w:val="00A9246D"/>
    <w:rsid w:val="00A92CCA"/>
    <w:rsid w:val="00A93BD0"/>
    <w:rsid w:val="00A93CC2"/>
    <w:rsid w:val="00A94D4B"/>
    <w:rsid w:val="00A974CC"/>
    <w:rsid w:val="00AA2001"/>
    <w:rsid w:val="00AA21D1"/>
    <w:rsid w:val="00AA27DA"/>
    <w:rsid w:val="00AA2B5C"/>
    <w:rsid w:val="00AA32D2"/>
    <w:rsid w:val="00AA3B8B"/>
    <w:rsid w:val="00AA4016"/>
    <w:rsid w:val="00AA4C1F"/>
    <w:rsid w:val="00AA5328"/>
    <w:rsid w:val="00AA5393"/>
    <w:rsid w:val="00AA63D4"/>
    <w:rsid w:val="00AB03FD"/>
    <w:rsid w:val="00AB1324"/>
    <w:rsid w:val="00AB2000"/>
    <w:rsid w:val="00AB38CB"/>
    <w:rsid w:val="00AB3BEC"/>
    <w:rsid w:val="00AB44E4"/>
    <w:rsid w:val="00AB4AEB"/>
    <w:rsid w:val="00AB4E5F"/>
    <w:rsid w:val="00AB5352"/>
    <w:rsid w:val="00AB56AE"/>
    <w:rsid w:val="00AB62D5"/>
    <w:rsid w:val="00AB65B5"/>
    <w:rsid w:val="00AB6DCD"/>
    <w:rsid w:val="00AB6EE0"/>
    <w:rsid w:val="00AC17A2"/>
    <w:rsid w:val="00AC40B7"/>
    <w:rsid w:val="00AC516B"/>
    <w:rsid w:val="00AC531F"/>
    <w:rsid w:val="00AC5B36"/>
    <w:rsid w:val="00AC6158"/>
    <w:rsid w:val="00AC6377"/>
    <w:rsid w:val="00AC66A4"/>
    <w:rsid w:val="00AC6CB1"/>
    <w:rsid w:val="00AC75E9"/>
    <w:rsid w:val="00AC7D6D"/>
    <w:rsid w:val="00AD0091"/>
    <w:rsid w:val="00AD1436"/>
    <w:rsid w:val="00AD20E7"/>
    <w:rsid w:val="00AD23EF"/>
    <w:rsid w:val="00AD2662"/>
    <w:rsid w:val="00AD307B"/>
    <w:rsid w:val="00AD4014"/>
    <w:rsid w:val="00AD41B3"/>
    <w:rsid w:val="00AD5721"/>
    <w:rsid w:val="00AD69F0"/>
    <w:rsid w:val="00AD7127"/>
    <w:rsid w:val="00AD730C"/>
    <w:rsid w:val="00AE123A"/>
    <w:rsid w:val="00AE1539"/>
    <w:rsid w:val="00AE28A7"/>
    <w:rsid w:val="00AE2A98"/>
    <w:rsid w:val="00AE2CF2"/>
    <w:rsid w:val="00AE3012"/>
    <w:rsid w:val="00AE3297"/>
    <w:rsid w:val="00AE33A6"/>
    <w:rsid w:val="00AE3729"/>
    <w:rsid w:val="00AE4CCE"/>
    <w:rsid w:val="00AE5C6A"/>
    <w:rsid w:val="00AE7280"/>
    <w:rsid w:val="00AF01FA"/>
    <w:rsid w:val="00AF033A"/>
    <w:rsid w:val="00AF1699"/>
    <w:rsid w:val="00AF1FD3"/>
    <w:rsid w:val="00AF2910"/>
    <w:rsid w:val="00AF34B8"/>
    <w:rsid w:val="00AF3896"/>
    <w:rsid w:val="00AF3FC2"/>
    <w:rsid w:val="00AF4DEC"/>
    <w:rsid w:val="00AF57CE"/>
    <w:rsid w:val="00AF6B98"/>
    <w:rsid w:val="00B0003D"/>
    <w:rsid w:val="00B0098A"/>
    <w:rsid w:val="00B00A5F"/>
    <w:rsid w:val="00B029B8"/>
    <w:rsid w:val="00B02F60"/>
    <w:rsid w:val="00B02F94"/>
    <w:rsid w:val="00B032B8"/>
    <w:rsid w:val="00B04721"/>
    <w:rsid w:val="00B04B15"/>
    <w:rsid w:val="00B04B46"/>
    <w:rsid w:val="00B0534D"/>
    <w:rsid w:val="00B055D1"/>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4D14"/>
    <w:rsid w:val="00B158E1"/>
    <w:rsid w:val="00B16715"/>
    <w:rsid w:val="00B1768E"/>
    <w:rsid w:val="00B17910"/>
    <w:rsid w:val="00B20F18"/>
    <w:rsid w:val="00B21516"/>
    <w:rsid w:val="00B21A37"/>
    <w:rsid w:val="00B21D23"/>
    <w:rsid w:val="00B21F62"/>
    <w:rsid w:val="00B22CE0"/>
    <w:rsid w:val="00B23738"/>
    <w:rsid w:val="00B23BEF"/>
    <w:rsid w:val="00B247BB"/>
    <w:rsid w:val="00B24F1C"/>
    <w:rsid w:val="00B2504A"/>
    <w:rsid w:val="00B25EE6"/>
    <w:rsid w:val="00B3115A"/>
    <w:rsid w:val="00B31825"/>
    <w:rsid w:val="00B31A5C"/>
    <w:rsid w:val="00B32265"/>
    <w:rsid w:val="00B3256E"/>
    <w:rsid w:val="00B3276D"/>
    <w:rsid w:val="00B33B06"/>
    <w:rsid w:val="00B33C19"/>
    <w:rsid w:val="00B35A15"/>
    <w:rsid w:val="00B35B45"/>
    <w:rsid w:val="00B36A99"/>
    <w:rsid w:val="00B42264"/>
    <w:rsid w:val="00B434B2"/>
    <w:rsid w:val="00B43D45"/>
    <w:rsid w:val="00B45955"/>
    <w:rsid w:val="00B459AF"/>
    <w:rsid w:val="00B468F2"/>
    <w:rsid w:val="00B469DE"/>
    <w:rsid w:val="00B47286"/>
    <w:rsid w:val="00B47EB4"/>
    <w:rsid w:val="00B50234"/>
    <w:rsid w:val="00B51BF4"/>
    <w:rsid w:val="00B52C68"/>
    <w:rsid w:val="00B5372B"/>
    <w:rsid w:val="00B542FE"/>
    <w:rsid w:val="00B55A1B"/>
    <w:rsid w:val="00B561DB"/>
    <w:rsid w:val="00B56DF9"/>
    <w:rsid w:val="00B56E80"/>
    <w:rsid w:val="00B600BD"/>
    <w:rsid w:val="00B61274"/>
    <w:rsid w:val="00B61DCE"/>
    <w:rsid w:val="00B62188"/>
    <w:rsid w:val="00B62F79"/>
    <w:rsid w:val="00B62F82"/>
    <w:rsid w:val="00B6306A"/>
    <w:rsid w:val="00B635E3"/>
    <w:rsid w:val="00B662FF"/>
    <w:rsid w:val="00B66679"/>
    <w:rsid w:val="00B70145"/>
    <w:rsid w:val="00B71A92"/>
    <w:rsid w:val="00B721D8"/>
    <w:rsid w:val="00B730CA"/>
    <w:rsid w:val="00B732EA"/>
    <w:rsid w:val="00B747C5"/>
    <w:rsid w:val="00B74F2F"/>
    <w:rsid w:val="00B753ED"/>
    <w:rsid w:val="00B7665F"/>
    <w:rsid w:val="00B769BC"/>
    <w:rsid w:val="00B77349"/>
    <w:rsid w:val="00B7761E"/>
    <w:rsid w:val="00B77A82"/>
    <w:rsid w:val="00B80640"/>
    <w:rsid w:val="00B80A3D"/>
    <w:rsid w:val="00B80B04"/>
    <w:rsid w:val="00B821E4"/>
    <w:rsid w:val="00B823E0"/>
    <w:rsid w:val="00B8260D"/>
    <w:rsid w:val="00B82B78"/>
    <w:rsid w:val="00B845B4"/>
    <w:rsid w:val="00B84662"/>
    <w:rsid w:val="00B84C74"/>
    <w:rsid w:val="00B85191"/>
    <w:rsid w:val="00B858A1"/>
    <w:rsid w:val="00B85FEC"/>
    <w:rsid w:val="00B864A3"/>
    <w:rsid w:val="00B86C2A"/>
    <w:rsid w:val="00B902A5"/>
    <w:rsid w:val="00B90420"/>
    <w:rsid w:val="00B90848"/>
    <w:rsid w:val="00B91146"/>
    <w:rsid w:val="00B913E4"/>
    <w:rsid w:val="00B91DB9"/>
    <w:rsid w:val="00B91FF3"/>
    <w:rsid w:val="00B925F8"/>
    <w:rsid w:val="00B93EFE"/>
    <w:rsid w:val="00B944B9"/>
    <w:rsid w:val="00B94956"/>
    <w:rsid w:val="00B94C7F"/>
    <w:rsid w:val="00B94E93"/>
    <w:rsid w:val="00B956B5"/>
    <w:rsid w:val="00B96DF2"/>
    <w:rsid w:val="00B96E18"/>
    <w:rsid w:val="00B96F5A"/>
    <w:rsid w:val="00BA0B39"/>
    <w:rsid w:val="00BA0CB2"/>
    <w:rsid w:val="00BA0E26"/>
    <w:rsid w:val="00BA138B"/>
    <w:rsid w:val="00BA305B"/>
    <w:rsid w:val="00BA31BF"/>
    <w:rsid w:val="00BA3C0F"/>
    <w:rsid w:val="00BA3FC7"/>
    <w:rsid w:val="00BA478B"/>
    <w:rsid w:val="00BA5224"/>
    <w:rsid w:val="00BA575E"/>
    <w:rsid w:val="00BA76B7"/>
    <w:rsid w:val="00BA7E3B"/>
    <w:rsid w:val="00BB078D"/>
    <w:rsid w:val="00BB079C"/>
    <w:rsid w:val="00BB0D7A"/>
    <w:rsid w:val="00BB10E1"/>
    <w:rsid w:val="00BB2471"/>
    <w:rsid w:val="00BB3035"/>
    <w:rsid w:val="00BB39C1"/>
    <w:rsid w:val="00BB3DF5"/>
    <w:rsid w:val="00BB3EA7"/>
    <w:rsid w:val="00BB419A"/>
    <w:rsid w:val="00BB5D16"/>
    <w:rsid w:val="00BB6180"/>
    <w:rsid w:val="00BB69E6"/>
    <w:rsid w:val="00BB7323"/>
    <w:rsid w:val="00BB7BE5"/>
    <w:rsid w:val="00BB7D23"/>
    <w:rsid w:val="00BC08BD"/>
    <w:rsid w:val="00BC11E8"/>
    <w:rsid w:val="00BC1B7A"/>
    <w:rsid w:val="00BC2539"/>
    <w:rsid w:val="00BC2C17"/>
    <w:rsid w:val="00BC3ACD"/>
    <w:rsid w:val="00BC3B20"/>
    <w:rsid w:val="00BC3EE4"/>
    <w:rsid w:val="00BC588C"/>
    <w:rsid w:val="00BC6E73"/>
    <w:rsid w:val="00BC74D3"/>
    <w:rsid w:val="00BD0014"/>
    <w:rsid w:val="00BD01D8"/>
    <w:rsid w:val="00BD1DA4"/>
    <w:rsid w:val="00BD255F"/>
    <w:rsid w:val="00BD2895"/>
    <w:rsid w:val="00BD4236"/>
    <w:rsid w:val="00BD483B"/>
    <w:rsid w:val="00BD5CD4"/>
    <w:rsid w:val="00BD65D9"/>
    <w:rsid w:val="00BD6DF3"/>
    <w:rsid w:val="00BD6E09"/>
    <w:rsid w:val="00BD6EF9"/>
    <w:rsid w:val="00BE0ACB"/>
    <w:rsid w:val="00BE2260"/>
    <w:rsid w:val="00BE3917"/>
    <w:rsid w:val="00BE4104"/>
    <w:rsid w:val="00BE50FD"/>
    <w:rsid w:val="00BE51CA"/>
    <w:rsid w:val="00BE537F"/>
    <w:rsid w:val="00BE5D77"/>
    <w:rsid w:val="00BE6D47"/>
    <w:rsid w:val="00BE7032"/>
    <w:rsid w:val="00BE7330"/>
    <w:rsid w:val="00BF01C5"/>
    <w:rsid w:val="00BF061A"/>
    <w:rsid w:val="00BF066A"/>
    <w:rsid w:val="00BF14CC"/>
    <w:rsid w:val="00BF1821"/>
    <w:rsid w:val="00BF30B3"/>
    <w:rsid w:val="00BF4342"/>
    <w:rsid w:val="00BF4704"/>
    <w:rsid w:val="00BF4D6B"/>
    <w:rsid w:val="00BF4FFC"/>
    <w:rsid w:val="00BF5050"/>
    <w:rsid w:val="00BF50D1"/>
    <w:rsid w:val="00BF5422"/>
    <w:rsid w:val="00BF59B1"/>
    <w:rsid w:val="00BF6625"/>
    <w:rsid w:val="00BF6A78"/>
    <w:rsid w:val="00BF7695"/>
    <w:rsid w:val="00BF79B4"/>
    <w:rsid w:val="00BF7C61"/>
    <w:rsid w:val="00C01427"/>
    <w:rsid w:val="00C014C7"/>
    <w:rsid w:val="00C0198F"/>
    <w:rsid w:val="00C047AB"/>
    <w:rsid w:val="00C058AF"/>
    <w:rsid w:val="00C0636F"/>
    <w:rsid w:val="00C075B6"/>
    <w:rsid w:val="00C124C1"/>
    <w:rsid w:val="00C128AE"/>
    <w:rsid w:val="00C12ABC"/>
    <w:rsid w:val="00C12BA8"/>
    <w:rsid w:val="00C13094"/>
    <w:rsid w:val="00C136D6"/>
    <w:rsid w:val="00C13D5B"/>
    <w:rsid w:val="00C141D7"/>
    <w:rsid w:val="00C16430"/>
    <w:rsid w:val="00C16EB9"/>
    <w:rsid w:val="00C1711B"/>
    <w:rsid w:val="00C17AE2"/>
    <w:rsid w:val="00C20140"/>
    <w:rsid w:val="00C20F27"/>
    <w:rsid w:val="00C2113B"/>
    <w:rsid w:val="00C215CF"/>
    <w:rsid w:val="00C2244B"/>
    <w:rsid w:val="00C22711"/>
    <w:rsid w:val="00C2280A"/>
    <w:rsid w:val="00C22B0D"/>
    <w:rsid w:val="00C22BFF"/>
    <w:rsid w:val="00C23522"/>
    <w:rsid w:val="00C240C1"/>
    <w:rsid w:val="00C24AED"/>
    <w:rsid w:val="00C250D0"/>
    <w:rsid w:val="00C252AC"/>
    <w:rsid w:val="00C2574D"/>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71E"/>
    <w:rsid w:val="00C33A39"/>
    <w:rsid w:val="00C34619"/>
    <w:rsid w:val="00C348D9"/>
    <w:rsid w:val="00C35D01"/>
    <w:rsid w:val="00C360B3"/>
    <w:rsid w:val="00C36269"/>
    <w:rsid w:val="00C36711"/>
    <w:rsid w:val="00C37027"/>
    <w:rsid w:val="00C37B19"/>
    <w:rsid w:val="00C413CB"/>
    <w:rsid w:val="00C42752"/>
    <w:rsid w:val="00C42973"/>
    <w:rsid w:val="00C44206"/>
    <w:rsid w:val="00C45F20"/>
    <w:rsid w:val="00C46B95"/>
    <w:rsid w:val="00C4712A"/>
    <w:rsid w:val="00C5034F"/>
    <w:rsid w:val="00C50830"/>
    <w:rsid w:val="00C52479"/>
    <w:rsid w:val="00C5266E"/>
    <w:rsid w:val="00C52C59"/>
    <w:rsid w:val="00C5349E"/>
    <w:rsid w:val="00C539FF"/>
    <w:rsid w:val="00C544BD"/>
    <w:rsid w:val="00C54D3D"/>
    <w:rsid w:val="00C55A30"/>
    <w:rsid w:val="00C55FA0"/>
    <w:rsid w:val="00C56384"/>
    <w:rsid w:val="00C60F8C"/>
    <w:rsid w:val="00C61794"/>
    <w:rsid w:val="00C62A48"/>
    <w:rsid w:val="00C62AC4"/>
    <w:rsid w:val="00C62B59"/>
    <w:rsid w:val="00C62F96"/>
    <w:rsid w:val="00C631E1"/>
    <w:rsid w:val="00C6337F"/>
    <w:rsid w:val="00C638D8"/>
    <w:rsid w:val="00C63AE7"/>
    <w:rsid w:val="00C63D26"/>
    <w:rsid w:val="00C6540A"/>
    <w:rsid w:val="00C668A1"/>
    <w:rsid w:val="00C67223"/>
    <w:rsid w:val="00C707B8"/>
    <w:rsid w:val="00C712AC"/>
    <w:rsid w:val="00C71C15"/>
    <w:rsid w:val="00C71F3D"/>
    <w:rsid w:val="00C72F53"/>
    <w:rsid w:val="00C730E9"/>
    <w:rsid w:val="00C74035"/>
    <w:rsid w:val="00C748EA"/>
    <w:rsid w:val="00C7505E"/>
    <w:rsid w:val="00C77818"/>
    <w:rsid w:val="00C8026B"/>
    <w:rsid w:val="00C8063F"/>
    <w:rsid w:val="00C81282"/>
    <w:rsid w:val="00C827B4"/>
    <w:rsid w:val="00C83214"/>
    <w:rsid w:val="00C8329F"/>
    <w:rsid w:val="00C84BCA"/>
    <w:rsid w:val="00C84F8A"/>
    <w:rsid w:val="00C85BA4"/>
    <w:rsid w:val="00C8618F"/>
    <w:rsid w:val="00C8625D"/>
    <w:rsid w:val="00C87F3F"/>
    <w:rsid w:val="00C90372"/>
    <w:rsid w:val="00C9041F"/>
    <w:rsid w:val="00C9166B"/>
    <w:rsid w:val="00C91945"/>
    <w:rsid w:val="00C91A45"/>
    <w:rsid w:val="00C91FB4"/>
    <w:rsid w:val="00C92150"/>
    <w:rsid w:val="00C92328"/>
    <w:rsid w:val="00C92D42"/>
    <w:rsid w:val="00C938C2"/>
    <w:rsid w:val="00C93F8A"/>
    <w:rsid w:val="00C94EA1"/>
    <w:rsid w:val="00C95745"/>
    <w:rsid w:val="00C95902"/>
    <w:rsid w:val="00C962E3"/>
    <w:rsid w:val="00C978E2"/>
    <w:rsid w:val="00C97997"/>
    <w:rsid w:val="00CA10A2"/>
    <w:rsid w:val="00CA1D83"/>
    <w:rsid w:val="00CA25C0"/>
    <w:rsid w:val="00CA3451"/>
    <w:rsid w:val="00CA35C6"/>
    <w:rsid w:val="00CA4948"/>
    <w:rsid w:val="00CA52F9"/>
    <w:rsid w:val="00CA5368"/>
    <w:rsid w:val="00CA54AF"/>
    <w:rsid w:val="00CA568B"/>
    <w:rsid w:val="00CA573A"/>
    <w:rsid w:val="00CA584D"/>
    <w:rsid w:val="00CA5C58"/>
    <w:rsid w:val="00CB19D7"/>
    <w:rsid w:val="00CB19FE"/>
    <w:rsid w:val="00CB1C3F"/>
    <w:rsid w:val="00CB1CFB"/>
    <w:rsid w:val="00CB2364"/>
    <w:rsid w:val="00CB304C"/>
    <w:rsid w:val="00CB3933"/>
    <w:rsid w:val="00CB5010"/>
    <w:rsid w:val="00CB53E8"/>
    <w:rsid w:val="00CB594A"/>
    <w:rsid w:val="00CB5CB2"/>
    <w:rsid w:val="00CB6979"/>
    <w:rsid w:val="00CB7DDE"/>
    <w:rsid w:val="00CC0A3D"/>
    <w:rsid w:val="00CC2984"/>
    <w:rsid w:val="00CC3C53"/>
    <w:rsid w:val="00CC3D24"/>
    <w:rsid w:val="00CC3F91"/>
    <w:rsid w:val="00CC4ACD"/>
    <w:rsid w:val="00CC4B0A"/>
    <w:rsid w:val="00CC544A"/>
    <w:rsid w:val="00CC57EA"/>
    <w:rsid w:val="00CC5954"/>
    <w:rsid w:val="00CC629B"/>
    <w:rsid w:val="00CC6C4E"/>
    <w:rsid w:val="00CC7F5C"/>
    <w:rsid w:val="00CC7F82"/>
    <w:rsid w:val="00CD009D"/>
    <w:rsid w:val="00CD05A2"/>
    <w:rsid w:val="00CD1F72"/>
    <w:rsid w:val="00CD2781"/>
    <w:rsid w:val="00CD29D4"/>
    <w:rsid w:val="00CD2B5C"/>
    <w:rsid w:val="00CD2FF3"/>
    <w:rsid w:val="00CD3323"/>
    <w:rsid w:val="00CD38F5"/>
    <w:rsid w:val="00CD3BF2"/>
    <w:rsid w:val="00CD437E"/>
    <w:rsid w:val="00CD5DAD"/>
    <w:rsid w:val="00CD72C5"/>
    <w:rsid w:val="00CD79A7"/>
    <w:rsid w:val="00CE0789"/>
    <w:rsid w:val="00CE0E8D"/>
    <w:rsid w:val="00CE1A03"/>
    <w:rsid w:val="00CE2346"/>
    <w:rsid w:val="00CE25B2"/>
    <w:rsid w:val="00CE2B3E"/>
    <w:rsid w:val="00CE3529"/>
    <w:rsid w:val="00CE35C8"/>
    <w:rsid w:val="00CE3962"/>
    <w:rsid w:val="00CE447F"/>
    <w:rsid w:val="00CE4D0A"/>
    <w:rsid w:val="00CE4D1A"/>
    <w:rsid w:val="00CE4E8A"/>
    <w:rsid w:val="00CE5105"/>
    <w:rsid w:val="00CE56BD"/>
    <w:rsid w:val="00CE5EC0"/>
    <w:rsid w:val="00CE68AD"/>
    <w:rsid w:val="00CE6F9F"/>
    <w:rsid w:val="00CE781A"/>
    <w:rsid w:val="00CE7B08"/>
    <w:rsid w:val="00CE7D52"/>
    <w:rsid w:val="00CE7F19"/>
    <w:rsid w:val="00CF0AB7"/>
    <w:rsid w:val="00CF1D74"/>
    <w:rsid w:val="00CF2BE2"/>
    <w:rsid w:val="00CF3DEB"/>
    <w:rsid w:val="00CF55F9"/>
    <w:rsid w:val="00CF7074"/>
    <w:rsid w:val="00CF7495"/>
    <w:rsid w:val="00CF7733"/>
    <w:rsid w:val="00D01CF9"/>
    <w:rsid w:val="00D0334D"/>
    <w:rsid w:val="00D0374D"/>
    <w:rsid w:val="00D0409E"/>
    <w:rsid w:val="00D06D7B"/>
    <w:rsid w:val="00D06DA5"/>
    <w:rsid w:val="00D07191"/>
    <w:rsid w:val="00D07F1D"/>
    <w:rsid w:val="00D10558"/>
    <w:rsid w:val="00D11D4D"/>
    <w:rsid w:val="00D11DD5"/>
    <w:rsid w:val="00D126DC"/>
    <w:rsid w:val="00D12B03"/>
    <w:rsid w:val="00D13463"/>
    <w:rsid w:val="00D13E70"/>
    <w:rsid w:val="00D15FCD"/>
    <w:rsid w:val="00D16C58"/>
    <w:rsid w:val="00D17019"/>
    <w:rsid w:val="00D173F0"/>
    <w:rsid w:val="00D17FC8"/>
    <w:rsid w:val="00D20B44"/>
    <w:rsid w:val="00D21168"/>
    <w:rsid w:val="00D215B9"/>
    <w:rsid w:val="00D2438C"/>
    <w:rsid w:val="00D2585A"/>
    <w:rsid w:val="00D259B0"/>
    <w:rsid w:val="00D26C3F"/>
    <w:rsid w:val="00D27185"/>
    <w:rsid w:val="00D3028A"/>
    <w:rsid w:val="00D32C71"/>
    <w:rsid w:val="00D33488"/>
    <w:rsid w:val="00D33AB3"/>
    <w:rsid w:val="00D33F24"/>
    <w:rsid w:val="00D34160"/>
    <w:rsid w:val="00D346B8"/>
    <w:rsid w:val="00D34DCA"/>
    <w:rsid w:val="00D35AC8"/>
    <w:rsid w:val="00D36F87"/>
    <w:rsid w:val="00D37E4E"/>
    <w:rsid w:val="00D417D8"/>
    <w:rsid w:val="00D41F78"/>
    <w:rsid w:val="00D42E6C"/>
    <w:rsid w:val="00D4351C"/>
    <w:rsid w:val="00D43B80"/>
    <w:rsid w:val="00D44988"/>
    <w:rsid w:val="00D45B4C"/>
    <w:rsid w:val="00D45BA4"/>
    <w:rsid w:val="00D471AF"/>
    <w:rsid w:val="00D471E2"/>
    <w:rsid w:val="00D4724F"/>
    <w:rsid w:val="00D50519"/>
    <w:rsid w:val="00D51601"/>
    <w:rsid w:val="00D51ECB"/>
    <w:rsid w:val="00D5264C"/>
    <w:rsid w:val="00D52BBC"/>
    <w:rsid w:val="00D537FE"/>
    <w:rsid w:val="00D53CC9"/>
    <w:rsid w:val="00D54A6A"/>
    <w:rsid w:val="00D54B8F"/>
    <w:rsid w:val="00D55848"/>
    <w:rsid w:val="00D55951"/>
    <w:rsid w:val="00D559F0"/>
    <w:rsid w:val="00D57EB6"/>
    <w:rsid w:val="00D608C0"/>
    <w:rsid w:val="00D60D6D"/>
    <w:rsid w:val="00D6128C"/>
    <w:rsid w:val="00D64E56"/>
    <w:rsid w:val="00D66D8B"/>
    <w:rsid w:val="00D672EF"/>
    <w:rsid w:val="00D70849"/>
    <w:rsid w:val="00D711E3"/>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2A4"/>
    <w:rsid w:val="00D86D47"/>
    <w:rsid w:val="00D8710C"/>
    <w:rsid w:val="00D873C6"/>
    <w:rsid w:val="00D9074A"/>
    <w:rsid w:val="00D9099E"/>
    <w:rsid w:val="00D9193A"/>
    <w:rsid w:val="00D923B2"/>
    <w:rsid w:val="00D92463"/>
    <w:rsid w:val="00D92AE6"/>
    <w:rsid w:val="00D93E64"/>
    <w:rsid w:val="00D93F64"/>
    <w:rsid w:val="00D94CA4"/>
    <w:rsid w:val="00D95E99"/>
    <w:rsid w:val="00D965D5"/>
    <w:rsid w:val="00D97DA2"/>
    <w:rsid w:val="00DA0485"/>
    <w:rsid w:val="00DA1A3A"/>
    <w:rsid w:val="00DA2351"/>
    <w:rsid w:val="00DA249E"/>
    <w:rsid w:val="00DA2D3D"/>
    <w:rsid w:val="00DA3855"/>
    <w:rsid w:val="00DA4C30"/>
    <w:rsid w:val="00DA6A44"/>
    <w:rsid w:val="00DA7A3C"/>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057"/>
    <w:rsid w:val="00DC1442"/>
    <w:rsid w:val="00DC21D8"/>
    <w:rsid w:val="00DC282A"/>
    <w:rsid w:val="00DC2DE8"/>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A1D"/>
    <w:rsid w:val="00DE15B2"/>
    <w:rsid w:val="00DE1A9A"/>
    <w:rsid w:val="00DE3D2C"/>
    <w:rsid w:val="00DE4E84"/>
    <w:rsid w:val="00DE5E82"/>
    <w:rsid w:val="00DE5FA6"/>
    <w:rsid w:val="00DE6792"/>
    <w:rsid w:val="00DE6AA1"/>
    <w:rsid w:val="00DE7EF7"/>
    <w:rsid w:val="00DF015B"/>
    <w:rsid w:val="00DF02EC"/>
    <w:rsid w:val="00DF10FC"/>
    <w:rsid w:val="00DF1185"/>
    <w:rsid w:val="00DF1299"/>
    <w:rsid w:val="00DF1A70"/>
    <w:rsid w:val="00DF1E3E"/>
    <w:rsid w:val="00DF1E5F"/>
    <w:rsid w:val="00DF23A8"/>
    <w:rsid w:val="00DF2F27"/>
    <w:rsid w:val="00DF36B6"/>
    <w:rsid w:val="00DF3A01"/>
    <w:rsid w:val="00DF4296"/>
    <w:rsid w:val="00DF5267"/>
    <w:rsid w:val="00DF537A"/>
    <w:rsid w:val="00DF53F0"/>
    <w:rsid w:val="00DF5DBE"/>
    <w:rsid w:val="00DF5F38"/>
    <w:rsid w:val="00DF6608"/>
    <w:rsid w:val="00DF6CCC"/>
    <w:rsid w:val="00DF6D0C"/>
    <w:rsid w:val="00DF6F64"/>
    <w:rsid w:val="00DF721E"/>
    <w:rsid w:val="00DF7549"/>
    <w:rsid w:val="00DF7B8A"/>
    <w:rsid w:val="00DF7C87"/>
    <w:rsid w:val="00E009B0"/>
    <w:rsid w:val="00E00A12"/>
    <w:rsid w:val="00E00B39"/>
    <w:rsid w:val="00E00C49"/>
    <w:rsid w:val="00E01C9C"/>
    <w:rsid w:val="00E0219D"/>
    <w:rsid w:val="00E04C0F"/>
    <w:rsid w:val="00E0570B"/>
    <w:rsid w:val="00E10913"/>
    <w:rsid w:val="00E10B87"/>
    <w:rsid w:val="00E121CE"/>
    <w:rsid w:val="00E12209"/>
    <w:rsid w:val="00E1478B"/>
    <w:rsid w:val="00E14FAC"/>
    <w:rsid w:val="00E15007"/>
    <w:rsid w:val="00E16277"/>
    <w:rsid w:val="00E16EC7"/>
    <w:rsid w:val="00E17DCC"/>
    <w:rsid w:val="00E219CE"/>
    <w:rsid w:val="00E219E1"/>
    <w:rsid w:val="00E21D93"/>
    <w:rsid w:val="00E21EA7"/>
    <w:rsid w:val="00E24071"/>
    <w:rsid w:val="00E241B9"/>
    <w:rsid w:val="00E24EBC"/>
    <w:rsid w:val="00E2522C"/>
    <w:rsid w:val="00E2552F"/>
    <w:rsid w:val="00E2599B"/>
    <w:rsid w:val="00E2710C"/>
    <w:rsid w:val="00E272BD"/>
    <w:rsid w:val="00E27428"/>
    <w:rsid w:val="00E305B4"/>
    <w:rsid w:val="00E31AFA"/>
    <w:rsid w:val="00E31CB7"/>
    <w:rsid w:val="00E324EE"/>
    <w:rsid w:val="00E34DB1"/>
    <w:rsid w:val="00E35931"/>
    <w:rsid w:val="00E359FF"/>
    <w:rsid w:val="00E3663D"/>
    <w:rsid w:val="00E3699A"/>
    <w:rsid w:val="00E402C5"/>
    <w:rsid w:val="00E402F4"/>
    <w:rsid w:val="00E405F1"/>
    <w:rsid w:val="00E417DB"/>
    <w:rsid w:val="00E4198D"/>
    <w:rsid w:val="00E41CF9"/>
    <w:rsid w:val="00E43054"/>
    <w:rsid w:val="00E43655"/>
    <w:rsid w:val="00E44440"/>
    <w:rsid w:val="00E46013"/>
    <w:rsid w:val="00E47099"/>
    <w:rsid w:val="00E47284"/>
    <w:rsid w:val="00E477C3"/>
    <w:rsid w:val="00E51178"/>
    <w:rsid w:val="00E51E16"/>
    <w:rsid w:val="00E52DED"/>
    <w:rsid w:val="00E53730"/>
    <w:rsid w:val="00E53954"/>
    <w:rsid w:val="00E5438D"/>
    <w:rsid w:val="00E54511"/>
    <w:rsid w:val="00E54E50"/>
    <w:rsid w:val="00E55288"/>
    <w:rsid w:val="00E566B3"/>
    <w:rsid w:val="00E57577"/>
    <w:rsid w:val="00E62043"/>
    <w:rsid w:val="00E626B9"/>
    <w:rsid w:val="00E627C9"/>
    <w:rsid w:val="00E630F3"/>
    <w:rsid w:val="00E6332F"/>
    <w:rsid w:val="00E637C9"/>
    <w:rsid w:val="00E6402D"/>
    <w:rsid w:val="00E6680A"/>
    <w:rsid w:val="00E66F0D"/>
    <w:rsid w:val="00E67741"/>
    <w:rsid w:val="00E67CAE"/>
    <w:rsid w:val="00E70615"/>
    <w:rsid w:val="00E7161E"/>
    <w:rsid w:val="00E7207B"/>
    <w:rsid w:val="00E7347A"/>
    <w:rsid w:val="00E75A47"/>
    <w:rsid w:val="00E75BB6"/>
    <w:rsid w:val="00E75D8C"/>
    <w:rsid w:val="00E777F2"/>
    <w:rsid w:val="00E802C9"/>
    <w:rsid w:val="00E8064C"/>
    <w:rsid w:val="00E80BFB"/>
    <w:rsid w:val="00E80F0A"/>
    <w:rsid w:val="00E815D4"/>
    <w:rsid w:val="00E8291B"/>
    <w:rsid w:val="00E82E70"/>
    <w:rsid w:val="00E82F92"/>
    <w:rsid w:val="00E8395F"/>
    <w:rsid w:val="00E8410F"/>
    <w:rsid w:val="00E849D7"/>
    <w:rsid w:val="00E85E41"/>
    <w:rsid w:val="00E85EA1"/>
    <w:rsid w:val="00E86703"/>
    <w:rsid w:val="00E86F5E"/>
    <w:rsid w:val="00E900DA"/>
    <w:rsid w:val="00E90128"/>
    <w:rsid w:val="00E91044"/>
    <w:rsid w:val="00E910D3"/>
    <w:rsid w:val="00E92154"/>
    <w:rsid w:val="00E923CF"/>
    <w:rsid w:val="00E9244A"/>
    <w:rsid w:val="00E93685"/>
    <w:rsid w:val="00E93B65"/>
    <w:rsid w:val="00E93C8C"/>
    <w:rsid w:val="00E95111"/>
    <w:rsid w:val="00E95FDF"/>
    <w:rsid w:val="00EA14C8"/>
    <w:rsid w:val="00EA2110"/>
    <w:rsid w:val="00EA283A"/>
    <w:rsid w:val="00EA2C90"/>
    <w:rsid w:val="00EA2E07"/>
    <w:rsid w:val="00EA383B"/>
    <w:rsid w:val="00EA3B56"/>
    <w:rsid w:val="00EA48F3"/>
    <w:rsid w:val="00EA60BF"/>
    <w:rsid w:val="00EA7365"/>
    <w:rsid w:val="00EA763F"/>
    <w:rsid w:val="00EA77E9"/>
    <w:rsid w:val="00EB05D0"/>
    <w:rsid w:val="00EB1151"/>
    <w:rsid w:val="00EB1D49"/>
    <w:rsid w:val="00EB23D9"/>
    <w:rsid w:val="00EB39A0"/>
    <w:rsid w:val="00EB524B"/>
    <w:rsid w:val="00EB559F"/>
    <w:rsid w:val="00EB566C"/>
    <w:rsid w:val="00EB5A18"/>
    <w:rsid w:val="00EB5F3D"/>
    <w:rsid w:val="00EB6906"/>
    <w:rsid w:val="00EB6C97"/>
    <w:rsid w:val="00EC1CEB"/>
    <w:rsid w:val="00EC1DC0"/>
    <w:rsid w:val="00EC1DC2"/>
    <w:rsid w:val="00EC1E09"/>
    <w:rsid w:val="00EC21EC"/>
    <w:rsid w:val="00EC24B8"/>
    <w:rsid w:val="00EC268C"/>
    <w:rsid w:val="00EC3753"/>
    <w:rsid w:val="00EC4955"/>
    <w:rsid w:val="00EC4E71"/>
    <w:rsid w:val="00EC5F1C"/>
    <w:rsid w:val="00ED0365"/>
    <w:rsid w:val="00ED0865"/>
    <w:rsid w:val="00ED1C60"/>
    <w:rsid w:val="00ED2EB9"/>
    <w:rsid w:val="00ED3722"/>
    <w:rsid w:val="00ED3A31"/>
    <w:rsid w:val="00ED3AC9"/>
    <w:rsid w:val="00ED4469"/>
    <w:rsid w:val="00ED44F6"/>
    <w:rsid w:val="00ED5424"/>
    <w:rsid w:val="00ED5F23"/>
    <w:rsid w:val="00ED6DC0"/>
    <w:rsid w:val="00ED7A7A"/>
    <w:rsid w:val="00EE0327"/>
    <w:rsid w:val="00EE038C"/>
    <w:rsid w:val="00EE28C5"/>
    <w:rsid w:val="00EE2F09"/>
    <w:rsid w:val="00EE4432"/>
    <w:rsid w:val="00EE47C5"/>
    <w:rsid w:val="00EE490C"/>
    <w:rsid w:val="00EE4E57"/>
    <w:rsid w:val="00EE516C"/>
    <w:rsid w:val="00EE5415"/>
    <w:rsid w:val="00EE5738"/>
    <w:rsid w:val="00EE58BD"/>
    <w:rsid w:val="00EE5E59"/>
    <w:rsid w:val="00EE73D0"/>
    <w:rsid w:val="00EE7CB0"/>
    <w:rsid w:val="00EF08A8"/>
    <w:rsid w:val="00EF167B"/>
    <w:rsid w:val="00EF35FD"/>
    <w:rsid w:val="00EF3CD5"/>
    <w:rsid w:val="00EF41A8"/>
    <w:rsid w:val="00EF44FB"/>
    <w:rsid w:val="00EF4DF5"/>
    <w:rsid w:val="00EF5122"/>
    <w:rsid w:val="00EF5554"/>
    <w:rsid w:val="00EF5AD8"/>
    <w:rsid w:val="00EF5FB8"/>
    <w:rsid w:val="00EF6459"/>
    <w:rsid w:val="00EF6B90"/>
    <w:rsid w:val="00EF7807"/>
    <w:rsid w:val="00EF79F7"/>
    <w:rsid w:val="00F006C0"/>
    <w:rsid w:val="00F0125F"/>
    <w:rsid w:val="00F019AA"/>
    <w:rsid w:val="00F0267E"/>
    <w:rsid w:val="00F02686"/>
    <w:rsid w:val="00F030C0"/>
    <w:rsid w:val="00F03291"/>
    <w:rsid w:val="00F03A85"/>
    <w:rsid w:val="00F0459B"/>
    <w:rsid w:val="00F04E15"/>
    <w:rsid w:val="00F05DF3"/>
    <w:rsid w:val="00F069EA"/>
    <w:rsid w:val="00F070E5"/>
    <w:rsid w:val="00F07DDE"/>
    <w:rsid w:val="00F11675"/>
    <w:rsid w:val="00F12557"/>
    <w:rsid w:val="00F13599"/>
    <w:rsid w:val="00F13B28"/>
    <w:rsid w:val="00F156A0"/>
    <w:rsid w:val="00F15730"/>
    <w:rsid w:val="00F176A6"/>
    <w:rsid w:val="00F17EDF"/>
    <w:rsid w:val="00F202C2"/>
    <w:rsid w:val="00F212F6"/>
    <w:rsid w:val="00F22756"/>
    <w:rsid w:val="00F23248"/>
    <w:rsid w:val="00F23890"/>
    <w:rsid w:val="00F238B5"/>
    <w:rsid w:val="00F2504D"/>
    <w:rsid w:val="00F2637F"/>
    <w:rsid w:val="00F268F7"/>
    <w:rsid w:val="00F27A90"/>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FEE"/>
    <w:rsid w:val="00F4492F"/>
    <w:rsid w:val="00F45A72"/>
    <w:rsid w:val="00F46723"/>
    <w:rsid w:val="00F46D74"/>
    <w:rsid w:val="00F4706D"/>
    <w:rsid w:val="00F476E1"/>
    <w:rsid w:val="00F47D1D"/>
    <w:rsid w:val="00F47F29"/>
    <w:rsid w:val="00F50016"/>
    <w:rsid w:val="00F50A80"/>
    <w:rsid w:val="00F5118A"/>
    <w:rsid w:val="00F51A21"/>
    <w:rsid w:val="00F52614"/>
    <w:rsid w:val="00F5276E"/>
    <w:rsid w:val="00F52E9F"/>
    <w:rsid w:val="00F53304"/>
    <w:rsid w:val="00F53B81"/>
    <w:rsid w:val="00F540FE"/>
    <w:rsid w:val="00F556FF"/>
    <w:rsid w:val="00F55ABC"/>
    <w:rsid w:val="00F55D12"/>
    <w:rsid w:val="00F5687F"/>
    <w:rsid w:val="00F56D3F"/>
    <w:rsid w:val="00F575C7"/>
    <w:rsid w:val="00F57FD0"/>
    <w:rsid w:val="00F60305"/>
    <w:rsid w:val="00F603AF"/>
    <w:rsid w:val="00F61B12"/>
    <w:rsid w:val="00F61C70"/>
    <w:rsid w:val="00F63264"/>
    <w:rsid w:val="00F634E4"/>
    <w:rsid w:val="00F6379E"/>
    <w:rsid w:val="00F64047"/>
    <w:rsid w:val="00F64094"/>
    <w:rsid w:val="00F65171"/>
    <w:rsid w:val="00F6560D"/>
    <w:rsid w:val="00F67844"/>
    <w:rsid w:val="00F70799"/>
    <w:rsid w:val="00F70A8B"/>
    <w:rsid w:val="00F70B8D"/>
    <w:rsid w:val="00F71936"/>
    <w:rsid w:val="00F724FB"/>
    <w:rsid w:val="00F726B8"/>
    <w:rsid w:val="00F72A26"/>
    <w:rsid w:val="00F733C3"/>
    <w:rsid w:val="00F746A1"/>
    <w:rsid w:val="00F74820"/>
    <w:rsid w:val="00F75282"/>
    <w:rsid w:val="00F756DD"/>
    <w:rsid w:val="00F77F4E"/>
    <w:rsid w:val="00F80047"/>
    <w:rsid w:val="00F800C7"/>
    <w:rsid w:val="00F803B1"/>
    <w:rsid w:val="00F8104D"/>
    <w:rsid w:val="00F8153F"/>
    <w:rsid w:val="00F81587"/>
    <w:rsid w:val="00F8288F"/>
    <w:rsid w:val="00F8376E"/>
    <w:rsid w:val="00F8428F"/>
    <w:rsid w:val="00F84802"/>
    <w:rsid w:val="00F85B72"/>
    <w:rsid w:val="00F86540"/>
    <w:rsid w:val="00F865CE"/>
    <w:rsid w:val="00F8766F"/>
    <w:rsid w:val="00F90282"/>
    <w:rsid w:val="00F91082"/>
    <w:rsid w:val="00F910C2"/>
    <w:rsid w:val="00F9116D"/>
    <w:rsid w:val="00F91342"/>
    <w:rsid w:val="00F917AF"/>
    <w:rsid w:val="00F91A9A"/>
    <w:rsid w:val="00F91C61"/>
    <w:rsid w:val="00F92290"/>
    <w:rsid w:val="00F92634"/>
    <w:rsid w:val="00F933F3"/>
    <w:rsid w:val="00F93ABB"/>
    <w:rsid w:val="00F9452D"/>
    <w:rsid w:val="00F94D79"/>
    <w:rsid w:val="00F9658C"/>
    <w:rsid w:val="00F96E05"/>
    <w:rsid w:val="00F97A7F"/>
    <w:rsid w:val="00FA0889"/>
    <w:rsid w:val="00FA16E7"/>
    <w:rsid w:val="00FA2C87"/>
    <w:rsid w:val="00FA31C7"/>
    <w:rsid w:val="00FA3469"/>
    <w:rsid w:val="00FA3609"/>
    <w:rsid w:val="00FA472D"/>
    <w:rsid w:val="00FA681F"/>
    <w:rsid w:val="00FA6C98"/>
    <w:rsid w:val="00FB0CBF"/>
    <w:rsid w:val="00FB18F6"/>
    <w:rsid w:val="00FB2A52"/>
    <w:rsid w:val="00FB3F92"/>
    <w:rsid w:val="00FB52C7"/>
    <w:rsid w:val="00FB57DC"/>
    <w:rsid w:val="00FB6E19"/>
    <w:rsid w:val="00FB71F6"/>
    <w:rsid w:val="00FB78C5"/>
    <w:rsid w:val="00FC07AF"/>
    <w:rsid w:val="00FC0AF8"/>
    <w:rsid w:val="00FC0B69"/>
    <w:rsid w:val="00FC1483"/>
    <w:rsid w:val="00FC1C47"/>
    <w:rsid w:val="00FC20DA"/>
    <w:rsid w:val="00FC3102"/>
    <w:rsid w:val="00FC39ED"/>
    <w:rsid w:val="00FC3E4A"/>
    <w:rsid w:val="00FC4419"/>
    <w:rsid w:val="00FC47E2"/>
    <w:rsid w:val="00FC4AA5"/>
    <w:rsid w:val="00FC4B88"/>
    <w:rsid w:val="00FC4BB8"/>
    <w:rsid w:val="00FC5148"/>
    <w:rsid w:val="00FC6524"/>
    <w:rsid w:val="00FC6B58"/>
    <w:rsid w:val="00FC75AC"/>
    <w:rsid w:val="00FC7984"/>
    <w:rsid w:val="00FD01BF"/>
    <w:rsid w:val="00FD0525"/>
    <w:rsid w:val="00FD0AB7"/>
    <w:rsid w:val="00FD15CD"/>
    <w:rsid w:val="00FD297D"/>
    <w:rsid w:val="00FD2D13"/>
    <w:rsid w:val="00FD374D"/>
    <w:rsid w:val="00FD6071"/>
    <w:rsid w:val="00FD633B"/>
    <w:rsid w:val="00FE0794"/>
    <w:rsid w:val="00FE1041"/>
    <w:rsid w:val="00FE1460"/>
    <w:rsid w:val="00FE1A47"/>
    <w:rsid w:val="00FE24CB"/>
    <w:rsid w:val="00FE323F"/>
    <w:rsid w:val="00FE3473"/>
    <w:rsid w:val="00FE4049"/>
    <w:rsid w:val="00FE4794"/>
    <w:rsid w:val="00FE480F"/>
    <w:rsid w:val="00FE4998"/>
    <w:rsid w:val="00FE511F"/>
    <w:rsid w:val="00FE57DE"/>
    <w:rsid w:val="00FE7A68"/>
    <w:rsid w:val="00FF0231"/>
    <w:rsid w:val="00FF1C9B"/>
    <w:rsid w:val="00FF1D49"/>
    <w:rsid w:val="00FF203B"/>
    <w:rsid w:val="00FF2562"/>
    <w:rsid w:val="00FF3A41"/>
    <w:rsid w:val="00FF3E5B"/>
    <w:rsid w:val="00FF412B"/>
    <w:rsid w:val="00FF52A6"/>
    <w:rsid w:val="00FF57E4"/>
    <w:rsid w:val="00FF7399"/>
    <w:rsid w:val="00FF78E5"/>
    <w:rsid w:val="011E0236"/>
    <w:rsid w:val="012C5FAF"/>
    <w:rsid w:val="012F2B13"/>
    <w:rsid w:val="014830A3"/>
    <w:rsid w:val="018362EB"/>
    <w:rsid w:val="01AF3D99"/>
    <w:rsid w:val="01B536C3"/>
    <w:rsid w:val="01BC085C"/>
    <w:rsid w:val="01D92400"/>
    <w:rsid w:val="022F2F28"/>
    <w:rsid w:val="02363AC4"/>
    <w:rsid w:val="024E06A7"/>
    <w:rsid w:val="02511F9D"/>
    <w:rsid w:val="025A3E82"/>
    <w:rsid w:val="02D7069C"/>
    <w:rsid w:val="02E07BC7"/>
    <w:rsid w:val="03A04F32"/>
    <w:rsid w:val="03A314B8"/>
    <w:rsid w:val="03A6112C"/>
    <w:rsid w:val="03B70983"/>
    <w:rsid w:val="03D82B98"/>
    <w:rsid w:val="03F83E8B"/>
    <w:rsid w:val="03FE65F3"/>
    <w:rsid w:val="040302E8"/>
    <w:rsid w:val="04145844"/>
    <w:rsid w:val="04AD3D73"/>
    <w:rsid w:val="04B912AC"/>
    <w:rsid w:val="04D751A9"/>
    <w:rsid w:val="05067536"/>
    <w:rsid w:val="05885ECF"/>
    <w:rsid w:val="05C56868"/>
    <w:rsid w:val="06472F82"/>
    <w:rsid w:val="065B7092"/>
    <w:rsid w:val="066FD172"/>
    <w:rsid w:val="067108FA"/>
    <w:rsid w:val="069B1336"/>
    <w:rsid w:val="06EF31F8"/>
    <w:rsid w:val="06FE589A"/>
    <w:rsid w:val="06FF01C2"/>
    <w:rsid w:val="07656842"/>
    <w:rsid w:val="078B2230"/>
    <w:rsid w:val="07B72767"/>
    <w:rsid w:val="07C65B77"/>
    <w:rsid w:val="07F4272E"/>
    <w:rsid w:val="080170C8"/>
    <w:rsid w:val="08077E72"/>
    <w:rsid w:val="081C750A"/>
    <w:rsid w:val="082E2B16"/>
    <w:rsid w:val="08794BC9"/>
    <w:rsid w:val="08882DD0"/>
    <w:rsid w:val="08E67E6A"/>
    <w:rsid w:val="09151D3A"/>
    <w:rsid w:val="0932437B"/>
    <w:rsid w:val="09364131"/>
    <w:rsid w:val="095F763D"/>
    <w:rsid w:val="097EC48E"/>
    <w:rsid w:val="0981726F"/>
    <w:rsid w:val="09CB082F"/>
    <w:rsid w:val="09CC2AAC"/>
    <w:rsid w:val="09F14739"/>
    <w:rsid w:val="0A652D3E"/>
    <w:rsid w:val="0A6B2334"/>
    <w:rsid w:val="0A8E0C16"/>
    <w:rsid w:val="0AD3064E"/>
    <w:rsid w:val="0AFE7B5A"/>
    <w:rsid w:val="0B0C7351"/>
    <w:rsid w:val="0B326F2A"/>
    <w:rsid w:val="0B6C26A5"/>
    <w:rsid w:val="0BDB546F"/>
    <w:rsid w:val="0BE26D39"/>
    <w:rsid w:val="0BEF2EFA"/>
    <w:rsid w:val="0C0A7A75"/>
    <w:rsid w:val="0C1E2888"/>
    <w:rsid w:val="0C265565"/>
    <w:rsid w:val="0C7156BE"/>
    <w:rsid w:val="0C92213C"/>
    <w:rsid w:val="0CC2027E"/>
    <w:rsid w:val="0CF34297"/>
    <w:rsid w:val="0D293768"/>
    <w:rsid w:val="0D6CF24C"/>
    <w:rsid w:val="0D84032B"/>
    <w:rsid w:val="0DAB55DD"/>
    <w:rsid w:val="0DB13EEB"/>
    <w:rsid w:val="0E05F346"/>
    <w:rsid w:val="0E0A7C5F"/>
    <w:rsid w:val="0E1D2B5A"/>
    <w:rsid w:val="0E341F67"/>
    <w:rsid w:val="0E347E1A"/>
    <w:rsid w:val="0E35955E"/>
    <w:rsid w:val="0E40D196"/>
    <w:rsid w:val="0E666FCF"/>
    <w:rsid w:val="0E8F62CF"/>
    <w:rsid w:val="0EE87108"/>
    <w:rsid w:val="0F013807"/>
    <w:rsid w:val="0F087E2F"/>
    <w:rsid w:val="0F115E66"/>
    <w:rsid w:val="0F2A74C4"/>
    <w:rsid w:val="0F847DFE"/>
    <w:rsid w:val="0F8A3E81"/>
    <w:rsid w:val="0FC432C2"/>
    <w:rsid w:val="0FC64C2D"/>
    <w:rsid w:val="0FCE72CB"/>
    <w:rsid w:val="0FEB9FD9"/>
    <w:rsid w:val="0FFE7CC8"/>
    <w:rsid w:val="101A5BD7"/>
    <w:rsid w:val="101C7C7D"/>
    <w:rsid w:val="10807A49"/>
    <w:rsid w:val="1083461C"/>
    <w:rsid w:val="1098289D"/>
    <w:rsid w:val="10A27F31"/>
    <w:rsid w:val="10C878E4"/>
    <w:rsid w:val="10FD1185"/>
    <w:rsid w:val="11266BAE"/>
    <w:rsid w:val="114511EA"/>
    <w:rsid w:val="115757C9"/>
    <w:rsid w:val="11927058"/>
    <w:rsid w:val="11E701D0"/>
    <w:rsid w:val="124F46E7"/>
    <w:rsid w:val="127F665A"/>
    <w:rsid w:val="12B44556"/>
    <w:rsid w:val="12B74046"/>
    <w:rsid w:val="12BEA3C7"/>
    <w:rsid w:val="12D915F2"/>
    <w:rsid w:val="1347FAF9"/>
    <w:rsid w:val="1362048E"/>
    <w:rsid w:val="13AF4F03"/>
    <w:rsid w:val="13E23345"/>
    <w:rsid w:val="14736E66"/>
    <w:rsid w:val="14755B87"/>
    <w:rsid w:val="147F458F"/>
    <w:rsid w:val="148119D3"/>
    <w:rsid w:val="149A00A4"/>
    <w:rsid w:val="1511620B"/>
    <w:rsid w:val="1534169A"/>
    <w:rsid w:val="153B1306"/>
    <w:rsid w:val="159B7C4F"/>
    <w:rsid w:val="15B51311"/>
    <w:rsid w:val="15C03E03"/>
    <w:rsid w:val="15DB2C44"/>
    <w:rsid w:val="162A25EB"/>
    <w:rsid w:val="162C7CB7"/>
    <w:rsid w:val="16735895"/>
    <w:rsid w:val="16E2F80B"/>
    <w:rsid w:val="16FD2A55"/>
    <w:rsid w:val="17067C1A"/>
    <w:rsid w:val="170867EA"/>
    <w:rsid w:val="17125CEF"/>
    <w:rsid w:val="17366761"/>
    <w:rsid w:val="175D5D83"/>
    <w:rsid w:val="177C01F0"/>
    <w:rsid w:val="179E3EFA"/>
    <w:rsid w:val="17CE6630"/>
    <w:rsid w:val="17F223B9"/>
    <w:rsid w:val="17F3155F"/>
    <w:rsid w:val="186E01E8"/>
    <w:rsid w:val="1875B668"/>
    <w:rsid w:val="18876CC2"/>
    <w:rsid w:val="18950986"/>
    <w:rsid w:val="189C2348"/>
    <w:rsid w:val="189D1475"/>
    <w:rsid w:val="18BA4890"/>
    <w:rsid w:val="192468B0"/>
    <w:rsid w:val="19A25FC5"/>
    <w:rsid w:val="19DE36A1"/>
    <w:rsid w:val="19FD2C86"/>
    <w:rsid w:val="1A0305FA"/>
    <w:rsid w:val="1A1A2C13"/>
    <w:rsid w:val="1A8B7BFC"/>
    <w:rsid w:val="1ABA428D"/>
    <w:rsid w:val="1AC92B69"/>
    <w:rsid w:val="1AEAD792"/>
    <w:rsid w:val="1AFF0AFE"/>
    <w:rsid w:val="1B14193F"/>
    <w:rsid w:val="1B17C1BA"/>
    <w:rsid w:val="1B4F19F8"/>
    <w:rsid w:val="1B5E59A7"/>
    <w:rsid w:val="1BAF35F5"/>
    <w:rsid w:val="1BE539D2"/>
    <w:rsid w:val="1C295FB5"/>
    <w:rsid w:val="1C4F2064"/>
    <w:rsid w:val="1C7A79F5"/>
    <w:rsid w:val="1C7B18F9"/>
    <w:rsid w:val="1C984EE8"/>
    <w:rsid w:val="1CBD04AB"/>
    <w:rsid w:val="1CF3211F"/>
    <w:rsid w:val="1D0151B5"/>
    <w:rsid w:val="1D491D3F"/>
    <w:rsid w:val="1D6628F1"/>
    <w:rsid w:val="1D795028"/>
    <w:rsid w:val="1D911544"/>
    <w:rsid w:val="1E2D2F17"/>
    <w:rsid w:val="1E5A048F"/>
    <w:rsid w:val="1E6E4153"/>
    <w:rsid w:val="1E7620A6"/>
    <w:rsid w:val="1E8463CD"/>
    <w:rsid w:val="1EC1089B"/>
    <w:rsid w:val="1EC2320E"/>
    <w:rsid w:val="1ECC44FA"/>
    <w:rsid w:val="1F063325"/>
    <w:rsid w:val="1F0D02B2"/>
    <w:rsid w:val="1F474034"/>
    <w:rsid w:val="1F9C4CF0"/>
    <w:rsid w:val="1FAD4807"/>
    <w:rsid w:val="1FBC5DF5"/>
    <w:rsid w:val="1FF90588"/>
    <w:rsid w:val="20332F93"/>
    <w:rsid w:val="2056255B"/>
    <w:rsid w:val="20C3623F"/>
    <w:rsid w:val="20D732FD"/>
    <w:rsid w:val="20EC3454"/>
    <w:rsid w:val="20FA42D6"/>
    <w:rsid w:val="210C7717"/>
    <w:rsid w:val="21156B08"/>
    <w:rsid w:val="211772FE"/>
    <w:rsid w:val="212C60E2"/>
    <w:rsid w:val="21551C24"/>
    <w:rsid w:val="21781212"/>
    <w:rsid w:val="217C763D"/>
    <w:rsid w:val="21991B4E"/>
    <w:rsid w:val="21B83F86"/>
    <w:rsid w:val="221072FD"/>
    <w:rsid w:val="221178A8"/>
    <w:rsid w:val="221213CF"/>
    <w:rsid w:val="22327A92"/>
    <w:rsid w:val="226C5054"/>
    <w:rsid w:val="2292CCDE"/>
    <w:rsid w:val="2295740C"/>
    <w:rsid w:val="22BF0270"/>
    <w:rsid w:val="22C33871"/>
    <w:rsid w:val="23055D2E"/>
    <w:rsid w:val="231D53A2"/>
    <w:rsid w:val="23531EBA"/>
    <w:rsid w:val="2353A6FF"/>
    <w:rsid w:val="235D217B"/>
    <w:rsid w:val="235F050E"/>
    <w:rsid w:val="236D5383"/>
    <w:rsid w:val="23978447"/>
    <w:rsid w:val="239B7DB8"/>
    <w:rsid w:val="23B74331"/>
    <w:rsid w:val="23B7504C"/>
    <w:rsid w:val="23EC7631"/>
    <w:rsid w:val="24059C90"/>
    <w:rsid w:val="243D3F19"/>
    <w:rsid w:val="244D34BD"/>
    <w:rsid w:val="24571307"/>
    <w:rsid w:val="24A87C93"/>
    <w:rsid w:val="24C85C3F"/>
    <w:rsid w:val="24DB3365"/>
    <w:rsid w:val="25110A2A"/>
    <w:rsid w:val="256C0944"/>
    <w:rsid w:val="256D3B32"/>
    <w:rsid w:val="25854E07"/>
    <w:rsid w:val="25B82157"/>
    <w:rsid w:val="25BC3BB6"/>
    <w:rsid w:val="25C52349"/>
    <w:rsid w:val="25EF7461"/>
    <w:rsid w:val="25F42076"/>
    <w:rsid w:val="25F767DC"/>
    <w:rsid w:val="260F0149"/>
    <w:rsid w:val="2623053C"/>
    <w:rsid w:val="26446DE3"/>
    <w:rsid w:val="269669E7"/>
    <w:rsid w:val="26A270C1"/>
    <w:rsid w:val="26D7699F"/>
    <w:rsid w:val="270D6C7A"/>
    <w:rsid w:val="278B476F"/>
    <w:rsid w:val="278F1B32"/>
    <w:rsid w:val="27933FCE"/>
    <w:rsid w:val="27B043E8"/>
    <w:rsid w:val="27C029D3"/>
    <w:rsid w:val="27D56FF1"/>
    <w:rsid w:val="28059361"/>
    <w:rsid w:val="2880D188"/>
    <w:rsid w:val="28DC43AF"/>
    <w:rsid w:val="28F95E3F"/>
    <w:rsid w:val="29036AF9"/>
    <w:rsid w:val="29057462"/>
    <w:rsid w:val="290C4C94"/>
    <w:rsid w:val="29170FB7"/>
    <w:rsid w:val="29A64D1D"/>
    <w:rsid w:val="29CF1F2A"/>
    <w:rsid w:val="29D75F7F"/>
    <w:rsid w:val="29DC160F"/>
    <w:rsid w:val="2A3A788C"/>
    <w:rsid w:val="2A995F1F"/>
    <w:rsid w:val="2ABB3F17"/>
    <w:rsid w:val="2ACE20AF"/>
    <w:rsid w:val="2AFC2966"/>
    <w:rsid w:val="2B31595B"/>
    <w:rsid w:val="2B5608DA"/>
    <w:rsid w:val="2B763693"/>
    <w:rsid w:val="2B774624"/>
    <w:rsid w:val="2B8E5849"/>
    <w:rsid w:val="2B942A21"/>
    <w:rsid w:val="2BD245C9"/>
    <w:rsid w:val="2BE30297"/>
    <w:rsid w:val="2BFB7147"/>
    <w:rsid w:val="2C7A72BE"/>
    <w:rsid w:val="2C9A7D75"/>
    <w:rsid w:val="2CC17412"/>
    <w:rsid w:val="2CDC1A91"/>
    <w:rsid w:val="2CDE24A4"/>
    <w:rsid w:val="2D304217"/>
    <w:rsid w:val="2D7C1E99"/>
    <w:rsid w:val="2D9BD8D0"/>
    <w:rsid w:val="2DB7D35D"/>
    <w:rsid w:val="2E522F22"/>
    <w:rsid w:val="2E99384E"/>
    <w:rsid w:val="2E9976CE"/>
    <w:rsid w:val="2EF01DEE"/>
    <w:rsid w:val="2F1A3DC2"/>
    <w:rsid w:val="2F3A0C53"/>
    <w:rsid w:val="2F401D3C"/>
    <w:rsid w:val="2F5B24E1"/>
    <w:rsid w:val="2F7A10CE"/>
    <w:rsid w:val="2F9D8C78"/>
    <w:rsid w:val="2FA95C88"/>
    <w:rsid w:val="2FFF59D2"/>
    <w:rsid w:val="301A5EE8"/>
    <w:rsid w:val="30226805"/>
    <w:rsid w:val="30330D58"/>
    <w:rsid w:val="303D6D4B"/>
    <w:rsid w:val="3041370F"/>
    <w:rsid w:val="30623809"/>
    <w:rsid w:val="306657C7"/>
    <w:rsid w:val="3071DF2B"/>
    <w:rsid w:val="30A61E5C"/>
    <w:rsid w:val="30B87FED"/>
    <w:rsid w:val="312B50A3"/>
    <w:rsid w:val="31466CA2"/>
    <w:rsid w:val="314A7715"/>
    <w:rsid w:val="31593A21"/>
    <w:rsid w:val="3186C09E"/>
    <w:rsid w:val="31894FD2"/>
    <w:rsid w:val="31CC4FC0"/>
    <w:rsid w:val="3202299E"/>
    <w:rsid w:val="32073DD2"/>
    <w:rsid w:val="32453A27"/>
    <w:rsid w:val="3263064A"/>
    <w:rsid w:val="3279456B"/>
    <w:rsid w:val="32955609"/>
    <w:rsid w:val="32A43132"/>
    <w:rsid w:val="32AC0C06"/>
    <w:rsid w:val="32B76771"/>
    <w:rsid w:val="32CF3C2F"/>
    <w:rsid w:val="32D02F8A"/>
    <w:rsid w:val="33171B3A"/>
    <w:rsid w:val="33344EF5"/>
    <w:rsid w:val="33CC0C63"/>
    <w:rsid w:val="3402558D"/>
    <w:rsid w:val="34106542"/>
    <w:rsid w:val="342E014E"/>
    <w:rsid w:val="345DC6E4"/>
    <w:rsid w:val="346B081A"/>
    <w:rsid w:val="349518AA"/>
    <w:rsid w:val="349816E2"/>
    <w:rsid w:val="34A4402B"/>
    <w:rsid w:val="34D10C3C"/>
    <w:rsid w:val="34D8334B"/>
    <w:rsid w:val="34E42621"/>
    <w:rsid w:val="34E9396E"/>
    <w:rsid w:val="34F90010"/>
    <w:rsid w:val="3537750C"/>
    <w:rsid w:val="3537798C"/>
    <w:rsid w:val="3558300F"/>
    <w:rsid w:val="359CF07E"/>
    <w:rsid w:val="35C13FC9"/>
    <w:rsid w:val="35F70CA5"/>
    <w:rsid w:val="35FA0B23"/>
    <w:rsid w:val="364257B6"/>
    <w:rsid w:val="365575C1"/>
    <w:rsid w:val="36660411"/>
    <w:rsid w:val="366F4624"/>
    <w:rsid w:val="36A12AC7"/>
    <w:rsid w:val="36D205D3"/>
    <w:rsid w:val="371986D5"/>
    <w:rsid w:val="372F487A"/>
    <w:rsid w:val="37443FC9"/>
    <w:rsid w:val="374F2353"/>
    <w:rsid w:val="37820248"/>
    <w:rsid w:val="37BA3B0D"/>
    <w:rsid w:val="37EA5922"/>
    <w:rsid w:val="380219EB"/>
    <w:rsid w:val="381221CC"/>
    <w:rsid w:val="38276B93"/>
    <w:rsid w:val="383D6291"/>
    <w:rsid w:val="38444D79"/>
    <w:rsid w:val="384F457A"/>
    <w:rsid w:val="385372D5"/>
    <w:rsid w:val="38891B91"/>
    <w:rsid w:val="38AC3431"/>
    <w:rsid w:val="38F09913"/>
    <w:rsid w:val="38FC4F5B"/>
    <w:rsid w:val="3903C74C"/>
    <w:rsid w:val="390C1F51"/>
    <w:rsid w:val="392F2E16"/>
    <w:rsid w:val="39B9EFCF"/>
    <w:rsid w:val="39E00529"/>
    <w:rsid w:val="3A0B64A7"/>
    <w:rsid w:val="3A574DDA"/>
    <w:rsid w:val="3A8334DB"/>
    <w:rsid w:val="3AAD18F1"/>
    <w:rsid w:val="3AC30F2B"/>
    <w:rsid w:val="3ACF6558"/>
    <w:rsid w:val="3AD3075A"/>
    <w:rsid w:val="3AF74C02"/>
    <w:rsid w:val="3B1D688D"/>
    <w:rsid w:val="3B40257B"/>
    <w:rsid w:val="3B437B0D"/>
    <w:rsid w:val="3B5944B4"/>
    <w:rsid w:val="3B5953EB"/>
    <w:rsid w:val="3B8E1539"/>
    <w:rsid w:val="3BFF33E6"/>
    <w:rsid w:val="3C0059A5"/>
    <w:rsid w:val="3C134E78"/>
    <w:rsid w:val="3C636521"/>
    <w:rsid w:val="3C8DEA7D"/>
    <w:rsid w:val="3D015D3A"/>
    <w:rsid w:val="3D0A55A9"/>
    <w:rsid w:val="3D2F2A3E"/>
    <w:rsid w:val="3D37175C"/>
    <w:rsid w:val="3D3A19A2"/>
    <w:rsid w:val="3D68024A"/>
    <w:rsid w:val="3D815877"/>
    <w:rsid w:val="3DDD605B"/>
    <w:rsid w:val="3DF6345D"/>
    <w:rsid w:val="3E2B5515"/>
    <w:rsid w:val="3E435054"/>
    <w:rsid w:val="3E4D4F28"/>
    <w:rsid w:val="3E6B3DB3"/>
    <w:rsid w:val="3EAC2B6C"/>
    <w:rsid w:val="3ED92EC4"/>
    <w:rsid w:val="3EE13701"/>
    <w:rsid w:val="3F1A4BB3"/>
    <w:rsid w:val="3F1B1335"/>
    <w:rsid w:val="3F1D6580"/>
    <w:rsid w:val="3F5723EE"/>
    <w:rsid w:val="3FF878C8"/>
    <w:rsid w:val="40192BA6"/>
    <w:rsid w:val="404375BC"/>
    <w:rsid w:val="408B4299"/>
    <w:rsid w:val="40BC26A4"/>
    <w:rsid w:val="40E05E1F"/>
    <w:rsid w:val="41185C92"/>
    <w:rsid w:val="41766EA9"/>
    <w:rsid w:val="41DF05F2"/>
    <w:rsid w:val="41E332F9"/>
    <w:rsid w:val="423C3269"/>
    <w:rsid w:val="42416CF7"/>
    <w:rsid w:val="42550A18"/>
    <w:rsid w:val="426201B3"/>
    <w:rsid w:val="4290203A"/>
    <w:rsid w:val="429D496A"/>
    <w:rsid w:val="42F473A1"/>
    <w:rsid w:val="432602A9"/>
    <w:rsid w:val="437217EA"/>
    <w:rsid w:val="43AB7156"/>
    <w:rsid w:val="43B807AD"/>
    <w:rsid w:val="43C4180D"/>
    <w:rsid w:val="440700DA"/>
    <w:rsid w:val="441E62C0"/>
    <w:rsid w:val="443D666E"/>
    <w:rsid w:val="44790C24"/>
    <w:rsid w:val="44BC5D09"/>
    <w:rsid w:val="453207C7"/>
    <w:rsid w:val="45325D14"/>
    <w:rsid w:val="45783CBB"/>
    <w:rsid w:val="45811C7C"/>
    <w:rsid w:val="45906116"/>
    <w:rsid w:val="45931B8C"/>
    <w:rsid w:val="459B59BD"/>
    <w:rsid w:val="45C52FA1"/>
    <w:rsid w:val="45EF2552"/>
    <w:rsid w:val="4614088C"/>
    <w:rsid w:val="46872044"/>
    <w:rsid w:val="468B3EFB"/>
    <w:rsid w:val="46B362F7"/>
    <w:rsid w:val="46C9E310"/>
    <w:rsid w:val="46D9536E"/>
    <w:rsid w:val="470A6193"/>
    <w:rsid w:val="471104BE"/>
    <w:rsid w:val="472B5FDC"/>
    <w:rsid w:val="47385210"/>
    <w:rsid w:val="479618C8"/>
    <w:rsid w:val="479B3E13"/>
    <w:rsid w:val="47AA594C"/>
    <w:rsid w:val="47DC4F5C"/>
    <w:rsid w:val="47EF15B1"/>
    <w:rsid w:val="480D1FCD"/>
    <w:rsid w:val="481F28D1"/>
    <w:rsid w:val="482E032B"/>
    <w:rsid w:val="48B40671"/>
    <w:rsid w:val="48C750EF"/>
    <w:rsid w:val="49370211"/>
    <w:rsid w:val="49593E16"/>
    <w:rsid w:val="496A613F"/>
    <w:rsid w:val="499261A0"/>
    <w:rsid w:val="49957F36"/>
    <w:rsid w:val="499A05E2"/>
    <w:rsid w:val="499B5738"/>
    <w:rsid w:val="499F244D"/>
    <w:rsid w:val="49C10D2B"/>
    <w:rsid w:val="49C6610C"/>
    <w:rsid w:val="49F66C27"/>
    <w:rsid w:val="4A973F3F"/>
    <w:rsid w:val="4ADC5E48"/>
    <w:rsid w:val="4AF33166"/>
    <w:rsid w:val="4AF96BC7"/>
    <w:rsid w:val="4B316D4A"/>
    <w:rsid w:val="4B324BC7"/>
    <w:rsid w:val="4B453A87"/>
    <w:rsid w:val="4B666CF3"/>
    <w:rsid w:val="4B862A85"/>
    <w:rsid w:val="4BB51B96"/>
    <w:rsid w:val="4C6F4A6E"/>
    <w:rsid w:val="4C9E35A6"/>
    <w:rsid w:val="4C9F467F"/>
    <w:rsid w:val="4CD64AED"/>
    <w:rsid w:val="4CEF36E2"/>
    <w:rsid w:val="4CEF4DC5"/>
    <w:rsid w:val="4D0B0340"/>
    <w:rsid w:val="4DB62553"/>
    <w:rsid w:val="4DDE20C6"/>
    <w:rsid w:val="4DE5069B"/>
    <w:rsid w:val="4E109D2C"/>
    <w:rsid w:val="4E257655"/>
    <w:rsid w:val="4E3B2F0E"/>
    <w:rsid w:val="4E630A34"/>
    <w:rsid w:val="4EC92B5C"/>
    <w:rsid w:val="4F1E278A"/>
    <w:rsid w:val="4F1E3CD2"/>
    <w:rsid w:val="4F351D17"/>
    <w:rsid w:val="4F372380"/>
    <w:rsid w:val="4F372FFB"/>
    <w:rsid w:val="4F4767DE"/>
    <w:rsid w:val="4F4C1097"/>
    <w:rsid w:val="4FA505E0"/>
    <w:rsid w:val="4FAB9ABC"/>
    <w:rsid w:val="4FD800EA"/>
    <w:rsid w:val="4FE42B7A"/>
    <w:rsid w:val="5025116D"/>
    <w:rsid w:val="503A7299"/>
    <w:rsid w:val="5046E0FA"/>
    <w:rsid w:val="50676251"/>
    <w:rsid w:val="50853407"/>
    <w:rsid w:val="509B1048"/>
    <w:rsid w:val="50E01E4E"/>
    <w:rsid w:val="5110B4CF"/>
    <w:rsid w:val="51165973"/>
    <w:rsid w:val="514F0E5A"/>
    <w:rsid w:val="51872650"/>
    <w:rsid w:val="51913CDA"/>
    <w:rsid w:val="51DA3794"/>
    <w:rsid w:val="51E83B53"/>
    <w:rsid w:val="51F2724C"/>
    <w:rsid w:val="5233653E"/>
    <w:rsid w:val="52395ECD"/>
    <w:rsid w:val="52C10D75"/>
    <w:rsid w:val="52C5188C"/>
    <w:rsid w:val="52EE7A64"/>
    <w:rsid w:val="52EF4B5B"/>
    <w:rsid w:val="53190708"/>
    <w:rsid w:val="532B157C"/>
    <w:rsid w:val="53421F8C"/>
    <w:rsid w:val="534372EF"/>
    <w:rsid w:val="53A1135E"/>
    <w:rsid w:val="53B0035C"/>
    <w:rsid w:val="53C27FF8"/>
    <w:rsid w:val="540939FA"/>
    <w:rsid w:val="54572089"/>
    <w:rsid w:val="549E1A80"/>
    <w:rsid w:val="54BC6CBF"/>
    <w:rsid w:val="54C658F4"/>
    <w:rsid w:val="550C4BD7"/>
    <w:rsid w:val="55169701"/>
    <w:rsid w:val="5524147C"/>
    <w:rsid w:val="552C5BF2"/>
    <w:rsid w:val="553370D9"/>
    <w:rsid w:val="554C1D56"/>
    <w:rsid w:val="555109BF"/>
    <w:rsid w:val="55572986"/>
    <w:rsid w:val="556D365C"/>
    <w:rsid w:val="558E2819"/>
    <w:rsid w:val="558E517F"/>
    <w:rsid w:val="55AF118E"/>
    <w:rsid w:val="55D2686D"/>
    <w:rsid w:val="56233DAE"/>
    <w:rsid w:val="5625767E"/>
    <w:rsid w:val="565340FA"/>
    <w:rsid w:val="568C38D5"/>
    <w:rsid w:val="56A224BE"/>
    <w:rsid w:val="56AD5F59"/>
    <w:rsid w:val="56DF0A43"/>
    <w:rsid w:val="56DF9754"/>
    <w:rsid w:val="56E61DD1"/>
    <w:rsid w:val="57225757"/>
    <w:rsid w:val="5725406C"/>
    <w:rsid w:val="57581859"/>
    <w:rsid w:val="57B12A52"/>
    <w:rsid w:val="57DC3180"/>
    <w:rsid w:val="57E741D3"/>
    <w:rsid w:val="57F468A6"/>
    <w:rsid w:val="58772EB8"/>
    <w:rsid w:val="58882378"/>
    <w:rsid w:val="591732B3"/>
    <w:rsid w:val="59217C8D"/>
    <w:rsid w:val="594352B9"/>
    <w:rsid w:val="59482AB2"/>
    <w:rsid w:val="5990320D"/>
    <w:rsid w:val="59B43CF0"/>
    <w:rsid w:val="59EBE20A"/>
    <w:rsid w:val="5A0E3E92"/>
    <w:rsid w:val="5A19389E"/>
    <w:rsid w:val="5A2F2CC8"/>
    <w:rsid w:val="5A3E4B5D"/>
    <w:rsid w:val="5A455061"/>
    <w:rsid w:val="5A464163"/>
    <w:rsid w:val="5A651394"/>
    <w:rsid w:val="5A805A4C"/>
    <w:rsid w:val="5A9572F9"/>
    <w:rsid w:val="5AC40EAF"/>
    <w:rsid w:val="5AEE538A"/>
    <w:rsid w:val="5AF34E7A"/>
    <w:rsid w:val="5B12406D"/>
    <w:rsid w:val="5B3E13DB"/>
    <w:rsid w:val="5B414137"/>
    <w:rsid w:val="5B527A35"/>
    <w:rsid w:val="5B9E4B97"/>
    <w:rsid w:val="5BBC1352"/>
    <w:rsid w:val="5C10702D"/>
    <w:rsid w:val="5C152601"/>
    <w:rsid w:val="5C591F03"/>
    <w:rsid w:val="5C691D1F"/>
    <w:rsid w:val="5C8A1B2F"/>
    <w:rsid w:val="5CA74067"/>
    <w:rsid w:val="5D047455"/>
    <w:rsid w:val="5D535CE6"/>
    <w:rsid w:val="5D5D0C48"/>
    <w:rsid w:val="5D8F3069"/>
    <w:rsid w:val="5DB6074F"/>
    <w:rsid w:val="5DCD7847"/>
    <w:rsid w:val="5E2EC38D"/>
    <w:rsid w:val="5E3F3841"/>
    <w:rsid w:val="5E4915C3"/>
    <w:rsid w:val="5E685360"/>
    <w:rsid w:val="5E6912A0"/>
    <w:rsid w:val="5EAA52DB"/>
    <w:rsid w:val="5EBF4FF9"/>
    <w:rsid w:val="5ECC5D50"/>
    <w:rsid w:val="5F113688"/>
    <w:rsid w:val="5F5606F5"/>
    <w:rsid w:val="5F561B72"/>
    <w:rsid w:val="602B518E"/>
    <w:rsid w:val="602B6AA7"/>
    <w:rsid w:val="603151DC"/>
    <w:rsid w:val="60470EFE"/>
    <w:rsid w:val="60560F72"/>
    <w:rsid w:val="606007BB"/>
    <w:rsid w:val="60670080"/>
    <w:rsid w:val="607B17DC"/>
    <w:rsid w:val="60AC7F66"/>
    <w:rsid w:val="611E5323"/>
    <w:rsid w:val="6142679E"/>
    <w:rsid w:val="619310C7"/>
    <w:rsid w:val="61B336CF"/>
    <w:rsid w:val="61BF10D9"/>
    <w:rsid w:val="61F77588"/>
    <w:rsid w:val="620B6B90"/>
    <w:rsid w:val="621E79B1"/>
    <w:rsid w:val="622C5F68"/>
    <w:rsid w:val="62347E94"/>
    <w:rsid w:val="62595B4D"/>
    <w:rsid w:val="62AC22DC"/>
    <w:rsid w:val="62AF17A6"/>
    <w:rsid w:val="6311467A"/>
    <w:rsid w:val="633E89BE"/>
    <w:rsid w:val="63400ABB"/>
    <w:rsid w:val="638A3663"/>
    <w:rsid w:val="63A22BFD"/>
    <w:rsid w:val="63A6046B"/>
    <w:rsid w:val="63AD40A5"/>
    <w:rsid w:val="63CD5B23"/>
    <w:rsid w:val="63E458EA"/>
    <w:rsid w:val="647B7FFD"/>
    <w:rsid w:val="64881FA6"/>
    <w:rsid w:val="64DA4E67"/>
    <w:rsid w:val="64E45EF7"/>
    <w:rsid w:val="64EC4327"/>
    <w:rsid w:val="651E4E2C"/>
    <w:rsid w:val="65201A83"/>
    <w:rsid w:val="65384140"/>
    <w:rsid w:val="6548A7B4"/>
    <w:rsid w:val="65F272AE"/>
    <w:rsid w:val="6602164A"/>
    <w:rsid w:val="661B0340"/>
    <w:rsid w:val="664126D3"/>
    <w:rsid w:val="665E4AB4"/>
    <w:rsid w:val="666920D7"/>
    <w:rsid w:val="667928CA"/>
    <w:rsid w:val="667B6CFD"/>
    <w:rsid w:val="6691014E"/>
    <w:rsid w:val="66AAA1A8"/>
    <w:rsid w:val="66C30766"/>
    <w:rsid w:val="66C87CCE"/>
    <w:rsid w:val="66E06854"/>
    <w:rsid w:val="66F44096"/>
    <w:rsid w:val="671E1113"/>
    <w:rsid w:val="677435B2"/>
    <w:rsid w:val="67767861"/>
    <w:rsid w:val="678673E4"/>
    <w:rsid w:val="67A61834"/>
    <w:rsid w:val="67AA2C7C"/>
    <w:rsid w:val="67B8077F"/>
    <w:rsid w:val="67C03964"/>
    <w:rsid w:val="67D55C76"/>
    <w:rsid w:val="67EF75F1"/>
    <w:rsid w:val="68077DF9"/>
    <w:rsid w:val="68241A52"/>
    <w:rsid w:val="6837621D"/>
    <w:rsid w:val="683A01CF"/>
    <w:rsid w:val="684F4F11"/>
    <w:rsid w:val="685E7027"/>
    <w:rsid w:val="688A5097"/>
    <w:rsid w:val="689903E0"/>
    <w:rsid w:val="68BE79F0"/>
    <w:rsid w:val="68E32614"/>
    <w:rsid w:val="69124F16"/>
    <w:rsid w:val="69144B99"/>
    <w:rsid w:val="694E2184"/>
    <w:rsid w:val="69A928BE"/>
    <w:rsid w:val="69CD5C14"/>
    <w:rsid w:val="69CF0D33"/>
    <w:rsid w:val="69F43C85"/>
    <w:rsid w:val="6A5D04B6"/>
    <w:rsid w:val="6A7B430A"/>
    <w:rsid w:val="6AB06526"/>
    <w:rsid w:val="6AB846BB"/>
    <w:rsid w:val="6AFF300A"/>
    <w:rsid w:val="6B9946B3"/>
    <w:rsid w:val="6BC46E7B"/>
    <w:rsid w:val="6BE4B0C9"/>
    <w:rsid w:val="6C276F3A"/>
    <w:rsid w:val="6C335661"/>
    <w:rsid w:val="6C7007C7"/>
    <w:rsid w:val="6C710215"/>
    <w:rsid w:val="6CFE5C6F"/>
    <w:rsid w:val="6D0B5802"/>
    <w:rsid w:val="6D2073E6"/>
    <w:rsid w:val="6D2A54DF"/>
    <w:rsid w:val="6D82064E"/>
    <w:rsid w:val="6D8532DC"/>
    <w:rsid w:val="6DE76850"/>
    <w:rsid w:val="6E021A03"/>
    <w:rsid w:val="6E276AFF"/>
    <w:rsid w:val="6E414568"/>
    <w:rsid w:val="6E7F0BBC"/>
    <w:rsid w:val="6E980784"/>
    <w:rsid w:val="6E9C7DB3"/>
    <w:rsid w:val="6F246E59"/>
    <w:rsid w:val="6F2B6AC3"/>
    <w:rsid w:val="6F513CB1"/>
    <w:rsid w:val="6F8E6C08"/>
    <w:rsid w:val="6F98719F"/>
    <w:rsid w:val="6F9E1011"/>
    <w:rsid w:val="6FB20BD4"/>
    <w:rsid w:val="6FBA59BE"/>
    <w:rsid w:val="6FCC62BD"/>
    <w:rsid w:val="6FE96E7D"/>
    <w:rsid w:val="6FF326D1"/>
    <w:rsid w:val="70296B3E"/>
    <w:rsid w:val="70611204"/>
    <w:rsid w:val="70C745CA"/>
    <w:rsid w:val="71182116"/>
    <w:rsid w:val="7165620F"/>
    <w:rsid w:val="717039F8"/>
    <w:rsid w:val="717977C7"/>
    <w:rsid w:val="71B38443"/>
    <w:rsid w:val="71D451F0"/>
    <w:rsid w:val="71E202F1"/>
    <w:rsid w:val="71E842BB"/>
    <w:rsid w:val="71F6302D"/>
    <w:rsid w:val="72023D54"/>
    <w:rsid w:val="720E5E95"/>
    <w:rsid w:val="72FB055A"/>
    <w:rsid w:val="733D0DD5"/>
    <w:rsid w:val="73D75F90"/>
    <w:rsid w:val="74176499"/>
    <w:rsid w:val="741D10EA"/>
    <w:rsid w:val="74986A10"/>
    <w:rsid w:val="749C6C4C"/>
    <w:rsid w:val="74A52E74"/>
    <w:rsid w:val="74D13AD5"/>
    <w:rsid w:val="74FA2C30"/>
    <w:rsid w:val="751C006E"/>
    <w:rsid w:val="754D5C4B"/>
    <w:rsid w:val="755122F7"/>
    <w:rsid w:val="755E7BBC"/>
    <w:rsid w:val="758D3DC5"/>
    <w:rsid w:val="75900197"/>
    <w:rsid w:val="75BB04AA"/>
    <w:rsid w:val="761D5681"/>
    <w:rsid w:val="761D676E"/>
    <w:rsid w:val="7696369C"/>
    <w:rsid w:val="76C240A7"/>
    <w:rsid w:val="76DA416A"/>
    <w:rsid w:val="76F0487A"/>
    <w:rsid w:val="773C3B52"/>
    <w:rsid w:val="775246B7"/>
    <w:rsid w:val="7754D285"/>
    <w:rsid w:val="7788685B"/>
    <w:rsid w:val="779C230C"/>
    <w:rsid w:val="77A40224"/>
    <w:rsid w:val="781E69D1"/>
    <w:rsid w:val="785C02A9"/>
    <w:rsid w:val="78D12489"/>
    <w:rsid w:val="78E21FA1"/>
    <w:rsid w:val="78F30652"/>
    <w:rsid w:val="78F32400"/>
    <w:rsid w:val="7901747F"/>
    <w:rsid w:val="79AB4C25"/>
    <w:rsid w:val="79F169AB"/>
    <w:rsid w:val="7A263B6B"/>
    <w:rsid w:val="7A49604F"/>
    <w:rsid w:val="7A4D5B40"/>
    <w:rsid w:val="7A650681"/>
    <w:rsid w:val="7AA80151"/>
    <w:rsid w:val="7AF46346"/>
    <w:rsid w:val="7B0F5EBF"/>
    <w:rsid w:val="7B130FB9"/>
    <w:rsid w:val="7B3715D1"/>
    <w:rsid w:val="7B3B62E0"/>
    <w:rsid w:val="7B3D0369"/>
    <w:rsid w:val="7BA37F1B"/>
    <w:rsid w:val="7BC85C5B"/>
    <w:rsid w:val="7BCE0B7F"/>
    <w:rsid w:val="7BD71E38"/>
    <w:rsid w:val="7BF077CB"/>
    <w:rsid w:val="7BF64EDE"/>
    <w:rsid w:val="7C400C1E"/>
    <w:rsid w:val="7C5C5D14"/>
    <w:rsid w:val="7C727735"/>
    <w:rsid w:val="7CBF31AC"/>
    <w:rsid w:val="7D534BB0"/>
    <w:rsid w:val="7D552F5F"/>
    <w:rsid w:val="7D6A7876"/>
    <w:rsid w:val="7D951CD7"/>
    <w:rsid w:val="7D9615AC"/>
    <w:rsid w:val="7DCD72DE"/>
    <w:rsid w:val="7DCE725B"/>
    <w:rsid w:val="7DD11708"/>
    <w:rsid w:val="7DDC0AF6"/>
    <w:rsid w:val="7DDE0378"/>
    <w:rsid w:val="7DE24178"/>
    <w:rsid w:val="7DEE4A4F"/>
    <w:rsid w:val="7E2E3EDA"/>
    <w:rsid w:val="7E9B156F"/>
    <w:rsid w:val="7EAC3401"/>
    <w:rsid w:val="7EAE6230"/>
    <w:rsid w:val="7EBD579E"/>
    <w:rsid w:val="7EC167BD"/>
    <w:rsid w:val="7ECA2FD7"/>
    <w:rsid w:val="7ECB797B"/>
    <w:rsid w:val="7F0E3631"/>
    <w:rsid w:val="7F272D9E"/>
    <w:rsid w:val="7F864E24"/>
    <w:rsid w:val="7FC20D14"/>
    <w:rsid w:val="864481DF"/>
    <w:rsid w:val="8871CF93"/>
    <w:rsid w:val="89F6BFFF"/>
    <w:rsid w:val="8CEFAF3B"/>
    <w:rsid w:val="8E2A483C"/>
    <w:rsid w:val="8FAD061E"/>
    <w:rsid w:val="9098E6F6"/>
    <w:rsid w:val="92CEAE10"/>
    <w:rsid w:val="933554A1"/>
    <w:rsid w:val="9396B22D"/>
    <w:rsid w:val="96B3F5BF"/>
    <w:rsid w:val="96EF29BC"/>
    <w:rsid w:val="9AF32723"/>
    <w:rsid w:val="9BA27117"/>
    <w:rsid w:val="9D66A250"/>
    <w:rsid w:val="9D9B65F1"/>
    <w:rsid w:val="9DBB2D1A"/>
    <w:rsid w:val="9F93FDD9"/>
    <w:rsid w:val="A1973E0B"/>
    <w:rsid w:val="A2981AA1"/>
    <w:rsid w:val="A5FDA760"/>
    <w:rsid w:val="A87B08BC"/>
    <w:rsid w:val="A9F1218F"/>
    <w:rsid w:val="AA995171"/>
    <w:rsid w:val="ABEF0E63"/>
    <w:rsid w:val="ACB7B012"/>
    <w:rsid w:val="AE2CCFD4"/>
    <w:rsid w:val="AE95FA2F"/>
    <w:rsid w:val="B00EF8C1"/>
    <w:rsid w:val="B3504F9E"/>
    <w:rsid w:val="B37FE7CF"/>
    <w:rsid w:val="B4804217"/>
    <w:rsid w:val="B4C8516E"/>
    <w:rsid w:val="B4F8565A"/>
    <w:rsid w:val="B70F5D2C"/>
    <w:rsid w:val="B86D06CB"/>
    <w:rsid w:val="B9BF38AE"/>
    <w:rsid w:val="BCD49785"/>
    <w:rsid w:val="C3B56FED"/>
    <w:rsid w:val="C3CCA525"/>
    <w:rsid w:val="C4DD2315"/>
    <w:rsid w:val="C5951431"/>
    <w:rsid w:val="C6CF0ADD"/>
    <w:rsid w:val="CA456793"/>
    <w:rsid w:val="CABFC11A"/>
    <w:rsid w:val="CF7E7D33"/>
    <w:rsid w:val="D3624856"/>
    <w:rsid w:val="D4B43411"/>
    <w:rsid w:val="D817D90F"/>
    <w:rsid w:val="DAFE91E8"/>
    <w:rsid w:val="DC7FE29D"/>
    <w:rsid w:val="DF535B6C"/>
    <w:rsid w:val="DFD1A87C"/>
    <w:rsid w:val="E0E36885"/>
    <w:rsid w:val="E11B7B7F"/>
    <w:rsid w:val="E22AB838"/>
    <w:rsid w:val="E88B6983"/>
    <w:rsid w:val="EB851555"/>
    <w:rsid w:val="F3E2C152"/>
    <w:rsid w:val="F5FF3FB5"/>
    <w:rsid w:val="F748A6D1"/>
    <w:rsid w:val="F8B461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qFormat="1" w:uiPriority="0" w:name="heading 6"/>
    <w:lsdException w:qFormat="1" w:uiPriority="0" w:name="heading 7"/>
    <w:lsdException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5"/>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36"/>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37"/>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6">
    <w:name w:val="heading 4"/>
    <w:basedOn w:val="1"/>
    <w:next w:val="1"/>
    <w:uiPriority w:val="0"/>
    <w:pPr>
      <w:spacing w:before="100" w:beforeAutospacing="1" w:after="100" w:afterAutospacing="1"/>
      <w:jc w:val="left"/>
      <w:outlineLvl w:val="3"/>
    </w:pPr>
    <w:rPr>
      <w:rFonts w:hint="eastAsia" w:ascii="宋体" w:hAnsi="宋体" w:eastAsia="宋体" w:cs="宋体"/>
      <w:b/>
      <w:kern w:val="0"/>
      <w:sz w:val="24"/>
      <w:lang w:bidi="ar"/>
    </w:rPr>
  </w:style>
  <w:style w:type="paragraph" w:styleId="7">
    <w:name w:val="heading 5"/>
    <w:basedOn w:val="1"/>
    <w:next w:val="8"/>
    <w:link w:val="38"/>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9">
    <w:name w:val="heading 8"/>
    <w:basedOn w:val="1"/>
    <w:next w:val="1"/>
    <w:link w:val="39"/>
    <w:uiPriority w:val="0"/>
    <w:pPr>
      <w:keepNext/>
      <w:keepLines/>
      <w:spacing w:before="240" w:after="64" w:line="320" w:lineRule="auto"/>
      <w:outlineLvl w:val="7"/>
    </w:pPr>
    <w:rPr>
      <w:rFonts w:ascii="等线 Light" w:hAnsi="等线 Light" w:eastAsia="等线 Light" w:cs="Times New Roman"/>
      <w:sz w:val="24"/>
    </w:rPr>
  </w:style>
  <w:style w:type="character" w:default="1" w:styleId="29">
    <w:name w:val="Default Paragraph Font"/>
    <w:uiPriority w:val="0"/>
    <w:rPr>
      <w:rFonts w:ascii="Times New Roman" w:hAnsi="Times New Roman" w:eastAsia="宋体" w:cs="Times New Roman"/>
    </w:rPr>
  </w:style>
  <w:style w:type="table" w:default="1" w:styleId="27">
    <w:name w:val="Normal Table"/>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header"/>
    <w:basedOn w:val="1"/>
    <w:link w:val="34"/>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8">
    <w:name w:val="Normal Indent"/>
    <w:basedOn w:val="1"/>
    <w:uiPriority w:val="0"/>
    <w:pPr>
      <w:ind w:firstLine="420"/>
    </w:pPr>
    <w:rPr>
      <w:rFonts w:ascii="Times New Roman" w:hAnsi="Times New Roman" w:eastAsia="宋体" w:cs="Times New Roman"/>
      <w:szCs w:val="20"/>
    </w:rPr>
  </w:style>
  <w:style w:type="paragraph" w:styleId="10">
    <w:name w:val="index 8"/>
    <w:basedOn w:val="1"/>
    <w:next w:val="1"/>
    <w:uiPriority w:val="0"/>
    <w:pPr>
      <w:widowControl/>
      <w:jc w:val="left"/>
    </w:pPr>
    <w:rPr>
      <w:rFonts w:ascii="宋体" w:hAnsi="宋体" w:eastAsia="宋体" w:cs="宋体"/>
      <w:kern w:val="0"/>
      <w:sz w:val="28"/>
      <w:szCs w:val="28"/>
    </w:rPr>
  </w:style>
  <w:style w:type="paragraph" w:styleId="11">
    <w:name w:val="List Number"/>
    <w:basedOn w:val="1"/>
    <w:uiPriority w:val="0"/>
    <w:pPr>
      <w:widowControl/>
      <w:tabs>
        <w:tab w:val="left" w:pos="454"/>
        <w:tab w:val="left" w:pos="720"/>
        <w:tab w:val="left" w:pos="840"/>
      </w:tabs>
      <w:spacing w:after="50" w:afterLines="50"/>
      <w:ind w:left="454" w:hanging="284"/>
      <w:jc w:val="left"/>
    </w:pPr>
    <w:rPr>
      <w:rFonts w:ascii="Times New Roman" w:hAnsi="Times New Roman" w:eastAsia="宋体" w:cs="Times New Roman"/>
      <w:kern w:val="0"/>
      <w:sz w:val="24"/>
      <w:szCs w:val="20"/>
    </w:rPr>
  </w:style>
  <w:style w:type="paragraph" w:styleId="12">
    <w:name w:val="annotation text"/>
    <w:basedOn w:val="1"/>
    <w:link w:val="40"/>
    <w:qFormat/>
    <w:uiPriority w:val="0"/>
    <w:pPr>
      <w:jc w:val="left"/>
    </w:pPr>
    <w:rPr>
      <w:rFonts w:ascii="Times New Roman" w:hAnsi="Times New Roman" w:eastAsia="宋体" w:cs="Times New Roman"/>
    </w:rPr>
  </w:style>
  <w:style w:type="paragraph" w:styleId="13">
    <w:name w:val="Body Text 3"/>
    <w:basedOn w:val="1"/>
    <w:link w:val="41"/>
    <w:qFormat/>
    <w:uiPriority w:val="0"/>
    <w:pPr>
      <w:spacing w:after="120"/>
    </w:pPr>
    <w:rPr>
      <w:rFonts w:ascii="Times New Roman" w:hAnsi="Times New Roman" w:eastAsia="宋体" w:cs="Times New Roman"/>
      <w:sz w:val="16"/>
      <w:szCs w:val="16"/>
    </w:rPr>
  </w:style>
  <w:style w:type="paragraph" w:styleId="14">
    <w:name w:val="Body Text"/>
    <w:basedOn w:val="1"/>
    <w:link w:val="42"/>
    <w:qFormat/>
    <w:uiPriority w:val="0"/>
    <w:pPr>
      <w:spacing w:after="120"/>
    </w:pPr>
    <w:rPr>
      <w:rFonts w:ascii="Times New Roman" w:hAnsi="Times New Roman" w:eastAsia="宋体" w:cs="Times New Roman"/>
    </w:rPr>
  </w:style>
  <w:style w:type="paragraph" w:styleId="15">
    <w:name w:val="Body Text Indent"/>
    <w:basedOn w:val="1"/>
    <w:link w:val="43"/>
    <w:qFormat/>
    <w:uiPriority w:val="0"/>
    <w:pPr>
      <w:ind w:firstLine="830" w:firstLineChars="352"/>
    </w:pPr>
    <w:rPr>
      <w:rFonts w:ascii="仿宋_GB2312" w:hAnsi="Times New Roman" w:eastAsia="仿宋_GB2312" w:cs="Times New Roman"/>
      <w:kern w:val="0"/>
      <w:sz w:val="32"/>
      <w:szCs w:val="20"/>
    </w:rPr>
  </w:style>
  <w:style w:type="paragraph" w:styleId="16">
    <w:name w:val="List 2"/>
    <w:basedOn w:val="1"/>
    <w:qFormat/>
    <w:uiPriority w:val="0"/>
    <w:pPr>
      <w:ind w:left="100" w:leftChars="200" w:hanging="200" w:hangingChars="200"/>
      <w:contextualSpacing/>
    </w:pPr>
    <w:rPr>
      <w:rFonts w:ascii="Times New Roman" w:hAnsi="Times New Roman" w:eastAsia="宋体" w:cs="Times New Roman"/>
    </w:rPr>
  </w:style>
  <w:style w:type="paragraph" w:styleId="17">
    <w:name w:val="index 4"/>
    <w:basedOn w:val="1"/>
    <w:next w:val="1"/>
    <w:qFormat/>
    <w:uiPriority w:val="0"/>
    <w:pPr>
      <w:ind w:left="600" w:leftChars="600"/>
    </w:pPr>
    <w:rPr>
      <w:rFonts w:ascii="Times New Roman" w:hAnsi="Times New Roman" w:eastAsia="宋体" w:cs="Times New Roman"/>
    </w:rPr>
  </w:style>
  <w:style w:type="paragraph" w:styleId="18">
    <w:name w:val="Plain Text"/>
    <w:basedOn w:val="1"/>
    <w:next w:val="10"/>
    <w:link w:val="44"/>
    <w:qFormat/>
    <w:uiPriority w:val="0"/>
    <w:rPr>
      <w:rFonts w:ascii="宋体" w:hAnsi="Courier New" w:eastAsia="宋体" w:cs="Times New Roman"/>
      <w:kern w:val="0"/>
      <w:sz w:val="20"/>
      <w:szCs w:val="21"/>
    </w:rPr>
  </w:style>
  <w:style w:type="paragraph" w:styleId="19">
    <w:name w:val="Date"/>
    <w:basedOn w:val="1"/>
    <w:next w:val="1"/>
    <w:link w:val="45"/>
    <w:qFormat/>
    <w:uiPriority w:val="0"/>
    <w:pPr>
      <w:ind w:left="100" w:leftChars="2500"/>
    </w:pPr>
    <w:rPr>
      <w:rFonts w:ascii="Times New Roman" w:hAnsi="Times New Roman" w:eastAsia="宋体" w:cs="Times New Roman"/>
    </w:rPr>
  </w:style>
  <w:style w:type="paragraph" w:styleId="20">
    <w:name w:val="Balloon Text"/>
    <w:basedOn w:val="1"/>
    <w:uiPriority w:val="0"/>
    <w:rPr>
      <w:rFonts w:ascii="Times New Roman" w:hAnsi="Times New Roman" w:eastAsia="宋体" w:cs="Times New Roman"/>
      <w:sz w:val="18"/>
      <w:szCs w:val="18"/>
    </w:rPr>
  </w:style>
  <w:style w:type="paragraph" w:styleId="21">
    <w:name w:val="footer"/>
    <w:basedOn w:val="1"/>
    <w:link w:val="46"/>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22">
    <w:name w:val="toc 1"/>
    <w:basedOn w:val="1"/>
    <w:next w:val="1"/>
    <w:uiPriority w:val="0"/>
    <w:rPr>
      <w:rFonts w:ascii="Times New Roman" w:hAnsi="Times New Roman" w:eastAsia="宋体" w:cs="Times New Roman"/>
    </w:rPr>
  </w:style>
  <w:style w:type="paragraph" w:styleId="23">
    <w:name w:val="toc 2"/>
    <w:basedOn w:val="1"/>
    <w:next w:val="1"/>
    <w:uiPriority w:val="0"/>
    <w:pPr>
      <w:tabs>
        <w:tab w:val="right" w:leader="dot" w:pos="8296"/>
      </w:tabs>
      <w:ind w:left="420" w:leftChars="200"/>
    </w:pPr>
    <w:rPr>
      <w:rFonts w:ascii="Times New Roman" w:hAnsi="Times New Roman" w:eastAsia="宋体" w:cs="Times New Roman"/>
    </w:rPr>
  </w:style>
  <w:style w:type="paragraph" w:styleId="24">
    <w:name w:val="Normal (Web)"/>
    <w:basedOn w:val="1"/>
    <w:qFormat/>
    <w:uiPriority w:val="0"/>
    <w:pPr>
      <w:spacing w:before="0" w:beforeAutospacing="0" w:after="0" w:afterAutospacing="0"/>
      <w:ind w:left="0" w:right="0"/>
      <w:jc w:val="both"/>
    </w:pPr>
    <w:rPr>
      <w:rFonts w:hint="default" w:ascii="Calibri" w:hAnsi="Calibri" w:eastAsia="宋体" w:cs="Calibri"/>
      <w:kern w:val="0"/>
      <w:sz w:val="24"/>
      <w:szCs w:val="24"/>
      <w:lang w:val="en-US" w:eastAsia="zh-CN" w:bidi="ar"/>
    </w:rPr>
  </w:style>
  <w:style w:type="paragraph" w:styleId="25">
    <w:name w:val="annotation subject"/>
    <w:basedOn w:val="12"/>
    <w:next w:val="12"/>
    <w:link w:val="47"/>
    <w:qFormat/>
    <w:uiPriority w:val="0"/>
    <w:rPr>
      <w:rFonts w:ascii="Times New Roman" w:hAnsi="Times New Roman" w:eastAsia="宋体" w:cs="Times New Roman"/>
      <w:b/>
      <w:bCs/>
    </w:rPr>
  </w:style>
  <w:style w:type="paragraph" w:styleId="26">
    <w:name w:val="Body Text First Indent"/>
    <w:basedOn w:val="1"/>
    <w:qFormat/>
    <w:uiPriority w:val="0"/>
    <w:pPr>
      <w:ind w:firstLine="420" w:firstLineChars="100"/>
    </w:pPr>
    <w:rPr>
      <w:rFonts w:ascii="Times New Roman" w:hAnsi="Times New Roman" w:eastAsia="宋体" w:cs="Times New Roman"/>
    </w:rPr>
  </w:style>
  <w:style w:type="table" w:styleId="28">
    <w:name w:val="Table Grid"/>
    <w:basedOn w:val="27"/>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endnote reference"/>
    <w:qFormat/>
    <w:uiPriority w:val="0"/>
    <w:rPr>
      <w:rFonts w:ascii="Times New Roman" w:hAnsi="Times New Roman" w:eastAsia="宋体" w:cs="Times New Roman"/>
      <w:vertAlign w:val="superscript"/>
    </w:rPr>
  </w:style>
  <w:style w:type="character" w:styleId="31">
    <w:name w:val="FollowedHyperlink"/>
    <w:basedOn w:val="29"/>
    <w:qFormat/>
    <w:uiPriority w:val="0"/>
    <w:rPr>
      <w:rFonts w:ascii="Times New Roman" w:hAnsi="Times New Roman" w:eastAsia="宋体" w:cs="Times New Roman"/>
      <w:color w:val="5A5A5A"/>
      <w:u w:val="none"/>
    </w:rPr>
  </w:style>
  <w:style w:type="character" w:styleId="32">
    <w:name w:val="Hyperlink"/>
    <w:basedOn w:val="29"/>
    <w:qFormat/>
    <w:uiPriority w:val="0"/>
    <w:rPr>
      <w:rFonts w:ascii="Times New Roman" w:hAnsi="Times New Roman" w:eastAsia="宋体" w:cs="Times New Roman"/>
      <w:color w:val="5A5A5A"/>
      <w:u w:val="none"/>
    </w:rPr>
  </w:style>
  <w:style w:type="character" w:styleId="33">
    <w:name w:val="annotation reference"/>
    <w:qFormat/>
    <w:uiPriority w:val="0"/>
    <w:rPr>
      <w:rFonts w:ascii="Times New Roman" w:hAnsi="Times New Roman" w:eastAsia="宋体" w:cs="Times New Roman"/>
      <w:sz w:val="21"/>
      <w:szCs w:val="21"/>
    </w:rPr>
  </w:style>
  <w:style w:type="character" w:customStyle="1" w:styleId="34">
    <w:name w:val="页眉 字符"/>
    <w:link w:val="2"/>
    <w:qFormat/>
    <w:uiPriority w:val="0"/>
    <w:rPr>
      <w:rFonts w:ascii="Times New Roman" w:hAnsi="Times New Roman" w:eastAsia="宋体" w:cs="Times New Roman"/>
      <w:sz w:val="18"/>
      <w:szCs w:val="18"/>
    </w:rPr>
  </w:style>
  <w:style w:type="character" w:customStyle="1" w:styleId="35">
    <w:name w:val="标题 1 字符"/>
    <w:link w:val="3"/>
    <w:qFormat/>
    <w:uiPriority w:val="0"/>
    <w:rPr>
      <w:rFonts w:ascii="Times New Roman" w:hAnsi="Times New Roman" w:eastAsia="宋体" w:cs="Times New Roman"/>
      <w:b/>
      <w:bCs/>
      <w:kern w:val="44"/>
      <w:sz w:val="44"/>
      <w:szCs w:val="44"/>
    </w:rPr>
  </w:style>
  <w:style w:type="character" w:customStyle="1" w:styleId="36">
    <w:name w:val="标题 2 字符"/>
    <w:link w:val="4"/>
    <w:qFormat/>
    <w:uiPriority w:val="0"/>
    <w:rPr>
      <w:rFonts w:ascii="Cambria" w:hAnsi="Cambria" w:eastAsia="宋体" w:cs="Times New Roman"/>
      <w:b/>
      <w:bCs/>
      <w:kern w:val="2"/>
      <w:sz w:val="32"/>
      <w:szCs w:val="32"/>
    </w:rPr>
  </w:style>
  <w:style w:type="character" w:customStyle="1" w:styleId="37">
    <w:name w:val="标题 3 字符"/>
    <w:link w:val="5"/>
    <w:qFormat/>
    <w:uiPriority w:val="0"/>
    <w:rPr>
      <w:rFonts w:ascii="Times New Roman" w:hAnsi="Times New Roman" w:eastAsia="宋体" w:cs="Times New Roman"/>
      <w:b/>
      <w:bCs/>
      <w:kern w:val="2"/>
      <w:sz w:val="32"/>
      <w:szCs w:val="32"/>
    </w:rPr>
  </w:style>
  <w:style w:type="character" w:customStyle="1" w:styleId="38">
    <w:name w:val="标题 5 字符"/>
    <w:link w:val="7"/>
    <w:uiPriority w:val="0"/>
    <w:rPr>
      <w:rFonts w:ascii="Times New Roman" w:hAnsi="Times New Roman" w:eastAsia="宋体" w:cs="Times New Roman"/>
      <w:b/>
      <w:bCs/>
      <w:kern w:val="2"/>
      <w:sz w:val="28"/>
      <w:szCs w:val="28"/>
    </w:rPr>
  </w:style>
  <w:style w:type="character" w:customStyle="1" w:styleId="39">
    <w:name w:val="标题 8 字符"/>
    <w:link w:val="9"/>
    <w:qFormat/>
    <w:uiPriority w:val="0"/>
    <w:rPr>
      <w:rFonts w:ascii="等线 Light" w:hAnsi="等线 Light" w:eastAsia="等线 Light" w:cs="Times New Roman"/>
      <w:kern w:val="2"/>
      <w:sz w:val="24"/>
      <w:szCs w:val="24"/>
    </w:rPr>
  </w:style>
  <w:style w:type="character" w:customStyle="1" w:styleId="40">
    <w:name w:val="批注文字 字符2"/>
    <w:link w:val="12"/>
    <w:qFormat/>
    <w:uiPriority w:val="0"/>
    <w:rPr>
      <w:rFonts w:ascii="Times New Roman" w:hAnsi="Times New Roman" w:eastAsia="宋体" w:cs="Times New Roman"/>
      <w:kern w:val="2"/>
      <w:sz w:val="21"/>
      <w:szCs w:val="24"/>
    </w:rPr>
  </w:style>
  <w:style w:type="character" w:customStyle="1" w:styleId="41">
    <w:name w:val="正文文本 3 字符"/>
    <w:link w:val="13"/>
    <w:qFormat/>
    <w:uiPriority w:val="0"/>
    <w:rPr>
      <w:rFonts w:ascii="Times New Roman" w:hAnsi="Times New Roman" w:eastAsia="宋体" w:cs="Times New Roman"/>
      <w:kern w:val="2"/>
      <w:sz w:val="16"/>
      <w:szCs w:val="16"/>
    </w:rPr>
  </w:style>
  <w:style w:type="character" w:customStyle="1" w:styleId="42">
    <w:name w:val="正文文本 字符1"/>
    <w:link w:val="14"/>
    <w:qFormat/>
    <w:uiPriority w:val="0"/>
    <w:rPr>
      <w:rFonts w:ascii="Times New Roman" w:hAnsi="Times New Roman" w:eastAsia="宋体" w:cs="Times New Roman"/>
      <w:kern w:val="2"/>
      <w:sz w:val="21"/>
      <w:szCs w:val="24"/>
    </w:rPr>
  </w:style>
  <w:style w:type="character" w:customStyle="1" w:styleId="43">
    <w:name w:val="正文文本缩进 字符"/>
    <w:link w:val="15"/>
    <w:qFormat/>
    <w:uiPriority w:val="0"/>
    <w:rPr>
      <w:rFonts w:ascii="仿宋_GB2312" w:hAnsi="Times New Roman" w:eastAsia="仿宋_GB2312" w:cs="Times New Roman"/>
      <w:sz w:val="32"/>
      <w:szCs w:val="20"/>
    </w:rPr>
  </w:style>
  <w:style w:type="character" w:customStyle="1" w:styleId="44">
    <w:name w:val="纯文本 字符3"/>
    <w:link w:val="18"/>
    <w:qFormat/>
    <w:uiPriority w:val="0"/>
    <w:rPr>
      <w:rFonts w:ascii="宋体" w:hAnsi="Courier New" w:eastAsia="宋体" w:cs="Courier New"/>
      <w:szCs w:val="21"/>
    </w:rPr>
  </w:style>
  <w:style w:type="character" w:customStyle="1" w:styleId="45">
    <w:name w:val="日期 字符"/>
    <w:link w:val="19"/>
    <w:qFormat/>
    <w:uiPriority w:val="0"/>
    <w:rPr>
      <w:rFonts w:ascii="Times New Roman" w:hAnsi="Times New Roman" w:eastAsia="宋体" w:cs="Times New Roman"/>
      <w:kern w:val="2"/>
      <w:sz w:val="21"/>
      <w:szCs w:val="24"/>
    </w:rPr>
  </w:style>
  <w:style w:type="character" w:customStyle="1" w:styleId="46">
    <w:name w:val="页脚 字符"/>
    <w:link w:val="21"/>
    <w:qFormat/>
    <w:uiPriority w:val="0"/>
    <w:rPr>
      <w:rFonts w:ascii="Times New Roman" w:hAnsi="Times New Roman" w:eastAsia="宋体" w:cs="Times New Roman"/>
      <w:sz w:val="18"/>
      <w:szCs w:val="18"/>
    </w:rPr>
  </w:style>
  <w:style w:type="character" w:customStyle="1" w:styleId="47">
    <w:name w:val="批注主题 字符"/>
    <w:link w:val="25"/>
    <w:qFormat/>
    <w:uiPriority w:val="0"/>
    <w:rPr>
      <w:rFonts w:ascii="Times New Roman" w:hAnsi="Times New Roman" w:eastAsia="宋体" w:cs="Times New Roman"/>
      <w:b/>
      <w:bCs/>
      <w:kern w:val="2"/>
      <w:sz w:val="21"/>
      <w:szCs w:val="24"/>
    </w:rPr>
  </w:style>
  <w:style w:type="character" w:customStyle="1" w:styleId="48">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49">
    <w:name w:val="15"/>
    <w:qFormat/>
    <w:uiPriority w:val="0"/>
    <w:rPr>
      <w:rFonts w:hint="default" w:ascii="Times New Roman" w:hAnsi="Times New Roman" w:eastAsia="宋体" w:cs="Times New Roman"/>
    </w:rPr>
  </w:style>
  <w:style w:type="paragraph" w:customStyle="1" w:styleId="50">
    <w:name w:val="正文_0"/>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表格文字"/>
    <w:basedOn w:val="50"/>
    <w:qFormat/>
    <w:uiPriority w:val="0"/>
    <w:pPr>
      <w:spacing w:before="25" w:after="25"/>
      <w:jc w:val="left"/>
    </w:pPr>
    <w:rPr>
      <w:rFonts w:ascii="Times New Roman" w:hAnsi="Times New Roman" w:eastAsia="宋体" w:cs="Times New Roman"/>
      <w:bCs/>
      <w:spacing w:val="10"/>
      <w:sz w:val="24"/>
    </w:rPr>
  </w:style>
  <w:style w:type="paragraph" w:customStyle="1" w:styleId="52">
    <w:name w:val="null3"/>
    <w:basedOn w:val="1"/>
    <w:qFormat/>
    <w:uiPriority w:val="0"/>
    <w:pPr>
      <w:widowControl/>
      <w:jc w:val="left"/>
    </w:pPr>
    <w:rPr>
      <w:rFonts w:ascii="Calibri" w:hAnsi="Calibri" w:eastAsia="宋体" w:cs="Times New Roman"/>
      <w:kern w:val="0"/>
      <w:sz w:val="20"/>
      <w:szCs w:val="20"/>
    </w:rPr>
  </w:style>
  <w:style w:type="paragraph" w:customStyle="1" w:styleId="53">
    <w:name w:val="Table Text"/>
    <w:basedOn w:val="1"/>
    <w:qFormat/>
    <w:uiPriority w:val="0"/>
    <w:rPr>
      <w:rFonts w:ascii="宋体" w:hAnsi="宋体" w:eastAsia="宋体" w:cs="宋体"/>
      <w:sz w:val="20"/>
      <w:szCs w:val="20"/>
      <w:lang w:val="en-US" w:eastAsia="en-US" w:bidi="ar-SA"/>
    </w:rPr>
  </w:style>
  <w:style w:type="table" w:customStyle="1" w:styleId="54">
    <w:name w:val="Table Normal"/>
    <w:qFormat/>
    <w:uiPriority w:val="0"/>
    <w:rPr>
      <w:rFonts w:ascii="Times New Roman" w:hAnsi="Times New Roman" w:eastAsia="宋体" w:cs="Times New Roman"/>
    </w:rPr>
    <w:tblPr>
      <w:tblCellMar>
        <w:top w:w="0" w:type="dxa"/>
        <w:left w:w="0" w:type="dxa"/>
        <w:bottom w:w="0" w:type="dxa"/>
        <w:right w:w="0" w:type="dxa"/>
      </w:tblCellMar>
    </w:tblPr>
  </w:style>
  <w:style w:type="character" w:customStyle="1" w:styleId="55">
    <w:name w:val="标题 2 Char"/>
    <w:qFormat/>
    <w:uiPriority w:val="0"/>
    <w:rPr>
      <w:rFonts w:ascii="Cambria" w:hAnsi="Cambria" w:eastAsia="宋体" w:cs="Times New Roman"/>
      <w:b/>
      <w:bCs/>
      <w:kern w:val="2"/>
      <w:sz w:val="32"/>
      <w:szCs w:val="32"/>
    </w:rPr>
  </w:style>
  <w:style w:type="character" w:customStyle="1" w:styleId="56">
    <w:name w:val="标题 1 字符1"/>
    <w:qFormat/>
    <w:uiPriority w:val="0"/>
    <w:rPr>
      <w:rFonts w:ascii="Times New Roman" w:hAnsi="Times New Roman" w:eastAsia="宋体" w:cs="Times New Roman"/>
      <w:b/>
      <w:bCs/>
      <w:kern w:val="44"/>
      <w:sz w:val="44"/>
      <w:szCs w:val="44"/>
    </w:rPr>
  </w:style>
  <w:style w:type="character" w:customStyle="1" w:styleId="57">
    <w:name w:val="textcontents"/>
    <w:qFormat/>
    <w:uiPriority w:val="0"/>
    <w:rPr>
      <w:rFonts w:ascii="Times New Roman" w:hAnsi="Times New Roman" w:eastAsia="宋体" w:cs="Times New Roman"/>
    </w:rPr>
  </w:style>
  <w:style w:type="character" w:customStyle="1" w:styleId="58">
    <w:name w:val="批注文字 Char"/>
    <w:qFormat/>
    <w:uiPriority w:val="0"/>
    <w:rPr>
      <w:rFonts w:ascii="Times New Roman" w:hAnsi="Times New Roman" w:eastAsia="宋体" w:cs="Times New Roman"/>
      <w:kern w:val="2"/>
      <w:sz w:val="21"/>
      <w:szCs w:val="24"/>
    </w:rPr>
  </w:style>
  <w:style w:type="character" w:customStyle="1" w:styleId="59">
    <w:name w:val="纯文本 字符"/>
    <w:qFormat/>
    <w:uiPriority w:val="0"/>
    <w:rPr>
      <w:rFonts w:ascii="宋体" w:hAnsi="Courier New" w:eastAsia="宋体" w:cs="Courier New"/>
      <w:szCs w:val="21"/>
    </w:rPr>
  </w:style>
  <w:style w:type="character" w:customStyle="1" w:styleId="60">
    <w:name w:val="纯文本 Char"/>
    <w:qFormat/>
    <w:uiPriority w:val="0"/>
    <w:rPr>
      <w:rFonts w:ascii="宋体" w:hAnsi="Courier New" w:eastAsia="宋体" w:cs="Courier New"/>
      <w:szCs w:val="21"/>
    </w:rPr>
  </w:style>
  <w:style w:type="character" w:customStyle="1" w:styleId="61">
    <w:name w:val="纯文本 字符2"/>
    <w:qFormat/>
    <w:uiPriority w:val="0"/>
    <w:rPr>
      <w:rFonts w:ascii="宋体" w:hAnsi="Courier New" w:eastAsia="宋体" w:cs="Courier New"/>
      <w:szCs w:val="21"/>
    </w:rPr>
  </w:style>
  <w:style w:type="character" w:customStyle="1" w:styleId="62">
    <w:name w:val="批注文字 字符1"/>
    <w:qFormat/>
    <w:uiPriority w:val="0"/>
    <w:rPr>
      <w:rFonts w:ascii="Times New Roman" w:hAnsi="Times New Roman" w:eastAsia="宋体" w:cs="Times New Roman"/>
      <w:kern w:val="2"/>
      <w:sz w:val="21"/>
      <w:szCs w:val="24"/>
    </w:rPr>
  </w:style>
  <w:style w:type="character" w:customStyle="1" w:styleId="63">
    <w:name w:val="纯文本 字符1"/>
    <w:qFormat/>
    <w:uiPriority w:val="0"/>
    <w:rPr>
      <w:rFonts w:ascii="宋体" w:hAnsi="Courier New" w:eastAsia="宋体" w:cs="Times New Roman"/>
    </w:rPr>
  </w:style>
  <w:style w:type="character" w:customStyle="1" w:styleId="64">
    <w:name w:val="正文文本 Char"/>
    <w:qFormat/>
    <w:uiPriority w:val="0"/>
    <w:rPr>
      <w:rFonts w:ascii="Times New Roman" w:hAnsi="Times New Roman" w:eastAsia="宋体" w:cs="Times New Roman"/>
      <w:kern w:val="2"/>
      <w:sz w:val="21"/>
      <w:szCs w:val="24"/>
    </w:rPr>
  </w:style>
  <w:style w:type="character" w:customStyle="1" w:styleId="65">
    <w:name w:val="批注文字 字符"/>
    <w:qFormat/>
    <w:uiPriority w:val="0"/>
    <w:rPr>
      <w:rFonts w:ascii="Times New Roman" w:hAnsi="Times New Roman" w:eastAsia="宋体" w:cs="Times New Roman"/>
      <w:kern w:val="2"/>
      <w:sz w:val="21"/>
      <w:szCs w:val="24"/>
    </w:rPr>
  </w:style>
  <w:style w:type="character" w:customStyle="1" w:styleId="66">
    <w:name w:val="标题 8 Char"/>
    <w:qFormat/>
    <w:uiPriority w:val="0"/>
    <w:rPr>
      <w:rFonts w:ascii="Arial" w:hAnsi="Arial" w:eastAsia="黑体" w:cs="Times New Roman"/>
      <w:kern w:val="2"/>
      <w:sz w:val="24"/>
      <w:szCs w:val="24"/>
    </w:rPr>
  </w:style>
  <w:style w:type="character" w:customStyle="1" w:styleId="67">
    <w:name w:val="apple-style-span"/>
    <w:qFormat/>
    <w:uiPriority w:val="0"/>
    <w:rPr>
      <w:rFonts w:ascii="Times New Roman" w:hAnsi="Times New Roman" w:eastAsia="宋体" w:cs="Times New Roman"/>
    </w:rPr>
  </w:style>
  <w:style w:type="paragraph" w:customStyle="1" w:styleId="68">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69">
    <w:name w:val="表内文字"/>
    <w:basedOn w:val="1"/>
    <w:qFormat/>
    <w:uiPriority w:val="0"/>
    <w:pPr>
      <w:snapToGrid w:val="0"/>
      <w:spacing w:before="50" w:after="50"/>
      <w:jc w:val="center"/>
    </w:pPr>
    <w:rPr>
      <w:rFonts w:ascii="仿宋_GB2312" w:hAnsi="宋体" w:eastAsia="仿宋_GB2312" w:cs="Times New Roman"/>
      <w:b/>
      <w:color w:val="000000"/>
      <w:sz w:val="32"/>
      <w:szCs w:val="32"/>
    </w:rPr>
  </w:style>
  <w:style w:type="paragraph" w:styleId="70">
    <w:name w:val="List Paragraph"/>
    <w:basedOn w:val="1"/>
    <w:qFormat/>
    <w:uiPriority w:val="0"/>
    <w:pPr>
      <w:ind w:firstLine="420" w:firstLineChars="200"/>
    </w:pPr>
    <w:rPr>
      <w:rFonts w:ascii="Times New Roman" w:hAnsi="Times New Roman" w:eastAsia="宋体" w:cs="Times New Roman"/>
    </w:rPr>
  </w:style>
  <w:style w:type="paragraph" w:customStyle="1" w:styleId="71">
    <w:name w:val="Table Paragraph"/>
    <w:basedOn w:val="1"/>
    <w:qFormat/>
    <w:uiPriority w:val="0"/>
    <w:pPr>
      <w:jc w:val="left"/>
    </w:pPr>
    <w:rPr>
      <w:rFonts w:ascii="Calibri" w:hAnsi="Calibri" w:eastAsia="宋体" w:cs="Times New Roman"/>
      <w:kern w:val="0"/>
      <w:sz w:val="22"/>
      <w:szCs w:val="22"/>
      <w:lang w:eastAsia="en-US"/>
    </w:rPr>
  </w:style>
  <w:style w:type="character" w:customStyle="1" w:styleId="72">
    <w:name w:val="正文文本 字符"/>
    <w:qFormat/>
    <w:uiPriority w:val="0"/>
    <w:rPr>
      <w:rFonts w:ascii="Times New Roman" w:hAnsi="Times New Roman" w:eastAsia="宋体" w:cs="Times New Roman"/>
      <w:kern w:val="2"/>
      <w:sz w:val="21"/>
      <w:szCs w:val="24"/>
    </w:rPr>
  </w:style>
  <w:style w:type="character" w:customStyle="1" w:styleId="73">
    <w:name w:val="批注文字 Char2"/>
    <w:qFormat/>
    <w:uiPriority w:val="0"/>
    <w:rPr>
      <w:rFonts w:ascii="Times New Roman" w:hAnsi="Times New Roman" w:eastAsia="宋体" w:cs="Times New Roman"/>
      <w:kern w:val="2"/>
      <w:sz w:val="21"/>
      <w:szCs w:val="24"/>
    </w:rPr>
  </w:style>
  <w:style w:type="paragraph" w:customStyle="1" w:styleId="74">
    <w:name w:val="UserStyle_20"/>
    <w:basedOn w:val="1"/>
    <w:qFormat/>
    <w:uiPriority w:val="0"/>
    <w:pPr>
      <w:widowControl/>
      <w:suppressAutoHyphens/>
      <w:textAlignment w:val="baseline"/>
    </w:pPr>
    <w:rPr>
      <w:rFonts w:ascii="宋体" w:hAnsi="宋体" w:eastAsia="宋体" w:cs="Times New Roman"/>
      <w:sz w:val="20"/>
      <w:szCs w:val="20"/>
    </w:rPr>
  </w:style>
  <w:style w:type="paragraph" w:customStyle="1" w:styleId="75">
    <w:name w:val="纯文本1"/>
    <w:basedOn w:val="1"/>
    <w:qFormat/>
    <w:uiPriority w:val="0"/>
    <w:pPr>
      <w:widowControl/>
      <w:suppressAutoHyphens/>
      <w:textAlignment w:val="baseline"/>
    </w:pPr>
    <w:rPr>
      <w:rFonts w:ascii="宋体" w:hAnsi="宋体" w:eastAsia="宋体" w:cs="Calibri"/>
      <w:sz w:val="20"/>
      <w:szCs w:val="20"/>
    </w:rPr>
  </w:style>
  <w:style w:type="paragraph" w:customStyle="1" w:styleId="76">
    <w:name w:val="PlainText"/>
    <w:basedOn w:val="1"/>
    <w:qFormat/>
    <w:uiPriority w:val="0"/>
    <w:pPr>
      <w:widowControl/>
      <w:textAlignment w:val="baseline"/>
    </w:pPr>
    <w:rPr>
      <w:rFonts w:ascii="宋体" w:hAnsi="Courier New" w:eastAsia="宋体" w:cs="Times New Roman"/>
      <w:kern w:val="0"/>
      <w:sz w:val="20"/>
      <w:szCs w:val="20"/>
    </w:rPr>
  </w:style>
  <w:style w:type="paragraph" w:customStyle="1" w:styleId="77">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78">
    <w:name w:val="_Style 77"/>
    <w:qFormat/>
    <w:uiPriority w:val="0"/>
    <w:rPr>
      <w:rFonts w:ascii="Times New Roman" w:hAnsi="Times New Roman" w:eastAsia="宋体" w:cs="Times New Roman"/>
      <w:kern w:val="2"/>
      <w:sz w:val="21"/>
      <w:szCs w:val="24"/>
      <w:lang w:val="en-US" w:eastAsia="zh-CN" w:bidi="ar-SA"/>
    </w:rPr>
  </w:style>
  <w:style w:type="character" w:customStyle="1" w:styleId="79">
    <w:name w:val="NormalCharacter"/>
    <w:qFormat/>
    <w:uiPriority w:val="0"/>
    <w:rPr>
      <w:rFonts w:ascii="Times New Roman" w:hAnsi="Times New Roman" w:eastAsia="宋体" w:cs="Times New Roman"/>
    </w:rPr>
  </w:style>
  <w:style w:type="character" w:customStyle="1" w:styleId="80">
    <w:name w:val="sf_logo"/>
    <w:basedOn w:val="29"/>
    <w:qFormat/>
    <w:uiPriority w:val="0"/>
    <w:rPr>
      <w:rFonts w:ascii="Times New Roman" w:hAnsi="Times New Roman" w:eastAsia="宋体" w:cs="Times New Roman"/>
    </w:rPr>
  </w:style>
  <w:style w:type="character" w:customStyle="1" w:styleId="81">
    <w:name w:val="sf_font"/>
    <w:basedOn w:val="29"/>
    <w:qFormat/>
    <w:uiPriority w:val="0"/>
    <w:rPr>
      <w:rFonts w:ascii="微软雅黑" w:hAnsi="微软雅黑" w:eastAsia="微软雅黑" w:cs="微软雅黑"/>
      <w:color w:val="FFFFFF"/>
      <w:sz w:val="21"/>
      <w:szCs w:val="21"/>
    </w:rPr>
  </w:style>
  <w:style w:type="character" w:customStyle="1" w:styleId="82">
    <w:name w:val="cur"/>
    <w:basedOn w:val="29"/>
    <w:qFormat/>
    <w:uiPriority w:val="0"/>
    <w:rPr>
      <w:rFonts w:ascii="Times New Roman" w:hAnsi="Times New Roman" w:eastAsia="宋体" w:cs="Times New Roman"/>
      <w:color w:val="EB610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67</Pages>
  <Words>19557</Words>
  <Characters>20730</Characters>
  <Lines>284</Lines>
  <Paragraphs>80</Paragraphs>
  <TotalTime>21</TotalTime>
  <ScaleCrop>false</ScaleCrop>
  <LinksUpToDate>false</LinksUpToDate>
  <CharactersWithSpaces>21119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2021-12-10T08:34:00Z</dcterms:created>
  <dc:creator>唐冰</dc:creator>
  <cp:lastModifiedBy>刘</cp:lastModifiedBy>
  <cp:lastPrinted>2022-07-29T03:59:00Z</cp:lastPrinted>
  <dcterms:modified xsi:type="dcterms:W3CDTF">2025-09-05T02:40:57Z</dcterms:modified>
  <dc:title>竞争性谈判文件规范</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66DEAC1AC46F49F889ACB9E04D30450E_13</vt:lpwstr>
  </property>
  <property fmtid="{D5CDD505-2E9C-101B-9397-08002B2CF9AE}" pid="4" name="KSOTemplateDocerSaveRecord">
    <vt:lpwstr>eyJoZGlkIjoiNzliMzUzM2FhZmExMzVhNGYwZDRkM2I3ZGVmYTYwZDMiLCJ1c2VySWQiOiI5NDUyOTE3MDYifQ==</vt:lpwstr>
  </property>
</Properties>
</file>