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47CDD">
      <w:pPr>
        <w:rPr>
          <w:rFonts w:ascii="仿宋" w:hAnsi="仿宋" w:eastAsia="仿宋" w:cs="仿宋"/>
          <w:bCs/>
          <w:color w:val="auto"/>
          <w:sz w:val="144"/>
          <w:highlight w:val="none"/>
        </w:rPr>
      </w:pPr>
    </w:p>
    <w:p w14:paraId="671B84B3">
      <w:pPr>
        <w:jc w:val="center"/>
        <w:rPr>
          <w:rFonts w:ascii="仿宋" w:hAnsi="仿宋" w:eastAsia="仿宋" w:cs="仿宋"/>
          <w:b/>
          <w:color w:val="auto"/>
          <w:sz w:val="72"/>
          <w:highlight w:val="none"/>
        </w:rPr>
      </w:pPr>
      <w:r>
        <w:rPr>
          <w:rFonts w:hint="eastAsia" w:ascii="仿宋" w:hAnsi="仿宋" w:eastAsia="仿宋" w:cs="仿宋"/>
          <w:bCs/>
          <w:color w:val="auto"/>
          <w:sz w:val="144"/>
          <w:highlight w:val="none"/>
        </w:rPr>
        <w:t>公开招标文件</w:t>
      </w:r>
    </w:p>
    <w:p w14:paraId="241AACF6">
      <w:pPr>
        <w:rPr>
          <w:rFonts w:ascii="仿宋" w:hAnsi="仿宋" w:eastAsia="仿宋" w:cs="仿宋"/>
          <w:color w:val="auto"/>
          <w:szCs w:val="20"/>
          <w:highlight w:val="none"/>
        </w:rPr>
      </w:pPr>
    </w:p>
    <w:p w14:paraId="73F92C37">
      <w:pPr>
        <w:rPr>
          <w:rFonts w:ascii="仿宋" w:hAnsi="仿宋" w:eastAsia="仿宋" w:cs="仿宋"/>
          <w:color w:val="auto"/>
          <w:szCs w:val="20"/>
          <w:highlight w:val="none"/>
        </w:rPr>
      </w:pPr>
    </w:p>
    <w:p w14:paraId="0103C031">
      <w:pPr>
        <w:rPr>
          <w:rFonts w:ascii="仿宋" w:hAnsi="仿宋" w:eastAsia="仿宋" w:cs="仿宋"/>
          <w:color w:val="auto"/>
          <w:szCs w:val="20"/>
          <w:highlight w:val="none"/>
        </w:rPr>
      </w:pPr>
    </w:p>
    <w:p w14:paraId="2C1232BA">
      <w:pPr>
        <w:rPr>
          <w:rFonts w:ascii="仿宋" w:hAnsi="仿宋" w:eastAsia="仿宋" w:cs="仿宋"/>
          <w:color w:val="auto"/>
          <w:szCs w:val="20"/>
          <w:highlight w:val="none"/>
        </w:rPr>
      </w:pPr>
    </w:p>
    <w:p w14:paraId="48866B7F">
      <w:pPr>
        <w:pStyle w:val="19"/>
        <w:ind w:firstLine="480"/>
        <w:rPr>
          <w:color w:val="auto"/>
          <w:highlight w:val="none"/>
        </w:rPr>
      </w:pPr>
    </w:p>
    <w:p w14:paraId="18DD9209">
      <w:pPr>
        <w:pStyle w:val="19"/>
        <w:ind w:firstLine="480"/>
        <w:rPr>
          <w:color w:val="auto"/>
          <w:highlight w:val="none"/>
        </w:rPr>
      </w:pPr>
    </w:p>
    <w:p w14:paraId="45630DF9">
      <w:pPr>
        <w:rPr>
          <w:rFonts w:ascii="楷体_GB2312" w:hAnsi="楷体_GB2312" w:eastAsia="楷体_GB2312" w:cs="楷体_GB2312"/>
          <w:b/>
          <w:bCs/>
          <w:color w:val="auto"/>
          <w:kern w:val="0"/>
          <w:sz w:val="36"/>
          <w:szCs w:val="36"/>
          <w:highlight w:val="none"/>
        </w:rPr>
      </w:pPr>
      <w:r>
        <w:rPr>
          <w:rFonts w:hint="eastAsia" w:ascii="仿宋" w:hAnsi="仿宋" w:eastAsia="仿宋" w:cs="仿宋"/>
          <w:b/>
          <w:bCs/>
          <w:color w:val="auto"/>
          <w:sz w:val="36"/>
          <w:szCs w:val="36"/>
          <w:highlight w:val="none"/>
        </w:rPr>
        <w:t>项目名称：</w:t>
      </w:r>
      <w:r>
        <w:rPr>
          <w:rFonts w:ascii="楷体_GB2312" w:hAnsi="楷体_GB2312" w:eastAsia="楷体_GB2312" w:cs="楷体_GB2312"/>
          <w:b/>
          <w:bCs/>
          <w:color w:val="auto"/>
          <w:kern w:val="0"/>
          <w:sz w:val="36"/>
          <w:szCs w:val="36"/>
          <w:highlight w:val="none"/>
        </w:rPr>
        <w:t>2025-2028年龙州县城区及水口镇环卫保洁及绿化养护服务</w:t>
      </w:r>
    </w:p>
    <w:p w14:paraId="4F167CAA">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项目编号：CZZC2025-G3-230041-GXXP</w:t>
      </w:r>
    </w:p>
    <w:p w14:paraId="4A11E1DC">
      <w:pPr>
        <w:ind w:firstLine="1807" w:firstLineChars="500"/>
        <w:rPr>
          <w:rFonts w:ascii="仿宋" w:hAnsi="仿宋" w:eastAsia="仿宋" w:cs="仿宋"/>
          <w:b/>
          <w:color w:val="auto"/>
          <w:sz w:val="36"/>
          <w:szCs w:val="36"/>
          <w:highlight w:val="none"/>
        </w:rPr>
      </w:pPr>
    </w:p>
    <w:p w14:paraId="2D21D9F1">
      <w:pPr>
        <w:ind w:left="-2" w:leftChars="-1" w:firstLine="1446" w:firstLineChars="400"/>
        <w:rPr>
          <w:rFonts w:ascii="仿宋" w:hAnsi="仿宋" w:eastAsia="仿宋" w:cs="仿宋"/>
          <w:b/>
          <w:bCs/>
          <w:color w:val="auto"/>
          <w:sz w:val="36"/>
          <w:highlight w:val="none"/>
        </w:rPr>
      </w:pPr>
    </w:p>
    <w:p w14:paraId="775E48B4">
      <w:pPr>
        <w:ind w:left="-2" w:leftChars="-1" w:firstLine="840" w:firstLineChars="400"/>
        <w:rPr>
          <w:rFonts w:ascii="仿宋" w:hAnsi="仿宋" w:eastAsia="仿宋" w:cs="仿宋"/>
          <w:color w:val="auto"/>
          <w:highlight w:val="none"/>
        </w:rPr>
      </w:pPr>
      <w:r>
        <w:rPr>
          <w:rFonts w:hint="eastAsia" w:ascii="仿宋" w:hAnsi="仿宋" w:eastAsia="仿宋" w:cs="仿宋"/>
          <w:color w:val="auto"/>
          <w:highlight w:val="none"/>
        </w:rPr>
        <w:cr/>
      </w:r>
    </w:p>
    <w:p w14:paraId="34E6ECBC">
      <w:pPr>
        <w:ind w:left="-2" w:leftChars="-1" w:firstLine="840" w:firstLineChars="400"/>
        <w:rPr>
          <w:rFonts w:ascii="仿宋" w:hAnsi="仿宋" w:eastAsia="仿宋" w:cs="仿宋"/>
          <w:color w:val="auto"/>
          <w:highlight w:val="none"/>
        </w:rPr>
      </w:pPr>
    </w:p>
    <w:p w14:paraId="26390E01">
      <w:pPr>
        <w:ind w:left="-2" w:leftChars="-1" w:firstLine="840" w:firstLineChars="400"/>
        <w:rPr>
          <w:rFonts w:ascii="仿宋" w:hAnsi="仿宋" w:eastAsia="仿宋" w:cs="仿宋"/>
          <w:color w:val="auto"/>
          <w:highlight w:val="none"/>
        </w:rPr>
      </w:pPr>
    </w:p>
    <w:p w14:paraId="2DD3395E">
      <w:pPr>
        <w:ind w:left="-2" w:leftChars="-1" w:firstLine="630" w:firstLineChars="300"/>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tab/>
      </w:r>
    </w:p>
    <w:p w14:paraId="06A89626">
      <w:pPr>
        <w:ind w:left="-2" w:leftChars="-1" w:firstLine="630" w:firstLineChars="300"/>
        <w:rPr>
          <w:rFonts w:ascii="仿宋" w:hAnsi="仿宋" w:eastAsia="仿宋" w:cs="仿宋"/>
          <w:color w:val="auto"/>
          <w:highlight w:val="none"/>
        </w:rPr>
      </w:pPr>
    </w:p>
    <w:p w14:paraId="5FC4C3C6">
      <w:pPr>
        <w:pStyle w:val="35"/>
        <w:rPr>
          <w:rFonts w:ascii="仿宋" w:hAnsi="仿宋" w:eastAsia="仿宋" w:cs="仿宋"/>
          <w:color w:val="auto"/>
          <w:highlight w:val="none"/>
        </w:rPr>
      </w:pPr>
    </w:p>
    <w:p w14:paraId="3D6F4A4C">
      <w:pPr>
        <w:pStyle w:val="35"/>
        <w:rPr>
          <w:rFonts w:ascii="仿宋" w:hAnsi="仿宋" w:eastAsia="仿宋" w:cs="仿宋"/>
          <w:color w:val="auto"/>
          <w:highlight w:val="none"/>
        </w:rPr>
      </w:pPr>
    </w:p>
    <w:p w14:paraId="0EE25C54">
      <w:pPr>
        <w:ind w:left="-2" w:leftChars="-1" w:firstLine="630" w:firstLineChars="300"/>
        <w:rPr>
          <w:rFonts w:ascii="仿宋" w:hAnsi="仿宋" w:eastAsia="仿宋" w:cs="仿宋"/>
          <w:color w:val="auto"/>
          <w:highlight w:val="none"/>
        </w:rPr>
      </w:pPr>
    </w:p>
    <w:p w14:paraId="307A386A">
      <w:pPr>
        <w:ind w:left="2174" w:leftChars="748" w:hanging="603" w:hangingChars="200"/>
        <w:rPr>
          <w:rFonts w:ascii="仿宋" w:hAnsi="仿宋" w:eastAsia="仿宋" w:cs="仿宋"/>
          <w:b/>
          <w:color w:val="auto"/>
          <w:spacing w:val="-10"/>
          <w:sz w:val="32"/>
          <w:szCs w:val="32"/>
          <w:highlight w:val="none"/>
        </w:rPr>
      </w:pPr>
      <w:r>
        <w:rPr>
          <w:rFonts w:hint="eastAsia" w:ascii="仿宋" w:hAnsi="仿宋" w:eastAsia="仿宋" w:cs="仿宋"/>
          <w:b/>
          <w:color w:val="auto"/>
          <w:spacing w:val="-10"/>
          <w:sz w:val="32"/>
          <w:szCs w:val="32"/>
          <w:highlight w:val="none"/>
        </w:rPr>
        <w:t>采购人 ：龙州县城乡综合执法管理局</w:t>
      </w:r>
    </w:p>
    <w:p w14:paraId="1BD707DA">
      <w:pPr>
        <w:ind w:left="2174" w:leftChars="748" w:hanging="603" w:hangingChars="200"/>
        <w:rPr>
          <w:rFonts w:ascii="仿宋" w:hAnsi="仿宋" w:eastAsia="仿宋" w:cs="仿宋"/>
          <w:b/>
          <w:color w:val="auto"/>
          <w:spacing w:val="-10"/>
          <w:sz w:val="32"/>
          <w:szCs w:val="32"/>
          <w:highlight w:val="none"/>
        </w:rPr>
      </w:pPr>
    </w:p>
    <w:p w14:paraId="025A4F96">
      <w:pPr>
        <w:ind w:left="2174" w:leftChars="748" w:hanging="603" w:hangingChars="200"/>
        <w:rPr>
          <w:rFonts w:ascii="仿宋" w:hAnsi="仿宋" w:eastAsia="仿宋" w:cs="仿宋"/>
          <w:b/>
          <w:color w:val="auto"/>
          <w:spacing w:val="-10"/>
          <w:sz w:val="32"/>
          <w:szCs w:val="32"/>
          <w:highlight w:val="none"/>
        </w:rPr>
      </w:pPr>
    </w:p>
    <w:p w14:paraId="02361458">
      <w:pPr>
        <w:ind w:left="2174" w:leftChars="748" w:hanging="603" w:hangingChars="200"/>
        <w:rPr>
          <w:rFonts w:hint="eastAsia" w:ascii="仿宋" w:hAnsi="仿宋" w:eastAsia="仿宋" w:cs="仿宋"/>
          <w:b/>
          <w:color w:val="auto"/>
          <w:spacing w:val="-10"/>
          <w:sz w:val="32"/>
          <w:szCs w:val="32"/>
          <w:highlight w:val="none"/>
        </w:rPr>
      </w:pPr>
      <w:r>
        <w:rPr>
          <w:rFonts w:hint="eastAsia" w:ascii="仿宋" w:hAnsi="仿宋" w:eastAsia="仿宋" w:cs="仿宋"/>
          <w:b/>
          <w:color w:val="auto"/>
          <w:spacing w:val="-10"/>
          <w:sz w:val="32"/>
          <w:szCs w:val="32"/>
          <w:highlight w:val="none"/>
        </w:rPr>
        <w:t>采购代理机构：广西鑫磐工程项目管理有限责任公司</w:t>
      </w:r>
    </w:p>
    <w:p w14:paraId="6CE2B024">
      <w:pPr>
        <w:ind w:left="2174" w:leftChars="748" w:hanging="603" w:hangingChars="200"/>
        <w:rPr>
          <w:rFonts w:hint="eastAsia" w:ascii="仿宋" w:hAnsi="仿宋" w:eastAsia="仿宋" w:cs="仿宋"/>
          <w:b/>
          <w:color w:val="auto"/>
          <w:spacing w:val="-10"/>
          <w:sz w:val="32"/>
          <w:szCs w:val="32"/>
          <w:highlight w:val="none"/>
        </w:rPr>
      </w:pPr>
    </w:p>
    <w:p w14:paraId="79232BF7">
      <w:pPr>
        <w:jc w:val="center"/>
        <w:rPr>
          <w:rFonts w:ascii="仿宋" w:hAnsi="仿宋" w:eastAsia="仿宋" w:cs="仿宋"/>
          <w:color w:val="auto"/>
          <w:sz w:val="44"/>
          <w:highlight w:val="none"/>
        </w:rPr>
        <w:sectPr>
          <w:footerReference r:id="rId6" w:type="first"/>
          <w:footerReference r:id="rId4" w:type="default"/>
          <w:headerReference r:id="rId3" w:type="even"/>
          <w:footerReference r:id="rId5" w:type="even"/>
          <w:pgSz w:w="11906" w:h="16838"/>
          <w:pgMar w:top="1247" w:right="1247" w:bottom="1560" w:left="1247" w:header="851" w:footer="992" w:gutter="0"/>
          <w:pgNumType w:start="1"/>
          <w:cols w:space="720" w:num="1"/>
          <w:titlePg/>
          <w:docGrid w:linePitch="312" w:charSpace="0"/>
        </w:sectPr>
      </w:pPr>
      <w:r>
        <w:rPr>
          <w:rFonts w:hint="eastAsia" w:ascii="仿宋" w:hAnsi="仿宋" w:eastAsia="仿宋" w:cs="仿宋"/>
          <w:b/>
          <w:color w:val="auto"/>
          <w:spacing w:val="-10"/>
          <w:sz w:val="32"/>
          <w:szCs w:val="32"/>
          <w:highlight w:val="none"/>
        </w:rPr>
        <w:t>202</w:t>
      </w:r>
      <w:r>
        <w:rPr>
          <w:rFonts w:hint="eastAsia" w:ascii="仿宋" w:hAnsi="仿宋" w:eastAsia="仿宋" w:cs="仿宋"/>
          <w:b/>
          <w:color w:val="auto"/>
          <w:spacing w:val="-10"/>
          <w:sz w:val="32"/>
          <w:szCs w:val="32"/>
          <w:highlight w:val="none"/>
          <w:lang w:val="en-US" w:eastAsia="zh-CN"/>
        </w:rPr>
        <w:t>5</w:t>
      </w:r>
      <w:r>
        <w:rPr>
          <w:rFonts w:hint="eastAsia" w:ascii="仿宋" w:hAnsi="仿宋" w:eastAsia="仿宋" w:cs="仿宋"/>
          <w:b/>
          <w:color w:val="auto"/>
          <w:spacing w:val="-10"/>
          <w:sz w:val="32"/>
          <w:szCs w:val="32"/>
          <w:highlight w:val="none"/>
        </w:rPr>
        <w:t>年</w:t>
      </w:r>
      <w:r>
        <w:rPr>
          <w:rFonts w:hint="eastAsia" w:ascii="仿宋" w:hAnsi="仿宋" w:eastAsia="仿宋" w:cs="仿宋"/>
          <w:b/>
          <w:color w:val="auto"/>
          <w:spacing w:val="-10"/>
          <w:sz w:val="32"/>
          <w:szCs w:val="32"/>
          <w:highlight w:val="none"/>
          <w:lang w:val="en-US" w:eastAsia="zh-CN"/>
        </w:rPr>
        <w:t>05</w:t>
      </w:r>
      <w:r>
        <w:rPr>
          <w:rFonts w:hint="eastAsia" w:ascii="仿宋" w:hAnsi="仿宋" w:eastAsia="仿宋" w:cs="仿宋"/>
          <w:b/>
          <w:color w:val="auto"/>
          <w:spacing w:val="-10"/>
          <w:sz w:val="32"/>
          <w:szCs w:val="32"/>
          <w:highlight w:val="none"/>
        </w:rPr>
        <w:t>月</w:t>
      </w:r>
    </w:p>
    <w:p w14:paraId="2C2AFF3B">
      <w:pPr>
        <w:pStyle w:val="12"/>
        <w:rPr>
          <w:color w:val="auto"/>
          <w:highlight w:val="none"/>
        </w:rPr>
      </w:pPr>
    </w:p>
    <w:p w14:paraId="4081BCFF">
      <w:pPr>
        <w:jc w:val="center"/>
        <w:rPr>
          <w:rFonts w:ascii="仿宋" w:hAnsi="仿宋" w:eastAsia="仿宋" w:cs="仿宋"/>
          <w:color w:val="auto"/>
          <w:sz w:val="44"/>
          <w:highlight w:val="none"/>
        </w:rPr>
      </w:pPr>
      <w:r>
        <w:rPr>
          <w:rFonts w:hint="eastAsia" w:ascii="仿宋" w:hAnsi="仿宋" w:eastAsia="仿宋" w:cs="仿宋"/>
          <w:color w:val="auto"/>
          <w:sz w:val="44"/>
          <w:highlight w:val="none"/>
        </w:rPr>
        <w:t>目     录</w:t>
      </w:r>
    </w:p>
    <w:p w14:paraId="5BC2F0E4">
      <w:pPr>
        <w:pStyle w:val="12"/>
        <w:jc w:val="center"/>
        <w:rPr>
          <w:rFonts w:ascii="仿宋" w:hAnsi="仿宋" w:eastAsia="仿宋" w:cs="仿宋"/>
          <w:color w:val="auto"/>
          <w:highlight w:val="none"/>
        </w:rPr>
      </w:pPr>
    </w:p>
    <w:p w14:paraId="2464027B">
      <w:pPr>
        <w:pStyle w:val="12"/>
        <w:jc w:val="center"/>
        <w:rPr>
          <w:rFonts w:ascii="仿宋" w:hAnsi="仿宋" w:eastAsia="仿宋" w:cs="仿宋"/>
          <w:color w:val="auto"/>
          <w:highlight w:val="none"/>
        </w:rPr>
      </w:pPr>
    </w:p>
    <w:p w14:paraId="58CDF9E1">
      <w:pPr>
        <w:pStyle w:val="12"/>
        <w:tabs>
          <w:tab w:val="left" w:pos="8860"/>
          <w:tab w:val="left" w:pos="9140"/>
        </w:tabs>
        <w:spacing w:line="720" w:lineRule="auto"/>
        <w:jc w:val="cente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第一章：公开招标公告..................................</w:t>
      </w:r>
      <w:r>
        <w:rPr>
          <w:rFonts w:hint="eastAsia" w:ascii="仿宋" w:hAnsi="仿宋" w:eastAsia="仿宋" w:cs="仿宋"/>
          <w:color w:val="auto"/>
          <w:sz w:val="32"/>
          <w:highlight w:val="none"/>
          <w:lang w:val="en-US" w:eastAsia="zh-CN"/>
        </w:rPr>
        <w:t>2</w:t>
      </w:r>
    </w:p>
    <w:p w14:paraId="7F9D36E0">
      <w:pPr>
        <w:pStyle w:val="12"/>
        <w:tabs>
          <w:tab w:val="left" w:pos="8860"/>
          <w:tab w:val="left" w:pos="9140"/>
        </w:tabs>
        <w:spacing w:line="720" w:lineRule="auto"/>
        <w:jc w:val="center"/>
        <w:rPr>
          <w:rFonts w:ascii="仿宋" w:hAnsi="仿宋" w:eastAsia="仿宋" w:cs="仿宋"/>
          <w:color w:val="auto"/>
          <w:sz w:val="32"/>
          <w:highlight w:val="none"/>
        </w:rPr>
      </w:pPr>
      <w:r>
        <w:rPr>
          <w:rFonts w:hint="eastAsia" w:ascii="仿宋" w:hAnsi="仿宋" w:eastAsia="仿宋" w:cs="仿宋"/>
          <w:color w:val="auto"/>
          <w:sz w:val="32"/>
          <w:highlight w:val="none"/>
        </w:rPr>
        <w:t>第二章：投标人须知....................................7</w:t>
      </w:r>
    </w:p>
    <w:p w14:paraId="53B12B7D">
      <w:pPr>
        <w:pStyle w:val="12"/>
        <w:spacing w:line="720" w:lineRule="auto"/>
        <w:jc w:val="center"/>
        <w:rPr>
          <w:rFonts w:ascii="仿宋" w:hAnsi="仿宋" w:eastAsia="仿宋" w:cs="仿宋"/>
          <w:color w:val="auto"/>
          <w:sz w:val="32"/>
          <w:highlight w:val="none"/>
        </w:rPr>
      </w:pPr>
      <w:r>
        <w:rPr>
          <w:rFonts w:hint="eastAsia" w:ascii="仿宋" w:hAnsi="仿宋" w:eastAsia="仿宋" w:cs="仿宋"/>
          <w:color w:val="auto"/>
          <w:sz w:val="32"/>
          <w:highlight w:val="none"/>
        </w:rPr>
        <w:t>第三章：服务采购需求.................................25</w:t>
      </w:r>
    </w:p>
    <w:p w14:paraId="2DFBAAE9">
      <w:pPr>
        <w:pStyle w:val="12"/>
        <w:tabs>
          <w:tab w:val="left" w:pos="8930"/>
          <w:tab w:val="left" w:pos="9105"/>
        </w:tabs>
        <w:spacing w:line="720" w:lineRule="auto"/>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第四章：评标办法.....................................</w:t>
      </w:r>
      <w:r>
        <w:rPr>
          <w:rFonts w:hint="eastAsia" w:ascii="仿宋" w:hAnsi="仿宋" w:eastAsia="仿宋" w:cs="仿宋"/>
          <w:color w:val="auto"/>
          <w:sz w:val="32"/>
          <w:highlight w:val="none"/>
          <w:lang w:val="en-US" w:eastAsia="zh-CN"/>
        </w:rPr>
        <w:t>51</w:t>
      </w:r>
    </w:p>
    <w:p w14:paraId="34523CBE">
      <w:pPr>
        <w:pStyle w:val="12"/>
        <w:tabs>
          <w:tab w:val="left" w:pos="8930"/>
          <w:tab w:val="left" w:pos="9105"/>
        </w:tabs>
        <w:spacing w:line="720" w:lineRule="auto"/>
        <w:jc w:val="center"/>
        <w:rPr>
          <w:rFonts w:ascii="仿宋" w:hAnsi="仿宋" w:eastAsia="仿宋" w:cs="仿宋"/>
          <w:color w:val="auto"/>
          <w:sz w:val="32"/>
          <w:highlight w:val="none"/>
        </w:rPr>
      </w:pPr>
      <w:r>
        <w:rPr>
          <w:rFonts w:hint="eastAsia" w:ascii="仿宋" w:hAnsi="仿宋" w:eastAsia="仿宋" w:cs="仿宋"/>
          <w:color w:val="auto"/>
          <w:sz w:val="32"/>
          <w:highlight w:val="none"/>
        </w:rPr>
        <w:t>第五章：环卫市场化承包合同格式.......................58</w:t>
      </w:r>
    </w:p>
    <w:p w14:paraId="2CC4F977">
      <w:pPr>
        <w:pStyle w:val="12"/>
        <w:spacing w:line="720" w:lineRule="auto"/>
        <w:jc w:val="center"/>
        <w:rPr>
          <w:rFonts w:ascii="仿宋" w:hAnsi="仿宋" w:eastAsia="仿宋" w:cs="仿宋"/>
          <w:color w:val="auto"/>
          <w:sz w:val="32"/>
          <w:highlight w:val="none"/>
        </w:rPr>
      </w:pPr>
      <w:r>
        <w:rPr>
          <w:rFonts w:hint="eastAsia" w:ascii="仿宋" w:hAnsi="仿宋" w:eastAsia="仿宋" w:cs="仿宋"/>
          <w:color w:val="auto"/>
          <w:sz w:val="32"/>
          <w:highlight w:val="none"/>
        </w:rPr>
        <w:t>第六章：投标文件格式.................................74</w:t>
      </w:r>
    </w:p>
    <w:p w14:paraId="60661E0F">
      <w:pPr>
        <w:ind w:firstLine="2730" w:firstLineChars="1300"/>
        <w:jc w:val="left"/>
        <w:rPr>
          <w:rFonts w:ascii="仿宋" w:hAnsi="仿宋" w:eastAsia="仿宋" w:cs="仿宋"/>
          <w:color w:val="auto"/>
          <w:szCs w:val="21"/>
          <w:highlight w:val="none"/>
        </w:rPr>
      </w:pPr>
    </w:p>
    <w:p w14:paraId="6EEDBA37">
      <w:pPr>
        <w:ind w:firstLine="2730" w:firstLineChars="1300"/>
        <w:rPr>
          <w:rFonts w:ascii="仿宋" w:hAnsi="仿宋" w:eastAsia="仿宋" w:cs="仿宋"/>
          <w:color w:val="auto"/>
          <w:szCs w:val="21"/>
          <w:highlight w:val="none"/>
        </w:rPr>
      </w:pPr>
    </w:p>
    <w:p w14:paraId="52D72B8C">
      <w:pPr>
        <w:ind w:firstLine="2730" w:firstLineChars="1300"/>
        <w:rPr>
          <w:rFonts w:ascii="仿宋" w:hAnsi="仿宋" w:eastAsia="仿宋" w:cs="仿宋"/>
          <w:color w:val="auto"/>
          <w:szCs w:val="21"/>
          <w:highlight w:val="none"/>
        </w:rPr>
      </w:pPr>
    </w:p>
    <w:p w14:paraId="45722D6B">
      <w:pPr>
        <w:ind w:firstLine="2730" w:firstLineChars="1300"/>
        <w:rPr>
          <w:rFonts w:ascii="仿宋" w:hAnsi="仿宋" w:eastAsia="仿宋" w:cs="仿宋"/>
          <w:color w:val="auto"/>
          <w:szCs w:val="21"/>
          <w:highlight w:val="none"/>
        </w:rPr>
      </w:pPr>
    </w:p>
    <w:p w14:paraId="139DEFEF">
      <w:pPr>
        <w:ind w:firstLine="2730" w:firstLineChars="1300"/>
        <w:rPr>
          <w:rFonts w:ascii="仿宋" w:hAnsi="仿宋" w:eastAsia="仿宋" w:cs="仿宋"/>
          <w:color w:val="auto"/>
          <w:szCs w:val="21"/>
          <w:highlight w:val="none"/>
        </w:rPr>
      </w:pPr>
    </w:p>
    <w:p w14:paraId="377C98DE">
      <w:pPr>
        <w:ind w:firstLine="2730" w:firstLineChars="1300"/>
        <w:rPr>
          <w:rFonts w:ascii="仿宋" w:hAnsi="仿宋" w:eastAsia="仿宋" w:cs="仿宋"/>
          <w:color w:val="auto"/>
          <w:szCs w:val="21"/>
          <w:highlight w:val="none"/>
        </w:rPr>
      </w:pPr>
    </w:p>
    <w:p w14:paraId="6D2B72E1">
      <w:pPr>
        <w:jc w:val="center"/>
        <w:rPr>
          <w:rFonts w:ascii="仿宋" w:hAnsi="仿宋" w:eastAsia="仿宋" w:cs="仿宋"/>
          <w:b/>
          <w:color w:val="auto"/>
          <w:sz w:val="32"/>
          <w:szCs w:val="32"/>
          <w:highlight w:val="none"/>
        </w:rPr>
      </w:pPr>
    </w:p>
    <w:p w14:paraId="5623B8B5">
      <w:pPr>
        <w:jc w:val="center"/>
        <w:rPr>
          <w:rFonts w:ascii="仿宋" w:hAnsi="仿宋" w:eastAsia="仿宋" w:cs="仿宋"/>
          <w:b/>
          <w:color w:val="auto"/>
          <w:sz w:val="32"/>
          <w:szCs w:val="32"/>
          <w:highlight w:val="none"/>
        </w:rPr>
      </w:pPr>
    </w:p>
    <w:p w14:paraId="0810994D">
      <w:pPr>
        <w:jc w:val="center"/>
        <w:rPr>
          <w:rFonts w:ascii="仿宋" w:hAnsi="仿宋" w:eastAsia="仿宋" w:cs="仿宋"/>
          <w:b/>
          <w:color w:val="auto"/>
          <w:sz w:val="32"/>
          <w:szCs w:val="32"/>
          <w:highlight w:val="none"/>
        </w:rPr>
      </w:pPr>
    </w:p>
    <w:p w14:paraId="6B6D096A">
      <w:pPr>
        <w:jc w:val="center"/>
        <w:rPr>
          <w:rFonts w:ascii="仿宋" w:hAnsi="仿宋" w:eastAsia="仿宋" w:cs="仿宋"/>
          <w:b/>
          <w:color w:val="auto"/>
          <w:sz w:val="32"/>
          <w:szCs w:val="32"/>
          <w:highlight w:val="none"/>
        </w:rPr>
      </w:pPr>
    </w:p>
    <w:p w14:paraId="1197FFDE">
      <w:pPr>
        <w:pageBreakBefore/>
        <w:numPr>
          <w:ilvl w:val="0"/>
          <w:numId w:val="2"/>
        </w:numPr>
        <w:spacing w:line="39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公开招标公告</w:t>
      </w:r>
    </w:p>
    <w:p w14:paraId="314EF50C">
      <w:pPr>
        <w:widowControl/>
        <w:jc w:val="center"/>
        <w:rPr>
          <w:color w:val="auto"/>
          <w:sz w:val="28"/>
          <w:szCs w:val="28"/>
          <w:highlight w:val="none"/>
        </w:rPr>
      </w:pPr>
      <w:r>
        <w:rPr>
          <w:rFonts w:hint="eastAsia" w:ascii="仿宋" w:hAnsi="仿宋" w:eastAsia="仿宋" w:cs="仿宋"/>
          <w:b/>
          <w:color w:val="auto"/>
          <w:sz w:val="28"/>
          <w:szCs w:val="28"/>
          <w:highlight w:val="none"/>
        </w:rPr>
        <w:t>广西鑫磐工程项目管理有限责任公司关于</w:t>
      </w:r>
      <w:r>
        <w:rPr>
          <w:rFonts w:ascii="楷体_GB2312" w:hAnsi="楷体_GB2312" w:eastAsia="楷体_GB2312" w:cs="楷体_GB2312"/>
          <w:b/>
          <w:bCs/>
          <w:color w:val="auto"/>
          <w:kern w:val="0"/>
          <w:sz w:val="28"/>
          <w:szCs w:val="28"/>
          <w:highlight w:val="none"/>
        </w:rPr>
        <w:t>2025-2028年龙州县城区及水口镇环卫保洁及绿化养护服务</w:t>
      </w:r>
      <w:r>
        <w:rPr>
          <w:rFonts w:hint="eastAsia" w:ascii="仿宋" w:hAnsi="仿宋" w:eastAsia="仿宋" w:cs="仿宋"/>
          <w:b/>
          <w:color w:val="auto"/>
          <w:sz w:val="28"/>
          <w:szCs w:val="28"/>
          <w:highlight w:val="none"/>
        </w:rPr>
        <w:t>的公开招标公告</w:t>
      </w:r>
    </w:p>
    <w:p w14:paraId="748D383D">
      <w:pPr>
        <w:pStyle w:val="12"/>
        <w:rPr>
          <w:color w:val="auto"/>
          <w:highlight w:val="none"/>
        </w:rPr>
      </w:pPr>
    </w:p>
    <w:p w14:paraId="4CAE894B">
      <w:pPr>
        <w:pStyle w:val="12"/>
        <w:snapToGrid w:val="0"/>
        <w:spacing w:before="120" w:after="120" w:line="400" w:lineRule="exact"/>
        <w:outlineLvl w:val="0"/>
        <w:rPr>
          <w:rFonts w:ascii="仿宋" w:hAnsi="仿宋" w:eastAsia="仿宋" w:cs="仿宋"/>
          <w:b/>
          <w:color w:val="auto"/>
          <w:sz w:val="24"/>
          <w:szCs w:val="24"/>
          <w:highlight w:val="none"/>
        </w:rPr>
      </w:pPr>
      <w:bookmarkStart w:id="0" w:name="OLE_LINK1"/>
      <w:r>
        <w:rPr>
          <w:rFonts w:ascii="仿宋" w:hAnsi="仿宋" w:eastAsia="仿宋" w:cs="仿宋"/>
          <w:color w:val="auto"/>
          <w:highlight w:val="none"/>
        </w:rPr>
        <mc:AlternateContent>
          <mc:Choice Requires="wps">
            <w:drawing>
              <wp:anchor distT="45720" distB="45720" distL="114300" distR="114300" simplePos="0" relativeHeight="251661312" behindDoc="0" locked="0" layoutInCell="1" allowOverlap="1">
                <wp:simplePos x="0" y="0"/>
                <wp:positionH relativeFrom="margin">
                  <wp:posOffset>135255</wp:posOffset>
                </wp:positionH>
                <wp:positionV relativeFrom="paragraph">
                  <wp:posOffset>53340</wp:posOffset>
                </wp:positionV>
                <wp:extent cx="5721985" cy="1183005"/>
                <wp:effectExtent l="4445" t="4445" r="19050" b="1651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21985" cy="1183005"/>
                        </a:xfrm>
                        <a:prstGeom prst="rect">
                          <a:avLst/>
                        </a:prstGeom>
                        <a:solidFill>
                          <a:srgbClr val="FFFFFF"/>
                        </a:solidFill>
                        <a:ln w="9525">
                          <a:solidFill>
                            <a:srgbClr val="000000"/>
                          </a:solidFill>
                          <a:miter lim="800000"/>
                        </a:ln>
                        <a:effectLst/>
                      </wps:spPr>
                      <wps:txbx>
                        <w:txbxContent>
                          <w:p w14:paraId="2D9570E4">
                            <w:pPr>
                              <w:rPr>
                                <w:rFonts w:ascii="仿宋" w:hAnsi="仿宋" w:eastAsia="仿宋" w:cs="仿宋"/>
                                <w:sz w:val="24"/>
                              </w:rPr>
                            </w:pPr>
                            <w:r>
                              <w:rPr>
                                <w:rFonts w:hint="eastAsia" w:ascii="仿宋" w:hAnsi="仿宋" w:eastAsia="仿宋" w:cs="仿宋"/>
                                <w:sz w:val="24"/>
                              </w:rPr>
                              <w:t>项目概况：</w:t>
                            </w:r>
                          </w:p>
                          <w:p w14:paraId="5D6BE604">
                            <w:pPr>
                              <w:spacing w:line="360" w:lineRule="auto"/>
                              <w:ind w:firstLine="480" w:firstLineChars="200"/>
                              <w:rPr>
                                <w:rFonts w:ascii="仿宋" w:hAnsi="仿宋" w:eastAsia="仿宋" w:cs="仿宋"/>
                                <w:color w:val="auto"/>
                                <w:sz w:val="24"/>
                              </w:rPr>
                            </w:pPr>
                            <w:r>
                              <w:rPr>
                                <w:rFonts w:ascii="楷体_GB2312" w:hAnsi="楷体_GB2312" w:eastAsia="楷体_GB2312" w:cs="楷体_GB2312"/>
                                <w:color w:val="000000"/>
                                <w:kern w:val="0"/>
                                <w:sz w:val="24"/>
                                <w:u w:val="single"/>
                              </w:rPr>
                              <w:t>2025-2028年龙州县城区及水口镇环卫保洁及绿化养护服务</w:t>
                            </w:r>
                            <w:r>
                              <w:rPr>
                                <w:rFonts w:hint="eastAsia" w:ascii="仿宋" w:hAnsi="仿宋" w:eastAsia="仿宋" w:cs="仿宋"/>
                                <w:sz w:val="24"/>
                              </w:rPr>
                              <w:t>的潜在投标人应在广西政府采购云平台（https://www.gcy.zfcg.gxzf.gov.cn/）获取招标文件</w:t>
                            </w:r>
                            <w:r>
                              <w:rPr>
                                <w:rFonts w:hint="eastAsia" w:ascii="仿宋" w:hAnsi="仿宋" w:eastAsia="仿宋" w:cs="仿宋"/>
                                <w:color w:val="auto"/>
                                <w:sz w:val="24"/>
                              </w:rPr>
                              <w:t>，</w:t>
                            </w:r>
                            <w:r>
                              <w:rPr>
                                <w:rFonts w:hint="eastAsia" w:ascii="仿宋" w:hAnsi="仿宋" w:eastAsia="仿宋" w:cs="仿宋"/>
                                <w:color w:val="auto"/>
                                <w:sz w:val="24"/>
                                <w:u w:val="single"/>
                              </w:rPr>
                              <w:t>并于202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日9点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w:t>
                            </w:r>
                            <w:r>
                              <w:rPr>
                                <w:rFonts w:hint="eastAsia" w:ascii="仿宋" w:hAnsi="仿宋" w:eastAsia="仿宋" w:cs="仿宋"/>
                                <w:color w:val="auto"/>
                                <w:sz w:val="24"/>
                              </w:rPr>
                              <w:t>分（北京时间）前递交投标文件。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5pt;margin-top:4.2pt;height:93.15pt;width:450.5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T3trrXAAAACAEAAA8AAAAAAAAAAQAg&#10;AAAAIgAAAGRycy9kb3ducmV2LnhtbFBLAQIUABQAAAAIAIdO4kDVBXlcSAIAAJYEAAAOAAAAAAAA&#10;AAEAIAAAACYBAABkcnMvZTJvRG9jLnhtbFBLBQYAAAAABgAGAFkBAADgBQAAAAA=&#10;">
                <v:fill on="t" focussize="0,0"/>
                <v:stroke color="#000000" miterlimit="8" joinstyle="miter"/>
                <v:imagedata o:title=""/>
                <o:lock v:ext="edit" aspectratio="f"/>
                <v:textbox>
                  <w:txbxContent>
                    <w:p w14:paraId="2D9570E4">
                      <w:pPr>
                        <w:rPr>
                          <w:rFonts w:ascii="仿宋" w:hAnsi="仿宋" w:eastAsia="仿宋" w:cs="仿宋"/>
                          <w:sz w:val="24"/>
                        </w:rPr>
                      </w:pPr>
                      <w:r>
                        <w:rPr>
                          <w:rFonts w:hint="eastAsia" w:ascii="仿宋" w:hAnsi="仿宋" w:eastAsia="仿宋" w:cs="仿宋"/>
                          <w:sz w:val="24"/>
                        </w:rPr>
                        <w:t>项目概况：</w:t>
                      </w:r>
                    </w:p>
                    <w:p w14:paraId="5D6BE604">
                      <w:pPr>
                        <w:spacing w:line="360" w:lineRule="auto"/>
                        <w:ind w:firstLine="480" w:firstLineChars="200"/>
                        <w:rPr>
                          <w:rFonts w:ascii="仿宋" w:hAnsi="仿宋" w:eastAsia="仿宋" w:cs="仿宋"/>
                          <w:color w:val="auto"/>
                          <w:sz w:val="24"/>
                        </w:rPr>
                      </w:pPr>
                      <w:r>
                        <w:rPr>
                          <w:rFonts w:ascii="楷体_GB2312" w:hAnsi="楷体_GB2312" w:eastAsia="楷体_GB2312" w:cs="楷体_GB2312"/>
                          <w:color w:val="000000"/>
                          <w:kern w:val="0"/>
                          <w:sz w:val="24"/>
                          <w:u w:val="single"/>
                        </w:rPr>
                        <w:t>2025-2028年龙州县城区及水口镇环卫保洁及绿化养护服务</w:t>
                      </w:r>
                      <w:r>
                        <w:rPr>
                          <w:rFonts w:hint="eastAsia" w:ascii="仿宋" w:hAnsi="仿宋" w:eastAsia="仿宋" w:cs="仿宋"/>
                          <w:sz w:val="24"/>
                        </w:rPr>
                        <w:t>的潜在投标人应在广西政府采购云平台（https://www.gcy.zfcg.gxzf.gov.cn/）获取招标文件</w:t>
                      </w:r>
                      <w:r>
                        <w:rPr>
                          <w:rFonts w:hint="eastAsia" w:ascii="仿宋" w:hAnsi="仿宋" w:eastAsia="仿宋" w:cs="仿宋"/>
                          <w:color w:val="auto"/>
                          <w:sz w:val="24"/>
                        </w:rPr>
                        <w:t>，</w:t>
                      </w:r>
                      <w:r>
                        <w:rPr>
                          <w:rFonts w:hint="eastAsia" w:ascii="仿宋" w:hAnsi="仿宋" w:eastAsia="仿宋" w:cs="仿宋"/>
                          <w:color w:val="auto"/>
                          <w:sz w:val="24"/>
                          <w:u w:val="single"/>
                        </w:rPr>
                        <w:t>并于202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日9点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w:t>
                      </w:r>
                      <w:r>
                        <w:rPr>
                          <w:rFonts w:hint="eastAsia" w:ascii="仿宋" w:hAnsi="仿宋" w:eastAsia="仿宋" w:cs="仿宋"/>
                          <w:color w:val="auto"/>
                          <w:sz w:val="24"/>
                        </w:rPr>
                        <w:t>分（北京时间）前递交投标文件。</w:t>
                      </w:r>
                    </w:p>
                  </w:txbxContent>
                </v:textbox>
                <w10:wrap type="square"/>
              </v:shape>
            </w:pict>
          </mc:Fallback>
        </mc:AlternateContent>
      </w:r>
      <w:r>
        <w:rPr>
          <w:rFonts w:hint="eastAsia" w:ascii="仿宋" w:hAnsi="仿宋" w:eastAsia="仿宋" w:cs="仿宋"/>
          <w:b/>
          <w:color w:val="auto"/>
          <w:sz w:val="24"/>
          <w:szCs w:val="24"/>
          <w:highlight w:val="none"/>
        </w:rPr>
        <w:t>一、项目基本情况</w:t>
      </w:r>
    </w:p>
    <w:p w14:paraId="212517AA">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1.项目编号：CZZC2025-G3-230041-GXXP</w:t>
      </w:r>
    </w:p>
    <w:p w14:paraId="4558EF44">
      <w:pPr>
        <w:snapToGrid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2.采购计划编号：LZZC2025-G3-00462-001、LZZC2025-G3-00462-00</w:t>
      </w:r>
      <w:r>
        <w:rPr>
          <w:rFonts w:hint="eastAsia" w:ascii="仿宋" w:hAnsi="仿宋" w:eastAsia="仿宋" w:cs="仿宋"/>
          <w:color w:val="auto"/>
          <w:sz w:val="24"/>
          <w:highlight w:val="none"/>
          <w:lang w:val="en-US" w:eastAsia="zh-CN"/>
        </w:rPr>
        <w:t>2</w:t>
      </w:r>
    </w:p>
    <w:p w14:paraId="30F2C01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3.项目名称：</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年龙州县城区及水口镇环卫保洁及绿化养护服务</w:t>
      </w:r>
    </w:p>
    <w:p w14:paraId="02341743">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4.预算金额：本项目划分为2个分标，其中，</w:t>
      </w:r>
    </w:p>
    <w:p w14:paraId="50D7CE21">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A分标：龙州县城区环卫保洁及绿化养护市场化运营</w:t>
      </w:r>
    </w:p>
    <w:p w14:paraId="320ABBF0">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标段总预算价（最高限价）：127</w:t>
      </w:r>
      <w:r>
        <w:rPr>
          <w:rFonts w:hint="eastAsia" w:ascii="仿宋" w:hAnsi="仿宋" w:eastAsia="仿宋" w:cs="仿宋"/>
          <w:color w:val="auto"/>
          <w:sz w:val="24"/>
          <w:highlight w:val="none"/>
          <w:lang w:val="en-US" w:eastAsia="zh-CN"/>
        </w:rPr>
        <w:t>20000</w:t>
      </w:r>
      <w:r>
        <w:rPr>
          <w:rFonts w:hint="eastAsia" w:ascii="仿宋" w:hAnsi="仿宋" w:eastAsia="仿宋" w:cs="仿宋"/>
          <w:color w:val="auto"/>
          <w:sz w:val="24"/>
          <w:highlight w:val="none"/>
        </w:rPr>
        <w:t xml:space="preserve">元/年    </w:t>
      </w:r>
    </w:p>
    <w:p w14:paraId="5835B284">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B分标：龙州县城（城南区、利民街）、水口镇环卫保洁及绿化养护市场运营</w:t>
      </w:r>
    </w:p>
    <w:p w14:paraId="59D8CEB3">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标段总预算价（最高限价）：50</w:t>
      </w:r>
      <w:r>
        <w:rPr>
          <w:rFonts w:hint="eastAsia" w:ascii="仿宋" w:hAnsi="仿宋" w:eastAsia="仿宋" w:cs="仿宋"/>
          <w:color w:val="auto"/>
          <w:sz w:val="24"/>
          <w:highlight w:val="none"/>
          <w:lang w:val="en-US" w:eastAsia="zh-CN"/>
        </w:rPr>
        <w:t>25800</w:t>
      </w:r>
      <w:r>
        <w:rPr>
          <w:rFonts w:hint="eastAsia" w:ascii="仿宋" w:hAnsi="仿宋" w:eastAsia="仿宋" w:cs="仿宋"/>
          <w:color w:val="auto"/>
          <w:sz w:val="24"/>
          <w:highlight w:val="none"/>
        </w:rPr>
        <w:t xml:space="preserve">元/年   </w:t>
      </w:r>
    </w:p>
    <w:p w14:paraId="2BAE5B0C">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5.最高限价：与预算金额一致</w:t>
      </w:r>
    </w:p>
    <w:p w14:paraId="14B38418">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6.采购需求：</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96"/>
        <w:gridCol w:w="990"/>
        <w:gridCol w:w="4461"/>
      </w:tblGrid>
      <w:tr w14:paraId="5EF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3" w:type="dxa"/>
            <w:vAlign w:val="center"/>
          </w:tcPr>
          <w:p w14:paraId="57CDBC0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分标号</w:t>
            </w:r>
          </w:p>
        </w:tc>
        <w:tc>
          <w:tcPr>
            <w:tcW w:w="3196" w:type="dxa"/>
            <w:vAlign w:val="center"/>
          </w:tcPr>
          <w:p w14:paraId="50DD49F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990" w:type="dxa"/>
            <w:vAlign w:val="center"/>
          </w:tcPr>
          <w:p w14:paraId="6BCC119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461" w:type="dxa"/>
            <w:vAlign w:val="center"/>
          </w:tcPr>
          <w:p w14:paraId="703453C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简要规格描述和项目基本概况介绍</w:t>
            </w:r>
          </w:p>
        </w:tc>
      </w:tr>
      <w:tr w14:paraId="7DAE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13" w:type="dxa"/>
            <w:vAlign w:val="center"/>
          </w:tcPr>
          <w:p w14:paraId="310B56B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A</w:t>
            </w:r>
          </w:p>
        </w:tc>
        <w:tc>
          <w:tcPr>
            <w:tcW w:w="3196" w:type="dxa"/>
            <w:vAlign w:val="center"/>
          </w:tcPr>
          <w:p w14:paraId="36DE5110">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A标：龙州县城区环卫保洁及绿化养护市场化运营</w:t>
            </w:r>
          </w:p>
          <w:p w14:paraId="215A967E">
            <w:pPr>
              <w:snapToGrid w:val="0"/>
              <w:spacing w:line="400" w:lineRule="exact"/>
              <w:jc w:val="center"/>
              <w:rPr>
                <w:rFonts w:ascii="仿宋" w:hAnsi="仿宋" w:eastAsia="仿宋" w:cs="仿宋"/>
                <w:color w:val="auto"/>
                <w:sz w:val="24"/>
                <w:highlight w:val="none"/>
              </w:rPr>
            </w:pPr>
          </w:p>
        </w:tc>
        <w:tc>
          <w:tcPr>
            <w:tcW w:w="990" w:type="dxa"/>
            <w:vAlign w:val="center"/>
          </w:tcPr>
          <w:p w14:paraId="59B715C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4461" w:type="dxa"/>
            <w:vAlign w:val="center"/>
          </w:tcPr>
          <w:p w14:paraId="17C060FE">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1、项目范围和工作内容：城区清扫保洁</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面积约1</w:t>
            </w:r>
            <w:r>
              <w:rPr>
                <w:rFonts w:hint="eastAsia" w:ascii="仿宋" w:hAnsi="仿宋" w:eastAsia="仿宋" w:cs="仿宋"/>
                <w:color w:val="auto"/>
                <w:sz w:val="24"/>
                <w:highlight w:val="none"/>
                <w:lang w:val="en-US" w:eastAsia="zh-CN"/>
              </w:rPr>
              <w:t>430802</w:t>
            </w:r>
            <w:r>
              <w:rPr>
                <w:rFonts w:hint="eastAsia" w:ascii="仿宋" w:hAnsi="仿宋" w:eastAsia="仿宋" w:cs="仿宋"/>
                <w:color w:val="auto"/>
                <w:sz w:val="24"/>
                <w:highlight w:val="none"/>
              </w:rPr>
              <w:t>平方米，环卫厕所4座，项目范围和工作内容详见采购文件；</w:t>
            </w:r>
          </w:p>
          <w:p w14:paraId="0360237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2、服务期限：</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r w14:paraId="44FC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3" w:type="dxa"/>
            <w:vAlign w:val="center"/>
          </w:tcPr>
          <w:p w14:paraId="40ADD0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B</w:t>
            </w:r>
          </w:p>
        </w:tc>
        <w:tc>
          <w:tcPr>
            <w:tcW w:w="3196" w:type="dxa"/>
            <w:vAlign w:val="center"/>
          </w:tcPr>
          <w:p w14:paraId="5C6E851E">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B分标：龙州县城（城南区、利民街）、水口镇环卫保洁及绿化养护市场运营</w:t>
            </w:r>
          </w:p>
          <w:p w14:paraId="51F4B6F7">
            <w:pPr>
              <w:snapToGrid w:val="0"/>
              <w:spacing w:line="400" w:lineRule="exact"/>
              <w:jc w:val="center"/>
              <w:rPr>
                <w:rFonts w:ascii="仿宋" w:hAnsi="仿宋" w:eastAsia="仿宋" w:cs="仿宋"/>
                <w:color w:val="auto"/>
                <w:sz w:val="24"/>
                <w:highlight w:val="none"/>
              </w:rPr>
            </w:pPr>
          </w:p>
        </w:tc>
        <w:tc>
          <w:tcPr>
            <w:tcW w:w="990" w:type="dxa"/>
            <w:vAlign w:val="center"/>
          </w:tcPr>
          <w:p w14:paraId="2D47B3D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4461" w:type="dxa"/>
            <w:vAlign w:val="center"/>
          </w:tcPr>
          <w:p w14:paraId="4FB00F01">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1、项目范围和工作内容：城区清扫保洁</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面积约</w:t>
            </w:r>
            <w:r>
              <w:rPr>
                <w:rFonts w:hint="eastAsia" w:ascii="仿宋" w:hAnsi="仿宋" w:eastAsia="仿宋" w:cs="仿宋"/>
                <w:color w:val="auto"/>
                <w:sz w:val="24"/>
                <w:highlight w:val="none"/>
                <w:lang w:val="en-US" w:eastAsia="zh-CN"/>
              </w:rPr>
              <w:t>1547916</w:t>
            </w:r>
            <w:r>
              <w:rPr>
                <w:rFonts w:hint="eastAsia" w:ascii="仿宋" w:hAnsi="仿宋" w:eastAsia="仿宋" w:cs="仿宋"/>
                <w:color w:val="auto"/>
                <w:sz w:val="24"/>
                <w:highlight w:val="none"/>
              </w:rPr>
              <w:t>平方米，项目范围和工作内容详见采购文件；</w:t>
            </w:r>
          </w:p>
          <w:p w14:paraId="5FAEEB50">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2、服务期限：</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tc>
      </w:tr>
    </w:tbl>
    <w:p w14:paraId="5DF72B78">
      <w:pPr>
        <w:snapToGrid w:val="0"/>
        <w:spacing w:line="400" w:lineRule="exact"/>
        <w:ind w:left="482"/>
        <w:rPr>
          <w:rFonts w:ascii="仿宋" w:hAnsi="仿宋" w:eastAsia="仿宋" w:cs="仿宋"/>
          <w:color w:val="auto"/>
          <w:sz w:val="24"/>
          <w:highlight w:val="none"/>
        </w:rPr>
      </w:pPr>
      <w:r>
        <w:rPr>
          <w:rFonts w:hint="eastAsia" w:ascii="仿宋" w:hAnsi="仿宋" w:eastAsia="仿宋" w:cs="仿宋"/>
          <w:color w:val="auto"/>
          <w:sz w:val="24"/>
          <w:highlight w:val="none"/>
        </w:rPr>
        <w:t>7.合同履行期限：自合同签订之日起至合同履行结束之日止。</w:t>
      </w:r>
    </w:p>
    <w:p w14:paraId="025BA8A8">
      <w:pPr>
        <w:snapToGrid w:val="0"/>
        <w:spacing w:line="400" w:lineRule="exact"/>
        <w:ind w:left="482"/>
        <w:rPr>
          <w:rFonts w:ascii="仿宋" w:hAnsi="仿宋" w:eastAsia="仿宋" w:cs="仿宋"/>
          <w:color w:val="auto"/>
          <w:sz w:val="24"/>
          <w:highlight w:val="none"/>
        </w:rPr>
      </w:pPr>
      <w:r>
        <w:rPr>
          <w:rFonts w:hint="eastAsia" w:ascii="仿宋" w:hAnsi="仿宋" w:eastAsia="仿宋" w:cs="仿宋"/>
          <w:color w:val="auto"/>
          <w:sz w:val="24"/>
          <w:highlight w:val="none"/>
        </w:rPr>
        <w:t>8.本项目不接受联合体投标。</w:t>
      </w:r>
    </w:p>
    <w:p w14:paraId="6056DDD9">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BE52CEB">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4C66916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eastAsia="zh-CN"/>
        </w:rPr>
        <w:t>中</w:t>
      </w:r>
      <w:r>
        <w:rPr>
          <w:rFonts w:hint="eastAsia" w:ascii="仿宋" w:hAnsi="仿宋" w:eastAsia="仿宋" w:cs="仿宋"/>
          <w:b/>
          <w:bCs/>
          <w:color w:val="auto"/>
          <w:sz w:val="24"/>
          <w:highlight w:val="none"/>
        </w:rPr>
        <w:t>小企业；</w:t>
      </w:r>
    </w:p>
    <w:p w14:paraId="040678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49CDADE3">
      <w:pPr>
        <w:pStyle w:val="12"/>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148D16D">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A418CEC">
      <w:pPr>
        <w:snapToGrid w:val="0"/>
        <w:spacing w:line="40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三、</w:t>
      </w:r>
      <w:r>
        <w:rPr>
          <w:rFonts w:hint="eastAsia" w:ascii="仿宋" w:hAnsi="仿宋" w:eastAsia="仿宋" w:cs="仿宋"/>
          <w:b/>
          <w:bCs/>
          <w:color w:val="auto"/>
          <w:sz w:val="24"/>
          <w:highlight w:val="none"/>
        </w:rPr>
        <w:t>获取招标文件</w:t>
      </w:r>
    </w:p>
    <w:p w14:paraId="43B9F22B">
      <w:pPr>
        <w:snapToGrid w:val="0"/>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1.时间：</w:t>
      </w:r>
      <w:r>
        <w:rPr>
          <w:rFonts w:hint="eastAsia" w:ascii="仿宋" w:hAnsi="仿宋" w:eastAsia="仿宋" w:cs="仿宋"/>
          <w:color w:val="auto"/>
          <w:sz w:val="24"/>
          <w:highlight w:val="none"/>
        </w:rPr>
        <w:t>自公告发布之日起至202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分止</w:t>
      </w:r>
      <w:r>
        <w:rPr>
          <w:rFonts w:hint="eastAsia" w:ascii="仿宋" w:hAnsi="仿宋" w:eastAsia="仿宋" w:cs="仿宋"/>
          <w:bCs/>
          <w:color w:val="auto"/>
          <w:sz w:val="24"/>
          <w:highlight w:val="none"/>
        </w:rPr>
        <w:t>。</w:t>
      </w:r>
    </w:p>
    <w:p w14:paraId="1D57CC2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地点：广西政府采购云平台（https://www.gcy.zfcg.gxzf.gov.cn/）</w:t>
      </w:r>
    </w:p>
    <w:p w14:paraId="23D821DC">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方式：投标人须按照本招标公告规定的时间、地点获取招标文件售价：0元</w:t>
      </w:r>
    </w:p>
    <w:p w14:paraId="5DCCBB2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注：1.已获取招标文件的投标人不等于符合本项目的投标人资格。</w:t>
      </w:r>
    </w:p>
    <w:p w14:paraId="26C53DCA">
      <w:pPr>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color w:val="auto"/>
          <w:sz w:val="24"/>
          <w:highlight w:val="none"/>
        </w:rPr>
        <w:t>2.未注册的供应商可在政采云平台完成注册成为正式供应商后再实名申请获取招标文件。如在操作过程中遇到问题或需技术支持，请致电政采云客服热线：400-881-7190。供应商未按规定获取招标文件的，代理机构有权拒收其响应文件。</w:t>
      </w:r>
    </w:p>
    <w:p w14:paraId="26AD8AA9">
      <w:pPr>
        <w:snapToGrid w:val="0"/>
        <w:spacing w:line="40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四、提交投标文件截止时间、开标时间和地点</w:t>
      </w:r>
      <w:r>
        <w:rPr>
          <w:rFonts w:hint="eastAsia" w:ascii="仿宋" w:hAnsi="仿宋" w:eastAsia="仿宋" w:cs="仿宋"/>
          <w:color w:val="auto"/>
          <w:sz w:val="24"/>
          <w:highlight w:val="none"/>
        </w:rPr>
        <w:t>：</w:t>
      </w:r>
      <w:bookmarkStart w:id="31" w:name="_GoBack"/>
      <w:bookmarkEnd w:id="31"/>
    </w:p>
    <w:p w14:paraId="4BDF99F2">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提交投标文件截止时间和开标时间：202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 xml:space="preserve"> 分（北京时间）</w:t>
      </w:r>
    </w:p>
    <w:p w14:paraId="1539CBD7">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投标和开标地点：广西政府采购云平台</w:t>
      </w:r>
      <w:r>
        <w:rPr>
          <w:rFonts w:hint="eastAsia" w:ascii="仿宋" w:hAnsi="仿宋" w:eastAsia="仿宋" w:cs="仿宋"/>
          <w:color w:val="auto"/>
          <w:sz w:val="24"/>
          <w:highlight w:val="none"/>
          <w:lang w:eastAsia="zh-CN"/>
        </w:rPr>
        <w:t>平台</w:t>
      </w:r>
      <w:r>
        <w:rPr>
          <w:rFonts w:hint="eastAsia" w:ascii="仿宋" w:hAnsi="仿宋" w:eastAsia="仿宋" w:cs="仿宋"/>
          <w:color w:val="auto"/>
          <w:sz w:val="24"/>
          <w:highlight w:val="none"/>
        </w:rPr>
        <w:t>（https://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5D9E105">
      <w:pPr>
        <w:snapToGrid w:val="0"/>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五、公共期限</w:t>
      </w:r>
      <w:r>
        <w:rPr>
          <w:rFonts w:hint="eastAsia" w:ascii="仿宋" w:hAnsi="仿宋" w:eastAsia="仿宋" w:cs="仿宋"/>
          <w:color w:val="auto"/>
          <w:sz w:val="24"/>
          <w:highlight w:val="none"/>
        </w:rPr>
        <w:t>：</w:t>
      </w:r>
    </w:p>
    <w:p w14:paraId="6DE5DFA1">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8D812B7">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04C27F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1.投标保证金：</w:t>
      </w:r>
    </w:p>
    <w:p w14:paraId="2B8A7A19">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投标保证金（人民币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0 </w:t>
      </w:r>
      <w:r>
        <w:rPr>
          <w:rFonts w:hint="eastAsia" w:ascii="仿宋" w:hAnsi="仿宋" w:eastAsia="仿宋" w:cs="仿宋"/>
          <w:color w:val="auto"/>
          <w:sz w:val="24"/>
          <w:highlight w:val="none"/>
          <w:u w:val="single"/>
        </w:rPr>
        <w:t>。</w:t>
      </w:r>
    </w:p>
    <w:p w14:paraId="2D1188CD">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供应商应于投标截止时间前将投标保证金以电汇、转账、支票、汇票、本票、保险、保函等非现金形式缴纳或提交。 </w:t>
      </w:r>
    </w:p>
    <w:p w14:paraId="1C1A591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投标人基本账户转账或电汇到以下指定的投标保证金专用账户，缴纳时必须在银行转帐单上注明所缴保证金对应的项目名称或项目编号及(分标)号。</w:t>
      </w:r>
    </w:p>
    <w:p w14:paraId="765B3252">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开户名称：崇左市公共资源交易中心；</w:t>
      </w:r>
    </w:p>
    <w:p w14:paraId="6071C305">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开户银行：中国建设银行股份有限公司崇左友谊大道支行；</w:t>
      </w:r>
    </w:p>
    <w:p w14:paraId="79E60BBC">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开户账号:4500 1598 0540 5955 6677 </w:t>
      </w:r>
    </w:p>
    <w:p w14:paraId="6701A0CB">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2.网上查询地址</w:t>
      </w:r>
    </w:p>
    <w:p w14:paraId="1EFBB9A3">
      <w:pPr>
        <w:spacing w:line="440" w:lineRule="exact"/>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"http://www.ccgp.gov.cn（中国政府采购网）、http:/zfcg.gxzf.gov.cn/（广西壮族自治区政府采购网）、http:/www.czjyzx.gov.cn/gxczzbw/（崇左市公共资源交易中心网）。" </w:instrText>
      </w:r>
      <w:r>
        <w:rPr>
          <w:color w:val="auto"/>
          <w:highlight w:val="none"/>
        </w:rPr>
        <w:fldChar w:fldCharType="separate"/>
      </w:r>
      <w:r>
        <w:rPr>
          <w:rFonts w:hint="eastAsia" w:ascii="仿宋" w:hAnsi="仿宋" w:eastAsia="仿宋" w:cs="仿宋"/>
          <w:color w:val="auto"/>
          <w:sz w:val="24"/>
          <w:highlight w:val="none"/>
        </w:rPr>
        <w:t>中国政府采购网（www.ccgp.gov.cn）、广西壮族自治区政府采购网（http://zfcg.gxzf.gov.cn/）、http://ggzy.jgswj.gxzf.gov.cn/czggzy（全国公共资源交易平台(广西.崇左)）。</w:t>
      </w:r>
      <w:r>
        <w:rPr>
          <w:rFonts w:hint="eastAsia" w:ascii="仿宋" w:hAnsi="仿宋" w:eastAsia="仿宋" w:cs="仿宋"/>
          <w:color w:val="auto"/>
          <w:sz w:val="24"/>
          <w:highlight w:val="none"/>
        </w:rPr>
        <w:fldChar w:fldCharType="end"/>
      </w:r>
    </w:p>
    <w:p w14:paraId="449C397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3.本项目需要落实的政府采购政策</w:t>
      </w:r>
    </w:p>
    <w:p w14:paraId="424AD136">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（1）政府采购促进中小企业发展。</w:t>
      </w:r>
    </w:p>
    <w:p w14:paraId="0837A071">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（2）政府采购支持采用本国产品的政策。</w:t>
      </w:r>
    </w:p>
    <w:p w14:paraId="5EC67490">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（3）强制采购节能产品；优先采购节能产品、环境标志产品。</w:t>
      </w:r>
    </w:p>
    <w:p w14:paraId="2CC8F60F">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（4）政府采购促进残疾人就业政策。</w:t>
      </w:r>
    </w:p>
    <w:p w14:paraId="1C7DC1CC">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（5）政府采购支持监狱企业发展。</w:t>
      </w:r>
    </w:p>
    <w:p w14:paraId="21CA99E6">
      <w:pPr>
        <w:pStyle w:val="36"/>
        <w:rPr>
          <w:rFonts w:ascii="仿宋" w:hAnsi="仿宋" w:eastAsia="仿宋" w:cs="仿宋"/>
          <w:color w:val="auto"/>
          <w:sz w:val="24"/>
          <w:highlight w:val="none"/>
        </w:rPr>
      </w:pPr>
      <w:r>
        <w:rPr>
          <w:rFonts w:hint="eastAsia" w:ascii="仿宋" w:hAnsi="仿宋" w:eastAsia="仿宋" w:cs="仿宋"/>
          <w:color w:val="auto"/>
          <w:sz w:val="24"/>
          <w:highlight w:val="none"/>
        </w:rPr>
        <w:t>4.投标人可就本项目的所有标段进行投标，但只能中标其中一个标段，中标顺序为评标先后顺序。</w:t>
      </w:r>
    </w:p>
    <w:p w14:paraId="088EA77F">
      <w:pPr>
        <w:pStyle w:val="36"/>
        <w:rPr>
          <w:rFonts w:ascii="仿宋" w:hAnsi="仿宋" w:eastAsia="仿宋" w:cs="仿宋"/>
          <w:color w:val="auto"/>
          <w:sz w:val="24"/>
          <w:highlight w:val="none"/>
        </w:rPr>
      </w:pPr>
      <w:r>
        <w:rPr>
          <w:rFonts w:hint="eastAsia" w:ascii="仿宋" w:hAnsi="仿宋" w:eastAsia="仿宋" w:cs="仿宋"/>
          <w:color w:val="auto"/>
          <w:sz w:val="24"/>
          <w:highlight w:val="none"/>
        </w:rPr>
        <w:t>5.本项目开评标顺序：A标段→B标段。</w:t>
      </w:r>
    </w:p>
    <w:p w14:paraId="241BED02">
      <w:pPr>
        <w:pStyle w:val="36"/>
        <w:rPr>
          <w:rFonts w:hint="eastAsia" w:ascii="仿宋" w:hAnsi="仿宋" w:eastAsia="仿宋" w:cs="仿宋"/>
          <w:color w:val="auto"/>
          <w:sz w:val="24"/>
          <w:highlight w:val="none"/>
        </w:rPr>
      </w:pPr>
      <w:r>
        <w:rPr>
          <w:rFonts w:hint="eastAsia" w:ascii="仿宋" w:hAnsi="仿宋" w:eastAsia="仿宋" w:cs="仿宋"/>
          <w:color w:val="auto"/>
          <w:sz w:val="24"/>
          <w:highlight w:val="none"/>
        </w:rPr>
        <w:t>6.在线投标响应（电子投标）说明</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本项目为全流程电子化项目，通过广西政府采购云平台（https://www.gcy.zfcg.gxzf.gov.cn/）实行在线电子投标，供应商应先安装“政采云电子交易客户端”（请自行前往政府采购云平台进行下载），并按照本项目招标文件和政采云平台的要求编制、加密后在投标截止时间前通过网络上传至政采云平台，供应商在政采云平台提交电子版投标文件时，请填写参加远程开标活动经办人联系方式。电子投标文件制作与投送教程（在此网址下载https://service.zcygov.cn/#/knowledges/CW1EtGwBFdiHxlNd6I3m/6IMVAG0BFdiHxlNdQ8Na）。</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未进行网上注册并办理数字证书（CA认证）的供应商将无法参与本项目政府采购活动，潜在供应商应当在投标截止时间前，完成电子交易平台上的CA数字证书办理（CA证书申请方式及操作指南下载地址http://www.ccgp-guangxi.gov.cn/OfficeService/DownloadArea/8354055.html?utm=a0003.39a112b4.cmp001.d0002.f0464b20ff2a11eb873141bf9e381949）及投标文件的提交。完成CA数字证书办理预计7日左右，投标人只需办理其中一家CA数字证书及签章，建议各投标人抓紧时间办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投标人通过政采云投标客户端软件制作投标文件，政采云投标客户端软件请投标人自行前往下载并安装（见广西壮族自治区政府采购网—办事服务—下载专区-广西壮族自治区全流程电子招投标项目管理系统--供应商客户端）。</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（4）投标人应当在投标文件提交截止时间前，将生成的“电子加密投标文件”上传提交至政采云平台。投标文件提交截止时间前可以补充、修改或者撤回电子投标文件。补充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或者修改电子投标文件的，应当先行撤回原文件，补充、修改后重新传输提交，投标文件提交截止时间前未完成传输的，视为撤回投标文件。因未注册入库、未办理 CA 数字证书、 CA 证书故障、操作不当等原因造成无法投标或投标失败等后果由投标人自行承担。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（5）投标人可以提供以介质（U 盘）存储的数据电文形成的电子备份投标文件。电子备份投标文件应当在投标文件提交截止时间当日前按要求密封并送达广西鑫磐工程项目管理有限责任公司【可邮寄或现场提交）】，如投标人于投标截止时间当日提交电子备份投标文件的，请提交至崇左市城南新区石景林路东段政务服务中心综合楼五楼（不接受邮寄只接受现场提交），逾期送达或未按要求密封将被拒收。联系人：张工，电话：0771-2507590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本项目拒收到付邮件，通过邮寄方式送达的，请合理安排邮寄时间，因邮寄原因未能在规定时间内送达的后果由投标人自行承担。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通过“政府采购云平台”上传提交的“电子加密投标文件”无法按时解密，投标人提交了电子备份投标文件的，以电子备份投标文件为依据，否则视为投标文件撤销，如电子备份投标文件因投标人自身制作原因无法导入上传系统的，也视为投标文件撤销。通过政采云平台上传提交的电子加密投标文件已按时解密的，电子备份投标文件自动失效。投标人仅提交电子备份投标文件而未在“政府采购云平台”上传提交“电子加密投标文件”的，投标无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（7）提交投标文件截止时间后，广西政府采购云平台（https://www.gcy.zfcg.gxzf.gov.cn/）（电子标系统）自动提取所有投标文件，各投标人须在开标开始后 30 分钟内对上传政采云的投标文件进行解密，所有投标人在规定的解</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密时限内解密完成或解密时限结束后，采购代理机构开启投标文件；若投标人在规定时间内未按时解密的，投标人已递交了电子备份投标文件的，以电子备份投标文件为依据，未能按时解密且未提交电子备份投标文件的视为投标文件撤回。 </w:t>
      </w:r>
    </w:p>
    <w:p w14:paraId="5F5629B5">
      <w:pPr>
        <w:pStyle w:val="36"/>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加大政府采购支持中小企业力度，帮助政府采购成交供应商解决融资难、融资贵的问题，进一步做好线上“政采贷”融资业务工作，如供应商有需要的，详见采购文件中附件：《崇左市线上“政采贷”政策告知函》、《崇左市线上“政采贷”业务流程图》、《崇左市金融机构线上“政采贷”业务办理联络表》。</w:t>
      </w:r>
    </w:p>
    <w:p w14:paraId="22FA22F0">
      <w:pPr>
        <w:pStyle w:val="36"/>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本项目实行中标后线上合同签订方式，请各供应商提前办好企业CA数字证书和企业法人证书，具体办理方式详见政采云ca办理模块。</w:t>
      </w:r>
    </w:p>
    <w:p w14:paraId="006ED9EB">
      <w:pPr>
        <w:pStyle w:val="36"/>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（10）项目</w:t>
      </w:r>
      <w:r>
        <w:rPr>
          <w:rFonts w:hint="eastAsia" w:ascii="仿宋" w:hAnsi="仿宋" w:eastAsia="仿宋" w:cs="仿宋"/>
          <w:color w:val="auto"/>
          <w:sz w:val="24"/>
          <w:highlight w:val="none"/>
        </w:rPr>
        <w:t>实行全程电子投标且采用远程异地评标，评标主场设在崇左市公共资源交易中心五层评标区（崇左市江州区石景林路），分会场设在</w:t>
      </w:r>
      <w:r>
        <w:rPr>
          <w:rFonts w:hint="eastAsia" w:ascii="仿宋" w:hAnsi="仿宋" w:eastAsia="仿宋" w:cs="仿宋"/>
          <w:color w:val="auto"/>
          <w:sz w:val="24"/>
          <w:highlight w:val="none"/>
          <w:lang w:eastAsia="zh-CN"/>
        </w:rPr>
        <w:t>北海</w:t>
      </w:r>
      <w:r>
        <w:rPr>
          <w:rFonts w:hint="eastAsia" w:ascii="仿宋" w:hAnsi="仿宋" w:eastAsia="仿宋" w:cs="仿宋"/>
          <w:color w:val="auto"/>
          <w:sz w:val="24"/>
          <w:highlight w:val="none"/>
        </w:rPr>
        <w:t>市公共资源交易中心</w:t>
      </w:r>
      <w:r>
        <w:rPr>
          <w:rFonts w:hint="eastAsia" w:ascii="仿宋" w:hAnsi="仿宋" w:eastAsia="仿宋" w:cs="仿宋"/>
          <w:color w:val="auto"/>
          <w:sz w:val="24"/>
          <w:highlight w:val="none"/>
          <w:lang w:eastAsia="zh-CN"/>
        </w:rPr>
        <w:t>（北海市政府采购中心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w:t>
      </w:r>
    </w:p>
    <w:p w14:paraId="744D99F2">
      <w:pPr>
        <w:pStyle w:val="36"/>
        <w:ind w:left="0"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七、对本次招标提出询问，请按以下方式联系：</w:t>
      </w:r>
    </w:p>
    <w:p w14:paraId="01FEA13D">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DAAE4D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名称：龙州县城乡综合执法管理局</w:t>
      </w:r>
    </w:p>
    <w:p w14:paraId="65CFE821">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址：龙州县独山路加油站旁</w:t>
      </w:r>
    </w:p>
    <w:p w14:paraId="68135771">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联系人：黄洁玲     联系电话：0771-8868890</w:t>
      </w:r>
    </w:p>
    <w:p w14:paraId="21D779E9">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A04F4E0">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名    称：广西鑫磐工程项目管理有限责任公司</w:t>
      </w:r>
    </w:p>
    <w:p w14:paraId="558D10B6">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址：南宁市朝阳路76号维也纳酒店副楼7楼B725室</w:t>
      </w:r>
    </w:p>
    <w:p w14:paraId="53472313">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联系方式：0771-2507590</w:t>
      </w:r>
    </w:p>
    <w:p w14:paraId="754960EE">
      <w:pPr>
        <w:spacing w:line="440" w:lineRule="exact"/>
        <w:ind w:firstLine="480" w:firstLineChars="200"/>
        <w:jc w:val="left"/>
        <w:rPr>
          <w:rFonts w:ascii="仿宋" w:hAnsi="仿宋" w:eastAsia="仿宋" w:cs="仿宋"/>
          <w:color w:val="auto"/>
          <w:sz w:val="24"/>
          <w:highlight w:val="none"/>
        </w:rPr>
      </w:pPr>
      <w:bookmarkStart w:id="1" w:name="_Toc28359098"/>
      <w:bookmarkStart w:id="2" w:name="_Toc35393808"/>
      <w:bookmarkStart w:id="3" w:name="_Toc35393639"/>
      <w:bookmarkStart w:id="4" w:name="_Toc28359021"/>
      <w:r>
        <w:rPr>
          <w:rFonts w:hint="eastAsia" w:ascii="仿宋" w:hAnsi="仿宋" w:eastAsia="仿宋" w:cs="仿宋"/>
          <w:color w:val="auto"/>
          <w:sz w:val="24"/>
          <w:highlight w:val="none"/>
        </w:rPr>
        <w:t>3.项目联系方式</w:t>
      </w:r>
      <w:bookmarkEnd w:id="1"/>
      <w:bookmarkEnd w:id="2"/>
      <w:bookmarkEnd w:id="3"/>
      <w:bookmarkEnd w:id="4"/>
    </w:p>
    <w:p w14:paraId="0275101E">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项目联系人：张工      电　　 话：0771-2507590</w:t>
      </w:r>
    </w:p>
    <w:p w14:paraId="2638F08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 监督部门</w:t>
      </w:r>
    </w:p>
    <w:p w14:paraId="6CDB3297">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名    称：龙州县财政局政府采购监督股  电  话：0771-8812665</w:t>
      </w:r>
    </w:p>
    <w:p w14:paraId="08C7B5A8">
      <w:pPr>
        <w:spacing w:line="440" w:lineRule="exact"/>
        <w:jc w:val="left"/>
        <w:rPr>
          <w:rFonts w:ascii="仿宋" w:hAnsi="仿宋" w:eastAsia="仿宋" w:cs="仿宋"/>
          <w:color w:val="auto"/>
          <w:sz w:val="24"/>
          <w:highlight w:val="none"/>
        </w:rPr>
      </w:pPr>
    </w:p>
    <w:p w14:paraId="4057A602">
      <w:pPr>
        <w:spacing w:line="440" w:lineRule="exact"/>
        <w:ind w:firstLine="1920" w:firstLineChars="8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采购人：龙州县城乡综合执法管理局</w:t>
      </w:r>
    </w:p>
    <w:p w14:paraId="358E15F0">
      <w:pPr>
        <w:spacing w:line="440" w:lineRule="exact"/>
        <w:ind w:firstLine="1920" w:firstLineChars="8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采购代理机构：广西鑫磐工程项目管理有限责任公司</w:t>
      </w:r>
    </w:p>
    <w:p w14:paraId="2529C45C">
      <w:pPr>
        <w:pStyle w:val="12"/>
        <w:tabs>
          <w:tab w:val="left" w:pos="455"/>
        </w:tabs>
        <w:adjustRightInd w:val="0"/>
        <w:snapToGrid w:val="0"/>
        <w:ind w:left="2370" w:leftChars="900" w:hanging="480" w:hanging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w:t>
      </w:r>
    </w:p>
    <w:bookmarkEnd w:id="0"/>
    <w:p w14:paraId="061D5547">
      <w:pPr>
        <w:pageBreakBefore/>
        <w:spacing w:line="44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  投标人须知</w:t>
      </w:r>
    </w:p>
    <w:p w14:paraId="5579495B">
      <w:pPr>
        <w:tabs>
          <w:tab w:val="left" w:pos="1065"/>
          <w:tab w:val="center" w:pos="4411"/>
        </w:tabs>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 标 人 须 知 前 附 表</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53"/>
        <w:gridCol w:w="1823"/>
        <w:gridCol w:w="6379"/>
      </w:tblGrid>
      <w:tr w14:paraId="431D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14:paraId="1DE94C07">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53" w:type="dxa"/>
            <w:vAlign w:val="center"/>
          </w:tcPr>
          <w:p w14:paraId="2583AB8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1823" w:type="dxa"/>
            <w:vAlign w:val="center"/>
          </w:tcPr>
          <w:p w14:paraId="1DAB3196">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条款名称</w:t>
            </w:r>
          </w:p>
        </w:tc>
        <w:tc>
          <w:tcPr>
            <w:tcW w:w="6379" w:type="dxa"/>
            <w:vAlign w:val="center"/>
          </w:tcPr>
          <w:p w14:paraId="6EB6D46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内容、要求</w:t>
            </w:r>
          </w:p>
        </w:tc>
      </w:tr>
      <w:tr w14:paraId="799E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14:paraId="68056407">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53" w:type="dxa"/>
            <w:vAlign w:val="center"/>
          </w:tcPr>
          <w:p w14:paraId="0B2A342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3" w:type="dxa"/>
            <w:vAlign w:val="center"/>
          </w:tcPr>
          <w:p w14:paraId="2D323807">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项目名称及项目编号</w:t>
            </w:r>
          </w:p>
        </w:tc>
        <w:tc>
          <w:tcPr>
            <w:tcW w:w="6379" w:type="dxa"/>
            <w:vAlign w:val="center"/>
          </w:tcPr>
          <w:p w14:paraId="7C6BB5A5">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ascii="楷体_GB2312" w:hAnsi="楷体_GB2312" w:eastAsia="楷体_GB2312" w:cs="楷体_GB2312"/>
                <w:color w:val="auto"/>
                <w:kern w:val="0"/>
                <w:sz w:val="24"/>
                <w:highlight w:val="none"/>
              </w:rPr>
              <w:t>2025-2028年龙州县城区及水口镇环卫保洁及绿化养护服务</w:t>
            </w:r>
          </w:p>
          <w:p w14:paraId="3C70CBF1">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项目编号：CZZC2025-G3-230041-GXXP</w:t>
            </w:r>
          </w:p>
        </w:tc>
      </w:tr>
      <w:tr w14:paraId="3EF6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Align w:val="center"/>
          </w:tcPr>
          <w:p w14:paraId="4DD22E1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53" w:type="dxa"/>
            <w:vAlign w:val="center"/>
          </w:tcPr>
          <w:p w14:paraId="0834FDF6">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3" w:type="dxa"/>
            <w:vAlign w:val="center"/>
          </w:tcPr>
          <w:p w14:paraId="4A89D6BF">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投标人资格</w:t>
            </w:r>
          </w:p>
        </w:tc>
        <w:tc>
          <w:tcPr>
            <w:tcW w:w="6379" w:type="dxa"/>
            <w:vAlign w:val="center"/>
          </w:tcPr>
          <w:p w14:paraId="7C6F5A99">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0CF517DB">
            <w:pPr>
              <w:snapToGrid w:val="0"/>
              <w:spacing w:line="360" w:lineRule="auto"/>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eastAsia="zh-CN"/>
              </w:rPr>
              <w:t>中</w:t>
            </w:r>
            <w:r>
              <w:rPr>
                <w:rFonts w:hint="eastAsia" w:ascii="仿宋" w:hAnsi="仿宋" w:eastAsia="仿宋" w:cs="仿宋"/>
                <w:b/>
                <w:bCs/>
                <w:color w:val="auto"/>
                <w:sz w:val="24"/>
                <w:highlight w:val="none"/>
              </w:rPr>
              <w:t>小企业；</w:t>
            </w:r>
          </w:p>
          <w:p w14:paraId="1112D0A0">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0D9A3642">
            <w:pPr>
              <w:pStyle w:val="12"/>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05BBA3B">
            <w:pPr>
              <w:pStyle w:val="12"/>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0E08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14:paraId="767A8E0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153" w:type="dxa"/>
            <w:vAlign w:val="center"/>
          </w:tcPr>
          <w:p w14:paraId="48EC879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3" w:type="dxa"/>
            <w:vAlign w:val="center"/>
          </w:tcPr>
          <w:p w14:paraId="72FEE6E9">
            <w:pPr>
              <w:spacing w:line="390" w:lineRule="exact"/>
              <w:jc w:val="center"/>
              <w:rPr>
                <w:rFonts w:ascii="仿宋" w:hAnsi="仿宋" w:eastAsia="仿宋" w:cs="仿宋"/>
                <w:color w:val="auto"/>
                <w:position w:val="-2"/>
                <w:sz w:val="24"/>
                <w:highlight w:val="none"/>
              </w:rPr>
            </w:pPr>
            <w:r>
              <w:rPr>
                <w:rFonts w:hint="eastAsia" w:ascii="仿宋" w:hAnsi="仿宋" w:eastAsia="仿宋" w:cs="仿宋"/>
                <w:color w:val="auto"/>
                <w:sz w:val="24"/>
                <w:highlight w:val="none"/>
              </w:rPr>
              <w:t>投标费用</w:t>
            </w:r>
          </w:p>
        </w:tc>
        <w:tc>
          <w:tcPr>
            <w:tcW w:w="6379" w:type="dxa"/>
            <w:vAlign w:val="center"/>
          </w:tcPr>
          <w:p w14:paraId="4944598F">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不论投标结果如何，投标人均应自行承担所有与投标有关的全部费用。</w:t>
            </w:r>
          </w:p>
        </w:tc>
      </w:tr>
      <w:tr w14:paraId="22D4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14:paraId="19AE932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153" w:type="dxa"/>
            <w:vAlign w:val="center"/>
          </w:tcPr>
          <w:p w14:paraId="72C6D38C">
            <w:pPr>
              <w:spacing w:line="390" w:lineRule="exact"/>
              <w:jc w:val="center"/>
              <w:rPr>
                <w:rFonts w:ascii="仿宋" w:hAnsi="仿宋" w:eastAsia="仿宋" w:cs="仿宋"/>
                <w:color w:val="auto"/>
                <w:position w:val="-2"/>
                <w:sz w:val="24"/>
                <w:highlight w:val="none"/>
              </w:rPr>
            </w:pPr>
            <w:r>
              <w:rPr>
                <w:rFonts w:hint="eastAsia" w:ascii="仿宋" w:hAnsi="仿宋" w:eastAsia="仿宋" w:cs="仿宋"/>
                <w:color w:val="auto"/>
                <w:position w:val="-2"/>
                <w:sz w:val="24"/>
                <w:highlight w:val="none"/>
              </w:rPr>
              <w:t>15</w:t>
            </w:r>
          </w:p>
        </w:tc>
        <w:tc>
          <w:tcPr>
            <w:tcW w:w="1823" w:type="dxa"/>
            <w:vAlign w:val="center"/>
          </w:tcPr>
          <w:p w14:paraId="6C2136B6">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w:t>
            </w:r>
          </w:p>
        </w:tc>
        <w:tc>
          <w:tcPr>
            <w:tcW w:w="6379" w:type="dxa"/>
            <w:vAlign w:val="center"/>
          </w:tcPr>
          <w:p w14:paraId="667FB480">
            <w:pPr>
              <w:snapToGrid w:val="0"/>
              <w:spacing w:line="400" w:lineRule="exact"/>
              <w:rPr>
                <w:rFonts w:ascii="仿宋" w:hAnsi="仿宋" w:eastAsia="仿宋" w:cs="仿宋"/>
                <w:color w:val="auto"/>
                <w:position w:val="-2"/>
                <w:sz w:val="24"/>
                <w:highlight w:val="none"/>
              </w:rPr>
            </w:pPr>
            <w:r>
              <w:rPr>
                <w:rFonts w:hint="eastAsia" w:ascii="仿宋" w:hAnsi="仿宋" w:eastAsia="仿宋" w:cs="仿宋"/>
                <w:color w:val="auto"/>
                <w:sz w:val="24"/>
                <w:highlight w:val="none"/>
              </w:rPr>
              <w:t>15.1本项目</w:t>
            </w:r>
            <w:r>
              <w:rPr>
                <w:rFonts w:hint="eastAsia" w:ascii="仿宋" w:hAnsi="仿宋" w:eastAsia="仿宋" w:cs="仿宋"/>
                <w:color w:val="auto"/>
                <w:position w:val="-2"/>
                <w:sz w:val="24"/>
                <w:highlight w:val="none"/>
              </w:rPr>
              <w:t>采购预算金额（人民币）：</w:t>
            </w:r>
          </w:p>
          <w:p w14:paraId="6157B44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A分标：龙州县城区环卫保洁及绿化养护市场化运营,标段总预算价（最高限价）：</w:t>
            </w:r>
            <w:r>
              <w:rPr>
                <w:rFonts w:hint="eastAsia" w:ascii="仿宋" w:hAnsi="仿宋" w:eastAsia="仿宋" w:cs="仿宋"/>
                <w:color w:val="auto"/>
                <w:sz w:val="24"/>
                <w:highlight w:val="none"/>
                <w:lang w:val="en-US" w:eastAsia="zh-CN"/>
              </w:rPr>
              <w:t>12720000</w:t>
            </w:r>
            <w:r>
              <w:rPr>
                <w:rFonts w:hint="eastAsia" w:ascii="仿宋" w:hAnsi="仿宋" w:eastAsia="仿宋" w:cs="仿宋"/>
                <w:color w:val="auto"/>
                <w:sz w:val="24"/>
                <w:highlight w:val="none"/>
              </w:rPr>
              <w:t>元/年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三年服务费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合计；38160000.00元。</w:t>
            </w:r>
            <w:r>
              <w:rPr>
                <w:rFonts w:hint="eastAsia" w:ascii="仿宋" w:hAnsi="仿宋" w:eastAsia="仿宋" w:cs="仿宋"/>
                <w:color w:val="auto"/>
                <w:sz w:val="24"/>
                <w:highlight w:val="none"/>
              </w:rPr>
              <w:t xml:space="preserve">    </w:t>
            </w:r>
          </w:p>
          <w:p w14:paraId="2B5BCD31">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B分标：龙州县城（城南区、利民街）、水口镇环卫保洁及绿化养护市场运营,标段总预算价（最高限价）：</w:t>
            </w:r>
            <w:r>
              <w:rPr>
                <w:rFonts w:hint="eastAsia" w:ascii="仿宋" w:hAnsi="仿宋" w:eastAsia="仿宋" w:cs="仿宋"/>
                <w:color w:val="auto"/>
                <w:sz w:val="24"/>
                <w:highlight w:val="none"/>
                <w:lang w:val="en-US" w:eastAsia="zh-CN"/>
              </w:rPr>
              <w:t>5025800</w:t>
            </w:r>
            <w:r>
              <w:rPr>
                <w:rFonts w:hint="eastAsia" w:ascii="仿宋" w:hAnsi="仿宋" w:eastAsia="仿宋" w:cs="仿宋"/>
                <w:color w:val="auto"/>
                <w:sz w:val="24"/>
                <w:highlight w:val="none"/>
              </w:rPr>
              <w:t>元/年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三年服务费）合计：15077400.00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 xml:space="preserve"> </w:t>
            </w:r>
          </w:p>
          <w:p w14:paraId="4200C0E0">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投标报价（含单价报价）超过分标采购预算金额（含单价预算金额）的，相应分标投标</w:t>
            </w:r>
            <w:r>
              <w:rPr>
                <w:rFonts w:hint="eastAsia" w:ascii="仿宋" w:hAnsi="仿宋" w:eastAsia="仿宋" w:cs="仿宋"/>
                <w:color w:val="auto"/>
                <w:sz w:val="24"/>
                <w:highlight w:val="none"/>
              </w:rPr>
              <w:t>作无效处理。</w:t>
            </w:r>
          </w:p>
          <w:p w14:paraId="7DBCC118">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15.2 投标人必须就“服务采购需求”中各分标采购内容按分标分别作完整唯一报价，否则，其投标将被拒绝；投标文件只允许有一个报价，有选择的或有条件的报价将不予接受。</w:t>
            </w:r>
          </w:p>
        </w:tc>
      </w:tr>
      <w:tr w14:paraId="2144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14:paraId="547E0BF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153" w:type="dxa"/>
            <w:vAlign w:val="center"/>
          </w:tcPr>
          <w:p w14:paraId="7D292E8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16.1</w:t>
            </w:r>
          </w:p>
        </w:tc>
        <w:tc>
          <w:tcPr>
            <w:tcW w:w="1823" w:type="dxa"/>
            <w:vAlign w:val="center"/>
          </w:tcPr>
          <w:p w14:paraId="156EAC2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379" w:type="dxa"/>
            <w:vAlign w:val="center"/>
          </w:tcPr>
          <w:p w14:paraId="64FA68C8">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投标截止时间之日起90天。</w:t>
            </w:r>
          </w:p>
        </w:tc>
      </w:tr>
      <w:tr w14:paraId="48FA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14:paraId="3B74EE96">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153" w:type="dxa"/>
            <w:vAlign w:val="center"/>
          </w:tcPr>
          <w:p w14:paraId="4FBCF5D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17.8</w:t>
            </w:r>
          </w:p>
        </w:tc>
        <w:tc>
          <w:tcPr>
            <w:tcW w:w="1823" w:type="dxa"/>
            <w:vAlign w:val="center"/>
          </w:tcPr>
          <w:p w14:paraId="165DE341">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投标文件说明</w:t>
            </w:r>
          </w:p>
        </w:tc>
        <w:tc>
          <w:tcPr>
            <w:tcW w:w="6379" w:type="dxa"/>
            <w:vAlign w:val="center"/>
          </w:tcPr>
          <w:p w14:paraId="75D4171D">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投标文件份数：投标人应准备电子加密投标文件、以介质存储的数据电文形式的电子备份投标文件份数：                                                                   </w:t>
            </w:r>
          </w:p>
          <w:p w14:paraId="6EE54809">
            <w:pPr>
              <w:numPr>
                <w:ilvl w:val="0"/>
                <w:numId w:val="3"/>
              </w:num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电子加密投标文件按政采云平台要求及本招标文件要求制作、加密，并在投标截止时间前成功上传提交至“政采云平台”。“电子加密投标文件”成功上传提交后， 投标人可自行打印投标文件接收回执。 </w:t>
            </w:r>
          </w:p>
          <w:p w14:paraId="6C8EBF3D">
            <w:pPr>
              <w:numPr>
                <w:ilvl w:val="0"/>
                <w:numId w:val="3"/>
              </w:num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以介质存储的数据电文形式的电子备份投标文件，按政采云平台 《政府采购项目电子交易管理操作指南-供应商》 中上传的电子投标文件格式，以 U 盘的形式提供。 数量为1份</w:t>
            </w:r>
            <w:r>
              <w:rPr>
                <w:rFonts w:hint="eastAsia" w:ascii="仿宋" w:hAnsi="仿宋" w:eastAsia="仿宋" w:cs="仿宋"/>
                <w:b/>
                <w:color w:val="auto"/>
                <w:sz w:val="24"/>
                <w:highlight w:val="none"/>
              </w:rPr>
              <w:t>（注：由投标供应商自行决定是否提供，不提供也不做无效投标处理）。</w:t>
            </w:r>
          </w:p>
          <w:p w14:paraId="2220B6FF">
            <w:pPr>
              <w:numPr>
                <w:ilvl w:val="255"/>
                <w:numId w:val="0"/>
              </w:num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3.投标文件启用顺序和效力。投标文件的启用，按先后顺位分别为电子加密投标文件、以介质存储的数据电文形式的电子备份投标文件。顺位在先的投标文件已按时解密的，下一顺位投标文件自动失效。在下一顺位的投标文件启用时，前一顺位的投标文件自动失效。</w:t>
            </w:r>
          </w:p>
          <w:p w14:paraId="6E5115DE">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未在投标截止时间前传输提交电子加密投标文件的，投标无效。</w:t>
            </w:r>
          </w:p>
        </w:tc>
      </w:tr>
      <w:tr w14:paraId="132A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Align w:val="center"/>
          </w:tcPr>
          <w:p w14:paraId="0B1CBE3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153" w:type="dxa"/>
            <w:vAlign w:val="center"/>
          </w:tcPr>
          <w:p w14:paraId="077B1517">
            <w:pPr>
              <w:spacing w:line="390" w:lineRule="exact"/>
              <w:jc w:val="center"/>
              <w:rPr>
                <w:rFonts w:ascii="仿宋" w:hAnsi="仿宋" w:eastAsia="仿宋" w:cs="仿宋"/>
                <w:color w:val="auto"/>
                <w:position w:val="-2"/>
                <w:sz w:val="24"/>
                <w:highlight w:val="none"/>
              </w:rPr>
            </w:pPr>
            <w:r>
              <w:rPr>
                <w:rFonts w:hint="eastAsia" w:ascii="仿宋" w:hAnsi="仿宋" w:eastAsia="仿宋" w:cs="仿宋"/>
                <w:color w:val="auto"/>
                <w:sz w:val="24"/>
                <w:highlight w:val="none"/>
              </w:rPr>
              <w:t>19</w:t>
            </w:r>
          </w:p>
        </w:tc>
        <w:tc>
          <w:tcPr>
            <w:tcW w:w="1823" w:type="dxa"/>
            <w:vAlign w:val="center"/>
          </w:tcPr>
          <w:p w14:paraId="7D37E0B9">
            <w:pPr>
              <w:spacing w:line="390" w:lineRule="exact"/>
              <w:jc w:val="center"/>
              <w:rPr>
                <w:rFonts w:ascii="仿宋" w:hAnsi="仿宋" w:eastAsia="仿宋" w:cs="仿宋"/>
                <w:color w:val="auto"/>
                <w:position w:val="-2"/>
                <w:sz w:val="24"/>
                <w:highlight w:val="none"/>
              </w:rPr>
            </w:pPr>
            <w:r>
              <w:rPr>
                <w:rFonts w:hint="eastAsia" w:ascii="仿宋" w:hAnsi="仿宋" w:eastAsia="仿宋" w:cs="仿宋"/>
                <w:color w:val="auto"/>
                <w:sz w:val="24"/>
                <w:highlight w:val="none"/>
              </w:rPr>
              <w:t>投标文件递交</w:t>
            </w:r>
          </w:p>
        </w:tc>
        <w:tc>
          <w:tcPr>
            <w:tcW w:w="6379" w:type="dxa"/>
            <w:vAlign w:val="center"/>
          </w:tcPr>
          <w:p w14:paraId="75FAFDCC">
            <w:pPr>
              <w:spacing w:line="39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投标截止时间：</w:t>
            </w:r>
            <w:r>
              <w:rPr>
                <w:rFonts w:hint="eastAsia" w:ascii="仿宋" w:hAnsi="仿宋" w:eastAsia="仿宋" w:cs="仿宋"/>
                <w:bCs/>
                <w:color w:val="auto"/>
                <w:sz w:val="24"/>
                <w:highlight w:val="none"/>
              </w:rPr>
              <w:t>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 xml:space="preserve">日9时 </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0 分止，通过广西政府采购云平台（https://www.gcy.zfcg.gxzf.gov.cn/）行在线解密开启。</w:t>
            </w:r>
          </w:p>
        </w:tc>
      </w:tr>
      <w:tr w14:paraId="6920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0" w:type="dxa"/>
            <w:vAlign w:val="center"/>
          </w:tcPr>
          <w:p w14:paraId="1515AD7D">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153" w:type="dxa"/>
            <w:vAlign w:val="center"/>
          </w:tcPr>
          <w:p w14:paraId="061BA8A8">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20.1</w:t>
            </w:r>
          </w:p>
        </w:tc>
        <w:tc>
          <w:tcPr>
            <w:tcW w:w="1823" w:type="dxa"/>
            <w:vAlign w:val="center"/>
          </w:tcPr>
          <w:p w14:paraId="34305D8D">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开标时间及地点</w:t>
            </w:r>
          </w:p>
        </w:tc>
        <w:tc>
          <w:tcPr>
            <w:tcW w:w="6379" w:type="dxa"/>
          </w:tcPr>
          <w:p w14:paraId="5CCDE7AB">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开标时间：同投标截止时间；</w:t>
            </w:r>
          </w:p>
          <w:p w14:paraId="31B132C7">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开标地点：广西政府采购云平台（https://www.gcy.zfcg.gxzf.gov.cn/）开标大厅，投标供应商无须到现场开标。</w:t>
            </w:r>
          </w:p>
        </w:tc>
      </w:tr>
      <w:tr w14:paraId="7F44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0" w:type="dxa"/>
            <w:vAlign w:val="center"/>
          </w:tcPr>
          <w:p w14:paraId="0B4DF54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153" w:type="dxa"/>
            <w:vAlign w:val="center"/>
          </w:tcPr>
          <w:p w14:paraId="5AB0C523">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823" w:type="dxa"/>
            <w:vAlign w:val="center"/>
          </w:tcPr>
          <w:p w14:paraId="26A2569A">
            <w:pPr>
              <w:pStyle w:val="12"/>
              <w:spacing w:line="39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评标委员会组成</w:t>
            </w:r>
          </w:p>
        </w:tc>
        <w:tc>
          <w:tcPr>
            <w:tcW w:w="6379" w:type="dxa"/>
            <w:vAlign w:val="center"/>
          </w:tcPr>
          <w:p w14:paraId="1827C26C">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评标委员会共计</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人</w:t>
            </w:r>
            <w:r>
              <w:rPr>
                <w:rFonts w:hint="eastAsia" w:ascii="仿宋" w:hAnsi="仿宋" w:eastAsia="仿宋" w:cs="Arial"/>
                <w:color w:val="auto"/>
                <w:sz w:val="24"/>
                <w:highlight w:val="none"/>
                <w:shd w:val="clear" w:color="auto" w:fill="FFFFFF"/>
              </w:rPr>
              <w:t>。</w:t>
            </w:r>
          </w:p>
        </w:tc>
      </w:tr>
      <w:tr w14:paraId="0F1C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14:paraId="7ED6CFF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153" w:type="dxa"/>
            <w:vAlign w:val="center"/>
          </w:tcPr>
          <w:p w14:paraId="238507C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823" w:type="dxa"/>
            <w:vAlign w:val="center"/>
          </w:tcPr>
          <w:p w14:paraId="00B0007C">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评标办法</w:t>
            </w:r>
          </w:p>
        </w:tc>
        <w:tc>
          <w:tcPr>
            <w:tcW w:w="6379" w:type="dxa"/>
            <w:vAlign w:val="center"/>
          </w:tcPr>
          <w:p w14:paraId="4AF2EFB5">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综合评分法，具体评标内容及标准详见第四章。</w:t>
            </w:r>
          </w:p>
        </w:tc>
      </w:tr>
      <w:tr w14:paraId="4F23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14:paraId="5D425757">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153" w:type="dxa"/>
            <w:vAlign w:val="center"/>
          </w:tcPr>
          <w:p w14:paraId="2F1F766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823" w:type="dxa"/>
            <w:vAlign w:val="center"/>
          </w:tcPr>
          <w:p w14:paraId="7CD8889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信用查询</w:t>
            </w:r>
          </w:p>
        </w:tc>
        <w:tc>
          <w:tcPr>
            <w:tcW w:w="6379" w:type="dxa"/>
            <w:vAlign w:val="center"/>
          </w:tcPr>
          <w:p w14:paraId="3851363D">
            <w:pPr>
              <w:autoSpaceDE w:val="0"/>
              <w:autoSpaceDN w:val="0"/>
              <w:snapToGrid w:val="0"/>
              <w:spacing w:line="39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根据《关于做好政府采购有关信用主体标识码登记及在政府采购活动中查询使用信用记录有关问题的通知》桂财采〔2016〕37号的通知，由采购代理机构对第一中标候选人进行信用查询：</w:t>
            </w:r>
          </w:p>
          <w:p w14:paraId="7B13605F">
            <w:pPr>
              <w:autoSpaceDE w:val="0"/>
              <w:autoSpaceDN w:val="0"/>
              <w:snapToGrid w:val="0"/>
              <w:spacing w:line="39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⑴查询渠道：“信用中国”网站(www.creditchina.gov.cn)、中国政府采购网(www.ccgp.gov.cn)等；</w:t>
            </w:r>
          </w:p>
          <w:p w14:paraId="79939F00">
            <w:pPr>
              <w:autoSpaceDE w:val="0"/>
              <w:autoSpaceDN w:val="0"/>
              <w:snapToGrid w:val="0"/>
              <w:spacing w:line="39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⑵查询截止时点：中标通知书发出前；</w:t>
            </w:r>
          </w:p>
          <w:p w14:paraId="4FE0F881">
            <w:pPr>
              <w:autoSpaceDE w:val="0"/>
              <w:autoSpaceDN w:val="0"/>
              <w:snapToGrid w:val="0"/>
              <w:spacing w:line="39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⑶信用信息查询记录和证据留存方式：在查询网站中直接打印查询记录，打印材料作为采购活动资料保存。</w:t>
            </w:r>
          </w:p>
          <w:p w14:paraId="17F23951">
            <w:pPr>
              <w:pStyle w:val="37"/>
              <w:spacing w:line="39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⑷信用信息使用规则：对在“信用中国”网站、中国政府采购网等渠道列入失信被执行人、重大税收违法案件当事人名单、政府采购严重违法失信行为记录名单及其他不符合《中华人民共和国政府采购法》第二十二条规定条件的供应商，取消其中标候选人资格。</w:t>
            </w:r>
          </w:p>
        </w:tc>
      </w:tr>
      <w:tr w14:paraId="2DB9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14:paraId="298DF90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153" w:type="dxa"/>
            <w:vAlign w:val="center"/>
          </w:tcPr>
          <w:p w14:paraId="384781F4">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1823" w:type="dxa"/>
            <w:vAlign w:val="center"/>
          </w:tcPr>
          <w:p w14:paraId="4FE9043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中标公告及中标通知书</w:t>
            </w:r>
          </w:p>
        </w:tc>
        <w:tc>
          <w:tcPr>
            <w:tcW w:w="6379" w:type="dxa"/>
          </w:tcPr>
          <w:p w14:paraId="27EB736D">
            <w:pPr>
              <w:pStyle w:val="12"/>
              <w:tabs>
                <w:tab w:val="left" w:pos="455"/>
              </w:tabs>
              <w:spacing w:line="39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14:paraId="3A037B61">
            <w:pPr>
              <w:pStyle w:val="12"/>
              <w:spacing w:line="39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33.2中标公告同时采购代理机构向中标人发出中标通知书，中标人应自接到通知之日起七个工作日内，办理中标通知书领取手续。</w:t>
            </w:r>
          </w:p>
        </w:tc>
      </w:tr>
      <w:tr w14:paraId="4201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3E90E315">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153" w:type="dxa"/>
            <w:vAlign w:val="center"/>
          </w:tcPr>
          <w:p w14:paraId="65F31AB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33.1</w:t>
            </w:r>
          </w:p>
        </w:tc>
        <w:tc>
          <w:tcPr>
            <w:tcW w:w="1823" w:type="dxa"/>
            <w:vAlign w:val="center"/>
          </w:tcPr>
          <w:p w14:paraId="5ED01477">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379" w:type="dxa"/>
            <w:vAlign w:val="center"/>
          </w:tcPr>
          <w:p w14:paraId="6EFCDBE4">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本项目无履约保证金。</w:t>
            </w:r>
          </w:p>
        </w:tc>
      </w:tr>
      <w:tr w14:paraId="51E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0" w:type="dxa"/>
            <w:vAlign w:val="center"/>
          </w:tcPr>
          <w:p w14:paraId="78173084">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153" w:type="dxa"/>
            <w:vAlign w:val="center"/>
          </w:tcPr>
          <w:p w14:paraId="539EBC94">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34.1</w:t>
            </w:r>
          </w:p>
        </w:tc>
        <w:tc>
          <w:tcPr>
            <w:tcW w:w="1823" w:type="dxa"/>
            <w:vAlign w:val="center"/>
          </w:tcPr>
          <w:p w14:paraId="4BA41F4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签订合同时间</w:t>
            </w:r>
          </w:p>
        </w:tc>
        <w:tc>
          <w:tcPr>
            <w:tcW w:w="6379" w:type="dxa"/>
            <w:vAlign w:val="center"/>
          </w:tcPr>
          <w:p w14:paraId="5D474D09">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中标通知书发出之日起十五日内。中标人领取中标通知书后，应按规定与采购人签订合同。</w:t>
            </w:r>
          </w:p>
        </w:tc>
      </w:tr>
      <w:tr w14:paraId="5A0C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0" w:type="dxa"/>
            <w:vAlign w:val="center"/>
          </w:tcPr>
          <w:p w14:paraId="28EC664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153" w:type="dxa"/>
            <w:vAlign w:val="center"/>
          </w:tcPr>
          <w:p w14:paraId="27B90A2D">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34.3</w:t>
            </w:r>
          </w:p>
        </w:tc>
        <w:tc>
          <w:tcPr>
            <w:tcW w:w="1823" w:type="dxa"/>
            <w:vAlign w:val="center"/>
          </w:tcPr>
          <w:p w14:paraId="4F9CFF30">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合同备案存档</w:t>
            </w:r>
          </w:p>
        </w:tc>
        <w:tc>
          <w:tcPr>
            <w:tcW w:w="6379" w:type="dxa"/>
            <w:vAlign w:val="center"/>
          </w:tcPr>
          <w:p w14:paraId="6FD882EB">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政府采购合同双方</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广西政府采购云平台（https://www.gcy.zfcg.gxzf.gov.cn/）</w:t>
            </w:r>
            <w:r>
              <w:rPr>
                <w:rFonts w:hint="eastAsia" w:ascii="仿宋" w:hAnsi="仿宋" w:eastAsia="仿宋" w:cs="仿宋"/>
                <w:color w:val="auto"/>
                <w:sz w:val="24"/>
                <w:highlight w:val="none"/>
                <w:lang w:eastAsia="zh-CN"/>
              </w:rPr>
              <w:t>系统在线签订合同</w:t>
            </w:r>
            <w:r>
              <w:rPr>
                <w:rFonts w:hint="eastAsia" w:ascii="仿宋" w:hAnsi="仿宋" w:eastAsia="仿宋" w:cs="仿宋"/>
                <w:color w:val="auto"/>
                <w:sz w:val="24"/>
                <w:highlight w:val="none"/>
              </w:rPr>
              <w:t>。采购代理机构将政府采购合同在省级以上人民政府财政部门指定媒体上公告。</w:t>
            </w:r>
          </w:p>
        </w:tc>
      </w:tr>
      <w:tr w14:paraId="060B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14:paraId="2255E5FB">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153" w:type="dxa"/>
            <w:vAlign w:val="center"/>
          </w:tcPr>
          <w:p w14:paraId="04A2915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823" w:type="dxa"/>
            <w:vAlign w:val="center"/>
          </w:tcPr>
          <w:p w14:paraId="69EAF62F">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招标代理服务费</w:t>
            </w:r>
          </w:p>
        </w:tc>
        <w:tc>
          <w:tcPr>
            <w:tcW w:w="6379" w:type="dxa"/>
            <w:vAlign w:val="center"/>
          </w:tcPr>
          <w:p w14:paraId="15B5A52B">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按国家发展计划委员会《招标代理服务费管理暂行办法》（计价格[2002]1980号）服务类收费标准向中标人收取。中标人领取中标通知书前，中标人一次性向采购代理机构付清服务费。</w:t>
            </w:r>
          </w:p>
        </w:tc>
      </w:tr>
      <w:tr w14:paraId="548B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14:paraId="00BBFDFF">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153" w:type="dxa"/>
            <w:vAlign w:val="center"/>
          </w:tcPr>
          <w:p w14:paraId="09DA1CE4">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38</w:t>
            </w:r>
          </w:p>
        </w:tc>
        <w:tc>
          <w:tcPr>
            <w:tcW w:w="1823" w:type="dxa"/>
            <w:vAlign w:val="center"/>
          </w:tcPr>
          <w:p w14:paraId="66799DB8">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现场踏勘</w:t>
            </w:r>
          </w:p>
        </w:tc>
        <w:tc>
          <w:tcPr>
            <w:tcW w:w="6379" w:type="dxa"/>
            <w:vAlign w:val="center"/>
          </w:tcPr>
          <w:p w14:paraId="7037BF3E">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为了便于投标文件编制，各投标人可对本项目各分标服务区域自行现场踏勘，自行踏勘所产生的全部费用及风险均由各投标人自行承担。现场踏勘地点详见第三章服务采购需求中“标段划分范围、保洁工作范围及内容”。投标人按以下方式自行联系采购人。</w:t>
            </w:r>
          </w:p>
          <w:p w14:paraId="0C48966A">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采购人信息</w:t>
            </w:r>
          </w:p>
          <w:p w14:paraId="77EA753B">
            <w:pPr>
              <w:spacing w:line="440" w:lineRule="exact"/>
              <w:ind w:firstLine="480" w:firstLineChars="200"/>
              <w:jc w:val="left"/>
              <w:rPr>
                <w:color w:val="auto"/>
                <w:highlight w:val="none"/>
              </w:rPr>
            </w:pPr>
            <w:r>
              <w:rPr>
                <w:rFonts w:hint="eastAsia" w:ascii="仿宋" w:hAnsi="仿宋" w:eastAsia="仿宋" w:cs="仿宋"/>
                <w:color w:val="auto"/>
                <w:sz w:val="24"/>
                <w:highlight w:val="none"/>
              </w:rPr>
              <w:t>名称：龙州县城乡综合执法管理局</w:t>
            </w:r>
          </w:p>
          <w:p w14:paraId="3FCA1FE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联系人：黄</w:t>
            </w:r>
            <w:r>
              <w:rPr>
                <w:rFonts w:hint="eastAsia" w:ascii="仿宋" w:hAnsi="仿宋" w:eastAsia="仿宋" w:cs="仿宋"/>
                <w:color w:val="auto"/>
                <w:sz w:val="24"/>
                <w:highlight w:val="none"/>
                <w:lang w:val="en-US" w:eastAsia="zh-CN"/>
              </w:rPr>
              <w:t>洁玲</w:t>
            </w:r>
            <w:r>
              <w:rPr>
                <w:rFonts w:hint="eastAsia" w:ascii="仿宋" w:hAnsi="仿宋" w:eastAsia="仿宋" w:cs="仿宋"/>
                <w:color w:val="auto"/>
                <w:sz w:val="24"/>
                <w:highlight w:val="none"/>
              </w:rPr>
              <w:t> </w:t>
            </w:r>
          </w:p>
          <w:p w14:paraId="7D0C46F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联系电话：0771-8868890</w:t>
            </w:r>
          </w:p>
        </w:tc>
      </w:tr>
      <w:tr w14:paraId="0D2B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Align w:val="center"/>
          </w:tcPr>
          <w:p w14:paraId="3485726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153" w:type="dxa"/>
            <w:vAlign w:val="center"/>
          </w:tcPr>
          <w:p w14:paraId="1693494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39</w:t>
            </w:r>
          </w:p>
        </w:tc>
        <w:tc>
          <w:tcPr>
            <w:tcW w:w="1823" w:type="dxa"/>
            <w:vAlign w:val="center"/>
          </w:tcPr>
          <w:p w14:paraId="79336B6E">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解释权</w:t>
            </w:r>
          </w:p>
        </w:tc>
        <w:tc>
          <w:tcPr>
            <w:tcW w:w="6379" w:type="dxa"/>
            <w:vAlign w:val="center"/>
          </w:tcPr>
          <w:p w14:paraId="7C615303">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本招标文件是根据《中华人民共和国政府采购法》、《中华人民共和国政府采购法实施条例》及财政部令第87号《政府采购货物和服务招标投标管理办法》等相关规定编制，本招标文件的解释权属于采购代理机构。</w:t>
            </w:r>
          </w:p>
        </w:tc>
      </w:tr>
      <w:tr w14:paraId="4CD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14:paraId="67FA56E1">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153" w:type="dxa"/>
            <w:vAlign w:val="center"/>
          </w:tcPr>
          <w:p w14:paraId="522DD862">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c>
          <w:tcPr>
            <w:tcW w:w="1823" w:type="dxa"/>
            <w:vAlign w:val="center"/>
          </w:tcPr>
          <w:p w14:paraId="79B14030">
            <w:pPr>
              <w:spacing w:line="390" w:lineRule="exact"/>
              <w:jc w:val="center"/>
              <w:rPr>
                <w:rFonts w:ascii="仿宋" w:hAnsi="仿宋" w:eastAsia="仿宋" w:cs="仿宋"/>
                <w:color w:val="auto"/>
                <w:position w:val="10"/>
                <w:sz w:val="24"/>
                <w:highlight w:val="none"/>
              </w:rPr>
            </w:pPr>
            <w:r>
              <w:rPr>
                <w:rFonts w:hint="eastAsia" w:ascii="仿宋" w:hAnsi="仿宋" w:eastAsia="仿宋" w:cs="仿宋"/>
                <w:color w:val="auto"/>
                <w:sz w:val="24"/>
                <w:highlight w:val="none"/>
              </w:rPr>
              <w:t>监督管理部门</w:t>
            </w:r>
          </w:p>
        </w:tc>
        <w:tc>
          <w:tcPr>
            <w:tcW w:w="6379" w:type="dxa"/>
            <w:vAlign w:val="center"/>
          </w:tcPr>
          <w:p w14:paraId="3EA53373">
            <w:pPr>
              <w:spacing w:line="390" w:lineRule="exact"/>
              <w:rPr>
                <w:rFonts w:ascii="仿宋" w:hAnsi="仿宋" w:eastAsia="仿宋" w:cs="仿宋"/>
                <w:color w:val="auto"/>
                <w:sz w:val="24"/>
                <w:highlight w:val="none"/>
              </w:rPr>
            </w:pPr>
            <w:r>
              <w:rPr>
                <w:rFonts w:hint="eastAsia" w:ascii="仿宋" w:hAnsi="仿宋" w:eastAsia="仿宋" w:cs="仿宋"/>
                <w:color w:val="auto"/>
                <w:sz w:val="24"/>
                <w:highlight w:val="none"/>
              </w:rPr>
              <w:t>龙州县财政局政府采购监督股      电话：0771-8812665</w:t>
            </w:r>
          </w:p>
        </w:tc>
      </w:tr>
      <w:tr w14:paraId="4DBE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14:paraId="424A6735">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153" w:type="dxa"/>
            <w:vAlign w:val="center"/>
          </w:tcPr>
          <w:p w14:paraId="15272589">
            <w:pPr>
              <w:spacing w:line="39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1823" w:type="dxa"/>
            <w:vAlign w:val="center"/>
          </w:tcPr>
          <w:p w14:paraId="03DC5B73">
            <w:pPr>
              <w:spacing w:line="390" w:lineRule="exact"/>
              <w:jc w:val="center"/>
              <w:rPr>
                <w:rFonts w:ascii="宋体" w:hAnsi="宋体"/>
                <w:color w:val="auto"/>
                <w:szCs w:val="21"/>
                <w:highlight w:val="none"/>
              </w:rPr>
            </w:pPr>
            <w:r>
              <w:rPr>
                <w:rFonts w:hint="eastAsia" w:ascii="仿宋" w:hAnsi="仿宋" w:eastAsia="仿宋" w:cs="仿宋"/>
                <w:color w:val="auto"/>
                <w:sz w:val="24"/>
                <w:highlight w:val="none"/>
              </w:rPr>
              <w:t>其他释义</w:t>
            </w:r>
          </w:p>
        </w:tc>
        <w:tc>
          <w:tcPr>
            <w:tcW w:w="6379" w:type="dxa"/>
            <w:vAlign w:val="center"/>
          </w:tcPr>
          <w:p w14:paraId="22A8D035">
            <w:pPr>
              <w:snapToGrid w:val="0"/>
              <w:spacing w:line="380" w:lineRule="exact"/>
              <w:rPr>
                <w:rFonts w:ascii="宋体" w:hAnsi="宋体" w:cs="宋体"/>
                <w:b/>
                <w:bCs/>
                <w:color w:val="auto"/>
                <w:szCs w:val="20"/>
                <w:highlight w:val="none"/>
              </w:rPr>
            </w:pPr>
            <w:r>
              <w:rPr>
                <w:rFonts w:hint="eastAsia" w:ascii="宋体" w:hAnsi="宋体" w:cs="宋体"/>
                <w:b/>
                <w:bCs/>
                <w:color w:val="auto"/>
                <w:szCs w:val="20"/>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F528138">
            <w:pPr>
              <w:snapToGrid w:val="0"/>
              <w:spacing w:line="380" w:lineRule="exact"/>
              <w:rPr>
                <w:rFonts w:ascii="宋体" w:hAnsi="宋体" w:cs="宋体"/>
                <w:b/>
                <w:bCs/>
                <w:color w:val="auto"/>
                <w:szCs w:val="20"/>
                <w:highlight w:val="none"/>
              </w:rPr>
            </w:pPr>
            <w:r>
              <w:rPr>
                <w:rFonts w:hint="eastAsia" w:ascii="宋体" w:hAnsi="宋体" w:cs="宋体"/>
                <w:b/>
                <w:bCs/>
                <w:color w:val="auto"/>
                <w:szCs w:val="2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EEC0116">
            <w:pPr>
              <w:snapToGrid w:val="0"/>
              <w:spacing w:line="380" w:lineRule="exact"/>
              <w:rPr>
                <w:rFonts w:ascii="宋体" w:hAnsi="宋体" w:cs="宋体"/>
                <w:b/>
                <w:bCs/>
                <w:color w:val="auto"/>
                <w:szCs w:val="20"/>
                <w:highlight w:val="none"/>
              </w:rPr>
            </w:pPr>
            <w:r>
              <w:rPr>
                <w:rFonts w:hint="eastAsia" w:ascii="宋体" w:hAnsi="宋体" w:cs="宋体"/>
                <w:b/>
                <w:bCs/>
                <w:color w:val="auto"/>
                <w:szCs w:val="20"/>
                <w:highlight w:val="none"/>
              </w:rPr>
              <w:t>3.</w:t>
            </w:r>
            <w:r>
              <w:rPr>
                <w:rFonts w:hint="eastAsia" w:ascii="宋体" w:hAnsi="宋体" w:cs="宋体"/>
                <w:b/>
                <w:bCs/>
                <w:color w:val="auto"/>
                <w:szCs w:val="21"/>
                <w:highlight w:val="none"/>
              </w:rPr>
              <w:t xml:space="preserve"> 本采购文件中描述供应商的“签字”是指供应商的法定代表人或者委托代理人在文件规定签署处亲笔写上个人的名字或者CA电子签名。</w:t>
            </w:r>
          </w:p>
          <w:p w14:paraId="24D02B5B">
            <w:pPr>
              <w:snapToGrid w:val="0"/>
              <w:spacing w:line="380" w:lineRule="exact"/>
              <w:rPr>
                <w:rFonts w:ascii="宋体" w:hAnsi="宋体" w:cs="宋体"/>
                <w:b/>
                <w:bCs/>
                <w:color w:val="auto"/>
                <w:szCs w:val="20"/>
                <w:highlight w:val="none"/>
              </w:rPr>
            </w:pPr>
            <w:r>
              <w:rPr>
                <w:rFonts w:hint="eastAsia" w:ascii="宋体" w:hAnsi="宋体" w:cs="宋体"/>
                <w:b/>
                <w:bCs/>
                <w:color w:val="auto"/>
                <w:szCs w:val="20"/>
                <w:highlight w:val="none"/>
              </w:rPr>
              <w:t>4.</w:t>
            </w:r>
            <w:r>
              <w:rPr>
                <w:rFonts w:hint="eastAsia" w:ascii="宋体" w:hAnsi="宋体" w:cs="宋体"/>
                <w:b/>
                <w:bCs/>
                <w:color w:val="auto"/>
                <w:szCs w:val="21"/>
                <w:highlight w:val="none"/>
              </w:rPr>
              <w:t xml:space="preserve"> 电子签章：（1）电子响应文件中必须加盖供应商公章的部分，均采用CA电子签章；（2）电子响应文件中必须签字的部分，可先在线下签字后再扫描上传“政采云电子投标客户端”进行CA电子签章，或者CA电子签名。</w:t>
            </w:r>
          </w:p>
          <w:p w14:paraId="74810DF4">
            <w:pPr>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r w14:paraId="5BF2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14:paraId="26DE2713">
            <w:pPr>
              <w:spacing w:line="39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153" w:type="dxa"/>
            <w:vAlign w:val="center"/>
          </w:tcPr>
          <w:p w14:paraId="7FDDC25D">
            <w:pPr>
              <w:spacing w:line="390" w:lineRule="exact"/>
              <w:jc w:val="center"/>
              <w:rPr>
                <w:rFonts w:hint="eastAsia" w:ascii="仿宋" w:hAnsi="仿宋" w:eastAsia="仿宋" w:cs="仿宋"/>
                <w:color w:val="auto"/>
                <w:sz w:val="24"/>
                <w:highlight w:val="none"/>
              </w:rPr>
            </w:pPr>
          </w:p>
        </w:tc>
        <w:tc>
          <w:tcPr>
            <w:tcW w:w="1823" w:type="dxa"/>
            <w:vAlign w:val="center"/>
          </w:tcPr>
          <w:p w14:paraId="2456295C">
            <w:pPr>
              <w:spacing w:line="390" w:lineRule="exact"/>
              <w:jc w:val="center"/>
              <w:rPr>
                <w:rFonts w:hint="eastAsia" w:ascii="仿宋" w:hAnsi="仿宋" w:eastAsia="仿宋" w:cs="仿宋"/>
                <w:color w:val="auto"/>
                <w:sz w:val="24"/>
                <w:highlight w:val="none"/>
              </w:rPr>
            </w:pPr>
            <w:r>
              <w:rPr>
                <w:rFonts w:hint="eastAsia" w:ascii="宋体" w:hAnsi="宋体" w:cs="Courier New"/>
                <w:b/>
                <w:color w:val="auto"/>
                <w:spacing w:val="2"/>
                <w:szCs w:val="21"/>
                <w:highlight w:val="none"/>
              </w:rPr>
              <w:t>预留采购份额</w:t>
            </w:r>
          </w:p>
        </w:tc>
        <w:tc>
          <w:tcPr>
            <w:tcW w:w="6379" w:type="dxa"/>
            <w:vAlign w:val="center"/>
          </w:tcPr>
          <w:p w14:paraId="73FECED3">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中小微</w:t>
            </w:r>
            <w:r>
              <w:rPr>
                <w:rFonts w:hint="eastAsia" w:ascii="宋体" w:hAnsi="宋体" w:cs="Courier New"/>
                <w:b/>
                <w:color w:val="auto"/>
                <w:spacing w:val="2"/>
                <w:szCs w:val="21"/>
                <w:highlight w:val="none"/>
              </w:rPr>
              <w:t>企业采购的项目。</w:t>
            </w:r>
          </w:p>
          <w:p w14:paraId="0480B587">
            <w:pPr>
              <w:spacing w:line="390" w:lineRule="exact"/>
              <w:rPr>
                <w:rFonts w:hint="eastAsia" w:ascii="宋体" w:hAnsi="宋体" w:cs="宋体"/>
                <w:b/>
                <w:bCs/>
                <w:color w:val="auto"/>
                <w:szCs w:val="21"/>
                <w:highlight w:val="none"/>
              </w:rPr>
            </w:pPr>
            <w:r>
              <w:rPr>
                <w:rFonts w:hint="eastAsia" w:ascii="宋体" w:hAnsi="宋体" w:cs="Courier New"/>
                <w:b/>
                <w:color w:val="auto"/>
                <w:spacing w:val="2"/>
                <w:szCs w:val="21"/>
                <w:highlight w:val="none"/>
              </w:rPr>
              <w:t>中小企业划分标准所属行业：</w:t>
            </w:r>
            <w:r>
              <w:rPr>
                <w:rFonts w:hint="eastAsia" w:ascii="宋体" w:hAnsi="宋体" w:cs="Courier New"/>
                <w:b/>
                <w:color w:val="auto"/>
                <w:spacing w:val="2"/>
                <w:szCs w:val="21"/>
                <w:highlight w:val="none"/>
                <w:u w:val="single"/>
              </w:rPr>
              <w:t xml:space="preserve"> 物业管理 </w:t>
            </w:r>
            <w:r>
              <w:rPr>
                <w:rFonts w:hint="eastAsia" w:ascii="宋体" w:hAnsi="宋体" w:cs="Courier New"/>
                <w:b/>
                <w:color w:val="auto"/>
                <w:spacing w:val="2"/>
                <w:szCs w:val="21"/>
                <w:highlight w:val="none"/>
              </w:rPr>
              <w:t>。</w:t>
            </w:r>
          </w:p>
        </w:tc>
      </w:tr>
    </w:tbl>
    <w:p w14:paraId="06D28B71">
      <w:pPr>
        <w:pageBreakBefore/>
        <w:spacing w:line="440" w:lineRule="exact"/>
        <w:ind w:firstLine="551" w:firstLineChars="196"/>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5C048DFC">
      <w:pPr>
        <w:spacing w:line="440" w:lineRule="exact"/>
        <w:ind w:firstLine="413" w:firstLineChars="196"/>
        <w:rPr>
          <w:rFonts w:ascii="仿宋" w:hAnsi="仿宋" w:eastAsia="仿宋" w:cs="仿宋"/>
          <w:b/>
          <w:color w:val="auto"/>
          <w:szCs w:val="21"/>
          <w:highlight w:val="none"/>
        </w:rPr>
      </w:pPr>
    </w:p>
    <w:p w14:paraId="7D2268E9">
      <w:pPr>
        <w:spacing w:line="440" w:lineRule="exact"/>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1.项目名称及项目编号</w:t>
      </w:r>
    </w:p>
    <w:p w14:paraId="0DAB954D">
      <w:pPr>
        <w:spacing w:line="440" w:lineRule="exact"/>
        <w:ind w:firstLine="705" w:firstLineChars="294"/>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详见前附表。</w:t>
      </w:r>
    </w:p>
    <w:p w14:paraId="35609D92">
      <w:pPr>
        <w:spacing w:line="440" w:lineRule="exact"/>
        <w:ind w:firstLine="705" w:firstLineChars="294"/>
        <w:rPr>
          <w:rFonts w:ascii="仿宋" w:hAnsi="仿宋" w:eastAsia="仿宋" w:cs="仿宋"/>
          <w:b/>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详见前附表。</w:t>
      </w:r>
    </w:p>
    <w:p w14:paraId="509EA6A3">
      <w:pPr>
        <w:spacing w:line="440" w:lineRule="exact"/>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2.适应范围</w:t>
      </w:r>
    </w:p>
    <w:p w14:paraId="7E15F524">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本招标文件适用本招标采购项目的招标、投标、评标、合同履约、验收、付款等行为（法律、法规另有规定的，从其规定）。</w:t>
      </w:r>
    </w:p>
    <w:p w14:paraId="4D8D538B">
      <w:pPr>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3.定义</w:t>
      </w:r>
    </w:p>
    <w:p w14:paraId="1C6D4F82">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3.1 “投标人”是指响应招标、参加投标竞争的法人、其他组织或者自然人。</w:t>
      </w:r>
    </w:p>
    <w:p w14:paraId="4E554F36">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3.2 “货物”系指按招标文件规定，投标人须向采购人提供的一切设备、保险、税金、备品备件、工具、手册及其它有关技术资料和材料。</w:t>
      </w:r>
    </w:p>
    <w:p w14:paraId="4B1F0AE0">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3.3 “服务”系指按招标文件规定，投标人须承担的安装、调试、技术协助、校准、培训、技术指导以及其他类似的义务。</w:t>
      </w:r>
    </w:p>
    <w:p w14:paraId="0B060443">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3.4 “项目”系指投标人按招标文件规定向采购人提供的货物和服务。</w:t>
      </w:r>
    </w:p>
    <w:p w14:paraId="43B566EF">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3.5 “书面形式”包括信函、传真、电报。</w:t>
      </w:r>
    </w:p>
    <w:p w14:paraId="211C980F">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3.6  实质性要求：标注“★”号项的要求为实质性要求。</w:t>
      </w:r>
    </w:p>
    <w:p w14:paraId="3DCBACD9">
      <w:pPr>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4.招标方式、评分办法</w:t>
      </w:r>
    </w:p>
    <w:p w14:paraId="191DAEF4">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公开招标、综合评分法</w:t>
      </w:r>
    </w:p>
    <w:p w14:paraId="5FE4B908">
      <w:pPr>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5.投标人资格</w:t>
      </w:r>
    </w:p>
    <w:p w14:paraId="5E7ABF6C">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5.1满足《中华人民共和国政府采购法》第二十二条规定；</w:t>
      </w:r>
    </w:p>
    <w:p w14:paraId="0ACC1D32">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5.2落实政府采购政策需满足的资格要求：本项目专门面向中小微企业；</w:t>
      </w:r>
    </w:p>
    <w:p w14:paraId="4E8D41AF">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5.3本项目的特定资格要求：无。</w:t>
      </w:r>
    </w:p>
    <w:p w14:paraId="463994C9">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864782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A392F4">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6.投标费用</w:t>
      </w:r>
    </w:p>
    <w:p w14:paraId="0182BA1B">
      <w:pPr>
        <w:spacing w:line="440" w:lineRule="exact"/>
        <w:ind w:firstLine="435"/>
        <w:rPr>
          <w:rFonts w:ascii="仿宋" w:hAnsi="仿宋" w:eastAsia="仿宋" w:cs="仿宋"/>
          <w:b/>
          <w:color w:val="auto"/>
          <w:sz w:val="24"/>
          <w:highlight w:val="none"/>
        </w:rPr>
      </w:pPr>
      <w:r>
        <w:rPr>
          <w:rFonts w:hint="eastAsia" w:ascii="仿宋" w:hAnsi="仿宋" w:eastAsia="仿宋" w:cs="仿宋"/>
          <w:color w:val="auto"/>
          <w:sz w:val="24"/>
          <w:highlight w:val="none"/>
        </w:rPr>
        <w:t>不论投标结果如何，投标人均应自行承担所有与投标有关的全部费用。</w:t>
      </w:r>
    </w:p>
    <w:p w14:paraId="69920AB1">
      <w:pPr>
        <w:tabs>
          <w:tab w:val="left" w:pos="1635"/>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7.联合体投标要求</w:t>
      </w:r>
    </w:p>
    <w:p w14:paraId="10F846BD">
      <w:pPr>
        <w:tabs>
          <w:tab w:val="left" w:pos="1635"/>
        </w:tabs>
        <w:spacing w:line="440" w:lineRule="exact"/>
        <w:ind w:firstLine="435"/>
        <w:rPr>
          <w:rFonts w:ascii="仿宋" w:hAnsi="仿宋" w:eastAsia="仿宋" w:cs="仿宋"/>
          <w:bCs/>
          <w:color w:val="auto"/>
          <w:sz w:val="24"/>
          <w:highlight w:val="none"/>
        </w:rPr>
      </w:pPr>
      <w:r>
        <w:rPr>
          <w:rFonts w:hint="eastAsia" w:ascii="仿宋" w:hAnsi="仿宋" w:eastAsia="仿宋" w:cs="仿宋"/>
          <w:bCs/>
          <w:color w:val="auto"/>
          <w:sz w:val="24"/>
          <w:highlight w:val="none"/>
        </w:rPr>
        <w:t>本项目不接受联合体投标。</w:t>
      </w:r>
    </w:p>
    <w:p w14:paraId="714FD6A9">
      <w:pPr>
        <w:tabs>
          <w:tab w:val="left" w:pos="1635"/>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8.转包与分包</w:t>
      </w:r>
    </w:p>
    <w:p w14:paraId="6C051E1D">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8.1本项目不允许转包。</w:t>
      </w:r>
    </w:p>
    <w:p w14:paraId="3310F6CD">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8.2本项目不可以分包。</w:t>
      </w:r>
    </w:p>
    <w:p w14:paraId="6749D3E1">
      <w:pPr>
        <w:tabs>
          <w:tab w:val="left" w:pos="1635"/>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9.特别说明</w:t>
      </w:r>
    </w:p>
    <w:p w14:paraId="1FC2A7B9">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9.1 关联供应商不得参加同一合同项下政府采购活动，否则投标文件将被视为无效：</w:t>
      </w:r>
    </w:p>
    <w:p w14:paraId="47104168">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（1）单位负责人为同一人或者存在直接控股、管理关系的，不得参加同一合同项下的政府采购活动。</w:t>
      </w:r>
    </w:p>
    <w:p w14:paraId="57AFF094">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（2）为本采购项目提供整体设计、规范编制或者项目管理、监理、检测等服务的供应商，不得再参加本次采购活动。</w:t>
      </w:r>
    </w:p>
    <w:p w14:paraId="52D6072A">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9.2投标人投标所使用的资格、信誉、荣誉、业绩与企业认证必须为本法人所拥有，投标人投标所使用的采购项目实施人员必须为投标人员工。</w:t>
      </w:r>
    </w:p>
    <w:p w14:paraId="3B3AF0F8">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9.3投标人应仔细阅读招标文件的所有内容，按照招标文件的要求提交投标文件，并对所提供的全部资料的真实性承担法律责任。</w:t>
      </w:r>
    </w:p>
    <w:p w14:paraId="6800407D">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9.4采购人有权核实各投标人投标文件的真实性，若经查实为提供虚假材料的，采购人有权取消其中标资格，并上报监督管理部门按政府采购相关法律法规从严处理。</w:t>
      </w:r>
    </w:p>
    <w:p w14:paraId="07B10B82">
      <w:pPr>
        <w:tabs>
          <w:tab w:val="left" w:pos="1635"/>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9.5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C2B1AD5">
      <w:pPr>
        <w:tabs>
          <w:tab w:val="left" w:pos="2190"/>
        </w:tabs>
        <w:spacing w:line="440" w:lineRule="exact"/>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10.质疑和投诉</w:t>
      </w:r>
      <w:r>
        <w:rPr>
          <w:rFonts w:hint="eastAsia" w:ascii="仿宋" w:hAnsi="仿宋" w:eastAsia="仿宋" w:cs="仿宋"/>
          <w:b/>
          <w:color w:val="auto"/>
          <w:sz w:val="24"/>
          <w:highlight w:val="none"/>
        </w:rPr>
        <w:tab/>
      </w:r>
    </w:p>
    <w:p w14:paraId="5BDF1896">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10.1投标人认为招标文件使自己的合法权益受到损害的，应当在获取招标文件之日起7个工作日内以书面形式向采购代理机构提出质疑。或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14:paraId="16289DD8">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10.2投标人对采购代理机构的答复不满意或者采购代理机构未在规定的时间内作出答复的，可以在答复期满后十五个工作日内向龙州县财政局政府采购监督股投诉。</w:t>
      </w:r>
    </w:p>
    <w:p w14:paraId="2A882F4F">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10.3质疑、投诉应当采用书面形式，质疑书、投诉书实行实名制，均应明确阐述招标文件、招标过程或中标结果中使自己合法权益受到损害的实质性内容，并提供必要的证明材料。</w:t>
      </w:r>
    </w:p>
    <w:p w14:paraId="0B436763">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接收质疑函方式：以书面形式（原件）提交</w:t>
      </w:r>
    </w:p>
    <w:p w14:paraId="79F41D59">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质疑联系方式：广西鑫磐工程项目管理有限责任公司，联系人：张凯 0771-2507590</w:t>
      </w:r>
    </w:p>
    <w:p w14:paraId="151FD4AA">
      <w:pPr>
        <w:tabs>
          <w:tab w:val="left" w:pos="2190"/>
        </w:tabs>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通讯地址：南宁市兴宁区苏州路15号7层</w:t>
      </w:r>
    </w:p>
    <w:p w14:paraId="398E4B83">
      <w:pPr>
        <w:tabs>
          <w:tab w:val="left" w:pos="2190"/>
        </w:tabs>
        <w:spacing w:line="440" w:lineRule="exact"/>
        <w:ind w:firstLine="435"/>
        <w:rPr>
          <w:rFonts w:ascii="仿宋" w:hAnsi="仿宋" w:eastAsia="仿宋" w:cs="仿宋"/>
          <w:color w:val="auto"/>
          <w:sz w:val="24"/>
          <w:highlight w:val="none"/>
        </w:rPr>
      </w:pPr>
    </w:p>
    <w:p w14:paraId="3D5A2663">
      <w:pPr>
        <w:tabs>
          <w:tab w:val="left" w:pos="2190"/>
        </w:tabs>
        <w:spacing w:line="440" w:lineRule="exact"/>
        <w:ind w:firstLine="435"/>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w:t>
      </w:r>
    </w:p>
    <w:p w14:paraId="79FFE6B2">
      <w:pPr>
        <w:tabs>
          <w:tab w:val="left" w:pos="2190"/>
        </w:tabs>
        <w:spacing w:line="440" w:lineRule="exact"/>
        <w:ind w:firstLine="437"/>
        <w:rPr>
          <w:rFonts w:ascii="仿宋" w:hAnsi="仿宋" w:eastAsia="仿宋" w:cs="仿宋"/>
          <w:b/>
          <w:color w:val="auto"/>
          <w:sz w:val="24"/>
          <w:highlight w:val="none"/>
        </w:rPr>
      </w:pPr>
      <w:r>
        <w:rPr>
          <w:rFonts w:hint="eastAsia" w:ascii="仿宋" w:hAnsi="仿宋" w:eastAsia="仿宋" w:cs="仿宋"/>
          <w:b/>
          <w:color w:val="auto"/>
          <w:sz w:val="24"/>
          <w:highlight w:val="none"/>
        </w:rPr>
        <w:t>11.招标文件的构成</w:t>
      </w:r>
    </w:p>
    <w:p w14:paraId="0E02BBA4">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（1）招标公告；</w:t>
      </w:r>
    </w:p>
    <w:p w14:paraId="21D488C4">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（2）投标人须知；</w:t>
      </w:r>
    </w:p>
    <w:p w14:paraId="5724384A">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（3）服务采购需求；</w:t>
      </w:r>
    </w:p>
    <w:p w14:paraId="56BDE16A">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（4）评标办法；</w:t>
      </w:r>
    </w:p>
    <w:p w14:paraId="327023FA">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（5）采购合同（合同主要条款及格式）；</w:t>
      </w:r>
    </w:p>
    <w:p w14:paraId="5FFA76B4">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（6）投标文件（格式）。</w:t>
      </w:r>
    </w:p>
    <w:p w14:paraId="4BDA48DE">
      <w:pPr>
        <w:tabs>
          <w:tab w:val="left" w:pos="2190"/>
        </w:tabs>
        <w:spacing w:line="440" w:lineRule="exact"/>
        <w:ind w:firstLine="437"/>
        <w:rPr>
          <w:rFonts w:ascii="仿宋" w:hAnsi="仿宋" w:eastAsia="仿宋" w:cs="仿宋"/>
          <w:b/>
          <w:color w:val="auto"/>
          <w:sz w:val="24"/>
          <w:highlight w:val="none"/>
        </w:rPr>
      </w:pPr>
      <w:r>
        <w:rPr>
          <w:rFonts w:hint="eastAsia" w:ascii="仿宋" w:hAnsi="仿宋" w:eastAsia="仿宋" w:cs="仿宋"/>
          <w:b/>
          <w:color w:val="auto"/>
          <w:sz w:val="24"/>
          <w:highlight w:val="none"/>
        </w:rPr>
        <w:t>12.招标文件的澄清与修改</w:t>
      </w:r>
    </w:p>
    <w:p w14:paraId="1F5125D7">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12.1 投标人应认真阅读招标文件，发现其中有误或有不合理要求的，投标人必须在获取招标文件之日起7个工作日内以书面形式要求采购代理机构澄清。</w:t>
      </w:r>
    </w:p>
    <w:p w14:paraId="4C64AEE9">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6DC06CB6">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12.3投标人获取招标文件后应实时关注相关网站了解澄清、修改等与项目有关的内容，如因投标人未及时登录相关网站了解澄清、修改等与项目有关的内容，从而导致投标无效的，由投标人自行承担责任。</w:t>
      </w:r>
    </w:p>
    <w:p w14:paraId="3C230368">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12.4 必要的澄清、修改的内容为招标文件的组成部分。当澄清、修改通知就同一内容的表述不一致时，以最后发出的书面文件为准。</w:t>
      </w:r>
    </w:p>
    <w:p w14:paraId="770149DC">
      <w:pPr>
        <w:tabs>
          <w:tab w:val="left" w:pos="2190"/>
        </w:tabs>
        <w:spacing w:line="440" w:lineRule="exact"/>
        <w:ind w:firstLine="437"/>
        <w:rPr>
          <w:rFonts w:ascii="仿宋" w:hAnsi="仿宋" w:eastAsia="仿宋" w:cs="仿宋"/>
          <w:color w:val="auto"/>
          <w:sz w:val="24"/>
          <w:highlight w:val="none"/>
        </w:rPr>
      </w:pPr>
      <w:r>
        <w:rPr>
          <w:rFonts w:hint="eastAsia" w:ascii="仿宋" w:hAnsi="仿宋" w:eastAsia="仿宋" w:cs="仿宋"/>
          <w:color w:val="auto"/>
          <w:sz w:val="24"/>
          <w:highlight w:val="none"/>
        </w:rPr>
        <w:t>12.5 招标文件的澄清、修改都应该通过采购代理机构以法定形式发布，采购人非通过本机构，不得擅自澄清、修改招标文件。</w:t>
      </w:r>
    </w:p>
    <w:p w14:paraId="644F08A3">
      <w:pPr>
        <w:tabs>
          <w:tab w:val="left" w:pos="2190"/>
        </w:tabs>
        <w:spacing w:line="440" w:lineRule="exact"/>
        <w:ind w:firstLine="437"/>
        <w:rPr>
          <w:rFonts w:ascii="仿宋" w:hAnsi="仿宋" w:eastAsia="仿宋" w:cs="仿宋"/>
          <w:color w:val="auto"/>
          <w:szCs w:val="21"/>
          <w:highlight w:val="none"/>
        </w:rPr>
      </w:pPr>
    </w:p>
    <w:p w14:paraId="66406096">
      <w:pPr>
        <w:tabs>
          <w:tab w:val="left" w:pos="2190"/>
        </w:tabs>
        <w:spacing w:line="440" w:lineRule="exact"/>
        <w:ind w:firstLine="435"/>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p>
    <w:p w14:paraId="1AB94C39">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13.投标文件的组成及要求</w:t>
      </w:r>
    </w:p>
    <w:p w14:paraId="3C6BB691">
      <w:pPr>
        <w:tabs>
          <w:tab w:val="left" w:pos="2190"/>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13.1投标文件的组成【格式见第六章“投标文件格式”】</w:t>
      </w:r>
    </w:p>
    <w:p w14:paraId="1235BFA2">
      <w:pPr>
        <w:tabs>
          <w:tab w:val="left" w:pos="2190"/>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13.1.1 报价文件</w:t>
      </w:r>
    </w:p>
    <w:p w14:paraId="49C8B53B">
      <w:pPr>
        <w:tabs>
          <w:tab w:val="left" w:pos="2190"/>
        </w:tabs>
        <w:spacing w:line="440" w:lineRule="exact"/>
        <w:ind w:firstLine="435"/>
        <w:rPr>
          <w:rFonts w:ascii="仿宋" w:hAnsi="仿宋" w:eastAsia="仿宋" w:cs="仿宋"/>
          <w:b/>
          <w:color w:val="auto"/>
          <w:sz w:val="24"/>
          <w:highlight w:val="none"/>
        </w:rPr>
      </w:pPr>
      <w:r>
        <w:rPr>
          <w:rFonts w:hint="eastAsia" w:ascii="仿宋" w:hAnsi="仿宋" w:eastAsia="仿宋" w:cs="仿宋"/>
          <w:b/>
          <w:color w:val="auto"/>
          <w:sz w:val="24"/>
          <w:highlight w:val="none"/>
        </w:rPr>
        <w:t>13.1.2 资格证明文件：</w:t>
      </w:r>
    </w:p>
    <w:p w14:paraId="142612DC">
      <w:pPr>
        <w:snapToGrid w:val="0"/>
        <w:ind w:firstLine="480" w:firstLineChars="200"/>
        <w:jc w:val="left"/>
        <w:rPr>
          <w:rFonts w:ascii="仿宋" w:hAnsi="仿宋" w:eastAsia="仿宋" w:cs="仿宋"/>
          <w:color w:val="auto"/>
          <w:sz w:val="24"/>
          <w:highlight w:val="none"/>
        </w:rPr>
      </w:pPr>
    </w:p>
    <w:p w14:paraId="60A18AB1">
      <w:pPr>
        <w:snapToGrid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268F0E2A">
      <w:pPr>
        <w:pStyle w:val="35"/>
        <w:rPr>
          <w:rFonts w:ascii="仿宋" w:hAnsi="仿宋" w:eastAsia="仿宋" w:cs="仿宋"/>
          <w:color w:val="auto"/>
          <w:highlight w:val="none"/>
        </w:rPr>
      </w:pPr>
    </w:p>
    <w:p w14:paraId="516340FD">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1.供应商合法的主体资格证明（如营业执照、事业单位法人证书、执业许可证、自然人身份证等）复印件（</w:t>
      </w:r>
      <w:r>
        <w:rPr>
          <w:rFonts w:hint="eastAsia" w:ascii="仿宋" w:hAnsi="仿宋" w:eastAsia="仿宋" w:cs="仿宋"/>
          <w:b/>
          <w:color w:val="auto"/>
          <w:sz w:val="24"/>
          <w:highlight w:val="none"/>
        </w:rPr>
        <w:t>必须提供，否则响应文件作无效处理）</w:t>
      </w:r>
      <w:r>
        <w:rPr>
          <w:rFonts w:hint="eastAsia" w:ascii="仿宋" w:hAnsi="仿宋" w:eastAsia="仿宋" w:cs="仿宋"/>
          <w:color w:val="auto"/>
          <w:sz w:val="24"/>
          <w:highlight w:val="none"/>
        </w:rPr>
        <w:t>；</w:t>
      </w:r>
    </w:p>
    <w:p w14:paraId="77876ADF">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近半年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仿宋" w:hAnsi="仿宋" w:eastAsia="仿宋" w:cs="仿宋"/>
          <w:b/>
          <w:color w:val="auto"/>
          <w:sz w:val="24"/>
          <w:highlight w:val="none"/>
        </w:rPr>
        <w:t>（必须提供，否则响应文件作无效处理）</w:t>
      </w:r>
      <w:r>
        <w:rPr>
          <w:rFonts w:hint="eastAsia" w:ascii="仿宋" w:hAnsi="仿宋" w:eastAsia="仿宋" w:cs="仿宋"/>
          <w:color w:val="auto"/>
          <w:sz w:val="24"/>
          <w:highlight w:val="none"/>
        </w:rPr>
        <w:t xml:space="preserve">； </w:t>
      </w:r>
    </w:p>
    <w:p w14:paraId="5F02B4E6">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供应商202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近半年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仿宋" w:hAnsi="仿宋" w:eastAsia="仿宋" w:cs="仿宋"/>
          <w:b/>
          <w:color w:val="auto"/>
          <w:sz w:val="24"/>
          <w:highlight w:val="none"/>
        </w:rPr>
        <w:t>（必须提供，否则响应文件作无效处理）</w:t>
      </w:r>
      <w:r>
        <w:rPr>
          <w:rFonts w:hint="eastAsia" w:ascii="仿宋" w:hAnsi="仿宋" w:eastAsia="仿宋" w:cs="仿宋"/>
          <w:color w:val="auto"/>
          <w:sz w:val="24"/>
          <w:highlight w:val="none"/>
        </w:rPr>
        <w:t>；</w:t>
      </w:r>
    </w:p>
    <w:p w14:paraId="577E96BA">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4.供应商需提供202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仿宋" w:hAnsi="仿宋" w:eastAsia="仿宋" w:cs="仿宋"/>
          <w:b/>
          <w:color w:val="auto"/>
          <w:sz w:val="24"/>
          <w:highlight w:val="none"/>
        </w:rPr>
        <w:t>（必须提供，否则响应文件作无效处理）</w:t>
      </w:r>
      <w:r>
        <w:rPr>
          <w:rFonts w:hint="eastAsia" w:ascii="仿宋" w:hAnsi="仿宋" w:eastAsia="仿宋" w:cs="仿宋"/>
          <w:color w:val="auto"/>
          <w:sz w:val="24"/>
          <w:highlight w:val="none"/>
        </w:rPr>
        <w:t xml:space="preserve">。 </w:t>
      </w:r>
    </w:p>
    <w:p w14:paraId="72C378B1">
      <w:pPr>
        <w:pStyle w:val="9"/>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5.投标声明（格式后附）</w:t>
      </w:r>
      <w:r>
        <w:rPr>
          <w:rFonts w:hint="eastAsia" w:ascii="仿宋" w:hAnsi="仿宋" w:eastAsia="仿宋" w:cs="仿宋"/>
          <w:b/>
          <w:color w:val="auto"/>
          <w:sz w:val="24"/>
          <w:highlight w:val="none"/>
        </w:rPr>
        <w:t>（必须提供，否则响应文件作无效处理）</w:t>
      </w:r>
    </w:p>
    <w:p w14:paraId="198303B0">
      <w:pPr>
        <w:pStyle w:val="9"/>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color w:val="auto"/>
          <w:sz w:val="24"/>
          <w:highlight w:val="none"/>
        </w:rPr>
        <w:t>中小企业声明函或残疾人福利性单位声明函或竞标人属于监狱企业的证明材料（本项目如为专门面向中小企业（或小型、微型企业）采购时必须提供，否则响应文件作无效处理）；</w:t>
      </w:r>
    </w:p>
    <w:p w14:paraId="758036D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.崇左市政府采购供应商信用承诺函；（必须提供，否则响应文件按无效响应处理）</w:t>
      </w:r>
    </w:p>
    <w:p w14:paraId="2351718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除公开招标文件规定必须提供以外，供应商认为需要提供的其他证明材料。</w:t>
      </w:r>
    </w:p>
    <w:p w14:paraId="19FD3541">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13.1.3 商务、技术响应及其他证明材料：</w:t>
      </w:r>
    </w:p>
    <w:p w14:paraId="7E5D23F8">
      <w:pPr>
        <w:snapToGrid w:val="0"/>
        <w:spacing w:beforeLines="50" w:after="5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1.服务采购需求条款偏离表（格式后附）；</w:t>
      </w:r>
      <w:r>
        <w:rPr>
          <w:rFonts w:hint="eastAsia" w:ascii="仿宋" w:hAnsi="仿宋" w:eastAsia="仿宋" w:cs="仿宋"/>
          <w:b/>
          <w:color w:val="auto"/>
          <w:sz w:val="24"/>
          <w:highlight w:val="none"/>
        </w:rPr>
        <w:t>（必须提供，否则作无效投标处理）</w:t>
      </w:r>
    </w:p>
    <w:p w14:paraId="5276BB1F">
      <w:pPr>
        <w:snapToGrid w:val="0"/>
        <w:spacing w:beforeLines="50" w:after="5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.法定代表人(负责人或自然人)身份证明及法定代表人(负责人或自然人)有效身份证正反面复印件（格式后附）；</w:t>
      </w:r>
      <w:r>
        <w:rPr>
          <w:rFonts w:hint="eastAsia" w:ascii="仿宋" w:hAnsi="仿宋" w:eastAsia="仿宋" w:cs="仿宋"/>
          <w:b/>
          <w:color w:val="auto"/>
          <w:sz w:val="24"/>
          <w:highlight w:val="none"/>
        </w:rPr>
        <w:t>（必须提供，否则作无效投标处理）</w:t>
      </w:r>
    </w:p>
    <w:p w14:paraId="204CC0AF">
      <w:pPr>
        <w:snapToGrid w:val="0"/>
        <w:spacing w:beforeLines="50" w:after="50"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.法定代表人(负责人或自然人)授权委托书及委托代理人有效身份证正反面复印件（格式后附）；</w:t>
      </w:r>
      <w:r>
        <w:rPr>
          <w:rFonts w:hint="eastAsia" w:ascii="仿宋" w:hAnsi="仿宋" w:eastAsia="仿宋" w:cs="仿宋"/>
          <w:b/>
          <w:color w:val="auto"/>
          <w:sz w:val="24"/>
          <w:highlight w:val="none"/>
        </w:rPr>
        <w:t>（委托时必须提供，否则作无效投标处理）</w:t>
      </w:r>
    </w:p>
    <w:p w14:paraId="266BC65E">
      <w:pPr>
        <w:pStyle w:val="10"/>
        <w:spacing w:line="360" w:lineRule="auto"/>
        <w:ind w:firstLine="240" w:firstLineChars="100"/>
        <w:rPr>
          <w:rFonts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供应商参加本项目无围标串标行为的承诺函；</w:t>
      </w:r>
      <w:r>
        <w:rPr>
          <w:rFonts w:hint="eastAsia" w:ascii="仿宋" w:hAnsi="仿宋" w:eastAsia="仿宋" w:cs="仿宋"/>
          <w:b/>
          <w:color w:val="auto"/>
          <w:highlight w:val="none"/>
        </w:rPr>
        <w:t>（必须提供，否则作无效投标处理）</w:t>
      </w:r>
    </w:p>
    <w:p w14:paraId="1744439F">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.投标单位基本情况简介（按投标人自身情况自行填写，格式自拟）；</w:t>
      </w:r>
    </w:p>
    <w:p w14:paraId="3A8B3440">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.除招标文件规定必须提供以外，投标人认为需要提供的其他证明材料（格式自拟）。（投标人根据本招标文件第二章采购需求及第四章评标办法及评分标准提供有关证明材料）；</w:t>
      </w:r>
    </w:p>
    <w:p w14:paraId="3A7D76DA">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.项目实施人员一览表；</w:t>
      </w:r>
    </w:p>
    <w:p w14:paraId="6C527CB6">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.项目投入设备一览表格式；</w:t>
      </w:r>
    </w:p>
    <w:p w14:paraId="652F8B38">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.项目实施服务方案（格式自拟）（含企业管理制度、服务方案、服务保障及应急方案等）；（根据第二章采购需求及第四章评标办法及评分标准的要求结合投标人自身情况自行填写，格式自拟）；</w:t>
      </w:r>
    </w:p>
    <w:p w14:paraId="394B1C67">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11.类似业绩（按第四章评分办法中相应要求提供材料）；</w:t>
      </w:r>
    </w:p>
    <w:p w14:paraId="491DBC86">
      <w:pPr>
        <w:snapToGrid w:val="0"/>
        <w:spacing w:beforeLines="50" w:after="50" w:line="360" w:lineRule="auto"/>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12.投标人认为有必要提供的其它材料</w:t>
      </w:r>
    </w:p>
    <w:p w14:paraId="5A0C3220">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14.投标文件的语言及计量</w:t>
      </w:r>
    </w:p>
    <w:p w14:paraId="3CE9B869">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7D0FABA8">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14.2投标计量单位，招标文件已有明确规定的，使用招标文件规定的计量单位；招标文件没有规定的，应采用中华人民共和国法定计量单位（货币单位：元、人民币），否则视同未响应。</w:t>
      </w:r>
    </w:p>
    <w:p w14:paraId="39E3C645">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15.投标报价</w:t>
      </w:r>
    </w:p>
    <w:p w14:paraId="2D01B12E">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15.1投标报价应按招标文件中第六章“投标文件（格式）”填写，投标人投标报价（含单价报价）超过分标采购预算金额（含单价预算金额）的，相应分标投标文件按无效处理。</w:t>
      </w:r>
    </w:p>
    <w:p w14:paraId="55E973E6">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15.2投标人必须就“服务采购需求”中各分标采购内容按分标分别作完整唯一报价，否则，其投标将被拒绝；投标文件只允许有一个报价，有选择的或有条件的报价将不予接受。</w:t>
      </w:r>
    </w:p>
    <w:p w14:paraId="783D4CB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15.3投标报价包括本次采购服务范围内的服务所需的</w:t>
      </w:r>
      <w:r>
        <w:rPr>
          <w:rFonts w:hint="eastAsia" w:ascii="仿宋" w:hAnsi="仿宋" w:eastAsia="仿宋" w:cs="仿宋"/>
          <w:bCs/>
          <w:color w:val="auto"/>
          <w:sz w:val="24"/>
          <w:highlight w:val="none"/>
        </w:rPr>
        <w:t>调查、</w:t>
      </w:r>
      <w:r>
        <w:rPr>
          <w:rFonts w:hint="eastAsia" w:ascii="仿宋" w:hAnsi="仿宋" w:eastAsia="仿宋" w:cs="仿宋"/>
          <w:color w:val="auto"/>
          <w:sz w:val="24"/>
          <w:highlight w:val="none"/>
        </w:rPr>
        <w:t>服务价款、所用耗材、</w:t>
      </w:r>
      <w:r>
        <w:rPr>
          <w:rFonts w:hint="eastAsia" w:ascii="仿宋" w:hAnsi="仿宋" w:eastAsia="仿宋" w:cs="仿宋"/>
          <w:bCs/>
          <w:color w:val="auto"/>
          <w:sz w:val="24"/>
          <w:highlight w:val="none"/>
        </w:rPr>
        <w:t>所有</w:t>
      </w:r>
      <w:r>
        <w:rPr>
          <w:rFonts w:hint="eastAsia" w:ascii="仿宋" w:hAnsi="仿宋" w:eastAsia="仿宋" w:cs="仿宋"/>
          <w:color w:val="auto"/>
          <w:sz w:val="24"/>
          <w:highlight w:val="none"/>
        </w:rPr>
        <w:t>人员食宿、工资、加班费、社保、服装及机械设备费、保洁用品、管理费用、维护费、保险、</w:t>
      </w:r>
      <w:r>
        <w:rPr>
          <w:rFonts w:hint="eastAsia" w:ascii="仿宋" w:hAnsi="仿宋" w:eastAsia="仿宋" w:cs="仿宋"/>
          <w:bCs/>
          <w:color w:val="auto"/>
          <w:sz w:val="24"/>
          <w:highlight w:val="none"/>
        </w:rPr>
        <w:t>利润、税金</w:t>
      </w:r>
      <w:r>
        <w:rPr>
          <w:rFonts w:hint="eastAsia" w:ascii="仿宋" w:hAnsi="仿宋" w:eastAsia="仿宋" w:cs="仿宋"/>
          <w:color w:val="auto"/>
          <w:sz w:val="24"/>
          <w:highlight w:val="none"/>
        </w:rPr>
        <w:t>及其它所有成本费用的总和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投标人自行考虑在报价中。</w:t>
      </w:r>
    </w:p>
    <w:p w14:paraId="10096810">
      <w:pPr>
        <w:spacing w:line="440" w:lineRule="exact"/>
        <w:ind w:left="420" w:hanging="420"/>
        <w:rPr>
          <w:rFonts w:ascii="仿宋" w:hAnsi="仿宋" w:eastAsia="仿宋" w:cs="仿宋"/>
          <w:b/>
          <w:color w:val="auto"/>
          <w:sz w:val="24"/>
          <w:highlight w:val="none"/>
        </w:rPr>
      </w:pPr>
      <w:r>
        <w:rPr>
          <w:rFonts w:hint="eastAsia" w:ascii="仿宋" w:hAnsi="仿宋" w:eastAsia="仿宋" w:cs="仿宋"/>
          <w:b/>
          <w:color w:val="auto"/>
          <w:sz w:val="24"/>
          <w:highlight w:val="none"/>
        </w:rPr>
        <w:t>16.投标有效期</w:t>
      </w:r>
    </w:p>
    <w:p w14:paraId="4FF049FA">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16.1投标有效期：投标截止时间之日起90天。</w:t>
      </w:r>
    </w:p>
    <w:p w14:paraId="65ADF5EA">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16.2出现特殊情况下，需要延长投标有效期的，采购代理机构依据政府采购法以书面形式通知投标人延长投标有效期。投标人拒绝延长的，其投标无效。</w:t>
      </w:r>
    </w:p>
    <w:p w14:paraId="1A465CE4">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17. 投标文件的份数、装订、签署和包装、密封</w:t>
      </w:r>
    </w:p>
    <w:p w14:paraId="7594574A">
      <w:pPr>
        <w:tabs>
          <w:tab w:val="left" w:pos="1305"/>
        </w:tabs>
        <w:spacing w:line="440" w:lineRule="exact"/>
        <w:ind w:firstLine="480" w:firstLineChars="200"/>
        <w:rPr>
          <w:rFonts w:ascii="仿宋" w:hAnsi="仿宋" w:eastAsia="仿宋" w:cs="仿宋"/>
          <w:b/>
          <w:bCs w:val="0"/>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b/>
          <w:color w:val="auto"/>
          <w:sz w:val="24"/>
          <w:highlight w:val="none"/>
        </w:rPr>
        <w:t>投标文件份数：</w:t>
      </w:r>
      <w:r>
        <w:rPr>
          <w:rFonts w:hint="eastAsia" w:ascii="仿宋" w:hAnsi="仿宋" w:eastAsia="仿宋" w:cs="仿宋"/>
          <w:b/>
          <w:bCs w:val="0"/>
          <w:color w:val="auto"/>
          <w:sz w:val="24"/>
          <w:highlight w:val="none"/>
        </w:rPr>
        <w:t>电子投标文件一份（注：中标供应商须在中标后十天内提交纸质版投标文件正本壹册，副本壹册至招标代理机构）。</w:t>
      </w:r>
    </w:p>
    <w:p w14:paraId="71C8A6EA">
      <w:pPr>
        <w:tabs>
          <w:tab w:val="left" w:pos="1305"/>
        </w:tabs>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17.2</w:t>
      </w:r>
      <w:r>
        <w:rPr>
          <w:rFonts w:hint="eastAsia" w:ascii="仿宋" w:hAnsi="仿宋" w:eastAsia="仿宋" w:cs="仿宋"/>
          <w:b/>
          <w:color w:val="auto"/>
          <w:sz w:val="24"/>
          <w:highlight w:val="none"/>
        </w:rPr>
        <w:t>投标人公章：</w:t>
      </w:r>
      <w:r>
        <w:rPr>
          <w:rFonts w:hint="eastAsia" w:ascii="仿宋" w:hAnsi="仿宋" w:eastAsia="仿宋" w:cs="仿宋"/>
          <w:color w:val="auto"/>
          <w:sz w:val="24"/>
          <w:highlight w:val="none"/>
        </w:rPr>
        <w:t>本招标文件中描述投标人的“电子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6D1A147C">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18.投标文件的修改和撤回</w:t>
      </w:r>
    </w:p>
    <w:p w14:paraId="44B486F8">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投标人在投标截止时间之前，可以对已递交的投标文件进行修改或撤回，并书面通知采购代理机构。</w:t>
      </w:r>
    </w:p>
    <w:p w14:paraId="6FB0E554">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19.投标文件的递交</w:t>
      </w:r>
    </w:p>
    <w:p w14:paraId="56EDB17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投标截止时间：详见投标人须知前附表。</w:t>
      </w:r>
    </w:p>
    <w:p w14:paraId="3AA0E102">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19.2 除招标文件另有规定外，投标人所递交的投标文件不予退还。</w:t>
      </w:r>
    </w:p>
    <w:p w14:paraId="3C67DB58">
      <w:pPr>
        <w:spacing w:line="440" w:lineRule="exact"/>
        <w:ind w:firstLine="435"/>
        <w:rPr>
          <w:rFonts w:ascii="仿宋" w:hAnsi="仿宋" w:eastAsia="仿宋" w:cs="仿宋"/>
          <w:color w:val="auto"/>
          <w:sz w:val="24"/>
          <w:highlight w:val="none"/>
        </w:rPr>
      </w:pPr>
      <w:r>
        <w:rPr>
          <w:rFonts w:hint="eastAsia" w:ascii="仿宋" w:hAnsi="仿宋" w:eastAsia="仿宋" w:cs="仿宋"/>
          <w:color w:val="auto"/>
          <w:sz w:val="24"/>
          <w:highlight w:val="none"/>
        </w:rPr>
        <w:t>19.3 投标人应当在招标文件要求提交投标文件的截止时间前，将投标文件在政采云大厅在线提交。</w:t>
      </w:r>
    </w:p>
    <w:p w14:paraId="768D18F7">
      <w:pPr>
        <w:pStyle w:val="19"/>
        <w:ind w:firstLine="480"/>
        <w:rPr>
          <w:color w:val="auto"/>
          <w:highlight w:val="none"/>
        </w:rPr>
      </w:pPr>
    </w:p>
    <w:p w14:paraId="6036775B">
      <w:pPr>
        <w:spacing w:line="440" w:lineRule="exact"/>
        <w:ind w:firstLine="435"/>
        <w:rPr>
          <w:rFonts w:ascii="仿宋" w:hAnsi="仿宋" w:eastAsia="仿宋" w:cs="仿宋"/>
          <w:color w:val="auto"/>
          <w:szCs w:val="21"/>
          <w:highlight w:val="none"/>
        </w:rPr>
      </w:pPr>
    </w:p>
    <w:p w14:paraId="7F6007F3">
      <w:pPr>
        <w:tabs>
          <w:tab w:val="left" w:pos="1305"/>
        </w:tabs>
        <w:spacing w:line="440" w:lineRule="exact"/>
        <w:ind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w:t>
      </w:r>
    </w:p>
    <w:p w14:paraId="68FF536A">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 开标时间及地点</w:t>
      </w:r>
    </w:p>
    <w:p w14:paraId="28C7408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20.1开标时间及地点：</w:t>
      </w:r>
    </w:p>
    <w:p w14:paraId="03537719">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开标时间：同投标截止时间；</w:t>
      </w:r>
    </w:p>
    <w:p w14:paraId="60983B0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开标地点：政采云系统网上开标大厅；</w:t>
      </w:r>
    </w:p>
    <w:p w14:paraId="4F476D0F">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20.2投标人少于3家的，不得开标，采购人或者采购代理机构应当重新组织采购。</w:t>
      </w:r>
    </w:p>
    <w:p w14:paraId="15788217">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 开标程序</w:t>
      </w:r>
    </w:p>
    <w:p w14:paraId="24BA70E6">
      <w:pPr>
        <w:autoSpaceDE w:val="0"/>
        <w:autoSpaceDN w:val="0"/>
        <w:adjustRightInd w:val="0"/>
        <w:spacing w:line="440" w:lineRule="exact"/>
        <w:ind w:firstLine="480" w:firstLineChars="200"/>
        <w:rPr>
          <w:rFonts w:ascii="仿宋" w:hAnsi="仿宋" w:eastAsia="仿宋"/>
          <w:color w:val="auto"/>
          <w:kern w:val="0"/>
          <w:sz w:val="24"/>
          <w:highlight w:val="none"/>
        </w:rPr>
      </w:pPr>
      <w:r>
        <w:rPr>
          <w:rFonts w:hint="eastAsia" w:ascii="仿宋" w:hAnsi="仿宋" w:eastAsia="仿宋"/>
          <w:bCs/>
          <w:color w:val="auto"/>
          <w:sz w:val="24"/>
          <w:highlight w:val="none"/>
        </w:rPr>
        <w:t>21.1</w:t>
      </w:r>
      <w:r>
        <w:rPr>
          <w:rFonts w:hint="eastAsia" w:ascii="仿宋" w:hAnsi="仿宋" w:eastAsia="仿宋"/>
          <w:color w:val="auto"/>
          <w:kern w:val="0"/>
          <w:sz w:val="24"/>
          <w:highlight w:val="none"/>
        </w:rPr>
        <w:t>开标形式：</w:t>
      </w:r>
    </w:p>
    <w:p w14:paraId="4961E2CD">
      <w:pPr>
        <w:autoSpaceDE w:val="0"/>
        <w:autoSpaceDN w:val="0"/>
        <w:adjustRightInd w:val="0"/>
        <w:spacing w:line="440" w:lineRule="exact"/>
        <w:ind w:firstLine="480" w:firstLineChars="200"/>
        <w:rPr>
          <w:rFonts w:ascii="仿宋" w:hAnsi="仿宋" w:eastAsia="仿宋"/>
          <w:bCs/>
          <w:color w:val="auto"/>
          <w:sz w:val="24"/>
          <w:highlight w:val="none"/>
        </w:rPr>
      </w:pPr>
      <w:r>
        <w:rPr>
          <w:rFonts w:hint="eastAsia" w:ascii="仿宋" w:hAnsi="仿宋" w:eastAsia="仿宋"/>
          <w:color w:val="auto"/>
          <w:sz w:val="24"/>
          <w:highlight w:val="none"/>
        </w:rPr>
        <w:t>（1）</w:t>
      </w:r>
      <w:r>
        <w:rPr>
          <w:rFonts w:hint="eastAsia" w:ascii="仿宋" w:hAnsi="仿宋" w:eastAsia="仿宋"/>
          <w:bCs/>
          <w:color w:val="auto"/>
          <w:sz w:val="24"/>
          <w:highlight w:val="none"/>
        </w:rPr>
        <w:t>开标的准备工作由采购代理机构负责落实，采购代理机构必须基于“广西政府采购云平台（https://www.gcy.zfcg.gxzf.gov.cn/）”平台选取评审专家，如采购代理机构未按规定选取专家的，视为本次开评标无效，应当重新采购；</w:t>
      </w:r>
    </w:p>
    <w:p w14:paraId="35012C01">
      <w:pPr>
        <w:autoSpaceDE w:val="0"/>
        <w:autoSpaceDN w:val="0"/>
        <w:adjustRightInd w:val="0"/>
        <w:spacing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（2）采购代理机构将按照招标文件规定的时间通过“广西政府采购云平台”平台组织线上开标活动、开启投标文件，所有供应商均应当准时在线参加。投标人</w:t>
      </w:r>
      <w:r>
        <w:rPr>
          <w:rFonts w:ascii="仿宋" w:hAnsi="仿宋" w:eastAsia="仿宋"/>
          <w:bCs/>
          <w:color w:val="auto"/>
          <w:sz w:val="24"/>
          <w:highlight w:val="none"/>
        </w:rPr>
        <w:t>如不</w:t>
      </w:r>
      <w:r>
        <w:rPr>
          <w:rFonts w:hint="eastAsia" w:ascii="仿宋" w:hAnsi="仿宋" w:eastAsia="仿宋"/>
          <w:bCs/>
          <w:color w:val="auto"/>
          <w:sz w:val="24"/>
          <w:highlight w:val="none"/>
        </w:rPr>
        <w:t>参加</w:t>
      </w:r>
      <w:r>
        <w:rPr>
          <w:rFonts w:ascii="仿宋" w:hAnsi="仿宋" w:eastAsia="仿宋"/>
          <w:bCs/>
          <w:color w:val="auto"/>
          <w:sz w:val="24"/>
          <w:highlight w:val="none"/>
        </w:rPr>
        <w:t>开标大会的，</w:t>
      </w:r>
      <w:r>
        <w:rPr>
          <w:rFonts w:hint="eastAsia" w:ascii="仿宋" w:hAnsi="仿宋" w:eastAsia="仿宋"/>
          <w:bCs/>
          <w:color w:val="auto"/>
          <w:sz w:val="24"/>
          <w:highlight w:val="none"/>
        </w:rPr>
        <w:t>视同认可开标结果，</w:t>
      </w:r>
      <w:r>
        <w:rPr>
          <w:rFonts w:ascii="仿宋" w:hAnsi="仿宋" w:eastAsia="仿宋"/>
          <w:bCs/>
          <w:color w:val="auto"/>
          <w:sz w:val="24"/>
          <w:highlight w:val="none"/>
        </w:rPr>
        <w:t>事后不得对采购相关人员、开标过程和开标结果提出异议</w:t>
      </w:r>
      <w:r>
        <w:rPr>
          <w:rFonts w:hint="eastAsia" w:ascii="仿宋" w:hAnsi="仿宋" w:eastAsia="仿宋"/>
          <w:bCs/>
          <w:color w:val="auto"/>
          <w:sz w:val="24"/>
          <w:highlight w:val="none"/>
        </w:rPr>
        <w:t>，同时投标人因未在线参加开标而导致投标文件无法按时解密等一切后果由投标人自己承担。</w:t>
      </w:r>
    </w:p>
    <w:p w14:paraId="3AB2E145">
      <w:pPr>
        <w:autoSpaceDE w:val="0"/>
        <w:autoSpaceDN w:val="0"/>
        <w:adjustRightInd w:val="0"/>
        <w:spacing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21.2</w:t>
      </w:r>
      <w:r>
        <w:rPr>
          <w:rFonts w:ascii="仿宋" w:hAnsi="仿宋" w:eastAsia="仿宋"/>
          <w:bCs/>
          <w:color w:val="auto"/>
          <w:sz w:val="24"/>
          <w:highlight w:val="none"/>
        </w:rPr>
        <w:t>开</w:t>
      </w:r>
      <w:r>
        <w:rPr>
          <w:rFonts w:hint="eastAsia" w:ascii="仿宋" w:hAnsi="仿宋" w:eastAsia="仿宋"/>
          <w:bCs/>
          <w:color w:val="auto"/>
          <w:sz w:val="24"/>
          <w:highlight w:val="none"/>
        </w:rPr>
        <w:t>标</w:t>
      </w:r>
      <w:r>
        <w:rPr>
          <w:rFonts w:ascii="仿宋" w:hAnsi="仿宋" w:eastAsia="仿宋"/>
          <w:bCs/>
          <w:color w:val="auto"/>
          <w:sz w:val="24"/>
          <w:highlight w:val="none"/>
        </w:rPr>
        <w:t>程序：</w:t>
      </w:r>
    </w:p>
    <w:p w14:paraId="3EB2D401">
      <w:pPr>
        <w:snapToGrid w:val="0"/>
        <w:spacing w:line="44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（1）解密电子投标文件。</w:t>
      </w:r>
      <w:r>
        <w:rPr>
          <w:rFonts w:hint="eastAsia" w:ascii="仿宋" w:hAnsi="仿宋" w:eastAsia="仿宋" w:cs="仿宋_GB2312"/>
          <w:b/>
          <w:color w:val="auto"/>
          <w:sz w:val="24"/>
          <w:highlight w:val="none"/>
        </w:rPr>
        <w:t>“</w:t>
      </w:r>
      <w:r>
        <w:rPr>
          <w:rFonts w:hint="eastAsia" w:ascii="仿宋" w:hAnsi="仿宋" w:eastAsia="仿宋"/>
          <w:bCs/>
          <w:color w:val="auto"/>
          <w:sz w:val="24"/>
          <w:highlight w:val="none"/>
        </w:rPr>
        <w:t>广西政府采购云平台</w:t>
      </w:r>
      <w:r>
        <w:rPr>
          <w:rFonts w:hint="eastAsia" w:ascii="仿宋" w:hAnsi="仿宋" w:eastAsia="仿宋" w:cs="仿宋_GB2312"/>
          <w:color w:val="auto"/>
          <w:sz w:val="24"/>
          <w:highlight w:val="none"/>
        </w:rPr>
        <w:t>”平台按开标时间自动提取所有投标文件。采购代理机构依托“</w:t>
      </w:r>
      <w:r>
        <w:rPr>
          <w:rFonts w:hint="eastAsia" w:ascii="仿宋" w:hAnsi="仿宋" w:eastAsia="仿宋"/>
          <w:bCs/>
          <w:color w:val="auto"/>
          <w:sz w:val="24"/>
          <w:highlight w:val="none"/>
        </w:rPr>
        <w:t>广西政府采购云平台</w:t>
      </w:r>
      <w:r>
        <w:rPr>
          <w:rFonts w:hint="eastAsia" w:ascii="仿宋" w:hAnsi="仿宋" w:eastAsia="仿宋" w:cs="仿宋_GB2312"/>
          <w:color w:val="auto"/>
          <w:sz w:val="24"/>
          <w:highlight w:val="none"/>
        </w:rPr>
        <w:t>”平台</w:t>
      </w:r>
      <w:r>
        <w:rPr>
          <w:rFonts w:hint="eastAsia" w:ascii="仿宋" w:hAnsi="仿宋" w:eastAsia="仿宋"/>
          <w:color w:val="auto"/>
          <w:sz w:val="24"/>
          <w:highlight w:val="none"/>
        </w:rPr>
        <w:t>向各投标人发出电子加密投标文件【开始解密】通知，由投标人按招标文件规定的时间内自行进行投标文件解密。投标人的法定代表人或其委托代理人</w:t>
      </w:r>
      <w:r>
        <w:rPr>
          <w:rFonts w:hint="eastAsia" w:ascii="仿宋" w:hAnsi="仿宋" w:eastAsia="仿宋"/>
          <w:b/>
          <w:color w:val="auto"/>
          <w:sz w:val="24"/>
          <w:highlight w:val="none"/>
        </w:rPr>
        <w:t>须携带加密时所用的CA锁准时登录到“</w:t>
      </w:r>
      <w:r>
        <w:rPr>
          <w:rFonts w:hint="eastAsia" w:ascii="仿宋" w:hAnsi="仿宋" w:eastAsia="仿宋"/>
          <w:bCs/>
          <w:color w:val="auto"/>
          <w:sz w:val="24"/>
          <w:highlight w:val="none"/>
        </w:rPr>
        <w:t>广西政府采购云平台</w:t>
      </w:r>
      <w:r>
        <w:rPr>
          <w:rFonts w:hint="eastAsia" w:ascii="仿宋" w:hAnsi="仿宋" w:eastAsia="仿宋"/>
          <w:b/>
          <w:color w:val="auto"/>
          <w:sz w:val="24"/>
          <w:highlight w:val="none"/>
        </w:rPr>
        <w:t>”平台电子开标大厅签到并对电子投标文件解密</w:t>
      </w:r>
      <w:r>
        <w:rPr>
          <w:rFonts w:hint="eastAsia" w:ascii="仿宋" w:hAnsi="仿宋" w:eastAsia="仿宋"/>
          <w:color w:val="auto"/>
          <w:sz w:val="24"/>
          <w:highlight w:val="none"/>
        </w:rPr>
        <w:t>。开标后5分钟投标人还未进行解密的，代理机构要通知投标人。通知后，</w:t>
      </w:r>
      <w:r>
        <w:rPr>
          <w:rFonts w:hint="eastAsia" w:ascii="仿宋" w:hAnsi="仿宋" w:eastAsia="仿宋" w:cs="仿宋_GB2312"/>
          <w:color w:val="auto"/>
          <w:sz w:val="24"/>
          <w:highlight w:val="none"/>
        </w:rPr>
        <w:t>投标文件仍未按时解密，</w:t>
      </w:r>
      <w:r>
        <w:rPr>
          <w:rFonts w:hint="eastAsia" w:ascii="仿宋" w:hAnsi="仿宋" w:eastAsia="仿宋"/>
          <w:color w:val="auto"/>
          <w:sz w:val="24"/>
          <w:highlight w:val="none"/>
        </w:rPr>
        <w:t>或者投标人没预留联系方式或预留联系方式无效，导致代理机构无法联系到投标人进行解密的，</w:t>
      </w:r>
      <w:r>
        <w:rPr>
          <w:rFonts w:hint="eastAsia" w:ascii="仿宋" w:hAnsi="仿宋" w:eastAsia="仿宋"/>
          <w:b/>
          <w:color w:val="auto"/>
          <w:sz w:val="24"/>
          <w:highlight w:val="none"/>
        </w:rPr>
        <w:t>均视为无效投标。</w:t>
      </w:r>
    </w:p>
    <w:p w14:paraId="6CE6DDD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b/>
          <w:color w:val="auto"/>
          <w:sz w:val="24"/>
          <w:highlight w:val="none"/>
        </w:rPr>
        <w:t>电子唱标。</w:t>
      </w:r>
      <w:r>
        <w:rPr>
          <w:rFonts w:hint="eastAsia" w:ascii="仿宋" w:hAnsi="仿宋" w:eastAsia="仿宋"/>
          <w:color w:val="auto"/>
          <w:sz w:val="24"/>
          <w:highlight w:val="none"/>
        </w:rPr>
        <w:t>投标文件解密结束，各投标供应商报价均在“</w:t>
      </w:r>
      <w:r>
        <w:rPr>
          <w:rFonts w:hint="eastAsia" w:ascii="仿宋" w:hAnsi="仿宋" w:eastAsia="仿宋"/>
          <w:bCs/>
          <w:color w:val="auto"/>
          <w:sz w:val="24"/>
          <w:highlight w:val="none"/>
        </w:rPr>
        <w:t>广西政府采购云平台</w:t>
      </w:r>
      <w:r>
        <w:rPr>
          <w:rFonts w:hint="eastAsia" w:ascii="仿宋" w:hAnsi="仿宋" w:eastAsia="仿宋"/>
          <w:color w:val="auto"/>
          <w:sz w:val="24"/>
          <w:highlight w:val="none"/>
        </w:rPr>
        <w:t>”平台远程不见面开标大厅展示；</w:t>
      </w:r>
    </w:p>
    <w:p w14:paraId="0BE2A739">
      <w:pPr>
        <w:spacing w:line="360" w:lineRule="auto"/>
        <w:ind w:firstLine="480" w:firstLineChars="200"/>
        <w:rPr>
          <w:rFonts w:ascii="仿宋" w:hAnsi="仿宋" w:eastAsia="仿宋"/>
          <w:bCs/>
          <w:color w:val="auto"/>
          <w:sz w:val="24"/>
          <w:highlight w:val="none"/>
        </w:rPr>
      </w:pPr>
      <w:r>
        <w:rPr>
          <w:rFonts w:hint="eastAsia" w:ascii="仿宋" w:hAnsi="仿宋" w:eastAsia="仿宋"/>
          <w:color w:val="auto"/>
          <w:sz w:val="24"/>
          <w:highlight w:val="none"/>
        </w:rPr>
        <w:t>（3）</w:t>
      </w:r>
      <w:r>
        <w:rPr>
          <w:rFonts w:hint="eastAsia" w:ascii="仿宋" w:hAnsi="仿宋" w:eastAsia="仿宋"/>
          <w:bCs/>
          <w:color w:val="auto"/>
          <w:sz w:val="24"/>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0517CF6C">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06B4B7A">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（5）开标结束。</w:t>
      </w:r>
    </w:p>
    <w:p w14:paraId="029D1BD7">
      <w:pPr>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如遇“政采云”平台电子化开标或评审程序调整的，按调整后执行。</w:t>
      </w:r>
    </w:p>
    <w:p w14:paraId="425A0DB1">
      <w:pPr>
        <w:tabs>
          <w:tab w:val="left" w:pos="1305"/>
        </w:tabs>
        <w:spacing w:line="440" w:lineRule="exact"/>
        <w:ind w:firstLine="420" w:firstLineChars="200"/>
        <w:rPr>
          <w:rFonts w:ascii="仿宋" w:hAnsi="仿宋" w:eastAsia="仿宋" w:cs="仿宋"/>
          <w:color w:val="auto"/>
          <w:szCs w:val="21"/>
          <w:highlight w:val="none"/>
        </w:rPr>
      </w:pPr>
    </w:p>
    <w:p w14:paraId="02E3C322">
      <w:pPr>
        <w:tabs>
          <w:tab w:val="left" w:pos="1305"/>
        </w:tabs>
        <w:spacing w:line="440" w:lineRule="exact"/>
        <w:ind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五、资格性审查</w:t>
      </w:r>
    </w:p>
    <w:p w14:paraId="2D5534F4">
      <w:pPr>
        <w:tabs>
          <w:tab w:val="left" w:pos="1305"/>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22.资格性审查</w:t>
      </w:r>
    </w:p>
    <w:p w14:paraId="38032110">
      <w:pPr>
        <w:tabs>
          <w:tab w:val="left" w:pos="130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22.1公开招标采购项目开标结束后，采购人或者采购代理机构应当依法对投标人的资格进行审查。</w:t>
      </w:r>
    </w:p>
    <w:p w14:paraId="7A6A91A3">
      <w:pPr>
        <w:tabs>
          <w:tab w:val="left" w:pos="1305"/>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合格投标人不足3家的，不得评标。</w:t>
      </w:r>
    </w:p>
    <w:p w14:paraId="0BC35EAB">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22.2采购人或者采购代理机构</w:t>
      </w:r>
      <w:r>
        <w:rPr>
          <w:rFonts w:hint="eastAsia" w:ascii="仿宋" w:hAnsi="仿宋" w:eastAsia="仿宋" w:cs="仿宋"/>
          <w:b/>
          <w:color w:val="auto"/>
          <w:sz w:val="24"/>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15364D2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查询渠道：《国家企业信用信息公示系统》（网址：</w:t>
      </w:r>
      <w:r>
        <w:rPr>
          <w:b/>
          <w:bCs/>
          <w:color w:val="auto"/>
          <w:highlight w:val="none"/>
        </w:rPr>
        <w:fldChar w:fldCharType="begin"/>
      </w:r>
      <w:r>
        <w:rPr>
          <w:b/>
          <w:bCs/>
          <w:color w:val="auto"/>
          <w:highlight w:val="none"/>
        </w:rPr>
        <w:instrText xml:space="preserve"> HYPERLINK "http://www.gsxt.gov.cn/index.html" </w:instrText>
      </w:r>
      <w:r>
        <w:rPr>
          <w:b/>
          <w:bCs/>
          <w:color w:val="auto"/>
          <w:highlight w:val="none"/>
        </w:rPr>
        <w:fldChar w:fldCharType="separate"/>
      </w:r>
      <w:r>
        <w:rPr>
          <w:rFonts w:hint="eastAsia" w:ascii="仿宋" w:hAnsi="仿宋" w:eastAsia="仿宋" w:cs="仿宋"/>
          <w:b/>
          <w:bCs/>
          <w:color w:val="auto"/>
          <w:sz w:val="24"/>
          <w:highlight w:val="none"/>
        </w:rPr>
        <w:t>http://www.gsxt.gov.cn/index.html</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w:t>
      </w:r>
    </w:p>
    <w:p w14:paraId="5F96C28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审查流程：</w:t>
      </w:r>
    </w:p>
    <w:p w14:paraId="51AA08B2">
      <w:pPr>
        <w:numPr>
          <w:ilvl w:val="0"/>
          <w:numId w:val="4"/>
        </w:num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进入《国家企业信用信息公示系统》（网址：</w:t>
      </w:r>
      <w:r>
        <w:rPr>
          <w:b/>
          <w:bCs/>
          <w:color w:val="auto"/>
          <w:highlight w:val="none"/>
        </w:rPr>
        <w:fldChar w:fldCharType="begin"/>
      </w:r>
      <w:r>
        <w:rPr>
          <w:b/>
          <w:bCs/>
          <w:color w:val="auto"/>
          <w:highlight w:val="none"/>
        </w:rPr>
        <w:instrText xml:space="preserve"> HYPERLINK "http://www.gsxt.gov.cn/index.html），" </w:instrText>
      </w:r>
      <w:r>
        <w:rPr>
          <w:b/>
          <w:bCs/>
          <w:color w:val="auto"/>
          <w:highlight w:val="none"/>
        </w:rPr>
        <w:fldChar w:fldCharType="separate"/>
      </w:r>
      <w:r>
        <w:rPr>
          <w:rStyle w:val="30"/>
          <w:rFonts w:hint="eastAsia" w:ascii="仿宋" w:hAnsi="仿宋" w:eastAsia="仿宋" w:cs="仿宋"/>
          <w:b/>
          <w:bCs/>
          <w:color w:val="auto"/>
          <w:sz w:val="24"/>
          <w:highlight w:val="none"/>
        </w:rPr>
        <w:t>http://www.gsxt.gov.cn/index.html），</w:t>
      </w:r>
      <w:r>
        <w:rPr>
          <w:rStyle w:val="30"/>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输入企业名称，进入企业信息主页面；</w:t>
      </w:r>
    </w:p>
    <w:p w14:paraId="4D0016FA">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（2）查看主页“股东及出资信息”栏，或年报中的“股东及出资信息”栏信息；</w:t>
      </w:r>
    </w:p>
    <w:p w14:paraId="51DB2B04">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（3）将各投标人的股东及出资信息进行比对，得出审查结论；</w:t>
      </w:r>
    </w:p>
    <w:p w14:paraId="396533EF">
      <w:pPr>
        <w:snapToGrid w:val="0"/>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（4）将相关资料作为评审资料打印存档。</w:t>
      </w:r>
    </w:p>
    <w:p w14:paraId="1808D1A4">
      <w:pPr>
        <w:tabs>
          <w:tab w:val="left" w:pos="1305"/>
        </w:tabs>
        <w:spacing w:line="440" w:lineRule="exact"/>
        <w:ind w:firstLine="482" w:firstLineChars="200"/>
        <w:rPr>
          <w:rFonts w:ascii="仿宋" w:hAnsi="仿宋" w:eastAsia="仿宋" w:cs="仿宋"/>
          <w:b/>
          <w:bCs/>
          <w:color w:val="auto"/>
          <w:sz w:val="24"/>
          <w:highlight w:val="none"/>
        </w:rPr>
      </w:pPr>
    </w:p>
    <w:p w14:paraId="77989AEA">
      <w:pPr>
        <w:tabs>
          <w:tab w:val="center" w:pos="4411"/>
          <w:tab w:val="left" w:pos="5475"/>
        </w:tabs>
        <w:spacing w:line="440" w:lineRule="exact"/>
        <w:jc w:val="center"/>
        <w:rPr>
          <w:rFonts w:ascii="仿宋" w:hAnsi="仿宋" w:eastAsia="仿宋" w:cs="仿宋"/>
          <w:b/>
          <w:color w:val="auto"/>
          <w:sz w:val="28"/>
          <w:szCs w:val="28"/>
          <w:highlight w:val="none"/>
        </w:rPr>
      </w:pPr>
    </w:p>
    <w:p w14:paraId="7054FE6E">
      <w:pPr>
        <w:tabs>
          <w:tab w:val="center" w:pos="4411"/>
          <w:tab w:val="left" w:pos="5475"/>
        </w:tabs>
        <w:spacing w:line="44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六、评标</w:t>
      </w:r>
    </w:p>
    <w:p w14:paraId="132E5F77">
      <w:pPr>
        <w:tabs>
          <w:tab w:val="center" w:pos="4411"/>
          <w:tab w:val="left" w:pos="5475"/>
        </w:tabs>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23.评标委员会组成</w:t>
      </w:r>
    </w:p>
    <w:p w14:paraId="62AC75B2">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评标委员会由采购人代表和评审专家组成，人数为7人，其中评审专家不得少于成员总数的三分之二。</w:t>
      </w:r>
    </w:p>
    <w:p w14:paraId="262941A5">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参加过采购项目前期咨询论证的专家，不得参加该采购项目的评审活动。</w:t>
      </w:r>
    </w:p>
    <w:p w14:paraId="48F7D972">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24.评标办法</w:t>
      </w:r>
    </w:p>
    <w:p w14:paraId="047AA0E0">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评标办法：综合评分法，具体评标内容及标准详见第四章。</w:t>
      </w:r>
    </w:p>
    <w:p w14:paraId="70D368F3">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 评标委员会应按招标文件进行评标，不得擅自更改评标办法。</w:t>
      </w:r>
    </w:p>
    <w:p w14:paraId="165314CD">
      <w:pPr>
        <w:pStyle w:val="12"/>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25.评标</w:t>
      </w:r>
      <w:r>
        <w:rPr>
          <w:rFonts w:hint="eastAsia" w:ascii="仿宋" w:hAnsi="仿宋" w:eastAsia="仿宋" w:cs="仿宋"/>
          <w:color w:val="auto"/>
          <w:sz w:val="24"/>
          <w:szCs w:val="24"/>
          <w:highlight w:val="none"/>
        </w:rPr>
        <w:t>　　　　　　　　　　　　　　　　　　　　　　　　　　　　　　　　　　　　　　　　　　　　　　　　　　　　　　　　　</w:t>
      </w:r>
    </w:p>
    <w:p w14:paraId="58D9BB8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组织评标委员会推选评标组长；评标委员会推选的评标组长负责评标组织工作；公布投标人名单，告知评标专家应当回避的情形，在评标期间采取必要的通讯管理措施，保证评标活动不受外界干扰；介绍政府采购相关政策法规、招标文件。采购代理机构应维护评标秩序，监督评标委员会依照招标文件规定的评标程序、方法和标准进行独立评审，及时制止和纠正评标专家的倾向性言论或者违法违规行为，并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202C48F8">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2F220A2B">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25.3在评标过程中，评标委员会任何人不得对某个投标人发表任何倾向性意见，不得向其他专家评委明示或者暗示自己的评审意见。</w:t>
      </w:r>
    </w:p>
    <w:p w14:paraId="7162061D">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25.4对未通过资格性审查的投标人，采购人或采购代理机构应现场告知投标人未通过原因。</w:t>
      </w:r>
    </w:p>
    <w:p w14:paraId="1A6BC300">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25.5评标委员会应当对符合资格的投标人的投标文件进行符合性审查，以确定其是否满足招标文件的实质性要求。</w:t>
      </w:r>
    </w:p>
    <w:p w14:paraId="3177252A">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25.6对于投标文件中含义不明确、同类问题表述不一致或者有明显文字和计算错误的内容，评标委员会应当以书面形式要求投标人作出必要的澄清、说明或者补正。</w:t>
      </w:r>
    </w:p>
    <w:p w14:paraId="199E099D">
      <w:pPr>
        <w:tabs>
          <w:tab w:val="left" w:pos="114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21B057C2">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25.7评标委员会应当按照招标文件中规定的评标方法和标准，对符合性审查合格的投标文件进行商务和技术评估，综合比较与评价。</w:t>
      </w:r>
    </w:p>
    <w:p w14:paraId="1A7734A1">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25.8投标文件报价出现前后不一致的，除招标文件另有规定外，按照下列规定修正：</w:t>
      </w:r>
    </w:p>
    <w:p w14:paraId="5D3F063E">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　　（1）投标文件中投标报价表内容与投标文件中相应内容不一致的，以投标报价表为准；</w:t>
      </w:r>
    </w:p>
    <w:p w14:paraId="55D34139">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　　（2）大写金额和小写金额不一致的，以大写金额为准；</w:t>
      </w:r>
    </w:p>
    <w:p w14:paraId="47925A20">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　　（3）单价金额小数点或者百分比有明显错位的，以报价表的总价为准，并修改单价；</w:t>
      </w:r>
    </w:p>
    <w:p w14:paraId="3FEFF876">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　　（4）总价金额与按单价汇总金额不一致的，以单价金额计算结果为准。</w:t>
      </w:r>
    </w:p>
    <w:p w14:paraId="09A82D3E">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0A25DCA9">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25.9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E99246">
      <w:pP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25.10评标委员会成员对需要共同认定的事项存在争议的，应当按照少数服从多数的原则作出结论。持不同意见的评标委员会成员应当在评标报告上签署不同意见及理由，否则视为同意评标报告。</w:t>
      </w:r>
    </w:p>
    <w:p w14:paraId="55E71412">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25.11评标结果汇总完成后，除下列情形外，任何人不得修改评标结果：</w:t>
      </w:r>
    </w:p>
    <w:p w14:paraId="44FC64D7">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（一）分值汇总计算错误的；</w:t>
      </w:r>
    </w:p>
    <w:p w14:paraId="3656FE93">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（二）分项评分超出评分标准范围的；</w:t>
      </w:r>
    </w:p>
    <w:p w14:paraId="33FA1207">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（三）评标委员会成员对客观评审因素评分不一致的；</w:t>
      </w:r>
    </w:p>
    <w:p w14:paraId="4E06DC16">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（四）经评标委员会认定评分畸高、畸低的。</w:t>
      </w:r>
    </w:p>
    <w:p w14:paraId="755DAC33">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4EF3E30">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投标人对本条第一款情形提出质疑的，采购人或者采购代理机构可以组织原评标委员会进行重新评审，重新评审改变评标结果的，应当书面报告本级财政部门。</w:t>
      </w:r>
    </w:p>
    <w:p w14:paraId="5DC6C5E6">
      <w:pPr>
        <w:pStyle w:val="12"/>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25.12采购代理机构发现评标委员会有明显的违规倾向或歧视现象，或不按评标办法进行，或其他不正常行为的，应当及时制止。如制止无效，应及时向龙州县财政局政府采购监督股报告。</w:t>
      </w:r>
    </w:p>
    <w:p w14:paraId="31125863">
      <w:pPr>
        <w:pStyle w:val="12"/>
        <w:spacing w:line="440" w:lineRule="exact"/>
        <w:ind w:firstLine="42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25.13 本项目各分标评标顺序为A分标→B分标，投标人只能获得一个分标的中标资格。若某投标人被评标委员会推荐为A分标的第一中标候选人，则不得再被推荐为B分标的第一中标候选人。</w:t>
      </w:r>
    </w:p>
    <w:p w14:paraId="31A87D7B">
      <w:pPr>
        <w:pStyle w:val="12"/>
        <w:tabs>
          <w:tab w:val="left" w:pos="4214"/>
        </w:tabs>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26.推荐及确定中标候选人的原则</w:t>
      </w:r>
    </w:p>
    <w:p w14:paraId="56E38F98">
      <w:pPr>
        <w:pStyle w:val="12"/>
        <w:tabs>
          <w:tab w:val="left" w:pos="4214"/>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根据综合得分由高到低排列次序按分标推荐中标候选人，若综合得分相同时，按评标价由低到高顺序排列；综合得分相同且评标价也相同的，由评标委员会依次按项目实施方案、企业履约能力及实力、业绩的顺序比较评审得分，评审得分最高的投标人推荐为中标候选人。</w:t>
      </w:r>
    </w:p>
    <w:p w14:paraId="6BE5D478">
      <w:pPr>
        <w:pStyle w:val="12"/>
        <w:tabs>
          <w:tab w:val="left" w:pos="4214"/>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（2）评标委员会按本章第25.13款的规定推荐各分标前三名为中标候选人，采购人应当确定评标委员会推荐排名第一的中标候选人为中标人。</w:t>
      </w:r>
    </w:p>
    <w:p w14:paraId="01F81613">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放弃中标、因不可抗力提出不能履行合同，或者招标文件规定应当提交履约保证金而在规定的期限内未能提交的，或因失信行为被取消中标候选人资格的，采购人可以按各投标人排名顺序依次确定中标人。</w:t>
      </w:r>
    </w:p>
    <w:p w14:paraId="1CEC352F">
      <w:pPr>
        <w:snapToGrid w:val="0"/>
        <w:spacing w:line="440" w:lineRule="exact"/>
        <w:ind w:firstLine="482" w:firstLineChars="200"/>
        <w:outlineLvl w:val="4"/>
        <w:rPr>
          <w:rFonts w:ascii="仿宋" w:hAnsi="仿宋" w:eastAsia="仿宋" w:cs="仿宋"/>
          <w:b/>
          <w:color w:val="auto"/>
          <w:sz w:val="24"/>
          <w:highlight w:val="none"/>
        </w:rPr>
      </w:pPr>
      <w:r>
        <w:rPr>
          <w:rFonts w:hint="eastAsia" w:ascii="仿宋" w:hAnsi="仿宋" w:eastAsia="仿宋" w:cs="仿宋"/>
          <w:b/>
          <w:bCs/>
          <w:color w:val="auto"/>
          <w:sz w:val="24"/>
          <w:highlight w:val="none"/>
        </w:rPr>
        <w:t>27</w:t>
      </w:r>
      <w:r>
        <w:rPr>
          <w:rFonts w:hint="eastAsia" w:ascii="仿宋" w:hAnsi="仿宋" w:eastAsia="仿宋" w:cs="仿宋"/>
          <w:b/>
          <w:color w:val="auto"/>
          <w:sz w:val="24"/>
          <w:highlight w:val="none"/>
        </w:rPr>
        <w:t>.属于下列情况之一者，投标无效：</w:t>
      </w:r>
    </w:p>
    <w:p w14:paraId="5DA173EC">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（1）未按照招标文件规定完整提交投标文件或未按招标文件要求签字或盖章；</w:t>
      </w:r>
    </w:p>
    <w:p w14:paraId="3D6E8CB4">
      <w:pPr>
        <w:snapToGrid w:val="0"/>
        <w:spacing w:line="440" w:lineRule="exact"/>
        <w:ind w:firstLine="480" w:firstLineChars="200"/>
        <w:outlineLvl w:val="4"/>
        <w:rPr>
          <w:rFonts w:ascii="仿宋" w:hAnsi="仿宋" w:eastAsia="仿宋" w:cs="仿宋"/>
          <w:color w:val="auto"/>
          <w:sz w:val="24"/>
          <w:highlight w:val="none"/>
        </w:rPr>
      </w:pPr>
      <w:r>
        <w:rPr>
          <w:rFonts w:hint="eastAsia" w:ascii="仿宋" w:hAnsi="仿宋" w:eastAsia="仿宋" w:cs="仿宋"/>
          <w:color w:val="auto"/>
          <w:sz w:val="24"/>
          <w:highlight w:val="none"/>
        </w:rPr>
        <w:t>（2）投标报价超过招标文件中规定的采购预算金额；</w:t>
      </w:r>
    </w:p>
    <w:p w14:paraId="01DB6FEC">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（3）不具备招标文件中规定的资格要求；</w:t>
      </w:r>
    </w:p>
    <w:p w14:paraId="212E7310">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（4）投标文件含有采购人不能接受的附加条件；</w:t>
      </w:r>
    </w:p>
    <w:p w14:paraId="1449DD45">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（5）未按招标文件的内容和要求编制投标文件，或投标文件提供虚假或无效材料；</w:t>
      </w:r>
    </w:p>
    <w:p w14:paraId="7BCAC825">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（6）投标人未就“服务采购需求”中各分标采购内容按分标分别作完整唯一报价；</w:t>
      </w:r>
    </w:p>
    <w:p w14:paraId="668096AC">
      <w:pPr>
        <w:snapToGrid w:val="0"/>
        <w:spacing w:line="440" w:lineRule="exact"/>
        <w:ind w:firstLine="470" w:firstLineChars="196"/>
        <w:outlineLvl w:val="4"/>
        <w:rPr>
          <w:rFonts w:ascii="仿宋" w:hAnsi="仿宋" w:eastAsia="仿宋" w:cs="仿宋"/>
          <w:color w:val="auto"/>
          <w:sz w:val="24"/>
          <w:highlight w:val="none"/>
        </w:rPr>
      </w:pPr>
      <w:r>
        <w:rPr>
          <w:rFonts w:hint="eastAsia" w:ascii="仿宋" w:hAnsi="仿宋" w:eastAsia="仿宋" w:cs="仿宋"/>
          <w:color w:val="auto"/>
          <w:sz w:val="24"/>
          <w:highlight w:val="none"/>
        </w:rPr>
        <w:t>（7）未完全响应招标文件中标注★号项要求或经评标委员会认定的其他实质性要求；</w:t>
      </w:r>
    </w:p>
    <w:p w14:paraId="3C42B2B5">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（8）法律、法规和招标文件规定的其他无效投标情形。</w:t>
      </w:r>
    </w:p>
    <w:p w14:paraId="597A2D2E">
      <w:pPr>
        <w:pStyle w:val="12"/>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28.投标人有下列情形之一的，视为串通投标，投标文件将被视为无效：</w:t>
      </w:r>
    </w:p>
    <w:p w14:paraId="7FE1E9B3">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（1）不同投标人的投标文件由同一单位或者个人编制；或不同投标人报名的IP地址一致的；</w:t>
      </w:r>
    </w:p>
    <w:p w14:paraId="51920DD4">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14:paraId="0ABB070A">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（3）不同的投标人的投标文件载明的项目管理员为同一个人；</w:t>
      </w:r>
    </w:p>
    <w:p w14:paraId="305B14F2">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（4）不同投标人的投标文件异常一致或投标报价呈规律性差异； </w:t>
      </w:r>
    </w:p>
    <w:p w14:paraId="4F6C3242">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14:paraId="139CF50C">
      <w:pPr>
        <w:snapToGrid w:val="0"/>
        <w:spacing w:line="440" w:lineRule="exact"/>
        <w:ind w:firstLine="472" w:firstLineChars="196"/>
        <w:outlineLvl w:val="4"/>
        <w:rPr>
          <w:rFonts w:ascii="仿宋" w:hAnsi="仿宋" w:eastAsia="仿宋" w:cs="仿宋"/>
          <w:b/>
          <w:color w:val="auto"/>
          <w:sz w:val="24"/>
          <w:highlight w:val="none"/>
        </w:rPr>
      </w:pPr>
      <w:r>
        <w:rPr>
          <w:rFonts w:hint="eastAsia" w:ascii="仿宋" w:hAnsi="仿宋" w:eastAsia="仿宋" w:cs="仿宋"/>
          <w:b/>
          <w:color w:val="auto"/>
          <w:sz w:val="24"/>
          <w:highlight w:val="none"/>
        </w:rPr>
        <w:t>29.属于下列情形之一的，应予废标：</w:t>
      </w:r>
    </w:p>
    <w:p w14:paraId="4766D33E">
      <w:pPr>
        <w:tabs>
          <w:tab w:val="left" w:pos="840"/>
        </w:tabs>
        <w:snapToGrid w:val="0"/>
        <w:spacing w:line="440" w:lineRule="exact"/>
        <w:ind w:left="330" w:leftChars="157" w:firstLine="117" w:firstLineChars="49"/>
        <w:outlineLvl w:val="4"/>
        <w:rPr>
          <w:rFonts w:ascii="仿宋" w:hAnsi="仿宋" w:eastAsia="仿宋" w:cs="仿宋"/>
          <w:color w:val="auto"/>
          <w:sz w:val="24"/>
          <w:highlight w:val="none"/>
        </w:rPr>
      </w:pPr>
      <w:r>
        <w:rPr>
          <w:rFonts w:hint="eastAsia" w:ascii="仿宋" w:hAnsi="仿宋" w:eastAsia="仿宋" w:cs="仿宋"/>
          <w:color w:val="auto"/>
          <w:sz w:val="24"/>
          <w:highlight w:val="none"/>
        </w:rPr>
        <w:t>（1）符合专业条件的供应商或者对招标文件作实质响应的供应商不足3家的；</w:t>
      </w:r>
    </w:p>
    <w:p w14:paraId="175A48F7">
      <w:pPr>
        <w:tabs>
          <w:tab w:val="left" w:pos="840"/>
        </w:tabs>
        <w:snapToGrid w:val="0"/>
        <w:spacing w:line="440" w:lineRule="exact"/>
        <w:ind w:left="330" w:leftChars="157" w:firstLine="120" w:firstLineChars="50"/>
        <w:outlineLvl w:val="4"/>
        <w:rPr>
          <w:rFonts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7A9D5637">
      <w:pPr>
        <w:tabs>
          <w:tab w:val="left" w:pos="840"/>
        </w:tabs>
        <w:snapToGrid w:val="0"/>
        <w:spacing w:line="440" w:lineRule="exact"/>
        <w:ind w:left="330" w:leftChars="157" w:firstLine="120" w:firstLineChars="50"/>
        <w:outlineLvl w:val="4"/>
        <w:rPr>
          <w:rFonts w:ascii="仿宋" w:hAnsi="仿宋" w:eastAsia="仿宋" w:cs="仿宋"/>
          <w:color w:val="auto"/>
          <w:sz w:val="24"/>
          <w:highlight w:val="none"/>
        </w:rPr>
      </w:pPr>
      <w:r>
        <w:rPr>
          <w:rFonts w:hint="eastAsia" w:ascii="仿宋" w:hAnsi="仿宋" w:eastAsia="仿宋" w:cs="仿宋"/>
          <w:color w:val="auto"/>
          <w:sz w:val="24"/>
          <w:highlight w:val="none"/>
        </w:rPr>
        <w:t>（3）采购文件内容违反国家有关强制性规定的；</w:t>
      </w:r>
    </w:p>
    <w:p w14:paraId="286699FF">
      <w:pPr>
        <w:tabs>
          <w:tab w:val="left" w:pos="840"/>
        </w:tabs>
        <w:snapToGrid w:val="0"/>
        <w:spacing w:line="440" w:lineRule="exact"/>
        <w:ind w:left="330" w:leftChars="157" w:firstLine="120" w:firstLineChars="50"/>
        <w:outlineLvl w:val="4"/>
        <w:rPr>
          <w:rFonts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14:paraId="3398A65F">
      <w:pPr>
        <w:pStyle w:val="12"/>
        <w:spacing w:line="44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30.开标、评标过程的监控</w:t>
      </w:r>
    </w:p>
    <w:p w14:paraId="70908C49">
      <w:pPr>
        <w:pStyle w:val="12"/>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本项目评标过程实行全程录音、录像监控，投标人在评标过程中所进行的试图影响评标结果的不公正活动，可能导致其投标被拒绝。</w:t>
      </w:r>
    </w:p>
    <w:p w14:paraId="7D2A934D">
      <w:pPr>
        <w:pStyle w:val="12"/>
        <w:spacing w:line="44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31.信用查询</w:t>
      </w:r>
    </w:p>
    <w:p w14:paraId="52FCC2F0">
      <w:pPr>
        <w:autoSpaceDE w:val="0"/>
        <w:autoSpaceDN w:val="0"/>
        <w:snapToGrid w:val="0"/>
        <w:spacing w:line="440" w:lineRule="exact"/>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根据《关于做好政府采购有关信用主体标识码登记及在政府采购活动中查询使用信用记录有关问题的通知》桂财采〔2016〕37号的通知，由采购代理机构对第一中标候选人进行信用查询：</w:t>
      </w:r>
    </w:p>
    <w:p w14:paraId="0E070815">
      <w:pPr>
        <w:autoSpaceDE w:val="0"/>
        <w:autoSpaceDN w:val="0"/>
        <w:snapToGrid w:val="0"/>
        <w:spacing w:line="440" w:lineRule="exact"/>
        <w:ind w:firstLine="360" w:firstLineChars="15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（1）查询渠道：“信用中国”网站、中国政府采购网等；</w:t>
      </w:r>
    </w:p>
    <w:p w14:paraId="0FCAAE73">
      <w:pPr>
        <w:autoSpaceDE w:val="0"/>
        <w:autoSpaceDN w:val="0"/>
        <w:snapToGrid w:val="0"/>
        <w:spacing w:line="440" w:lineRule="exact"/>
        <w:ind w:firstLine="360" w:firstLineChars="15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（2）询截止时点：中标通知书发出前；</w:t>
      </w:r>
    </w:p>
    <w:p w14:paraId="631E67B0">
      <w:pPr>
        <w:autoSpaceDE w:val="0"/>
        <w:autoSpaceDN w:val="0"/>
        <w:snapToGrid w:val="0"/>
        <w:spacing w:line="440" w:lineRule="exact"/>
        <w:ind w:firstLine="360" w:firstLineChars="15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（3）信用信息查询记录和证据留存方式：在查询网站中直接打印查询记录，打印材料作为采购活动资料保存。</w:t>
      </w:r>
    </w:p>
    <w:p w14:paraId="61D53454">
      <w:pPr>
        <w:pStyle w:val="37"/>
        <w:spacing w:line="44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14:paraId="2E08AB79">
      <w:pPr>
        <w:pStyle w:val="12"/>
        <w:spacing w:line="44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32.中标公告及中标通知书</w:t>
      </w:r>
    </w:p>
    <w:p w14:paraId="6B7857D4">
      <w:pPr>
        <w:pStyle w:val="12"/>
        <w:tabs>
          <w:tab w:val="left" w:pos="455"/>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14:paraId="1C31D3E0">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32.2中标公告同时采购代理机构向中标人发出中标通知书，中标人应自接到通知之日起七个工作日内，办理中标通知书领取手续。</w:t>
      </w:r>
    </w:p>
    <w:p w14:paraId="78F9CB9A">
      <w:pPr>
        <w:tabs>
          <w:tab w:val="left" w:pos="1140"/>
        </w:tabs>
        <w:spacing w:line="440" w:lineRule="exact"/>
        <w:rPr>
          <w:rFonts w:ascii="仿宋" w:hAnsi="仿宋" w:eastAsia="仿宋" w:cs="仿宋"/>
          <w:b/>
          <w:color w:val="auto"/>
          <w:sz w:val="24"/>
          <w:highlight w:val="none"/>
        </w:rPr>
      </w:pPr>
    </w:p>
    <w:p w14:paraId="53F96F98">
      <w:pPr>
        <w:tabs>
          <w:tab w:val="left" w:pos="1140"/>
        </w:tabs>
        <w:spacing w:line="440" w:lineRule="exact"/>
        <w:ind w:left="420" w:left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七、履约保证金及签订合同</w:t>
      </w:r>
    </w:p>
    <w:p w14:paraId="7B84DF5C">
      <w:pPr>
        <w:tabs>
          <w:tab w:val="left" w:pos="1305"/>
        </w:tabs>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33. 履约保证金</w:t>
      </w:r>
    </w:p>
    <w:p w14:paraId="75FA6CEC">
      <w:pPr>
        <w:pStyle w:val="12"/>
        <w:tabs>
          <w:tab w:val="left" w:pos="3495"/>
        </w:tabs>
        <w:spacing w:line="380" w:lineRule="exact"/>
        <w:ind w:right="-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p w14:paraId="0EE3071B">
      <w:pPr>
        <w:tabs>
          <w:tab w:val="left" w:pos="1140"/>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34. 签订合同</w:t>
      </w:r>
    </w:p>
    <w:p w14:paraId="10BFF7BF">
      <w:pPr>
        <w:pStyle w:val="12"/>
        <w:spacing w:line="440" w:lineRule="exact"/>
        <w:ind w:left="2" w:leftChars="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34.1 签订合同时间：中标通知书发出之日起十五日内。中标人领取中标通知书后，应按规定与采购人签订合同。</w:t>
      </w:r>
    </w:p>
    <w:p w14:paraId="252C4052">
      <w:pPr>
        <w:pStyle w:val="12"/>
        <w:spacing w:line="440" w:lineRule="exact"/>
        <w:ind w:left="2" w:leftChars="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34.2 如中标人有下列情形之一的，中标人所投相应标的投标保证金不予退还，并上缴同级财政国库，情节严重的，由财政部门将其列入不良行为记录名单，在一至三年内禁止参加政府采购活动，并予以通报。招标采购单位可从评标委员会推荐的中标候选人中按顺序重新确定中标人或重新组织招标。</w:t>
      </w:r>
    </w:p>
    <w:p w14:paraId="7BF13008">
      <w:pPr>
        <w:pStyle w:val="12"/>
        <w:spacing w:line="44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（1）中标后不与采购人签订合同的（不可抗力除外）；</w:t>
      </w:r>
    </w:p>
    <w:p w14:paraId="21DD74D3">
      <w:pPr>
        <w:pStyle w:val="12"/>
        <w:spacing w:line="440" w:lineRule="exact"/>
        <w:ind w:left="2" w:leftChars="1"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（2）将中标项目转让给他人，或者在投标文件中未说明，且未经采购人同意，将中标项目分包给他人的；</w:t>
      </w:r>
    </w:p>
    <w:p w14:paraId="7303CC8E">
      <w:pPr>
        <w:pStyle w:val="12"/>
        <w:spacing w:line="44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3631FB7C">
      <w:pPr>
        <w:pStyle w:val="12"/>
        <w:spacing w:line="440" w:lineRule="exact"/>
        <w:ind w:left="2" w:leftChars="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34.3 合同备案存档：政府采购合同双方自签订之日起2个工作日内中标人或者业主将合同原件扫描一份交采购代理机构。采购代理机构将政府采购合同在省级以上人民政府财政部门指定媒体上公告并于合同签订之日起7个工作日内将一份合同原件送龙州县财政局政府采购监督股备案，一份由采购代理机构存档。</w:t>
      </w:r>
    </w:p>
    <w:p w14:paraId="41199E9C">
      <w:pPr>
        <w:pStyle w:val="12"/>
        <w:spacing w:line="440" w:lineRule="exact"/>
        <w:ind w:left="2" w:leftChars="1" w:firstLine="420" w:firstLineChars="200"/>
        <w:rPr>
          <w:rFonts w:ascii="仿宋" w:hAnsi="仿宋" w:eastAsia="仿宋" w:cs="仿宋"/>
          <w:color w:val="auto"/>
          <w:szCs w:val="21"/>
          <w:highlight w:val="none"/>
        </w:rPr>
      </w:pPr>
    </w:p>
    <w:p w14:paraId="4062BFCD">
      <w:pPr>
        <w:pStyle w:val="12"/>
        <w:spacing w:line="440" w:lineRule="exact"/>
        <w:ind w:left="3"/>
        <w:jc w:val="center"/>
        <w:rPr>
          <w:rFonts w:ascii="仿宋" w:hAnsi="仿宋" w:eastAsia="仿宋" w:cs="仿宋"/>
          <w:b/>
          <w:color w:val="auto"/>
          <w:sz w:val="28"/>
          <w:szCs w:val="28"/>
          <w:highlight w:val="none"/>
        </w:rPr>
      </w:pPr>
    </w:p>
    <w:p w14:paraId="5C9FC4C5">
      <w:pPr>
        <w:pStyle w:val="12"/>
        <w:spacing w:line="440" w:lineRule="exact"/>
        <w:ind w:left="3"/>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八、其他事项</w:t>
      </w:r>
    </w:p>
    <w:p w14:paraId="581B7942">
      <w:pPr>
        <w:pStyle w:val="12"/>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35.招标代理服务费</w:t>
      </w:r>
    </w:p>
    <w:p w14:paraId="54B4CDB2">
      <w:pPr>
        <w:pStyle w:val="12"/>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中标人领取中标通知书时，向代理公司一次性付清招标代理服务费，本项目招标代理服务收费按照服务类收费标准向中标人收取。</w:t>
      </w:r>
    </w:p>
    <w:p w14:paraId="7B901F12">
      <w:pPr>
        <w:spacing w:line="440" w:lineRule="exact"/>
        <w:jc w:val="center"/>
        <w:rPr>
          <w:rFonts w:ascii="仿宋" w:hAnsi="仿宋" w:eastAsia="仿宋" w:cs="仿宋"/>
          <w:color w:val="auto"/>
          <w:sz w:val="24"/>
          <w:highlight w:val="none"/>
        </w:rPr>
      </w:pPr>
    </w:p>
    <w:p w14:paraId="4D2379F7">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招标代理服务收费标准</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43"/>
        <w:gridCol w:w="1984"/>
        <w:gridCol w:w="1928"/>
      </w:tblGrid>
      <w:tr w14:paraId="0E4A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51" w:type="dxa"/>
          </w:tcPr>
          <w:p w14:paraId="192C067D">
            <w:pPr>
              <w:pStyle w:val="12"/>
              <w:spacing w:line="440" w:lineRule="exact"/>
              <w:ind w:left="25"/>
              <w:rPr>
                <w:rFonts w:ascii="仿宋" w:hAnsi="仿宋" w:eastAsia="仿宋" w:cs="仿宋"/>
                <w:color w:val="auto"/>
                <w:sz w:val="24"/>
                <w:szCs w:val="24"/>
                <w:highlight w:val="none"/>
              </w:rPr>
            </w:pPr>
            <w:r>
              <w:rPr>
                <w:rFonts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-8890</wp:posOffset>
                      </wp:positionV>
                      <wp:extent cx="1262380" cy="1365250"/>
                      <wp:effectExtent l="3810" t="3175" r="13970" b="3175"/>
                      <wp:wrapNone/>
                      <wp:docPr id="4" name="直线 109"/>
                      <wp:cNvGraphicFramePr/>
                      <a:graphic xmlns:a="http://schemas.openxmlformats.org/drawingml/2006/main">
                        <a:graphicData uri="http://schemas.microsoft.com/office/word/2010/wordprocessingShape">
                          <wps:wsp>
                            <wps:cNvCnPr>
                              <a:cxnSpLocks noChangeShapeType="1"/>
                            </wps:cNvCnPr>
                            <wps:spPr bwMode="auto">
                              <a:xfrm>
                                <a:off x="0" y="0"/>
                                <a:ext cx="1262380" cy="1365250"/>
                              </a:xfrm>
                              <a:prstGeom prst="line">
                                <a:avLst/>
                              </a:prstGeom>
                              <a:noFill/>
                              <a:ln w="9525">
                                <a:solidFill>
                                  <a:srgbClr val="000000"/>
                                </a:solidFill>
                                <a:round/>
                              </a:ln>
                              <a:effectLst/>
                            </wps:spPr>
                            <wps:bodyPr/>
                          </wps:wsp>
                        </a:graphicData>
                      </a:graphic>
                    </wp:anchor>
                  </w:drawing>
                </mc:Choice>
                <mc:Fallback>
                  <w:pict>
                    <v:line id="直线 109" o:spid="_x0000_s1026" o:spt="20" style="position:absolute;left:0pt;margin-left:57.15pt;margin-top:-0.7pt;height:107.5pt;width:99.4pt;z-index:251659264;mso-width-relative:page;mso-height-relative:page;" filled="f" stroked="t" coordsize="21600,21600" o:gfxdata="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I8LfDYAAAA&#10;CgEAAA8AAAAAAAAAAQAgAAAAIgAAAGRycy9kb3ducmV2LnhtbFBLAQIUABQAAAAIAIdO4kBj4bNM&#10;5AEAALcDAAAOAAAAAAAAAAEAIAAAACc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w:t>费用（万元）         服务类型</w:t>
            </w:r>
          </w:p>
          <w:p w14:paraId="56153827">
            <w:pPr>
              <w:pStyle w:val="12"/>
              <w:spacing w:line="440" w:lineRule="exact"/>
              <w:ind w:left="25"/>
              <w:rPr>
                <w:rFonts w:ascii="仿宋" w:hAnsi="仿宋" w:eastAsia="仿宋" w:cs="仿宋"/>
                <w:color w:val="auto"/>
                <w:sz w:val="24"/>
                <w:szCs w:val="24"/>
                <w:highlight w:val="none"/>
              </w:rPr>
            </w:pPr>
            <w:r>
              <w:rPr>
                <w:rFonts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101600</wp:posOffset>
                      </wp:positionV>
                      <wp:extent cx="2076450" cy="733425"/>
                      <wp:effectExtent l="1270" t="4445" r="10160" b="8890"/>
                      <wp:wrapNone/>
                      <wp:docPr id="3" name="直线 110"/>
                      <wp:cNvGraphicFramePr/>
                      <a:graphic xmlns:a="http://schemas.openxmlformats.org/drawingml/2006/main">
                        <a:graphicData uri="http://schemas.microsoft.com/office/word/2010/wordprocessingShape">
                          <wps:wsp>
                            <wps:cNvCnPr>
                              <a:cxnSpLocks noChangeShapeType="1"/>
                            </wps:cNvCnPr>
                            <wps:spPr bwMode="auto">
                              <a:xfrm>
                                <a:off x="0" y="0"/>
                                <a:ext cx="2076450" cy="733425"/>
                              </a:xfrm>
                              <a:prstGeom prst="line">
                                <a:avLst/>
                              </a:prstGeom>
                              <a:noFill/>
                              <a:ln w="9525">
                                <a:solidFill>
                                  <a:srgbClr val="000000"/>
                                </a:solidFill>
                                <a:round/>
                              </a:ln>
                              <a:effectLst/>
                            </wps:spPr>
                            <wps:bodyPr/>
                          </wps:wsp>
                        </a:graphicData>
                      </a:graphic>
                    </wp:anchor>
                  </w:drawing>
                </mc:Choice>
                <mc:Fallback>
                  <w:pict>
                    <v:line id="直线 110" o:spid="_x0000_s1026" o:spt="20" style="position:absolute;left:0pt;margin-left:-5.85pt;margin-top:8pt;height:57.75pt;width:163.5pt;z-index:251662336;mso-width-relative:page;mso-height-relative:page;" filled="f" stroked="t" coordsize="21600,21600" o:gfxdata="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e6Bw1wAAAAoB&#10;AAAPAAAAAAAAAAEAIAAAACIAAABkcnMvZG93bnJldi54bWxQSwECFAAUAAAACACHTuJAd70U++MB&#10;AAC2AwAADgAAAAAAAAABACAAAAAmAQAAZHJzL2Uyb0RvYy54bWxQSwUGAAAAAAYABgBZAQAAewUA&#10;AAAA&#10;">
                      <v:fill on="f" focussize="0,0"/>
                      <v:stroke color="#000000" joinstyle="round"/>
                      <v:imagedata o:title=""/>
                      <o:lock v:ext="edit" aspectratio="f"/>
                    </v:line>
                  </w:pict>
                </mc:Fallback>
              </mc:AlternateContent>
            </w:r>
          </w:p>
          <w:p w14:paraId="5C37DC51">
            <w:pPr>
              <w:pStyle w:val="12"/>
              <w:spacing w:line="440" w:lineRule="exact"/>
              <w:ind w:left="25"/>
              <w:rPr>
                <w:rFonts w:ascii="仿宋" w:hAnsi="仿宋" w:eastAsia="仿宋" w:cs="仿宋"/>
                <w:color w:val="auto"/>
                <w:sz w:val="24"/>
                <w:szCs w:val="24"/>
                <w:highlight w:val="none"/>
              </w:rPr>
            </w:pPr>
          </w:p>
          <w:p w14:paraId="1845B9CF">
            <w:pPr>
              <w:pStyle w:val="12"/>
              <w:spacing w:line="440" w:lineRule="exact"/>
              <w:ind w:left="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1843" w:type="dxa"/>
            <w:vAlign w:val="center"/>
          </w:tcPr>
          <w:p w14:paraId="232FC1C1">
            <w:pPr>
              <w:pStyle w:val="12"/>
              <w:spacing w:line="440" w:lineRule="exact"/>
              <w:ind w:left="2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984" w:type="dxa"/>
            <w:vAlign w:val="center"/>
          </w:tcPr>
          <w:p w14:paraId="5385EB29">
            <w:pPr>
              <w:pStyle w:val="12"/>
              <w:spacing w:line="440" w:lineRule="exact"/>
              <w:ind w:left="2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928" w:type="dxa"/>
            <w:vAlign w:val="center"/>
          </w:tcPr>
          <w:p w14:paraId="35AC1D70">
            <w:pPr>
              <w:pStyle w:val="12"/>
              <w:spacing w:line="440" w:lineRule="exact"/>
              <w:ind w:left="2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14:paraId="025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1" w:type="dxa"/>
          </w:tcPr>
          <w:p w14:paraId="27AC23E5">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1843" w:type="dxa"/>
          </w:tcPr>
          <w:p w14:paraId="27A21162">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4" w:type="dxa"/>
          </w:tcPr>
          <w:p w14:paraId="19703EFE">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28" w:type="dxa"/>
          </w:tcPr>
          <w:p w14:paraId="6B86EDF0">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14:paraId="4C66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3251" w:type="dxa"/>
          </w:tcPr>
          <w:p w14:paraId="1E225234">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1843" w:type="dxa"/>
          </w:tcPr>
          <w:p w14:paraId="588603E5">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4" w:type="dxa"/>
          </w:tcPr>
          <w:p w14:paraId="6043E9CF">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928" w:type="dxa"/>
          </w:tcPr>
          <w:p w14:paraId="1BBF6C55">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0.7%</w:t>
            </w:r>
          </w:p>
        </w:tc>
      </w:tr>
      <w:tr w14:paraId="0E5C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14:paraId="44FF0F47">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1843" w:type="dxa"/>
          </w:tcPr>
          <w:p w14:paraId="645B6076">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984" w:type="dxa"/>
          </w:tcPr>
          <w:p w14:paraId="2B71789C">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928" w:type="dxa"/>
          </w:tcPr>
          <w:p w14:paraId="1E564078">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0.55%</w:t>
            </w:r>
          </w:p>
        </w:tc>
      </w:tr>
      <w:tr w14:paraId="2791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14:paraId="3631F998">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1000-5000</w:t>
            </w:r>
          </w:p>
        </w:tc>
        <w:tc>
          <w:tcPr>
            <w:tcW w:w="1843" w:type="dxa"/>
          </w:tcPr>
          <w:p w14:paraId="50F73B88">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1984" w:type="dxa"/>
          </w:tcPr>
          <w:p w14:paraId="60EB756D">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928" w:type="dxa"/>
          </w:tcPr>
          <w:p w14:paraId="390BE438">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0.35%</w:t>
            </w:r>
          </w:p>
        </w:tc>
      </w:tr>
      <w:tr w14:paraId="673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14:paraId="697FCE5F">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5000-10000</w:t>
            </w:r>
          </w:p>
        </w:tc>
        <w:tc>
          <w:tcPr>
            <w:tcW w:w="1843" w:type="dxa"/>
          </w:tcPr>
          <w:p w14:paraId="1AFF4F0E">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0.25%</w:t>
            </w:r>
          </w:p>
        </w:tc>
        <w:tc>
          <w:tcPr>
            <w:tcW w:w="1984" w:type="dxa"/>
          </w:tcPr>
          <w:p w14:paraId="68D0A8D9">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0.1%</w:t>
            </w:r>
          </w:p>
        </w:tc>
        <w:tc>
          <w:tcPr>
            <w:tcW w:w="1928" w:type="dxa"/>
          </w:tcPr>
          <w:p w14:paraId="17BFAFA7">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r>
      <w:tr w14:paraId="4225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14:paraId="4D24AAF3">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10000-100000</w:t>
            </w:r>
          </w:p>
        </w:tc>
        <w:tc>
          <w:tcPr>
            <w:tcW w:w="1843" w:type="dxa"/>
          </w:tcPr>
          <w:p w14:paraId="619018AE">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984" w:type="dxa"/>
          </w:tcPr>
          <w:p w14:paraId="1EDAF3DE">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928" w:type="dxa"/>
          </w:tcPr>
          <w:p w14:paraId="55D27A11">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r>
      <w:tr w14:paraId="298D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14:paraId="23D6D9CA">
            <w:pPr>
              <w:tabs>
                <w:tab w:val="left" w:pos="2165"/>
              </w:tabs>
              <w:spacing w:line="500" w:lineRule="exact"/>
              <w:ind w:left="838" w:leftChars="260" w:right="735" w:rightChars="350" w:hanging="292" w:hangingChars="122"/>
              <w:jc w:val="center"/>
              <w:rPr>
                <w:rFonts w:ascii="仿宋" w:hAnsi="仿宋" w:eastAsia="仿宋" w:cs="仿宋"/>
                <w:color w:val="auto"/>
                <w:sz w:val="24"/>
                <w:highlight w:val="none"/>
              </w:rPr>
            </w:pPr>
            <w:r>
              <w:rPr>
                <w:rFonts w:hint="eastAsia" w:ascii="仿宋" w:hAnsi="仿宋" w:eastAsia="仿宋" w:cs="仿宋"/>
                <w:color w:val="auto"/>
                <w:sz w:val="24"/>
                <w:highlight w:val="none"/>
              </w:rPr>
              <w:t>1000000以上</w:t>
            </w:r>
          </w:p>
        </w:tc>
        <w:tc>
          <w:tcPr>
            <w:tcW w:w="1843" w:type="dxa"/>
          </w:tcPr>
          <w:p w14:paraId="2CC82C0F">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0.01%</w:t>
            </w:r>
          </w:p>
        </w:tc>
        <w:tc>
          <w:tcPr>
            <w:tcW w:w="1984" w:type="dxa"/>
          </w:tcPr>
          <w:p w14:paraId="713CF7EA">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0.01%</w:t>
            </w:r>
          </w:p>
        </w:tc>
        <w:tc>
          <w:tcPr>
            <w:tcW w:w="1928" w:type="dxa"/>
          </w:tcPr>
          <w:p w14:paraId="3ACAD3C3">
            <w:pPr>
              <w:spacing w:line="400" w:lineRule="exact"/>
              <w:ind w:left="25"/>
              <w:jc w:val="center"/>
              <w:rPr>
                <w:rFonts w:ascii="仿宋" w:hAnsi="仿宋" w:eastAsia="仿宋" w:cs="仿宋"/>
                <w:color w:val="auto"/>
                <w:sz w:val="24"/>
                <w:highlight w:val="none"/>
              </w:rPr>
            </w:pPr>
            <w:r>
              <w:rPr>
                <w:rFonts w:hint="eastAsia" w:ascii="仿宋" w:hAnsi="仿宋" w:eastAsia="仿宋" w:cs="仿宋"/>
                <w:color w:val="auto"/>
                <w:sz w:val="24"/>
                <w:highlight w:val="none"/>
              </w:rPr>
              <w:t>0.01%</w:t>
            </w:r>
          </w:p>
        </w:tc>
      </w:tr>
    </w:tbl>
    <w:p w14:paraId="12B9F789">
      <w:pPr>
        <w:pStyle w:val="12"/>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36.采购代理机构银行账户：</w:t>
      </w:r>
    </w:p>
    <w:p w14:paraId="5B8C18F7">
      <w:pPr>
        <w:pStyle w:val="12"/>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开户名称：广西鑫磐工程项目管理有限责任公司</w:t>
      </w:r>
      <w:r>
        <w:rPr>
          <w:rFonts w:hint="eastAsia" w:ascii="仿宋" w:hAnsi="仿宋" w:eastAsia="仿宋" w:cs="仿宋"/>
          <w:color w:val="auto"/>
          <w:sz w:val="24"/>
          <w:szCs w:val="24"/>
          <w:highlight w:val="none"/>
        </w:rPr>
        <w:tab/>
      </w:r>
    </w:p>
    <w:p w14:paraId="349A0921">
      <w:pPr>
        <w:pStyle w:val="12"/>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开户银行：中国建设银行股份有限公司南宁淡村路支行</w:t>
      </w:r>
    </w:p>
    <w:p w14:paraId="21B4D1ED">
      <w:pPr>
        <w:pStyle w:val="12"/>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帐    号：45001604952050501755</w:t>
      </w:r>
    </w:p>
    <w:p w14:paraId="414092CA">
      <w:pPr>
        <w:pStyle w:val="12"/>
        <w:snapToGrid w:val="0"/>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37.投标文件电子版：</w:t>
      </w:r>
      <w:r>
        <w:rPr>
          <w:rFonts w:hint="eastAsia" w:ascii="仿宋" w:hAnsi="仿宋" w:eastAsia="仿宋" w:cs="仿宋"/>
          <w:color w:val="auto"/>
          <w:sz w:val="24"/>
          <w:szCs w:val="24"/>
          <w:highlight w:val="none"/>
        </w:rPr>
        <w:t>不需要。</w:t>
      </w:r>
    </w:p>
    <w:p w14:paraId="40C12AD9">
      <w:pPr>
        <w:pStyle w:val="12"/>
        <w:snapToGrid w:val="0"/>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38.现场踏勘：</w:t>
      </w:r>
      <w:r>
        <w:rPr>
          <w:rFonts w:hint="eastAsia" w:ascii="仿宋" w:hAnsi="仿宋" w:eastAsia="仿宋" w:cs="仿宋"/>
          <w:color w:val="auto"/>
          <w:sz w:val="24"/>
          <w:szCs w:val="24"/>
          <w:highlight w:val="none"/>
        </w:rPr>
        <w:t>详见投标人须知前附表。</w:t>
      </w:r>
    </w:p>
    <w:p w14:paraId="1594BAFA">
      <w:pPr>
        <w:pStyle w:val="12"/>
        <w:snapToGrid w:val="0"/>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39.解释权：</w:t>
      </w:r>
      <w:r>
        <w:rPr>
          <w:rFonts w:hint="eastAsia" w:ascii="仿宋" w:hAnsi="仿宋" w:eastAsia="仿宋" w:cs="仿宋"/>
          <w:color w:val="auto"/>
          <w:sz w:val="24"/>
          <w:szCs w:val="24"/>
          <w:highlight w:val="none"/>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14:paraId="55DE9001">
      <w:pPr>
        <w:pStyle w:val="12"/>
        <w:snapToGrid w:val="0"/>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40.监督管理机构：</w:t>
      </w:r>
      <w:r>
        <w:rPr>
          <w:rFonts w:hint="eastAsia" w:ascii="仿宋" w:hAnsi="仿宋" w:eastAsia="仿宋" w:cs="仿宋"/>
          <w:color w:val="auto"/>
          <w:sz w:val="24"/>
          <w:szCs w:val="24"/>
          <w:highlight w:val="none"/>
        </w:rPr>
        <w:t>龙州县财政局政府采购监督股      电话：0771-8812665。</w:t>
      </w:r>
    </w:p>
    <w:p w14:paraId="37BEC079">
      <w:pPr>
        <w:pStyle w:val="14"/>
        <w:spacing w:line="428" w:lineRule="exact"/>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7D972D91">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0"/>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1A9A5FE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BEB6B29">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7B70BA7C">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2B2B473">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AD3F0F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81F8A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7DE93B9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636B21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07224B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28C941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89C3E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90BE0B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2E06937">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513EC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5D0B4C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59607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29B6D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C15468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F9033ED">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56B328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13CF659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1A8805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7A5E20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B082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3520C07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10FB96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F4987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620F770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0D6012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9ED354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E66872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B5708C6">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24C94F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9DF37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C2FDA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4489C1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51D2B5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6BEBDCB">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C781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63CE72D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79DDE0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E24815B">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FFD9B9E">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09BC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0BE65E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5BA9E1F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F8948BE">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000D51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A17A87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0411D2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31C89D0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3D70C5F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7EBB3B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50777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724BA6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659057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5D0A6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17713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CBBDA0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868A92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41ABB1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4C7C219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D4DF7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B64B6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B30114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F5E1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566D398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436677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7C1226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3257C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8F14A2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9692C7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D7A39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FEDD4A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5B1B3C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764EBB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003721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9A1FA1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3E551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35DED59">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E73CB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1061D0F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029089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4FB6C7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447264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AD7B6CF">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84B9A0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557AD76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3FA0EAA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8A0FEB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AA31A3A">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727C55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75BE65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7BC564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7CE828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F7A8D2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8B152CA">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5FF2C7">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858C01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26C59F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2031A53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A5A0C64">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8D0C31B">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546FDE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9013BD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1160DE0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51BCE6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543EAE4">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C0A1802">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D3A35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0B5126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12CA621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AEEE5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3360E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B8F9AD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343D9C7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64F322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46A024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573DE8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76C403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3017FB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5BA27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7585268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FA8FC5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99F621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DD3BB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83D05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5C19193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2FDA06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8D202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6DA9F76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95D4F1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39AA9B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555B4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05B120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48A14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47591AA">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6FFBF1A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D769562">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48588A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6BEF81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16E5558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150941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D85C7BB">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A5DE3E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3A31F7F">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CC75BA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17E6016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C8FD5B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222215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609B37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474FB3D">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3232B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53C6F8B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2781F26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E4D6AB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3E3A839">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5AEC6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217F5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7A055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07D2B4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B09AF7F">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64E03B">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0E0F5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581E0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1E8B342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52E7F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62C17A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A9965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CAC170E">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725F54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34D25A2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504105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445722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19EEA6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DA611C4">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22487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0F2A036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33A552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1067B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DB1022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3964101">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949E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405BF4B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18B07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3645C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7EF6D10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301F1C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2FDEFCB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AF6CB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6B192C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EF9C3D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22C8D03">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76968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666174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DFD121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38E3883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6FCFAFF">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E3228C">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E18B9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D3F01F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29779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350893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A1CD51C">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E534A2F">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F492B7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6F2F60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C3D1FA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655DF60">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29E791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77A3E5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7178F93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ED927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68600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18DDCB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291379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6EEF2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4B8AD3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34A0AC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93F66F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2BFCA1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A576E6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3C6B12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306BAA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423CF92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BF3B13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051F0F4">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925A3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0593202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8592C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318964F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207E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7B42C9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890FEC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B7EEF06">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27A9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5E8D765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314CA6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D15ACF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3B1F1FF">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C43B029">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0FB77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415120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F79881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E8143E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A3EBE6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1D2718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9644F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03638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F4A2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A95D0C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40F36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A6186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407922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F9F802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19E8D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C8E18D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70238F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1F4A9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57D923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FBFE6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5BBC0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794D7FF">
      <w:pPr>
        <w:pStyle w:val="10"/>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04F7D0DA">
      <w:pPr>
        <w:pStyle w:val="12"/>
        <w:jc w:val="left"/>
        <w:rPr>
          <w:rFonts w:hint="eastAsia" w:ascii="Arial Unicode MS" w:hAnsi="Arial Unicode MS" w:eastAsia="Arial Unicode MS" w:cs="Arial Unicode MS"/>
          <w:color w:val="auto"/>
          <w:sz w:val="32"/>
          <w:szCs w:val="32"/>
          <w:highlight w:val="none"/>
        </w:rPr>
      </w:pPr>
      <w:r>
        <w:rPr>
          <w:rFonts w:hint="eastAsia" w:hAnsi="宋体"/>
          <w:color w:val="auto"/>
          <w:highlight w:val="none"/>
        </w:rPr>
        <w:t xml:space="preserve">    </w:t>
      </w: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rFonts w:hint="eastAsia"/>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52F5FEC9">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0"/>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FD4496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3C2E1A2">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4499604C">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BF5D42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7E96C3FE">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1E3D84E8">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D68CF41">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6C1677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67DD66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1F6629C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AF947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49376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5F9111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495491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29FCED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0A802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22A3923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DDF00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972A1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368C6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20195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7B06A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EDA5B3">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F288C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FC959A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6737E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5D3888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079059D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97570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50D86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072CDD6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5014E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61FE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3B96C6A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565DE8D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1CC26C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C0C18B5">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13ADB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32CB4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E64CB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11D95B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612D85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08FDD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6F989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1C8655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569219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DC22A1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007C5B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689095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CB01F8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2CBBFF6">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CDF7F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E2D26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CA573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763B39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2D5086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162D3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1E5DAE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24568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D4AFC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336D8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23E0207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6FFAEB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41364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C1C62A1">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702DA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B9624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7FEF5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55823F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2D5CCF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6E92A6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9493C5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351526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670E8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7B6FCC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A6929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0A26F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D00A1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A8BCACD">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BB3C73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01257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D8046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65F753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29B07A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5F269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ACD75F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4B115C0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87450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B87EA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1F9EAE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3CBD9F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C750B4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1249BB">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E8457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794F28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E346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33B0F19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00CBE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F714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32DED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2AE75D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E48C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C62BD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44C04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71E03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5C803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4AA3F4A">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46FCD8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A648F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90706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128FFF5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06872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64239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E23542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4A49E5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D4D9B5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D746E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C0CC98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93820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ED60D1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6DED5AC">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48115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40117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1F8E6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7EA32B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5DDA06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CA77D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122A5B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477E749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ED2E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3B48C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23072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189F8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DE9A2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B5B8CB">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A01676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41D08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57741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3D599D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55CFD1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B0BC4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2060F4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0BDF983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28DD6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BC596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062845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DA59D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5DA01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E3D6D7E">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914A5B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9C519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134A06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0CB37A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15E1D3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FDD2D3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B3766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6D6600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49F5B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E1184F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F8D6D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E5B6A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751FD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167219">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1E6DA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E9330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D3DA9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6DF8BAD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3D33D4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AF8C1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A1E6B5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16DC95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96C348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E0DF5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5C5EF83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2ACFFE0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FDF54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8390451">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34FA6D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A22B8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597AA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01CCB0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222809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D821A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15D82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661CD40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ADCE18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1A862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A2B35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5088F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2799E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A3908A9">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DDB43A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461EC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50C0C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084E82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4DE93A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D3287A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1668F4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403257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21529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CE0663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0BF64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EE5F3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2A92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925F326">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6112DE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CFE0EE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C2299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0454CD0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4842090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5AF7C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3D0303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0E7A3DF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C20D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A3BD8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12FE3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D4EA6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52B7D5F">
      <w:pPr>
        <w:spacing w:line="560" w:lineRule="exact"/>
        <w:ind w:firstLine="525" w:firstLineChars="250"/>
        <w:rPr>
          <w:rFonts w:hint="eastAsia" w:ascii="仿宋" w:hAnsi="仿宋" w:eastAsia="仿宋" w:cs="仿宋"/>
          <w:b/>
          <w:color w:val="auto"/>
          <w:sz w:val="32"/>
          <w:szCs w:val="32"/>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9D3F319">
      <w:pPr>
        <w:pageBreakBefore/>
        <w:spacing w:line="360" w:lineRule="exact"/>
        <w:jc w:val="center"/>
        <w:rPr>
          <w:rFonts w:hint="eastAsia" w:ascii="仿宋" w:hAnsi="仿宋" w:eastAsia="仿宋" w:cs="仿宋"/>
          <w:b/>
          <w:color w:val="auto"/>
          <w:sz w:val="32"/>
          <w:szCs w:val="32"/>
          <w:highlight w:val="none"/>
        </w:rPr>
        <w:sectPr>
          <w:footerReference r:id="rId8" w:type="first"/>
          <w:footerReference r:id="rId7" w:type="default"/>
          <w:pgSz w:w="11906" w:h="16838"/>
          <w:pgMar w:top="1247" w:right="1247" w:bottom="1560" w:left="1247" w:header="851" w:footer="992" w:gutter="0"/>
          <w:pgNumType w:fmt="decimal" w:start="1"/>
          <w:cols w:space="720" w:num="1"/>
          <w:titlePg/>
          <w:docGrid w:linePitch="312" w:charSpace="0"/>
        </w:sectPr>
      </w:pPr>
    </w:p>
    <w:p w14:paraId="6CBC0DD1">
      <w:pPr>
        <w:pageBreakBefore/>
        <w:spacing w:line="36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服务采购需求</w:t>
      </w:r>
    </w:p>
    <w:p w14:paraId="3235B8D6">
      <w:pPr>
        <w:spacing w:line="200" w:lineRule="exact"/>
        <w:rPr>
          <w:rFonts w:ascii="仿宋" w:hAnsi="仿宋" w:eastAsia="仿宋" w:cs="仿宋"/>
          <w:bCs/>
          <w:color w:val="auto"/>
          <w:szCs w:val="21"/>
          <w:highlight w:val="none"/>
        </w:rPr>
      </w:pPr>
    </w:p>
    <w:p w14:paraId="224A125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全面做好龙州县环卫保洁工作，进一步深化龙州县环卫服务市场化运作工作，按照科学划分、严格准入、规范管理、市场运作的原则，对龙州县环卫服务市场化运作工作承包供应商通过公开招标方式进行选择。具体内容如下：</w:t>
      </w:r>
    </w:p>
    <w:p w14:paraId="205A6E48">
      <w:pPr>
        <w:pStyle w:val="19"/>
        <w:ind w:firstLine="480"/>
        <w:rPr>
          <w:color w:val="auto"/>
          <w:highlight w:val="none"/>
          <w:lang w:eastAsia="zh-CN"/>
        </w:rPr>
      </w:pPr>
    </w:p>
    <w:p w14:paraId="0DFECD44">
      <w:pPr>
        <w:pStyle w:val="1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A分标：</w:t>
      </w:r>
    </w:p>
    <w:p w14:paraId="0CB60C22">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一、标段名称：龙州县城区环卫保洁及绿化养护市场化运营</w:t>
      </w:r>
    </w:p>
    <w:p w14:paraId="13F42923">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二、预算金额：127</w:t>
      </w:r>
      <w:r>
        <w:rPr>
          <w:rFonts w:hint="eastAsia" w:ascii="仿宋" w:hAnsi="仿宋" w:eastAsia="仿宋" w:cs="仿宋"/>
          <w:bCs/>
          <w:color w:val="auto"/>
          <w:sz w:val="24"/>
          <w:szCs w:val="24"/>
          <w:highlight w:val="none"/>
          <w:lang w:val="en-US" w:eastAsia="zh-CN"/>
        </w:rPr>
        <w:t>20000</w:t>
      </w:r>
      <w:r>
        <w:rPr>
          <w:rFonts w:hint="eastAsia" w:ascii="仿宋" w:hAnsi="仿宋" w:eastAsia="仿宋" w:cs="仿宋"/>
          <w:bCs/>
          <w:color w:val="auto"/>
          <w:sz w:val="24"/>
          <w:szCs w:val="24"/>
          <w:highlight w:val="none"/>
        </w:rPr>
        <w:t>元/年，</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总</w:t>
      </w:r>
      <w:r>
        <w:rPr>
          <w:rFonts w:hint="eastAsia" w:ascii="仿宋" w:hAnsi="仿宋" w:eastAsia="仿宋" w:cs="仿宋"/>
          <w:bCs/>
          <w:color w:val="auto"/>
          <w:sz w:val="24"/>
          <w:szCs w:val="24"/>
          <w:highlight w:val="none"/>
        </w:rPr>
        <w:t>预算金额为</w:t>
      </w:r>
      <w:r>
        <w:rPr>
          <w:rFonts w:hint="eastAsia" w:ascii="仿宋" w:hAnsi="仿宋" w:eastAsia="仿宋" w:cs="仿宋"/>
          <w:bCs/>
          <w:color w:val="auto"/>
          <w:sz w:val="24"/>
          <w:szCs w:val="24"/>
          <w:highlight w:val="none"/>
          <w:lang w:val="en-US" w:eastAsia="zh-CN"/>
        </w:rPr>
        <w:t>38160000.00</w:t>
      </w:r>
      <w:r>
        <w:rPr>
          <w:rFonts w:hint="eastAsia" w:ascii="仿宋" w:hAnsi="仿宋" w:eastAsia="仿宋" w:cs="仿宋"/>
          <w:bCs/>
          <w:color w:val="auto"/>
          <w:sz w:val="24"/>
          <w:szCs w:val="24"/>
          <w:highlight w:val="none"/>
        </w:rPr>
        <w:t>元。</w:t>
      </w:r>
    </w:p>
    <w:p w14:paraId="2D340532">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三、服务年限：</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p>
    <w:p w14:paraId="49969877">
      <w:pPr>
        <w:pStyle w:val="13"/>
        <w:ind w:left="0" w:leftChars="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四、标段划分范围、</w:t>
      </w:r>
      <w:r>
        <w:rPr>
          <w:rFonts w:hint="eastAsia" w:ascii="仿宋" w:hAnsi="仿宋" w:eastAsia="仿宋" w:cs="仿宋"/>
          <w:color w:val="auto"/>
          <w:sz w:val="24"/>
          <w:szCs w:val="24"/>
          <w:highlight w:val="none"/>
        </w:rPr>
        <w:t>保洁</w:t>
      </w:r>
      <w:r>
        <w:rPr>
          <w:rFonts w:hint="eastAsia" w:ascii="仿宋" w:hAnsi="仿宋" w:eastAsia="仿宋" w:cs="仿宋"/>
          <w:bCs/>
          <w:color w:val="auto"/>
          <w:sz w:val="24"/>
          <w:szCs w:val="24"/>
          <w:highlight w:val="none"/>
        </w:rPr>
        <w:t>工作范围及内容</w:t>
      </w:r>
      <w:r>
        <w:rPr>
          <w:rFonts w:hint="eastAsia" w:ascii="仿宋" w:hAnsi="仿宋" w:eastAsia="仿宋" w:cs="仿宋"/>
          <w:bCs/>
          <w:color w:val="auto"/>
          <w:sz w:val="24"/>
          <w:szCs w:val="24"/>
          <w:highlight w:val="none"/>
          <w:lang w:eastAsia="zh-CN"/>
        </w:rPr>
        <w:t>、人员、车辆设备配置：</w:t>
      </w:r>
    </w:p>
    <w:p w14:paraId="2A56BC3D">
      <w:pPr>
        <w:pStyle w:val="4"/>
        <w:spacing w:before="0" w:after="0" w:line="560" w:lineRule="exact"/>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1.标段划分范围</w:t>
      </w:r>
    </w:p>
    <w:p w14:paraId="45F59932">
      <w:pPr>
        <w:pStyle w:val="10"/>
        <w:ind w:left="0" w:right="126"/>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城区清扫保洁</w:t>
      </w:r>
      <w:r>
        <w:rPr>
          <w:rFonts w:hint="eastAsia" w:ascii="仿宋" w:hAnsi="仿宋" w:eastAsia="仿宋" w:cs="仿宋"/>
          <w:color w:val="auto"/>
          <w:highlight w:val="none"/>
          <w:lang w:val="en-US" w:eastAsia="zh-CN"/>
        </w:rPr>
        <w:t>总</w:t>
      </w:r>
      <w:r>
        <w:rPr>
          <w:rFonts w:hint="eastAsia" w:ascii="仿宋" w:hAnsi="仿宋" w:eastAsia="仿宋" w:cs="仿宋"/>
          <w:color w:val="auto"/>
          <w:highlight w:val="none"/>
          <w:lang w:eastAsia="zh-CN"/>
        </w:rPr>
        <w:t>面积约1</w:t>
      </w:r>
      <w:r>
        <w:rPr>
          <w:rFonts w:hint="eastAsia" w:ascii="仿宋" w:hAnsi="仿宋" w:eastAsia="仿宋" w:cs="仿宋"/>
          <w:color w:val="auto"/>
          <w:highlight w:val="none"/>
          <w:lang w:val="en-US" w:eastAsia="zh-CN"/>
        </w:rPr>
        <w:t>430802</w:t>
      </w:r>
      <w:r>
        <w:rPr>
          <w:rFonts w:hint="eastAsia" w:ascii="仿宋" w:hAnsi="仿宋" w:eastAsia="仿宋" w:cs="仿宋"/>
          <w:color w:val="auto"/>
          <w:highlight w:val="none"/>
          <w:lang w:eastAsia="zh-CN"/>
        </w:rPr>
        <w:t>平方米，保洁范围详细划分如下：</w:t>
      </w:r>
    </w:p>
    <w:tbl>
      <w:tblPr>
        <w:tblStyle w:val="20"/>
        <w:tblW w:w="150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938"/>
        <w:gridCol w:w="2327"/>
        <w:gridCol w:w="1407"/>
        <w:gridCol w:w="1303"/>
        <w:gridCol w:w="1194"/>
        <w:gridCol w:w="1472"/>
        <w:gridCol w:w="1062"/>
        <w:gridCol w:w="998"/>
        <w:gridCol w:w="1997"/>
        <w:gridCol w:w="668"/>
      </w:tblGrid>
      <w:tr w14:paraId="6EB1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5041" w:type="dxa"/>
            <w:gridSpan w:val="11"/>
            <w:tcBorders>
              <w:top w:val="nil"/>
              <w:left w:val="nil"/>
              <w:bottom w:val="nil"/>
              <w:right w:val="nil"/>
            </w:tcBorders>
            <w:shd w:val="clear" w:color="auto" w:fill="auto"/>
            <w:vAlign w:val="center"/>
          </w:tcPr>
          <w:p w14:paraId="0A5D41BD">
            <w:pPr>
              <w:keepNext w:val="0"/>
              <w:keepLines w:val="0"/>
              <w:widowControl/>
              <w:suppressLineNumbers w:val="0"/>
              <w:jc w:val="center"/>
              <w:textAlignment w:val="center"/>
              <w:rPr>
                <w:rFonts w:ascii="仿宋" w:hAnsi="仿宋" w:eastAsia="仿宋" w:cs="仿宋"/>
                <w:b/>
                <w:bCs/>
                <w:i w:val="0"/>
                <w:iCs w:val="0"/>
                <w:color w:val="auto"/>
                <w:sz w:val="44"/>
                <w:szCs w:val="4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龙州县城区环卫保洁及绿化养护</w:t>
            </w:r>
            <w:r>
              <w:rPr>
                <w:rFonts w:hint="eastAsia" w:ascii="仿宋" w:hAnsi="仿宋" w:eastAsia="仿宋" w:cs="仿宋"/>
                <w:b/>
                <w:bCs/>
                <w:i w:val="0"/>
                <w:iCs w:val="0"/>
                <w:color w:val="auto"/>
                <w:kern w:val="0"/>
                <w:sz w:val="44"/>
                <w:szCs w:val="44"/>
                <w:highlight w:val="none"/>
                <w:u w:val="none"/>
                <w:lang w:val="en-US" w:eastAsia="zh-CN" w:bidi="ar"/>
              </w:rPr>
              <w:br w:type="textWrapping"/>
            </w:r>
            <w:r>
              <w:rPr>
                <w:rFonts w:hint="eastAsia" w:ascii="仿宋" w:hAnsi="仿宋" w:eastAsia="仿宋" w:cs="仿宋"/>
                <w:b/>
                <w:bCs/>
                <w:i w:val="0"/>
                <w:iCs w:val="0"/>
                <w:color w:val="auto"/>
                <w:kern w:val="0"/>
                <w:sz w:val="44"/>
                <w:szCs w:val="44"/>
                <w:highlight w:val="none"/>
                <w:u w:val="none"/>
                <w:lang w:val="en-US" w:eastAsia="zh-CN" w:bidi="ar"/>
              </w:rPr>
              <w:t>面积明细表</w:t>
            </w:r>
          </w:p>
        </w:tc>
      </w:tr>
      <w:tr w14:paraId="5CFA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5"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1E20374C">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序号</w:t>
            </w:r>
          </w:p>
        </w:tc>
        <w:tc>
          <w:tcPr>
            <w:tcW w:w="193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0AC3E9">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街道名称</w:t>
            </w:r>
          </w:p>
        </w:tc>
        <w:tc>
          <w:tcPr>
            <w:tcW w:w="6231" w:type="dxa"/>
            <w:gridSpan w:val="4"/>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C40800">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规模</w:t>
            </w:r>
          </w:p>
        </w:tc>
        <w:tc>
          <w:tcPr>
            <w:tcW w:w="147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A2CE31A">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应清扫总面积（绿化+道路+广场）</w:t>
            </w:r>
          </w:p>
        </w:tc>
        <w:tc>
          <w:tcPr>
            <w:tcW w:w="10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5868E9">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每天清扫班次</w:t>
            </w:r>
          </w:p>
        </w:tc>
        <w:tc>
          <w:tcPr>
            <w:tcW w:w="99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8FB5AD">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行道树(株）</w:t>
            </w:r>
          </w:p>
        </w:tc>
        <w:tc>
          <w:tcPr>
            <w:tcW w:w="1997"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C69476">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拟定清扫级别</w:t>
            </w:r>
          </w:p>
        </w:tc>
        <w:tc>
          <w:tcPr>
            <w:tcW w:w="668"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59B2F70C">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备注</w:t>
            </w:r>
          </w:p>
        </w:tc>
      </w:tr>
      <w:tr w14:paraId="302B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75"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5352E4D4">
            <w:pPr>
              <w:jc w:val="center"/>
              <w:rPr>
                <w:rFonts w:hint="eastAsia" w:ascii="仿宋" w:hAnsi="仿宋" w:eastAsia="仿宋" w:cs="仿宋"/>
                <w:b/>
                <w:bCs/>
                <w:i w:val="0"/>
                <w:iCs w:val="0"/>
                <w:color w:val="auto"/>
                <w:sz w:val="30"/>
                <w:szCs w:val="30"/>
                <w:highlight w:val="none"/>
                <w:u w:val="none"/>
              </w:rPr>
            </w:pPr>
          </w:p>
        </w:tc>
        <w:tc>
          <w:tcPr>
            <w:tcW w:w="193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BEB4AA">
            <w:pPr>
              <w:jc w:val="center"/>
              <w:rPr>
                <w:rFonts w:hint="eastAsia" w:ascii="仿宋" w:hAnsi="仿宋" w:eastAsia="仿宋" w:cs="仿宋"/>
                <w:b/>
                <w:bCs/>
                <w:i w:val="0"/>
                <w:iCs w:val="0"/>
                <w:color w:val="auto"/>
                <w:sz w:val="30"/>
                <w:szCs w:val="30"/>
                <w:highlight w:val="none"/>
                <w:u w:val="none"/>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B5B">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总面积（㎡）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60EF">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绿化带面积（㎡）</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FEE2">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道路清扫面积</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5D49">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广场清扫面积</w:t>
            </w:r>
          </w:p>
        </w:tc>
        <w:tc>
          <w:tcPr>
            <w:tcW w:w="147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BA8B928">
            <w:pPr>
              <w:jc w:val="center"/>
              <w:rPr>
                <w:rFonts w:hint="eastAsia" w:ascii="仿宋" w:hAnsi="仿宋" w:eastAsia="仿宋" w:cs="仿宋"/>
                <w:b/>
                <w:bCs/>
                <w:i w:val="0"/>
                <w:iCs w:val="0"/>
                <w:color w:val="auto"/>
                <w:sz w:val="28"/>
                <w:szCs w:val="28"/>
                <w:highlight w:val="none"/>
                <w:u w:val="none"/>
              </w:rPr>
            </w:pPr>
          </w:p>
        </w:tc>
        <w:tc>
          <w:tcPr>
            <w:tcW w:w="10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A1F5C93">
            <w:pPr>
              <w:jc w:val="center"/>
              <w:rPr>
                <w:rFonts w:hint="eastAsia" w:ascii="仿宋" w:hAnsi="仿宋" w:eastAsia="仿宋" w:cs="仿宋"/>
                <w:b/>
                <w:bCs/>
                <w:i w:val="0"/>
                <w:iCs w:val="0"/>
                <w:color w:val="auto"/>
                <w:sz w:val="28"/>
                <w:szCs w:val="28"/>
                <w:highlight w:val="none"/>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CD5213">
            <w:pPr>
              <w:jc w:val="center"/>
              <w:rPr>
                <w:rFonts w:hint="eastAsia" w:ascii="仿宋" w:hAnsi="仿宋" w:eastAsia="仿宋" w:cs="仿宋"/>
                <w:b/>
                <w:bCs/>
                <w:i w:val="0"/>
                <w:iCs w:val="0"/>
                <w:color w:val="auto"/>
                <w:sz w:val="30"/>
                <w:szCs w:val="30"/>
                <w:highlight w:val="none"/>
                <w:u w:val="none"/>
              </w:rPr>
            </w:pPr>
          </w:p>
        </w:tc>
        <w:tc>
          <w:tcPr>
            <w:tcW w:w="1997"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7B9B75">
            <w:pPr>
              <w:jc w:val="center"/>
              <w:rPr>
                <w:rFonts w:hint="eastAsia" w:ascii="仿宋" w:hAnsi="仿宋" w:eastAsia="仿宋" w:cs="仿宋"/>
                <w:b/>
                <w:bCs/>
                <w:i w:val="0"/>
                <w:iCs w:val="0"/>
                <w:color w:val="auto"/>
                <w:sz w:val="28"/>
                <w:szCs w:val="28"/>
                <w:highlight w:val="none"/>
                <w:u w:val="none"/>
              </w:rPr>
            </w:pPr>
          </w:p>
        </w:tc>
        <w:tc>
          <w:tcPr>
            <w:tcW w:w="668"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B629C35">
            <w:pPr>
              <w:jc w:val="center"/>
              <w:rPr>
                <w:rFonts w:hint="eastAsia" w:ascii="仿宋" w:hAnsi="仿宋" w:eastAsia="仿宋" w:cs="仿宋"/>
                <w:b/>
                <w:bCs/>
                <w:i w:val="0"/>
                <w:iCs w:val="0"/>
                <w:color w:val="auto"/>
                <w:sz w:val="28"/>
                <w:szCs w:val="28"/>
                <w:highlight w:val="none"/>
                <w:u w:val="none"/>
              </w:rPr>
            </w:pPr>
          </w:p>
        </w:tc>
      </w:tr>
      <w:tr w14:paraId="1828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E56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7C1">
            <w:pPr>
              <w:keepNext w:val="0"/>
              <w:keepLines w:val="0"/>
              <w:widowControl/>
              <w:suppressLineNumbers w:val="0"/>
              <w:tabs>
                <w:tab w:val="left" w:pos="2310"/>
              </w:tabs>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独山路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A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138033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A2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4988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C5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133045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8960">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56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138033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E1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B1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435</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D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9E0044C">
            <w:pPr>
              <w:jc w:val="center"/>
              <w:rPr>
                <w:rFonts w:hint="eastAsia" w:ascii="仿宋" w:hAnsi="仿宋" w:eastAsia="仿宋" w:cs="仿宋"/>
                <w:i w:val="0"/>
                <w:iCs w:val="0"/>
                <w:color w:val="auto"/>
                <w:sz w:val="24"/>
                <w:szCs w:val="24"/>
                <w:highlight w:val="none"/>
                <w:u w:val="none"/>
              </w:rPr>
            </w:pPr>
          </w:p>
        </w:tc>
      </w:tr>
      <w:tr w14:paraId="2C22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5BBD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1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城北路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84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8E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CCB9">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D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76926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8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3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15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19205E8">
            <w:pPr>
              <w:jc w:val="center"/>
              <w:rPr>
                <w:rFonts w:hint="eastAsia" w:ascii="仿宋" w:hAnsi="仿宋" w:eastAsia="仿宋" w:cs="仿宋"/>
                <w:i w:val="0"/>
                <w:iCs w:val="0"/>
                <w:color w:val="auto"/>
                <w:sz w:val="24"/>
                <w:szCs w:val="24"/>
                <w:highlight w:val="none"/>
                <w:u w:val="none"/>
              </w:rPr>
            </w:pPr>
          </w:p>
        </w:tc>
      </w:tr>
      <w:tr w14:paraId="4E3C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DB7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F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白沙街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8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23657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F922">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24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07CE">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0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23657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C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0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0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FE6AEFA">
            <w:pPr>
              <w:jc w:val="center"/>
              <w:rPr>
                <w:rFonts w:hint="eastAsia" w:ascii="仿宋" w:hAnsi="仿宋" w:eastAsia="仿宋" w:cs="仿宋"/>
                <w:i w:val="0"/>
                <w:iCs w:val="0"/>
                <w:color w:val="auto"/>
                <w:sz w:val="24"/>
                <w:szCs w:val="24"/>
                <w:highlight w:val="none"/>
                <w:u w:val="none"/>
              </w:rPr>
            </w:pPr>
          </w:p>
        </w:tc>
      </w:tr>
      <w:tr w14:paraId="62DA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A7DB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E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康平街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2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0C4F">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D7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CBC3">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8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BE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9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65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DCEDDEA">
            <w:pPr>
              <w:jc w:val="center"/>
              <w:rPr>
                <w:rFonts w:hint="eastAsia" w:ascii="仿宋" w:hAnsi="仿宋" w:eastAsia="仿宋" w:cs="仿宋"/>
                <w:i w:val="0"/>
                <w:iCs w:val="0"/>
                <w:color w:val="auto"/>
                <w:sz w:val="24"/>
                <w:szCs w:val="24"/>
                <w:highlight w:val="none"/>
                <w:u w:val="none"/>
              </w:rPr>
            </w:pPr>
          </w:p>
        </w:tc>
      </w:tr>
      <w:tr w14:paraId="75D2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C57A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60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 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3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AD2">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B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AEA3">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C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C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755">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E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9692D14">
            <w:pPr>
              <w:jc w:val="center"/>
              <w:rPr>
                <w:rFonts w:hint="eastAsia" w:ascii="仿宋" w:hAnsi="仿宋" w:eastAsia="仿宋" w:cs="仿宋"/>
                <w:i w:val="0"/>
                <w:iCs w:val="0"/>
                <w:color w:val="auto"/>
                <w:sz w:val="24"/>
                <w:szCs w:val="24"/>
                <w:highlight w:val="none"/>
                <w:u w:val="none"/>
              </w:rPr>
            </w:pPr>
          </w:p>
        </w:tc>
      </w:tr>
      <w:tr w14:paraId="7762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5F6E2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59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北门街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BE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D24">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3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42A">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5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77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FE3">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0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6B4ED79">
            <w:pPr>
              <w:jc w:val="center"/>
              <w:rPr>
                <w:rFonts w:hint="eastAsia" w:ascii="仿宋" w:hAnsi="仿宋" w:eastAsia="仿宋" w:cs="仿宋"/>
                <w:i w:val="0"/>
                <w:iCs w:val="0"/>
                <w:color w:val="auto"/>
                <w:sz w:val="24"/>
                <w:szCs w:val="24"/>
                <w:highlight w:val="none"/>
                <w:u w:val="none"/>
              </w:rPr>
            </w:pPr>
          </w:p>
        </w:tc>
      </w:tr>
      <w:tr w14:paraId="4AF1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B447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F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大塘路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B2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7423">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7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351">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9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3B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A1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D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46A5061">
            <w:pPr>
              <w:jc w:val="center"/>
              <w:rPr>
                <w:rFonts w:hint="eastAsia" w:ascii="仿宋" w:hAnsi="仿宋" w:eastAsia="仿宋" w:cs="仿宋"/>
                <w:i w:val="0"/>
                <w:iCs w:val="0"/>
                <w:color w:val="auto"/>
                <w:sz w:val="24"/>
                <w:szCs w:val="24"/>
                <w:highlight w:val="none"/>
                <w:u w:val="none"/>
              </w:rPr>
            </w:pPr>
          </w:p>
        </w:tc>
      </w:tr>
      <w:tr w14:paraId="5185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4C06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5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合龙街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B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5E89">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C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A67B">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4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E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E70">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C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130344C">
            <w:pPr>
              <w:jc w:val="center"/>
              <w:rPr>
                <w:rFonts w:hint="eastAsia" w:ascii="仿宋" w:hAnsi="仿宋" w:eastAsia="仿宋" w:cs="仿宋"/>
                <w:i w:val="0"/>
                <w:iCs w:val="0"/>
                <w:color w:val="auto"/>
                <w:sz w:val="24"/>
                <w:szCs w:val="24"/>
                <w:highlight w:val="none"/>
                <w:u w:val="none"/>
              </w:rPr>
            </w:pPr>
          </w:p>
        </w:tc>
      </w:tr>
      <w:tr w14:paraId="5E60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A4D0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26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新填地（含起义广场）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1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400B">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FE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6D23">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CC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9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69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7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439C0CD">
            <w:pPr>
              <w:jc w:val="center"/>
              <w:rPr>
                <w:rFonts w:hint="eastAsia" w:ascii="仿宋" w:hAnsi="仿宋" w:eastAsia="仿宋" w:cs="仿宋"/>
                <w:i w:val="0"/>
                <w:iCs w:val="0"/>
                <w:color w:val="auto"/>
                <w:sz w:val="24"/>
                <w:szCs w:val="24"/>
                <w:highlight w:val="none"/>
                <w:u w:val="none"/>
              </w:rPr>
            </w:pPr>
          </w:p>
        </w:tc>
      </w:tr>
      <w:tr w14:paraId="67EA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303E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46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东街、仁义街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72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C17">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52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5DB">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AD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3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8BD0">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9D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1A21FAC">
            <w:pPr>
              <w:jc w:val="center"/>
              <w:rPr>
                <w:rFonts w:hint="eastAsia" w:ascii="仿宋" w:hAnsi="仿宋" w:eastAsia="仿宋" w:cs="仿宋"/>
                <w:i w:val="0"/>
                <w:iCs w:val="0"/>
                <w:color w:val="auto"/>
                <w:sz w:val="24"/>
                <w:szCs w:val="24"/>
                <w:highlight w:val="none"/>
                <w:u w:val="none"/>
              </w:rPr>
            </w:pPr>
          </w:p>
        </w:tc>
      </w:tr>
      <w:tr w14:paraId="3963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7B9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1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兴仁街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0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FB78">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63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51A">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BB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BF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8F61">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9E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900BE56">
            <w:pPr>
              <w:jc w:val="center"/>
              <w:rPr>
                <w:rFonts w:hint="eastAsia" w:ascii="仿宋" w:hAnsi="仿宋" w:eastAsia="仿宋" w:cs="仿宋"/>
                <w:i w:val="0"/>
                <w:iCs w:val="0"/>
                <w:color w:val="auto"/>
                <w:sz w:val="24"/>
                <w:szCs w:val="24"/>
                <w:highlight w:val="none"/>
                <w:u w:val="none"/>
              </w:rPr>
            </w:pPr>
          </w:p>
        </w:tc>
      </w:tr>
      <w:tr w14:paraId="14F3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A11F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0F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东门街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D7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1A40">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68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D9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AF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48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37B">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4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27D83C7">
            <w:pPr>
              <w:jc w:val="center"/>
              <w:rPr>
                <w:rFonts w:hint="eastAsia" w:ascii="仿宋" w:hAnsi="仿宋" w:eastAsia="仿宋" w:cs="仿宋"/>
                <w:i w:val="0"/>
                <w:iCs w:val="0"/>
                <w:color w:val="auto"/>
                <w:sz w:val="24"/>
                <w:szCs w:val="24"/>
                <w:highlight w:val="none"/>
                <w:u w:val="none"/>
              </w:rPr>
            </w:pPr>
          </w:p>
        </w:tc>
      </w:tr>
      <w:tr w14:paraId="52B3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B8DB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6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兴龙路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4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CB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0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826">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A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BC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FA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C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24FF047">
            <w:pPr>
              <w:jc w:val="center"/>
              <w:rPr>
                <w:rFonts w:hint="eastAsia" w:ascii="仿宋" w:hAnsi="仿宋" w:eastAsia="仿宋" w:cs="仿宋"/>
                <w:i w:val="0"/>
                <w:iCs w:val="0"/>
                <w:color w:val="auto"/>
                <w:sz w:val="24"/>
                <w:szCs w:val="24"/>
                <w:highlight w:val="none"/>
                <w:u w:val="none"/>
              </w:rPr>
            </w:pPr>
          </w:p>
        </w:tc>
      </w:tr>
      <w:tr w14:paraId="0EF7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65A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B2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上龙路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E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718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3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8E4">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00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E0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D23">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12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FE88D2A">
            <w:pPr>
              <w:jc w:val="center"/>
              <w:rPr>
                <w:rFonts w:hint="eastAsia" w:ascii="仿宋" w:hAnsi="仿宋" w:eastAsia="仿宋" w:cs="仿宋"/>
                <w:i w:val="0"/>
                <w:iCs w:val="0"/>
                <w:color w:val="auto"/>
                <w:sz w:val="24"/>
                <w:szCs w:val="24"/>
                <w:highlight w:val="none"/>
                <w:u w:val="none"/>
              </w:rPr>
            </w:pPr>
          </w:p>
        </w:tc>
      </w:tr>
      <w:tr w14:paraId="36E9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FD64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B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新龙街、美龙珠路巷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E4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DE9">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F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6E3">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8D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AB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DE1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A3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7F7FDC5">
            <w:pPr>
              <w:jc w:val="center"/>
              <w:rPr>
                <w:rFonts w:hint="eastAsia" w:ascii="仿宋" w:hAnsi="仿宋" w:eastAsia="仿宋" w:cs="仿宋"/>
                <w:i w:val="0"/>
                <w:iCs w:val="0"/>
                <w:color w:val="auto"/>
                <w:sz w:val="24"/>
                <w:szCs w:val="24"/>
                <w:highlight w:val="none"/>
                <w:u w:val="none"/>
              </w:rPr>
            </w:pPr>
          </w:p>
        </w:tc>
      </w:tr>
      <w:tr w14:paraId="4D8A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96AFF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3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西街、营街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C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BE9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BF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98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BD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DE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AF0">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3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8EF316F">
            <w:pPr>
              <w:jc w:val="center"/>
              <w:rPr>
                <w:rFonts w:hint="eastAsia" w:ascii="仿宋" w:hAnsi="仿宋" w:eastAsia="仿宋" w:cs="仿宋"/>
                <w:i w:val="0"/>
                <w:iCs w:val="0"/>
                <w:color w:val="auto"/>
                <w:sz w:val="24"/>
                <w:szCs w:val="24"/>
                <w:highlight w:val="none"/>
                <w:u w:val="none"/>
              </w:rPr>
            </w:pPr>
          </w:p>
        </w:tc>
      </w:tr>
      <w:tr w14:paraId="27CE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BD01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77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南街、驮苗街、南门街</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19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10990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AACA">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B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10990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E4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B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10990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04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7F90">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5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1E41AD5">
            <w:pPr>
              <w:jc w:val="center"/>
              <w:rPr>
                <w:rFonts w:hint="eastAsia" w:ascii="仿宋" w:hAnsi="仿宋" w:eastAsia="仿宋" w:cs="仿宋"/>
                <w:i w:val="0"/>
                <w:iCs w:val="0"/>
                <w:color w:val="auto"/>
                <w:sz w:val="24"/>
                <w:szCs w:val="24"/>
                <w:highlight w:val="none"/>
                <w:u w:val="none"/>
              </w:rPr>
            </w:pPr>
          </w:p>
        </w:tc>
      </w:tr>
      <w:tr w14:paraId="6860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3339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2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泰山街、酒厂路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0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7D1">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A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E5F">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F4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99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344">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7D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C965C7E">
            <w:pPr>
              <w:jc w:val="center"/>
              <w:rPr>
                <w:rFonts w:hint="eastAsia" w:ascii="仿宋" w:hAnsi="仿宋" w:eastAsia="仿宋" w:cs="仿宋"/>
                <w:i w:val="0"/>
                <w:iCs w:val="0"/>
                <w:color w:val="auto"/>
                <w:sz w:val="24"/>
                <w:szCs w:val="24"/>
                <w:highlight w:val="none"/>
                <w:u w:val="none"/>
              </w:rPr>
            </w:pPr>
          </w:p>
        </w:tc>
      </w:tr>
      <w:tr w14:paraId="026B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EBC6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2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宣传文化中心广场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B8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6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E656">
            <w:pPr>
              <w:jc w:val="center"/>
              <w:rPr>
                <w:rFonts w:hint="eastAsia" w:ascii="仿宋" w:hAnsi="仿宋" w:eastAsia="仿宋" w:cs="仿宋"/>
                <w:i w:val="0"/>
                <w:iCs w:val="0"/>
                <w:color w:val="auto"/>
                <w:sz w:val="24"/>
                <w:szCs w:val="24"/>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A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C0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59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99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52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广场类</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C498551">
            <w:pPr>
              <w:jc w:val="center"/>
              <w:rPr>
                <w:rFonts w:hint="eastAsia" w:ascii="仿宋" w:hAnsi="仿宋" w:eastAsia="仿宋" w:cs="仿宋"/>
                <w:i w:val="0"/>
                <w:iCs w:val="0"/>
                <w:color w:val="auto"/>
                <w:sz w:val="24"/>
                <w:szCs w:val="24"/>
                <w:highlight w:val="none"/>
                <w:u w:val="none"/>
              </w:rPr>
            </w:pPr>
          </w:p>
        </w:tc>
      </w:tr>
      <w:tr w14:paraId="1BE1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B6B2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3A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朝阳小学正门道路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3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780">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7C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681">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0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73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1BDA">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F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55BFAA9">
            <w:pPr>
              <w:jc w:val="center"/>
              <w:rPr>
                <w:rFonts w:hint="eastAsia" w:ascii="仿宋" w:hAnsi="仿宋" w:eastAsia="仿宋" w:cs="仿宋"/>
                <w:i w:val="0"/>
                <w:iCs w:val="0"/>
                <w:color w:val="auto"/>
                <w:sz w:val="24"/>
                <w:szCs w:val="24"/>
                <w:highlight w:val="none"/>
                <w:u w:val="none"/>
              </w:rPr>
            </w:pPr>
          </w:p>
        </w:tc>
      </w:tr>
      <w:tr w14:paraId="29AD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9EFE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E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上龙路口至西南分场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04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ABE1">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5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330">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D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A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47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29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22EEBEB">
            <w:pPr>
              <w:jc w:val="center"/>
              <w:rPr>
                <w:rFonts w:hint="eastAsia" w:ascii="仿宋" w:hAnsi="仿宋" w:eastAsia="仿宋" w:cs="仿宋"/>
                <w:i w:val="0"/>
                <w:iCs w:val="0"/>
                <w:color w:val="auto"/>
                <w:sz w:val="24"/>
                <w:szCs w:val="24"/>
                <w:highlight w:val="none"/>
                <w:u w:val="none"/>
              </w:rPr>
            </w:pPr>
          </w:p>
        </w:tc>
      </w:tr>
      <w:tr w14:paraId="24E3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B083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C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龙北农场至小连城桥头</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1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C913">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5C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F119">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8A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6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B857">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C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0FCD8FE">
            <w:pPr>
              <w:jc w:val="center"/>
              <w:rPr>
                <w:rFonts w:hint="eastAsia" w:ascii="仿宋" w:hAnsi="仿宋" w:eastAsia="仿宋" w:cs="仿宋"/>
                <w:i w:val="0"/>
                <w:iCs w:val="0"/>
                <w:color w:val="auto"/>
                <w:sz w:val="24"/>
                <w:szCs w:val="24"/>
                <w:highlight w:val="none"/>
                <w:u w:val="none"/>
              </w:rPr>
            </w:pPr>
          </w:p>
        </w:tc>
      </w:tr>
      <w:tr w14:paraId="465C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AA07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D3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红八军纪念广场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78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83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1001">
            <w:pPr>
              <w:jc w:val="center"/>
              <w:rPr>
                <w:rFonts w:hint="eastAsia" w:ascii="仿宋" w:hAnsi="仿宋" w:eastAsia="仿宋" w:cs="仿宋"/>
                <w:i w:val="0"/>
                <w:iCs w:val="0"/>
                <w:color w:val="auto"/>
                <w:sz w:val="24"/>
                <w:szCs w:val="24"/>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F8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6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E2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9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B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广场类</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133E919">
            <w:pPr>
              <w:jc w:val="center"/>
              <w:rPr>
                <w:rFonts w:hint="eastAsia" w:ascii="仿宋" w:hAnsi="仿宋" w:eastAsia="仿宋" w:cs="仿宋"/>
                <w:i w:val="0"/>
                <w:iCs w:val="0"/>
                <w:color w:val="auto"/>
                <w:sz w:val="24"/>
                <w:szCs w:val="24"/>
                <w:highlight w:val="none"/>
                <w:u w:val="none"/>
              </w:rPr>
            </w:pPr>
          </w:p>
        </w:tc>
      </w:tr>
      <w:tr w14:paraId="4693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27A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F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祥和路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CE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72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7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7707">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F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BF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7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12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20D2613">
            <w:pPr>
              <w:jc w:val="center"/>
              <w:rPr>
                <w:rFonts w:hint="eastAsia" w:ascii="仿宋" w:hAnsi="仿宋" w:eastAsia="仿宋" w:cs="仿宋"/>
                <w:i w:val="0"/>
                <w:iCs w:val="0"/>
                <w:color w:val="auto"/>
                <w:sz w:val="24"/>
                <w:szCs w:val="24"/>
                <w:highlight w:val="none"/>
                <w:u w:val="none"/>
              </w:rPr>
            </w:pPr>
          </w:p>
        </w:tc>
      </w:tr>
      <w:tr w14:paraId="75E6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B4CF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同顾大道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F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55800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F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9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48178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CE9">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CA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BC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4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CE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7869585">
            <w:pPr>
              <w:jc w:val="center"/>
              <w:rPr>
                <w:rFonts w:hint="eastAsia" w:ascii="仿宋" w:hAnsi="仿宋" w:eastAsia="仿宋" w:cs="仿宋"/>
                <w:i w:val="0"/>
                <w:iCs w:val="0"/>
                <w:color w:val="auto"/>
                <w:sz w:val="24"/>
                <w:szCs w:val="24"/>
                <w:highlight w:val="none"/>
                <w:u w:val="none"/>
              </w:rPr>
            </w:pPr>
          </w:p>
        </w:tc>
      </w:tr>
      <w:tr w14:paraId="1584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378A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C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龙锦大道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EF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5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A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94617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FE2A">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F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5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0A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B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142ADF9">
            <w:pPr>
              <w:jc w:val="center"/>
              <w:rPr>
                <w:rFonts w:hint="eastAsia" w:ascii="仿宋" w:hAnsi="仿宋" w:eastAsia="仿宋" w:cs="仿宋"/>
                <w:i w:val="0"/>
                <w:iCs w:val="0"/>
                <w:color w:val="auto"/>
                <w:sz w:val="24"/>
                <w:szCs w:val="24"/>
                <w:highlight w:val="none"/>
                <w:u w:val="none"/>
              </w:rPr>
            </w:pPr>
          </w:p>
        </w:tc>
      </w:tr>
      <w:tr w14:paraId="27B2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5016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20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东江路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5D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65B">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6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91E">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B3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41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23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E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1D73A84">
            <w:pPr>
              <w:jc w:val="center"/>
              <w:rPr>
                <w:rFonts w:hint="eastAsia" w:ascii="仿宋" w:hAnsi="仿宋" w:eastAsia="仿宋" w:cs="仿宋"/>
                <w:i w:val="0"/>
                <w:iCs w:val="0"/>
                <w:color w:val="auto"/>
                <w:sz w:val="24"/>
                <w:szCs w:val="24"/>
                <w:highlight w:val="none"/>
                <w:u w:val="none"/>
              </w:rPr>
            </w:pPr>
          </w:p>
        </w:tc>
      </w:tr>
      <w:tr w14:paraId="6D7E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D2135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4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住建小区路巷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3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CEA1">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74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973">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1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DA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DE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FC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3C17A13">
            <w:pPr>
              <w:jc w:val="center"/>
              <w:rPr>
                <w:rFonts w:hint="eastAsia" w:ascii="仿宋" w:hAnsi="仿宋" w:eastAsia="仿宋" w:cs="仿宋"/>
                <w:i w:val="0"/>
                <w:iCs w:val="0"/>
                <w:color w:val="auto"/>
                <w:sz w:val="24"/>
                <w:szCs w:val="24"/>
                <w:highlight w:val="none"/>
                <w:u w:val="none"/>
              </w:rPr>
            </w:pPr>
          </w:p>
        </w:tc>
      </w:tr>
      <w:tr w14:paraId="3E8A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31A7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C0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高祥小区、食街路巷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3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0E4B">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1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409E">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9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74115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AA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2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D0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FDE8192">
            <w:pPr>
              <w:jc w:val="center"/>
              <w:rPr>
                <w:rFonts w:hint="eastAsia" w:ascii="仿宋" w:hAnsi="仿宋" w:eastAsia="仿宋" w:cs="仿宋"/>
                <w:i w:val="0"/>
                <w:iCs w:val="0"/>
                <w:color w:val="auto"/>
                <w:sz w:val="24"/>
                <w:szCs w:val="24"/>
                <w:highlight w:val="none"/>
                <w:u w:val="none"/>
              </w:rPr>
            </w:pPr>
          </w:p>
        </w:tc>
      </w:tr>
      <w:tr w14:paraId="7B18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7DC7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5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龙州国际至金桂市场（及周边道路）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7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45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83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E062">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A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4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0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5F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0F80D63">
            <w:pPr>
              <w:jc w:val="center"/>
              <w:rPr>
                <w:rFonts w:hint="eastAsia" w:ascii="仿宋" w:hAnsi="仿宋" w:eastAsia="仿宋" w:cs="仿宋"/>
                <w:i w:val="0"/>
                <w:iCs w:val="0"/>
                <w:color w:val="auto"/>
                <w:sz w:val="24"/>
                <w:szCs w:val="24"/>
                <w:highlight w:val="none"/>
                <w:u w:val="none"/>
              </w:rPr>
            </w:pPr>
          </w:p>
        </w:tc>
      </w:tr>
      <w:tr w14:paraId="325D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C06D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EB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水口海关与龙州国际间道路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8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2C0">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E7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FAB">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5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C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55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A5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A55908B">
            <w:pPr>
              <w:jc w:val="center"/>
              <w:rPr>
                <w:rFonts w:hint="eastAsia" w:ascii="仿宋" w:hAnsi="仿宋" w:eastAsia="仿宋" w:cs="仿宋"/>
                <w:i w:val="0"/>
                <w:iCs w:val="0"/>
                <w:color w:val="auto"/>
                <w:sz w:val="24"/>
                <w:szCs w:val="24"/>
                <w:highlight w:val="none"/>
                <w:u w:val="none"/>
              </w:rPr>
            </w:pPr>
          </w:p>
        </w:tc>
      </w:tr>
      <w:tr w14:paraId="447B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8D66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2C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龙海路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E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66F">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B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6190">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44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AA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1E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B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D81BCAC">
            <w:pPr>
              <w:jc w:val="center"/>
              <w:rPr>
                <w:rFonts w:hint="eastAsia" w:ascii="仿宋" w:hAnsi="仿宋" w:eastAsia="仿宋" w:cs="仿宋"/>
                <w:i w:val="0"/>
                <w:iCs w:val="0"/>
                <w:color w:val="auto"/>
                <w:sz w:val="24"/>
                <w:szCs w:val="24"/>
                <w:highlight w:val="none"/>
                <w:u w:val="none"/>
              </w:rPr>
            </w:pPr>
          </w:p>
        </w:tc>
      </w:tr>
      <w:tr w14:paraId="1C0A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FE43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45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龙润路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7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6F9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9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BB7F">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5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CD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F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2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DF1B59D">
            <w:pPr>
              <w:jc w:val="center"/>
              <w:rPr>
                <w:rFonts w:hint="eastAsia" w:ascii="仿宋" w:hAnsi="仿宋" w:eastAsia="仿宋" w:cs="仿宋"/>
                <w:i w:val="0"/>
                <w:iCs w:val="0"/>
                <w:color w:val="auto"/>
                <w:sz w:val="24"/>
                <w:szCs w:val="24"/>
                <w:highlight w:val="none"/>
                <w:u w:val="none"/>
              </w:rPr>
            </w:pPr>
          </w:p>
        </w:tc>
      </w:tr>
      <w:tr w14:paraId="5F57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E2A0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13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天湖路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24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3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6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41F4">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2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B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F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DFB">
            <w:pPr>
              <w:jc w:val="center"/>
              <w:rPr>
                <w:rFonts w:hint="eastAsia" w:ascii="仿宋" w:hAnsi="仿宋" w:eastAsia="仿宋" w:cs="仿宋"/>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1660D8F">
            <w:pPr>
              <w:jc w:val="center"/>
              <w:rPr>
                <w:rFonts w:hint="eastAsia" w:ascii="仿宋" w:hAnsi="仿宋" w:eastAsia="仿宋" w:cs="仿宋"/>
                <w:i w:val="0"/>
                <w:iCs w:val="0"/>
                <w:color w:val="auto"/>
                <w:sz w:val="24"/>
                <w:szCs w:val="24"/>
                <w:highlight w:val="none"/>
                <w:u w:val="none"/>
              </w:rPr>
            </w:pPr>
          </w:p>
        </w:tc>
      </w:tr>
      <w:tr w14:paraId="1C9F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7902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76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红馆国际旁道路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5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7C41">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A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0DB">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8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40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8B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E3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E50ADB6">
            <w:pPr>
              <w:jc w:val="center"/>
              <w:rPr>
                <w:rFonts w:hint="eastAsia" w:ascii="仿宋" w:hAnsi="仿宋" w:eastAsia="仿宋" w:cs="仿宋"/>
                <w:i w:val="0"/>
                <w:iCs w:val="0"/>
                <w:color w:val="auto"/>
                <w:sz w:val="24"/>
                <w:szCs w:val="24"/>
                <w:highlight w:val="none"/>
                <w:u w:val="none"/>
              </w:rPr>
            </w:pPr>
          </w:p>
        </w:tc>
      </w:tr>
      <w:tr w14:paraId="1B54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F053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E4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龙糖路口至龙水一级大道路口</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2A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30960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B5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666">
            <w:pPr>
              <w:jc w:val="center"/>
              <w:rPr>
                <w:rFonts w:hint="eastAsia" w:ascii="仿宋" w:hAnsi="仿宋" w:eastAsia="仿宋" w:cs="仿宋"/>
                <w:i w:val="0"/>
                <w:iCs w:val="0"/>
                <w:color w:val="auto"/>
                <w:sz w:val="24"/>
                <w:szCs w:val="24"/>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E8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30960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33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87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80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238">
            <w:pPr>
              <w:keepNext w:val="0"/>
              <w:keepLines w:val="0"/>
              <w:widowControl/>
              <w:suppressLineNumbers w:val="0"/>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按广场类新增新华小学旁路段至龙水路一级路路口21000㎡（机扫）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5030845">
            <w:pPr>
              <w:jc w:val="center"/>
              <w:rPr>
                <w:rFonts w:hint="eastAsia" w:ascii="仿宋" w:hAnsi="仿宋" w:eastAsia="仿宋" w:cs="仿宋"/>
                <w:i w:val="0"/>
                <w:iCs w:val="0"/>
                <w:color w:val="auto"/>
                <w:sz w:val="16"/>
                <w:szCs w:val="16"/>
                <w:highlight w:val="none"/>
                <w:u w:val="none"/>
              </w:rPr>
            </w:pPr>
          </w:p>
        </w:tc>
      </w:tr>
      <w:tr w14:paraId="6315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2E860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C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边防大队与质监局之间道路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EF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CD7F">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2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B0F8">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F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7D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591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DD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A73E619">
            <w:pPr>
              <w:jc w:val="center"/>
              <w:rPr>
                <w:rFonts w:hint="eastAsia" w:ascii="仿宋" w:hAnsi="仿宋" w:eastAsia="仿宋" w:cs="仿宋"/>
                <w:i w:val="0"/>
                <w:iCs w:val="0"/>
                <w:color w:val="auto"/>
                <w:sz w:val="24"/>
                <w:szCs w:val="24"/>
                <w:highlight w:val="none"/>
                <w:u w:val="none"/>
              </w:rPr>
            </w:pPr>
          </w:p>
        </w:tc>
      </w:tr>
      <w:tr w14:paraId="0654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689A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64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劳动小区路巷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1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7EFA">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E0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B0E">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B8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0C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20F">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7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1C8BCDD">
            <w:pPr>
              <w:jc w:val="center"/>
              <w:rPr>
                <w:rFonts w:hint="eastAsia" w:ascii="仿宋" w:hAnsi="仿宋" w:eastAsia="仿宋" w:cs="仿宋"/>
                <w:i w:val="0"/>
                <w:iCs w:val="0"/>
                <w:color w:val="auto"/>
                <w:sz w:val="24"/>
                <w:szCs w:val="24"/>
                <w:highlight w:val="none"/>
                <w:u w:val="none"/>
              </w:rPr>
            </w:pPr>
          </w:p>
        </w:tc>
      </w:tr>
      <w:tr w14:paraId="65B0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3FF2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C4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D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D0D">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AA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92A">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D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D5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5ECF">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C2A93EA">
            <w:pPr>
              <w:jc w:val="center"/>
              <w:rPr>
                <w:rFonts w:hint="eastAsia" w:ascii="仿宋" w:hAnsi="仿宋" w:eastAsia="仿宋" w:cs="仿宋"/>
                <w:i w:val="0"/>
                <w:iCs w:val="0"/>
                <w:color w:val="auto"/>
                <w:sz w:val="24"/>
                <w:szCs w:val="24"/>
                <w:highlight w:val="none"/>
                <w:u w:val="none"/>
              </w:rPr>
            </w:pPr>
          </w:p>
        </w:tc>
      </w:tr>
      <w:tr w14:paraId="0B46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9A6D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1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金海路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9C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992">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1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6324">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C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0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652">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B9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352556D">
            <w:pPr>
              <w:jc w:val="center"/>
              <w:rPr>
                <w:rFonts w:hint="eastAsia" w:ascii="仿宋" w:hAnsi="仿宋" w:eastAsia="仿宋" w:cs="仿宋"/>
                <w:i w:val="0"/>
                <w:iCs w:val="0"/>
                <w:color w:val="auto"/>
                <w:sz w:val="24"/>
                <w:szCs w:val="24"/>
                <w:highlight w:val="none"/>
                <w:u w:val="none"/>
              </w:rPr>
            </w:pPr>
          </w:p>
        </w:tc>
      </w:tr>
      <w:tr w14:paraId="6BDD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B8C1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0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边检、红八军纪念馆小区</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A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DA7">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1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45D">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4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27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8DF">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5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294616F">
            <w:pPr>
              <w:jc w:val="center"/>
              <w:rPr>
                <w:rFonts w:hint="eastAsia" w:ascii="仿宋" w:hAnsi="仿宋" w:eastAsia="仿宋" w:cs="仿宋"/>
                <w:i w:val="0"/>
                <w:iCs w:val="0"/>
                <w:color w:val="auto"/>
                <w:sz w:val="24"/>
                <w:szCs w:val="24"/>
                <w:highlight w:val="none"/>
                <w:u w:val="none"/>
              </w:rPr>
            </w:pPr>
          </w:p>
        </w:tc>
      </w:tr>
      <w:tr w14:paraId="552B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FCD7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13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金鹏路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A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838">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33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870">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0F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10080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B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0B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35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9E0702F">
            <w:pPr>
              <w:jc w:val="center"/>
              <w:rPr>
                <w:rFonts w:hint="eastAsia" w:ascii="仿宋" w:hAnsi="仿宋" w:eastAsia="仿宋" w:cs="仿宋"/>
                <w:i w:val="0"/>
                <w:iCs w:val="0"/>
                <w:color w:val="auto"/>
                <w:sz w:val="24"/>
                <w:szCs w:val="24"/>
                <w:highlight w:val="none"/>
                <w:u w:val="none"/>
              </w:rPr>
            </w:pPr>
          </w:p>
        </w:tc>
      </w:tr>
      <w:tr w14:paraId="56A3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60674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A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龙盛路、新兴路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1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9DB0">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DB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681">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9C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80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B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6F38C52">
            <w:pPr>
              <w:jc w:val="center"/>
              <w:rPr>
                <w:rFonts w:hint="eastAsia" w:ascii="仿宋" w:hAnsi="仿宋" w:eastAsia="仿宋" w:cs="仿宋"/>
                <w:i w:val="0"/>
                <w:iCs w:val="0"/>
                <w:color w:val="auto"/>
                <w:sz w:val="24"/>
                <w:szCs w:val="24"/>
                <w:highlight w:val="none"/>
                <w:u w:val="none"/>
              </w:rPr>
            </w:pPr>
          </w:p>
        </w:tc>
      </w:tr>
      <w:tr w14:paraId="3CC9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3CFE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F2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龙津街、建和路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0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201F">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8E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00EC">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4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ED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0D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45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6F7CB51">
            <w:pPr>
              <w:jc w:val="center"/>
              <w:rPr>
                <w:rFonts w:hint="eastAsia" w:ascii="仿宋" w:hAnsi="仿宋" w:eastAsia="仿宋" w:cs="仿宋"/>
                <w:i w:val="0"/>
                <w:iCs w:val="0"/>
                <w:color w:val="auto"/>
                <w:sz w:val="24"/>
                <w:szCs w:val="24"/>
                <w:highlight w:val="none"/>
                <w:u w:val="none"/>
              </w:rPr>
            </w:pPr>
          </w:p>
        </w:tc>
      </w:tr>
      <w:tr w14:paraId="5B9E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406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BF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龙州大桥两侧匝道</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02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F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88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20F">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34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A6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BA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E5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4D7C7DA">
            <w:pPr>
              <w:jc w:val="center"/>
              <w:rPr>
                <w:rFonts w:hint="eastAsia" w:ascii="仿宋" w:hAnsi="仿宋" w:eastAsia="仿宋" w:cs="仿宋"/>
                <w:i w:val="0"/>
                <w:iCs w:val="0"/>
                <w:color w:val="auto"/>
                <w:sz w:val="24"/>
                <w:szCs w:val="24"/>
                <w:highlight w:val="none"/>
                <w:u w:val="none"/>
              </w:rPr>
            </w:pPr>
          </w:p>
        </w:tc>
      </w:tr>
      <w:tr w14:paraId="1060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CF0E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5E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丽江路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BD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69510">
            <w:pPr>
              <w:jc w:val="both"/>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57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F3B2">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A8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00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8D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723</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5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533636">
            <w:pPr>
              <w:jc w:val="center"/>
              <w:rPr>
                <w:rFonts w:hint="eastAsia" w:ascii="仿宋" w:hAnsi="仿宋" w:eastAsia="仿宋" w:cs="仿宋"/>
                <w:i w:val="0"/>
                <w:iCs w:val="0"/>
                <w:color w:val="auto"/>
                <w:sz w:val="24"/>
                <w:szCs w:val="24"/>
                <w:highlight w:val="none"/>
                <w:u w:val="none"/>
              </w:rPr>
            </w:pPr>
          </w:p>
        </w:tc>
      </w:tr>
      <w:tr w14:paraId="5C8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A99C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D7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龙江街(含码头)、青龙桥沟及周边路巷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7A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ADB0C">
            <w:pPr>
              <w:jc w:val="both"/>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D8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EC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E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B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26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C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C131B7">
            <w:pPr>
              <w:jc w:val="center"/>
              <w:rPr>
                <w:rFonts w:hint="eastAsia" w:ascii="仿宋" w:hAnsi="仿宋" w:eastAsia="仿宋" w:cs="仿宋"/>
                <w:i w:val="0"/>
                <w:iCs w:val="0"/>
                <w:color w:val="auto"/>
                <w:sz w:val="24"/>
                <w:szCs w:val="24"/>
                <w:highlight w:val="none"/>
                <w:u w:val="none"/>
              </w:rPr>
            </w:pPr>
          </w:p>
        </w:tc>
      </w:tr>
      <w:tr w14:paraId="773C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91D2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C4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城东大道</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CC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F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4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A998">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D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0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6AE4">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2C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53970F">
            <w:pPr>
              <w:jc w:val="center"/>
              <w:rPr>
                <w:rFonts w:hint="eastAsia" w:ascii="仿宋" w:hAnsi="仿宋" w:eastAsia="仿宋" w:cs="仿宋"/>
                <w:i w:val="0"/>
                <w:iCs w:val="0"/>
                <w:color w:val="auto"/>
                <w:sz w:val="24"/>
                <w:szCs w:val="24"/>
                <w:highlight w:val="none"/>
                <w:u w:val="none"/>
              </w:rPr>
            </w:pPr>
          </w:p>
        </w:tc>
      </w:tr>
      <w:tr w14:paraId="2A09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EEA3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D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独山路延长线</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D9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40112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B6A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2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7A4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5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40112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A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C3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C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D23009">
            <w:pPr>
              <w:jc w:val="center"/>
              <w:rPr>
                <w:rFonts w:hint="eastAsia" w:ascii="仿宋" w:hAnsi="仿宋" w:eastAsia="仿宋" w:cs="仿宋"/>
                <w:i w:val="0"/>
                <w:iCs w:val="0"/>
                <w:color w:val="auto"/>
                <w:sz w:val="24"/>
                <w:szCs w:val="24"/>
                <w:highlight w:val="none"/>
                <w:u w:val="none"/>
              </w:rPr>
            </w:pPr>
          </w:p>
        </w:tc>
      </w:tr>
      <w:tr w14:paraId="2726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9F70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46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金帝豪庭前道路至金桂市场（家禽行前）</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68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1C969">
            <w:pPr>
              <w:jc w:val="both"/>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51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FE8A">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B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9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AB0">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7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E2A5ED">
            <w:pPr>
              <w:jc w:val="center"/>
              <w:rPr>
                <w:rFonts w:hint="eastAsia" w:ascii="仿宋" w:hAnsi="仿宋" w:eastAsia="仿宋" w:cs="仿宋"/>
                <w:i w:val="0"/>
                <w:iCs w:val="0"/>
                <w:color w:val="auto"/>
                <w:sz w:val="24"/>
                <w:szCs w:val="24"/>
                <w:highlight w:val="none"/>
                <w:u w:val="none"/>
              </w:rPr>
            </w:pPr>
          </w:p>
        </w:tc>
      </w:tr>
      <w:tr w14:paraId="208F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4447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0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天琴大道、纪念碑平台</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3E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D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C7FB">
            <w:pPr>
              <w:jc w:val="center"/>
              <w:rPr>
                <w:rFonts w:hint="eastAsia" w:ascii="仿宋" w:hAnsi="仿宋" w:eastAsia="仿宋" w:cs="仿宋"/>
                <w:i w:val="0"/>
                <w:iCs w:val="0"/>
                <w:color w:val="auto"/>
                <w:sz w:val="24"/>
                <w:szCs w:val="24"/>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EA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98677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3A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F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0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5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6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A3F972">
            <w:pPr>
              <w:jc w:val="center"/>
              <w:rPr>
                <w:rFonts w:hint="eastAsia" w:ascii="仿宋" w:hAnsi="仿宋" w:eastAsia="仿宋" w:cs="仿宋"/>
                <w:i w:val="0"/>
                <w:iCs w:val="0"/>
                <w:color w:val="auto"/>
                <w:sz w:val="24"/>
                <w:szCs w:val="24"/>
                <w:highlight w:val="none"/>
                <w:u w:val="none"/>
              </w:rPr>
            </w:pPr>
          </w:p>
        </w:tc>
      </w:tr>
      <w:tr w14:paraId="1B72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55CD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8D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龙北社区场部路巷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38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21978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B5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9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7F5">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22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21978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5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0E91">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3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single" w:color="000000" w:sz="4" w:space="0"/>
              <w:left w:val="single" w:color="000000" w:sz="4" w:space="0"/>
              <w:bottom w:val="nil"/>
              <w:right w:val="single" w:color="000000" w:sz="8" w:space="0"/>
            </w:tcBorders>
            <w:shd w:val="clear" w:color="auto" w:fill="auto"/>
            <w:vAlign w:val="bottom"/>
          </w:tcPr>
          <w:p w14:paraId="34B61881">
            <w:pPr>
              <w:rPr>
                <w:rFonts w:hint="eastAsia" w:ascii="仿宋" w:hAnsi="仿宋" w:eastAsia="仿宋" w:cs="仿宋"/>
                <w:i w:val="0"/>
                <w:iCs w:val="0"/>
                <w:color w:val="auto"/>
                <w:sz w:val="24"/>
                <w:szCs w:val="24"/>
                <w:highlight w:val="none"/>
                <w:u w:val="none"/>
              </w:rPr>
            </w:pPr>
          </w:p>
        </w:tc>
      </w:tr>
      <w:tr w14:paraId="380A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CA44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9C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龙北社区大坡分场路巷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9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93C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3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7F2">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3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9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355D">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A9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nil"/>
              <w:left w:val="single" w:color="000000" w:sz="4" w:space="0"/>
              <w:bottom w:val="nil"/>
              <w:right w:val="single" w:color="000000" w:sz="8" w:space="0"/>
            </w:tcBorders>
            <w:shd w:val="clear" w:color="auto" w:fill="auto"/>
            <w:vAlign w:val="bottom"/>
          </w:tcPr>
          <w:p w14:paraId="02C9E436">
            <w:pPr>
              <w:rPr>
                <w:rFonts w:hint="eastAsia" w:ascii="仿宋" w:hAnsi="仿宋" w:eastAsia="仿宋" w:cs="仿宋"/>
                <w:i w:val="0"/>
                <w:iCs w:val="0"/>
                <w:color w:val="auto"/>
                <w:sz w:val="24"/>
                <w:szCs w:val="24"/>
                <w:highlight w:val="none"/>
                <w:u w:val="none"/>
              </w:rPr>
            </w:pPr>
          </w:p>
        </w:tc>
      </w:tr>
      <w:tr w14:paraId="12A2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5974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4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龙北社区西南分场路巷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F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12654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DE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0A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864">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CD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12654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0D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CBA">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3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nil"/>
              <w:left w:val="single" w:color="000000" w:sz="4" w:space="0"/>
              <w:bottom w:val="nil"/>
              <w:right w:val="single" w:color="000000" w:sz="8" w:space="0"/>
            </w:tcBorders>
            <w:shd w:val="clear" w:color="auto" w:fill="auto"/>
            <w:vAlign w:val="bottom"/>
          </w:tcPr>
          <w:p w14:paraId="26F7F7A2">
            <w:pPr>
              <w:rPr>
                <w:rFonts w:hint="eastAsia" w:ascii="仿宋" w:hAnsi="仿宋" w:eastAsia="仿宋" w:cs="仿宋"/>
                <w:i w:val="0"/>
                <w:iCs w:val="0"/>
                <w:color w:val="auto"/>
                <w:sz w:val="24"/>
                <w:szCs w:val="24"/>
                <w:highlight w:val="none"/>
                <w:u w:val="none"/>
              </w:rPr>
            </w:pPr>
          </w:p>
        </w:tc>
      </w:tr>
      <w:tr w14:paraId="01CF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B88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B8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龙北社区马鞍山分场路巷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E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DE6">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B9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5CE2">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7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21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8C8">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E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668" w:type="dxa"/>
            <w:tcBorders>
              <w:top w:val="nil"/>
              <w:left w:val="single" w:color="000000" w:sz="4" w:space="0"/>
              <w:bottom w:val="nil"/>
              <w:right w:val="single" w:color="000000" w:sz="8" w:space="0"/>
            </w:tcBorders>
            <w:shd w:val="clear" w:color="auto" w:fill="auto"/>
            <w:vAlign w:val="bottom"/>
          </w:tcPr>
          <w:p w14:paraId="44058B84">
            <w:pPr>
              <w:rPr>
                <w:rFonts w:hint="eastAsia" w:ascii="仿宋" w:hAnsi="仿宋" w:eastAsia="仿宋" w:cs="仿宋"/>
                <w:i w:val="0"/>
                <w:iCs w:val="0"/>
                <w:color w:val="auto"/>
                <w:sz w:val="24"/>
                <w:szCs w:val="24"/>
                <w:highlight w:val="none"/>
                <w:u w:val="none"/>
              </w:rPr>
            </w:pPr>
          </w:p>
        </w:tc>
      </w:tr>
      <w:tr w14:paraId="5E55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834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w:t>
            </w:r>
          </w:p>
        </w:tc>
        <w:tc>
          <w:tcPr>
            <w:tcW w:w="1938" w:type="dxa"/>
            <w:tcBorders>
              <w:top w:val="single" w:color="000000" w:sz="4" w:space="0"/>
              <w:left w:val="nil"/>
              <w:bottom w:val="single" w:color="000000" w:sz="4" w:space="0"/>
              <w:right w:val="single" w:color="000000" w:sz="4" w:space="0"/>
            </w:tcBorders>
            <w:shd w:val="clear" w:color="auto" w:fill="auto"/>
            <w:vAlign w:val="center"/>
          </w:tcPr>
          <w:p w14:paraId="6776AB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天琴湖公园</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5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93482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3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25174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6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68308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F62">
            <w:pPr>
              <w:jc w:val="center"/>
              <w:rPr>
                <w:rFonts w:hint="eastAsia" w:ascii="仿宋" w:hAnsi="仿宋" w:eastAsia="仿宋" w:cs="仿宋"/>
                <w:i w:val="0"/>
                <w:iCs w:val="0"/>
                <w:color w:val="auto"/>
                <w:sz w:val="24"/>
                <w:szCs w:val="24"/>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A3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93482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917B">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nil"/>
            </w:tcBorders>
            <w:shd w:val="clear" w:color="auto" w:fill="auto"/>
            <w:vAlign w:val="center"/>
          </w:tcPr>
          <w:p w14:paraId="4BA1FF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广场类（机扫）</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5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新增</w:t>
            </w:r>
          </w:p>
        </w:tc>
      </w:tr>
      <w:tr w14:paraId="607C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DA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w:t>
            </w:r>
          </w:p>
        </w:tc>
        <w:tc>
          <w:tcPr>
            <w:tcW w:w="1938" w:type="dxa"/>
            <w:tcBorders>
              <w:top w:val="single" w:color="000000" w:sz="4" w:space="0"/>
              <w:left w:val="nil"/>
              <w:bottom w:val="single" w:color="000000" w:sz="4" w:space="0"/>
              <w:right w:val="single" w:color="000000" w:sz="4" w:space="0"/>
            </w:tcBorders>
            <w:shd w:val="clear" w:color="auto" w:fill="auto"/>
            <w:vAlign w:val="center"/>
          </w:tcPr>
          <w:p w14:paraId="24048D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西南分场至上龙中转站路口（市政路）</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20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93AE">
            <w:pPr>
              <w:jc w:val="center"/>
              <w:rPr>
                <w:rFonts w:hint="eastAsia" w:ascii="仿宋" w:hAnsi="仿宋" w:eastAsia="仿宋" w:cs="仿宋"/>
                <w:i w:val="0"/>
                <w:iCs w:val="0"/>
                <w:color w:val="auto"/>
                <w:sz w:val="24"/>
                <w:szCs w:val="24"/>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F5A7">
            <w:pPr>
              <w:jc w:val="center"/>
              <w:rPr>
                <w:rFonts w:hint="eastAsia" w:ascii="仿宋" w:hAnsi="仿宋" w:eastAsia="仿宋" w:cs="仿宋"/>
                <w:i w:val="0"/>
                <w:iCs w:val="0"/>
                <w:color w:val="auto"/>
                <w:sz w:val="24"/>
                <w:szCs w:val="24"/>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02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60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8C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8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F7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668" w:type="dxa"/>
            <w:tcBorders>
              <w:top w:val="nil"/>
              <w:left w:val="single" w:color="000000" w:sz="4" w:space="0"/>
              <w:bottom w:val="single" w:color="000000" w:sz="4" w:space="0"/>
              <w:right w:val="single" w:color="000000" w:sz="8" w:space="0"/>
            </w:tcBorders>
            <w:shd w:val="clear" w:color="auto" w:fill="auto"/>
            <w:noWrap/>
            <w:vAlign w:val="center"/>
          </w:tcPr>
          <w:p w14:paraId="028242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新增</w:t>
            </w:r>
          </w:p>
        </w:tc>
      </w:tr>
      <w:tr w14:paraId="4C6D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9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3F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小计</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09B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1430802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861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119310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2D5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1112955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73E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198537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FA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1430802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F4D">
            <w:pPr>
              <w:jc w:val="center"/>
              <w:rPr>
                <w:rFonts w:hint="eastAsia" w:ascii="仿宋" w:hAnsi="仿宋" w:eastAsia="仿宋" w:cs="仿宋"/>
                <w:b/>
                <w:bCs/>
                <w:i w:val="0"/>
                <w:iCs w:val="0"/>
                <w:color w:val="auto"/>
                <w:sz w:val="24"/>
                <w:szCs w:val="24"/>
                <w:highlight w:val="none"/>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4F6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7953</w:t>
            </w: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0B4D">
            <w:pPr>
              <w:jc w:val="center"/>
              <w:rPr>
                <w:rFonts w:hint="eastAsia" w:ascii="仿宋" w:hAnsi="仿宋" w:eastAsia="仿宋" w:cs="仿宋"/>
                <w:b/>
                <w:bCs/>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008A49">
            <w:pPr>
              <w:jc w:val="center"/>
              <w:rPr>
                <w:rFonts w:hint="eastAsia" w:ascii="仿宋" w:hAnsi="仿宋" w:eastAsia="仿宋" w:cs="仿宋"/>
                <w:b/>
                <w:bCs/>
                <w:i w:val="0"/>
                <w:iCs w:val="0"/>
                <w:color w:val="auto"/>
                <w:sz w:val="24"/>
                <w:szCs w:val="24"/>
                <w:highlight w:val="none"/>
                <w:u w:val="none"/>
              </w:rPr>
            </w:pPr>
          </w:p>
        </w:tc>
      </w:tr>
      <w:tr w14:paraId="4F2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40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90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新填地广场旁厕所</w:t>
            </w:r>
          </w:p>
        </w:tc>
        <w:tc>
          <w:tcPr>
            <w:tcW w:w="62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C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1座</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3FEC">
            <w:pPr>
              <w:rPr>
                <w:rFonts w:hint="eastAsia" w:ascii="仿宋" w:hAnsi="仿宋" w:eastAsia="仿宋" w:cs="仿宋"/>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31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9E42">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D8F1">
            <w:pPr>
              <w:jc w:val="center"/>
              <w:rPr>
                <w:rFonts w:hint="eastAsia" w:ascii="仿宋" w:hAnsi="仿宋" w:eastAsia="仿宋" w:cs="仿宋"/>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22F269">
            <w:pPr>
              <w:jc w:val="center"/>
              <w:rPr>
                <w:rFonts w:hint="eastAsia" w:ascii="仿宋" w:hAnsi="仿宋" w:eastAsia="仿宋" w:cs="仿宋"/>
                <w:i w:val="0"/>
                <w:iCs w:val="0"/>
                <w:color w:val="auto"/>
                <w:sz w:val="24"/>
                <w:szCs w:val="24"/>
                <w:highlight w:val="none"/>
                <w:u w:val="none"/>
              </w:rPr>
            </w:pPr>
          </w:p>
        </w:tc>
      </w:tr>
      <w:tr w14:paraId="09FA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C3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07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伏波庙旁厕所</w:t>
            </w:r>
          </w:p>
        </w:tc>
        <w:tc>
          <w:tcPr>
            <w:tcW w:w="62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93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1座</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EEA8">
            <w:pPr>
              <w:rPr>
                <w:rFonts w:hint="eastAsia" w:ascii="仿宋" w:hAnsi="仿宋" w:eastAsia="仿宋" w:cs="仿宋"/>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0B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4E0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A735">
            <w:pPr>
              <w:jc w:val="center"/>
              <w:rPr>
                <w:rFonts w:hint="eastAsia" w:ascii="仿宋" w:hAnsi="仿宋" w:eastAsia="仿宋" w:cs="仿宋"/>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FB2333">
            <w:pPr>
              <w:jc w:val="center"/>
              <w:rPr>
                <w:rFonts w:hint="eastAsia" w:ascii="仿宋" w:hAnsi="仿宋" w:eastAsia="仿宋" w:cs="仿宋"/>
                <w:i w:val="0"/>
                <w:iCs w:val="0"/>
                <w:color w:val="auto"/>
                <w:sz w:val="24"/>
                <w:szCs w:val="24"/>
                <w:highlight w:val="none"/>
                <w:u w:val="none"/>
              </w:rPr>
            </w:pPr>
          </w:p>
        </w:tc>
      </w:tr>
      <w:tr w14:paraId="00F0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E7F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4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康平街旧百货旁厕所</w:t>
            </w:r>
          </w:p>
        </w:tc>
        <w:tc>
          <w:tcPr>
            <w:tcW w:w="62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B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1座</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80C7">
            <w:pPr>
              <w:rPr>
                <w:rFonts w:hint="eastAsia" w:ascii="仿宋" w:hAnsi="仿宋" w:eastAsia="仿宋" w:cs="仿宋"/>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E2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0358">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1E23">
            <w:pPr>
              <w:jc w:val="center"/>
              <w:rPr>
                <w:rFonts w:hint="eastAsia" w:ascii="仿宋" w:hAnsi="仿宋" w:eastAsia="仿宋" w:cs="仿宋"/>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6587D3">
            <w:pPr>
              <w:jc w:val="center"/>
              <w:rPr>
                <w:rFonts w:hint="eastAsia" w:ascii="仿宋" w:hAnsi="仿宋" w:eastAsia="仿宋" w:cs="仿宋"/>
                <w:i w:val="0"/>
                <w:iCs w:val="0"/>
                <w:color w:val="auto"/>
                <w:sz w:val="24"/>
                <w:szCs w:val="24"/>
                <w:highlight w:val="none"/>
                <w:u w:val="none"/>
              </w:rPr>
            </w:pPr>
          </w:p>
        </w:tc>
      </w:tr>
      <w:tr w14:paraId="5B55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D6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3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龙鑫市场内厕所</w:t>
            </w:r>
          </w:p>
        </w:tc>
        <w:tc>
          <w:tcPr>
            <w:tcW w:w="62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D1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1座</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34C2">
            <w:pPr>
              <w:rPr>
                <w:rFonts w:hint="eastAsia" w:ascii="仿宋" w:hAnsi="仿宋" w:eastAsia="仿宋" w:cs="仿宋"/>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3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7259">
            <w:pPr>
              <w:jc w:val="center"/>
              <w:rPr>
                <w:rFonts w:hint="eastAsia" w:ascii="仿宋" w:hAnsi="仿宋" w:eastAsia="仿宋" w:cs="仿宋"/>
                <w:i w:val="0"/>
                <w:iCs w:val="0"/>
                <w:color w:val="auto"/>
                <w:sz w:val="24"/>
                <w:szCs w:val="24"/>
                <w:highlight w:val="none"/>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A89C">
            <w:pPr>
              <w:jc w:val="center"/>
              <w:rPr>
                <w:rFonts w:hint="eastAsia" w:ascii="仿宋" w:hAnsi="仿宋" w:eastAsia="仿宋" w:cs="仿宋"/>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09A666">
            <w:pPr>
              <w:jc w:val="center"/>
              <w:rPr>
                <w:rFonts w:hint="eastAsia" w:ascii="仿宋" w:hAnsi="仿宋" w:eastAsia="仿宋" w:cs="仿宋"/>
                <w:i w:val="0"/>
                <w:iCs w:val="0"/>
                <w:color w:val="auto"/>
                <w:sz w:val="24"/>
                <w:szCs w:val="24"/>
                <w:highlight w:val="none"/>
                <w:u w:val="none"/>
              </w:rPr>
            </w:pPr>
          </w:p>
        </w:tc>
      </w:tr>
      <w:tr w14:paraId="3B04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1F90C5">
            <w:pPr>
              <w:jc w:val="center"/>
              <w:rPr>
                <w:rFonts w:hint="eastAsia" w:ascii="仿宋" w:hAnsi="仿宋" w:eastAsia="仿宋" w:cs="仿宋"/>
                <w:b/>
                <w:bCs/>
                <w:i w:val="0"/>
                <w:iCs w:val="0"/>
                <w:color w:val="auto"/>
                <w:sz w:val="22"/>
                <w:szCs w:val="22"/>
                <w:highlight w:val="none"/>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A2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462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1430802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48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119310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A5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1112955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2CA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198537</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A24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1430802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4D64">
            <w:pPr>
              <w:jc w:val="center"/>
              <w:rPr>
                <w:rFonts w:hint="eastAsia" w:ascii="宋体" w:hAnsi="宋体" w:eastAsia="宋体" w:cs="宋体"/>
                <w:b/>
                <w:bCs/>
                <w:i w:val="0"/>
                <w:iCs w:val="0"/>
                <w:color w:val="auto"/>
                <w:sz w:val="24"/>
                <w:szCs w:val="24"/>
                <w:highlight w:val="none"/>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A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7953</w:t>
            </w:r>
          </w:p>
        </w:tc>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B39">
            <w:pPr>
              <w:jc w:val="center"/>
              <w:rPr>
                <w:rFonts w:hint="eastAsia" w:ascii="宋体" w:hAnsi="宋体" w:eastAsia="宋体" w:cs="宋体"/>
                <w:b/>
                <w:bCs/>
                <w:i w:val="0"/>
                <w:iCs w:val="0"/>
                <w:color w:val="auto"/>
                <w:sz w:val="24"/>
                <w:szCs w:val="24"/>
                <w:highlight w:val="none"/>
                <w:u w:val="none"/>
              </w:rPr>
            </w:pPr>
          </w:p>
        </w:tc>
        <w:tc>
          <w:tcPr>
            <w:tcW w:w="66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B39341">
            <w:pPr>
              <w:jc w:val="center"/>
              <w:rPr>
                <w:rFonts w:hint="eastAsia" w:ascii="宋体" w:hAnsi="宋体" w:eastAsia="宋体" w:cs="宋体"/>
                <w:b/>
                <w:bCs/>
                <w:i w:val="0"/>
                <w:iCs w:val="0"/>
                <w:color w:val="auto"/>
                <w:sz w:val="24"/>
                <w:szCs w:val="24"/>
                <w:highlight w:val="none"/>
                <w:u w:val="none"/>
              </w:rPr>
            </w:pPr>
          </w:p>
        </w:tc>
      </w:tr>
    </w:tbl>
    <w:p w14:paraId="5E1C5E44">
      <w:pPr>
        <w:pStyle w:val="19"/>
        <w:ind w:firstLine="480"/>
        <w:rPr>
          <w:color w:val="auto"/>
          <w:highlight w:val="none"/>
          <w:lang w:eastAsia="zh-CN"/>
        </w:rPr>
      </w:pPr>
    </w:p>
    <w:p w14:paraId="698C0E8A">
      <w:pPr>
        <w:pStyle w:val="4"/>
        <w:spacing w:before="0" w:after="0" w:line="440" w:lineRule="exact"/>
        <w:textAlignment w:val="baseline"/>
        <w:rPr>
          <w:rFonts w:ascii="仿宋" w:hAnsi="仿宋" w:eastAsia="仿宋" w:cs="仿宋"/>
          <w:b w:val="0"/>
          <w:color w:val="auto"/>
          <w:szCs w:val="24"/>
          <w:highlight w:val="none"/>
        </w:rPr>
      </w:pPr>
      <w:bookmarkStart w:id="5" w:name="_Toc7898"/>
      <w:r>
        <w:rPr>
          <w:rFonts w:hint="eastAsia" w:ascii="仿宋" w:hAnsi="仿宋" w:eastAsia="仿宋" w:cs="仿宋"/>
          <w:b w:val="0"/>
          <w:color w:val="auto"/>
          <w:szCs w:val="24"/>
          <w:highlight w:val="none"/>
        </w:rPr>
        <w:t>2.保洁工作</w:t>
      </w:r>
      <w:bookmarkEnd w:id="5"/>
      <w:r>
        <w:rPr>
          <w:rFonts w:hint="eastAsia" w:ascii="仿宋" w:hAnsi="仿宋" w:eastAsia="仿宋" w:cs="仿宋"/>
          <w:b w:val="0"/>
          <w:color w:val="auto"/>
          <w:szCs w:val="24"/>
          <w:highlight w:val="none"/>
        </w:rPr>
        <w:t>范围</w:t>
      </w:r>
    </w:p>
    <w:p w14:paraId="6CFBD2D5">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bookmarkStart w:id="6" w:name="_Toc17687"/>
      <w:r>
        <w:rPr>
          <w:rFonts w:hint="eastAsia" w:ascii="仿宋" w:hAnsi="仿宋" w:eastAsia="仿宋" w:cs="仿宋"/>
          <w:b w:val="0"/>
          <w:color w:val="auto"/>
          <w:kern w:val="0"/>
          <w:szCs w:val="24"/>
          <w:highlight w:val="none"/>
        </w:rPr>
        <w:t>⑴乙方负责城市道路（含隔离栏）和公共场所路面、人行道（包括门店前）的绿化带及行道树穴的清扫、保洁；</w:t>
      </w:r>
    </w:p>
    <w:p w14:paraId="15B8D64E">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⑵街道路边果皮箱、环卫工具房等环卫设施的清洗维护；</w:t>
      </w:r>
    </w:p>
    <w:p w14:paraId="25C172B7">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⑶清扫保洁垃圾和承包范围内的垃圾清运服务（含垃圾中转站的维护管理）；</w:t>
      </w:r>
    </w:p>
    <w:p w14:paraId="635B0071">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⑷现有区域绿化修整养护服务（不含种植和未来区域扩增的绿化面积）;</w:t>
      </w:r>
    </w:p>
    <w:p w14:paraId="6ED2225C">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⑸公厕保洁管理（即新填地广场旁、伏波庙旁、康平街旧百货旁、龙鑫市场内）;</w:t>
      </w:r>
    </w:p>
    <w:p w14:paraId="3C6F21B2">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⑹向管理部门反馈路面卫生动态。未来新增的作业面积和范围根据试用期效果另行协商;</w:t>
      </w:r>
    </w:p>
    <w:p w14:paraId="29704279">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⑺以上服务业务如有新增，甲乙双方另行协商。</w:t>
      </w:r>
    </w:p>
    <w:p w14:paraId="08872646">
      <w:pPr>
        <w:pStyle w:val="4"/>
        <w:spacing w:before="0" w:after="0" w:line="440" w:lineRule="exact"/>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3.保洁工作内容</w:t>
      </w:r>
      <w:bookmarkEnd w:id="6"/>
    </w:p>
    <w:p w14:paraId="6AF23D12">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分标片区范围内道路的清扫、冲洗、洒水、喷雾降尘和保洁（包含广场、人行道、绿化带及树池内的清扫、除杂草杂树枯枝、除油污、保洁、护栏清洗等，定期对项目范围内道路雨水井进行清淤、除沉泥沉沙）；</w:t>
      </w:r>
    </w:p>
    <w:p w14:paraId="132C5FF1">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（2）分标片区范围内及县城周边村屯生活垃圾清转运（包含沿街大型酒楼、娱乐场所、单位等垃圾点的收集、范围路段果皮箱和垃圾桶垃圾清运）；</w:t>
      </w:r>
    </w:p>
    <w:p w14:paraId="7BE92702">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（3）分标片区范围内中转站、周转垃圾桶保洁、消毒、维护等管理；</w:t>
      </w:r>
    </w:p>
    <w:p w14:paraId="6DC28D94">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（4）分标片区范围内公厕的保洁、消毒、维护等管理；</w:t>
      </w:r>
    </w:p>
    <w:p w14:paraId="285A4FAF">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（5）分标片区范围内各类违法广告清理；</w:t>
      </w:r>
    </w:p>
    <w:p w14:paraId="78704895">
      <w:pPr>
        <w:pStyle w:val="12"/>
        <w:spacing w:line="24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人员、车辆设备配置</w:t>
      </w:r>
    </w:p>
    <w:p w14:paraId="7A85BD6D">
      <w:pPr>
        <w:pStyle w:val="4"/>
        <w:spacing w:before="0" w:after="0" w:line="240" w:lineRule="auto"/>
        <w:ind w:firstLine="480" w:firstLineChars="200"/>
        <w:textAlignment w:val="baseline"/>
        <w:rPr>
          <w:rFonts w:ascii="仿宋" w:hAnsi="仿宋" w:eastAsia="仿宋" w:cs="仿宋"/>
          <w:b w:val="0"/>
          <w:color w:val="auto"/>
          <w:szCs w:val="24"/>
          <w:highlight w:val="none"/>
        </w:rPr>
      </w:pPr>
      <w:bookmarkStart w:id="7" w:name="_Toc18425"/>
      <w:bookmarkStart w:id="8" w:name="_Toc31753"/>
      <w:r>
        <w:rPr>
          <w:rFonts w:hint="eastAsia" w:ascii="仿宋" w:hAnsi="仿宋" w:eastAsia="仿宋" w:cs="仿宋"/>
          <w:b w:val="0"/>
          <w:color w:val="auto"/>
          <w:szCs w:val="24"/>
          <w:highlight w:val="none"/>
        </w:rPr>
        <w:t>（一）、管理及清扫保洁人员配置</w:t>
      </w:r>
      <w:bookmarkEnd w:id="7"/>
      <w:bookmarkEnd w:id="8"/>
    </w:p>
    <w:p w14:paraId="482533C6">
      <w:pPr>
        <w:spacing w:line="24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结合龙州县实际情况具体人员配置如下：</w:t>
      </w:r>
    </w:p>
    <w:tbl>
      <w:tblPr>
        <w:tblStyle w:val="20"/>
        <w:tblW w:w="12776" w:type="dxa"/>
        <w:tblInd w:w="91" w:type="dxa"/>
        <w:tblLayout w:type="fixed"/>
        <w:tblCellMar>
          <w:top w:w="0" w:type="dxa"/>
          <w:left w:w="108" w:type="dxa"/>
          <w:bottom w:w="0" w:type="dxa"/>
          <w:right w:w="108" w:type="dxa"/>
        </w:tblCellMar>
      </w:tblPr>
      <w:tblGrid>
        <w:gridCol w:w="1213"/>
        <w:gridCol w:w="1978"/>
        <w:gridCol w:w="3237"/>
        <w:gridCol w:w="1792"/>
        <w:gridCol w:w="4556"/>
      </w:tblGrid>
      <w:tr w14:paraId="1999C643">
        <w:tblPrEx>
          <w:tblCellMar>
            <w:top w:w="0" w:type="dxa"/>
            <w:left w:w="108" w:type="dxa"/>
            <w:bottom w:w="0" w:type="dxa"/>
            <w:right w:w="108" w:type="dxa"/>
          </w:tblCellMar>
        </w:tblPrEx>
        <w:trPr>
          <w:trHeight w:val="515" w:hRule="exact"/>
        </w:trPr>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0E9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D97">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类型</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E6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岗位名称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EBDB">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人数</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862">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4F080B21">
        <w:tblPrEx>
          <w:tblCellMar>
            <w:top w:w="0" w:type="dxa"/>
            <w:left w:w="108" w:type="dxa"/>
            <w:bottom w:w="0" w:type="dxa"/>
            <w:right w:w="108" w:type="dxa"/>
          </w:tblCellMar>
        </w:tblPrEx>
        <w:trPr>
          <w:trHeight w:val="515" w:hRule="exac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0C2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5B77">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管理人员</w:t>
            </w: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6E6A">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项目经理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08C1">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8548">
            <w:pPr>
              <w:widowControl/>
              <w:jc w:val="center"/>
              <w:textAlignment w:val="center"/>
              <w:rPr>
                <w:rFonts w:ascii="仿宋" w:hAnsi="仿宋" w:eastAsia="仿宋" w:cs="仿宋"/>
                <w:color w:val="auto"/>
                <w:szCs w:val="21"/>
                <w:highlight w:val="none"/>
              </w:rPr>
            </w:pPr>
          </w:p>
        </w:tc>
      </w:tr>
      <w:tr w14:paraId="1BD6FEEB">
        <w:tblPrEx>
          <w:tblCellMar>
            <w:top w:w="0" w:type="dxa"/>
            <w:left w:w="108" w:type="dxa"/>
            <w:bottom w:w="0" w:type="dxa"/>
            <w:right w:w="108" w:type="dxa"/>
          </w:tblCellMar>
        </w:tblPrEx>
        <w:trPr>
          <w:trHeight w:val="515"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25AE">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75F0">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EA1">
            <w:pPr>
              <w:widowControl/>
              <w:jc w:val="center"/>
              <w:textAlignment w:val="center"/>
              <w:rPr>
                <w:rFonts w:cs="仿宋" w:asciiTheme="minorEastAsia" w:hAnsiTheme="minorEastAsia" w:eastAsiaTheme="minorEastAsia"/>
                <w:color w:val="auto"/>
                <w:kern w:val="0"/>
                <w:szCs w:val="21"/>
                <w:highlight w:val="none"/>
              </w:rPr>
            </w:pPr>
            <w:r>
              <w:rPr>
                <w:rFonts w:hint="eastAsia" w:cs="仿宋" w:asciiTheme="minorEastAsia" w:hAnsiTheme="minorEastAsia" w:eastAsiaTheme="minorEastAsia"/>
                <w:color w:val="auto"/>
                <w:kern w:val="0"/>
                <w:szCs w:val="21"/>
                <w:highlight w:val="none"/>
              </w:rPr>
              <w:t>财务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F63">
            <w:pPr>
              <w:widowControl/>
              <w:jc w:val="center"/>
              <w:textAlignment w:val="center"/>
              <w:rPr>
                <w:rFonts w:cs="仿宋" w:asciiTheme="minorEastAsia" w:hAnsiTheme="minorEastAsia" w:eastAsiaTheme="minorEastAsia"/>
                <w:color w:val="auto"/>
                <w:kern w:val="0"/>
                <w:szCs w:val="21"/>
                <w:highlight w:val="none"/>
              </w:rPr>
            </w:pPr>
            <w:r>
              <w:rPr>
                <w:rFonts w:hint="eastAsia" w:cs="仿宋" w:asciiTheme="minorEastAsia" w:hAnsiTheme="minorEastAsia" w:eastAsiaTheme="minorEastAsia"/>
                <w:color w:val="auto"/>
                <w:kern w:val="0"/>
                <w:szCs w:val="21"/>
                <w:highlight w:val="none"/>
              </w:rPr>
              <w:t>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90C">
            <w:pPr>
              <w:widowControl/>
              <w:jc w:val="center"/>
              <w:textAlignment w:val="center"/>
              <w:rPr>
                <w:rFonts w:ascii="仿宋" w:hAnsi="仿宋" w:eastAsia="仿宋" w:cs="仿宋"/>
                <w:color w:val="auto"/>
                <w:szCs w:val="21"/>
                <w:highlight w:val="none"/>
              </w:rPr>
            </w:pPr>
          </w:p>
        </w:tc>
      </w:tr>
      <w:tr w14:paraId="141C4091">
        <w:tblPrEx>
          <w:tblCellMar>
            <w:top w:w="0" w:type="dxa"/>
            <w:left w:w="108" w:type="dxa"/>
            <w:bottom w:w="0" w:type="dxa"/>
            <w:right w:w="108" w:type="dxa"/>
          </w:tblCellMar>
        </w:tblPrEx>
        <w:trPr>
          <w:trHeight w:val="515" w:hRule="exac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8A5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845C4">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项目实施人员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F2C">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压缩车司机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9DE">
            <w:pPr>
              <w:widowControl/>
              <w:jc w:val="center"/>
              <w:textAlignment w:val="center"/>
              <w:rPr>
                <w:rFonts w:hint="eastAsia"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color w:val="auto"/>
                <w:szCs w:val="21"/>
                <w:highlight w:val="none"/>
                <w:lang w:val="en-US" w:eastAsia="zh-CN"/>
              </w:rPr>
              <w:t>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FF2">
            <w:pPr>
              <w:widowControl/>
              <w:jc w:val="center"/>
              <w:textAlignment w:val="center"/>
              <w:rPr>
                <w:rFonts w:ascii="仿宋" w:hAnsi="仿宋" w:eastAsia="仿宋" w:cs="仿宋"/>
                <w:color w:val="auto"/>
                <w:szCs w:val="21"/>
                <w:highlight w:val="none"/>
              </w:rPr>
            </w:pPr>
          </w:p>
        </w:tc>
      </w:tr>
      <w:tr w14:paraId="4F372CF8">
        <w:tblPrEx>
          <w:tblCellMar>
            <w:top w:w="0" w:type="dxa"/>
            <w:left w:w="108" w:type="dxa"/>
            <w:bottom w:w="0" w:type="dxa"/>
            <w:right w:w="108" w:type="dxa"/>
          </w:tblCellMar>
        </w:tblPrEx>
        <w:trPr>
          <w:trHeight w:val="515"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184E">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BA93">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F0E">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其他车司机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6863">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23A">
            <w:pPr>
              <w:widowControl/>
              <w:jc w:val="center"/>
              <w:textAlignment w:val="center"/>
              <w:rPr>
                <w:rFonts w:ascii="仿宋" w:hAnsi="仿宋" w:eastAsia="仿宋" w:cs="仿宋"/>
                <w:color w:val="auto"/>
                <w:szCs w:val="21"/>
                <w:highlight w:val="none"/>
              </w:rPr>
            </w:pPr>
          </w:p>
        </w:tc>
      </w:tr>
      <w:tr w14:paraId="28FFBF89">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0FD">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8BCE">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385">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员工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628">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922A">
            <w:pPr>
              <w:widowControl/>
              <w:jc w:val="center"/>
              <w:textAlignment w:val="center"/>
              <w:rPr>
                <w:rFonts w:ascii="仿宋" w:hAnsi="仿宋" w:eastAsia="仿宋" w:cs="仿宋"/>
                <w:color w:val="auto"/>
                <w:kern w:val="0"/>
                <w:szCs w:val="21"/>
                <w:highlight w:val="none"/>
              </w:rPr>
            </w:pPr>
          </w:p>
        </w:tc>
      </w:tr>
      <w:tr w14:paraId="3183D014">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7A5F">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EA85">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ADE4">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机修组</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6A0">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3CF">
            <w:pPr>
              <w:widowControl/>
              <w:jc w:val="center"/>
              <w:textAlignment w:val="center"/>
              <w:rPr>
                <w:rFonts w:ascii="仿宋" w:hAnsi="仿宋" w:eastAsia="仿宋" w:cs="仿宋"/>
                <w:color w:val="auto"/>
                <w:kern w:val="0"/>
                <w:szCs w:val="21"/>
                <w:highlight w:val="none"/>
              </w:rPr>
            </w:pPr>
          </w:p>
        </w:tc>
      </w:tr>
      <w:tr w14:paraId="50A7B845">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21D5">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DBF9B">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3D3D">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园林技术员</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D22">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3E8">
            <w:pPr>
              <w:widowControl/>
              <w:jc w:val="center"/>
              <w:textAlignment w:val="center"/>
              <w:rPr>
                <w:rFonts w:ascii="仿宋" w:hAnsi="仿宋" w:eastAsia="仿宋" w:cs="仿宋"/>
                <w:color w:val="auto"/>
                <w:kern w:val="0"/>
                <w:szCs w:val="21"/>
                <w:highlight w:val="none"/>
              </w:rPr>
            </w:pPr>
          </w:p>
        </w:tc>
      </w:tr>
      <w:tr w14:paraId="1A78B417">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87C">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C0EC">
            <w:pPr>
              <w:jc w:val="center"/>
              <w:textAlignment w:val="baseline"/>
              <w:rPr>
                <w:rFonts w:cs="仿宋" w:asciiTheme="minorEastAsia" w:hAnsiTheme="minorEastAsia" w:eastAsiaTheme="minorEastAsia"/>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A193">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养护员</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D26E">
            <w:pPr>
              <w:jc w:val="center"/>
              <w:rPr>
                <w:rFonts w:hint="eastAsia" w:cs="宋体"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rPr>
              <w:t>1</w:t>
            </w:r>
            <w:r>
              <w:rPr>
                <w:rFonts w:hint="eastAsia" w:asciiTheme="minorEastAsia" w:hAnsiTheme="minorEastAsia" w:eastAsiaTheme="minorEastAsia"/>
                <w:color w:val="auto"/>
                <w:sz w:val="22"/>
                <w:szCs w:val="22"/>
                <w:highlight w:val="none"/>
                <w:lang w:val="en-US" w:eastAsia="zh-CN"/>
              </w:rPr>
              <w:t>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C486">
            <w:pPr>
              <w:widowControl/>
              <w:jc w:val="center"/>
              <w:textAlignment w:val="center"/>
              <w:rPr>
                <w:rFonts w:ascii="仿宋" w:hAnsi="仿宋" w:eastAsia="仿宋" w:cs="仿宋"/>
                <w:color w:val="auto"/>
                <w:kern w:val="0"/>
                <w:szCs w:val="21"/>
                <w:highlight w:val="none"/>
              </w:rPr>
            </w:pPr>
          </w:p>
        </w:tc>
      </w:tr>
      <w:tr w14:paraId="286B6D11">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6531">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0326">
            <w:pPr>
              <w:jc w:val="center"/>
              <w:textAlignment w:val="baseline"/>
              <w:rPr>
                <w:rFonts w:ascii="仿宋" w:hAnsi="仿宋" w:eastAsia="仿宋" w:cs="仿宋"/>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09C">
            <w:pPr>
              <w:jc w:val="center"/>
              <w:rPr>
                <w:rFonts w:ascii="宋体" w:hAnsi="宋体" w:cs="宋体"/>
                <w:color w:val="auto"/>
                <w:sz w:val="22"/>
                <w:szCs w:val="22"/>
                <w:highlight w:val="none"/>
              </w:rPr>
            </w:pPr>
            <w:r>
              <w:rPr>
                <w:rFonts w:hint="eastAsia"/>
                <w:color w:val="auto"/>
                <w:sz w:val="22"/>
                <w:szCs w:val="22"/>
                <w:highlight w:val="none"/>
              </w:rPr>
              <w:t>保洁员</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53B">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C9B">
            <w:pPr>
              <w:widowControl/>
              <w:jc w:val="center"/>
              <w:textAlignment w:val="center"/>
              <w:rPr>
                <w:rFonts w:ascii="仿宋" w:hAnsi="仿宋" w:eastAsia="仿宋" w:cs="仿宋"/>
                <w:color w:val="auto"/>
                <w:kern w:val="0"/>
                <w:szCs w:val="21"/>
                <w:highlight w:val="none"/>
              </w:rPr>
            </w:pPr>
          </w:p>
        </w:tc>
      </w:tr>
      <w:tr w14:paraId="104A2927">
        <w:tblPrEx>
          <w:tblCellMar>
            <w:top w:w="0" w:type="dxa"/>
            <w:left w:w="108" w:type="dxa"/>
            <w:bottom w:w="0" w:type="dxa"/>
            <w:right w:w="108" w:type="dxa"/>
          </w:tblCellMar>
        </w:tblPrEx>
        <w:trPr>
          <w:trHeight w:val="578" w:hRule="exac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CEAC">
            <w:pPr>
              <w:jc w:val="center"/>
              <w:textAlignment w:val="baseline"/>
              <w:rPr>
                <w:rFonts w:ascii="仿宋" w:hAnsi="仿宋" w:eastAsia="仿宋" w:cs="仿宋"/>
                <w:color w:val="auto"/>
                <w:szCs w:val="21"/>
                <w:highlight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DB58A">
            <w:pPr>
              <w:jc w:val="center"/>
              <w:textAlignment w:val="baseline"/>
              <w:rPr>
                <w:rFonts w:ascii="仿宋" w:hAnsi="仿宋" w:eastAsia="仿宋" w:cs="仿宋"/>
                <w:color w:val="auto"/>
                <w:szCs w:val="21"/>
                <w:highlight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2A99">
            <w:pPr>
              <w:widowControl/>
              <w:jc w:val="center"/>
              <w:textAlignment w:val="center"/>
              <w:rPr>
                <w:rFonts w:ascii="仿宋" w:hAnsi="仿宋" w:eastAsia="仿宋" w:cs="仿宋"/>
                <w:color w:val="auto"/>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F6B">
            <w:pPr>
              <w:widowControl/>
              <w:jc w:val="center"/>
              <w:textAlignment w:val="center"/>
              <w:rPr>
                <w:rFonts w:ascii="仿宋" w:hAnsi="仿宋" w:eastAsia="仿宋" w:cs="仿宋"/>
                <w:color w:val="auto"/>
                <w:szCs w:val="21"/>
                <w:highlight w:val="none"/>
              </w:rPr>
            </w:pP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655A">
            <w:pPr>
              <w:widowControl/>
              <w:jc w:val="center"/>
              <w:textAlignment w:val="center"/>
              <w:rPr>
                <w:rFonts w:ascii="仿宋" w:hAnsi="仿宋" w:eastAsia="仿宋" w:cs="仿宋"/>
                <w:color w:val="auto"/>
                <w:szCs w:val="21"/>
                <w:highlight w:val="none"/>
              </w:rPr>
            </w:pPr>
          </w:p>
        </w:tc>
      </w:tr>
      <w:tr w14:paraId="6331B22E">
        <w:tblPrEx>
          <w:tblCellMar>
            <w:top w:w="0" w:type="dxa"/>
            <w:left w:w="108" w:type="dxa"/>
            <w:bottom w:w="0" w:type="dxa"/>
            <w:right w:w="108" w:type="dxa"/>
          </w:tblCellMar>
        </w:tblPrEx>
        <w:trPr>
          <w:trHeight w:val="538" w:hRule="exact"/>
        </w:trPr>
        <w:tc>
          <w:tcPr>
            <w:tcW w:w="6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245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合计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5261">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866E">
            <w:pPr>
              <w:jc w:val="center"/>
              <w:textAlignment w:val="baseline"/>
              <w:rPr>
                <w:rFonts w:ascii="仿宋" w:hAnsi="仿宋" w:eastAsia="仿宋" w:cs="仿宋"/>
                <w:color w:val="auto"/>
                <w:szCs w:val="21"/>
                <w:highlight w:val="none"/>
              </w:rPr>
            </w:pPr>
          </w:p>
        </w:tc>
      </w:tr>
    </w:tbl>
    <w:p w14:paraId="77C234AA">
      <w:pPr>
        <w:pStyle w:val="4"/>
        <w:numPr>
          <w:ilvl w:val="0"/>
          <w:numId w:val="5"/>
        </w:numPr>
        <w:spacing w:before="0" w:after="0" w:line="560" w:lineRule="exact"/>
        <w:ind w:firstLine="480" w:firstLineChars="200"/>
        <w:textAlignment w:val="baseline"/>
        <w:rPr>
          <w:rFonts w:ascii="仿宋" w:hAnsi="仿宋" w:eastAsia="仿宋" w:cs="仿宋"/>
          <w:b w:val="0"/>
          <w:color w:val="auto"/>
          <w:szCs w:val="24"/>
          <w:highlight w:val="none"/>
        </w:rPr>
      </w:pPr>
      <w:bookmarkStart w:id="9" w:name="_Toc2796"/>
      <w:bookmarkStart w:id="10" w:name="_Toc12309"/>
      <w:r>
        <w:rPr>
          <w:rFonts w:hint="eastAsia" w:ascii="仿宋" w:hAnsi="仿宋" w:eastAsia="仿宋" w:cs="仿宋"/>
          <w:b w:val="0"/>
          <w:color w:val="auto"/>
          <w:szCs w:val="24"/>
          <w:highlight w:val="none"/>
        </w:rPr>
        <w:t>、车辆、设施配置明细表</w:t>
      </w:r>
      <w:bookmarkEnd w:id="9"/>
      <w:bookmarkEnd w:id="10"/>
    </w:p>
    <w:tbl>
      <w:tblPr>
        <w:tblStyle w:val="20"/>
        <w:tblW w:w="12878" w:type="dxa"/>
        <w:tblInd w:w="91" w:type="dxa"/>
        <w:tblLayout w:type="fixed"/>
        <w:tblCellMar>
          <w:top w:w="0" w:type="dxa"/>
          <w:left w:w="108" w:type="dxa"/>
          <w:bottom w:w="0" w:type="dxa"/>
          <w:right w:w="108" w:type="dxa"/>
        </w:tblCellMar>
      </w:tblPr>
      <w:tblGrid>
        <w:gridCol w:w="1219"/>
        <w:gridCol w:w="4279"/>
        <w:gridCol w:w="3439"/>
        <w:gridCol w:w="2159"/>
        <w:gridCol w:w="1782"/>
      </w:tblGrid>
      <w:tr w14:paraId="57342625">
        <w:tblPrEx>
          <w:tblCellMar>
            <w:top w:w="0" w:type="dxa"/>
            <w:left w:w="108" w:type="dxa"/>
            <w:bottom w:w="0" w:type="dxa"/>
            <w:right w:w="108" w:type="dxa"/>
          </w:tblCellMar>
        </w:tblPrEx>
        <w:trPr>
          <w:trHeight w:val="662"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FFAD">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序号</w:t>
            </w:r>
          </w:p>
        </w:tc>
        <w:tc>
          <w:tcPr>
            <w:tcW w:w="4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C9BF">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项目</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D534">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车辆类型</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2132">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数量（辆）</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787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489B47BD">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2D8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4279" w:type="dxa"/>
            <w:vMerge w:val="restart"/>
            <w:tcBorders>
              <w:top w:val="single" w:color="000000" w:sz="4" w:space="0"/>
              <w:left w:val="single" w:color="000000" w:sz="4" w:space="0"/>
              <w:right w:val="single" w:color="000000" w:sz="4" w:space="0"/>
            </w:tcBorders>
            <w:shd w:val="clear" w:color="auto" w:fill="auto"/>
            <w:vAlign w:val="center"/>
          </w:tcPr>
          <w:p w14:paraId="313C9488">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保洁工作及运输工作设备</w:t>
            </w: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2B3B4D3A">
            <w:pPr>
              <w:jc w:val="center"/>
              <w:rPr>
                <w:rFonts w:ascii="宋体" w:hAnsi="宋体" w:cs="宋体"/>
                <w:color w:val="auto"/>
                <w:sz w:val="22"/>
                <w:szCs w:val="22"/>
                <w:highlight w:val="none"/>
              </w:rPr>
            </w:pPr>
            <w:r>
              <w:rPr>
                <w:rFonts w:hint="eastAsia"/>
                <w:color w:val="auto"/>
                <w:sz w:val="22"/>
                <w:szCs w:val="22"/>
                <w:highlight w:val="none"/>
              </w:rPr>
              <w:t>清扫车</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8F6">
            <w:pPr>
              <w:jc w:val="center"/>
              <w:rPr>
                <w:rFonts w:ascii="宋体" w:hAnsi="宋体" w:cs="宋体"/>
                <w:color w:val="auto"/>
                <w:sz w:val="22"/>
                <w:szCs w:val="22"/>
                <w:highlight w:val="none"/>
              </w:rPr>
            </w:pPr>
            <w:r>
              <w:rPr>
                <w:rFonts w:hint="eastAsia"/>
                <w:color w:val="auto"/>
                <w:sz w:val="22"/>
                <w:szCs w:val="22"/>
                <w:highlight w:val="none"/>
              </w:rPr>
              <w:t>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B0B">
            <w:pPr>
              <w:jc w:val="center"/>
              <w:textAlignment w:val="baseline"/>
              <w:rPr>
                <w:rFonts w:ascii="仿宋" w:hAnsi="仿宋" w:eastAsia="仿宋" w:cs="仿宋"/>
                <w:color w:val="auto"/>
                <w:szCs w:val="21"/>
                <w:highlight w:val="none"/>
              </w:rPr>
            </w:pPr>
          </w:p>
        </w:tc>
      </w:tr>
      <w:tr w14:paraId="6BC1EE62">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7A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4279" w:type="dxa"/>
            <w:vMerge w:val="continue"/>
            <w:tcBorders>
              <w:left w:val="single" w:color="000000" w:sz="4" w:space="0"/>
              <w:right w:val="single" w:color="000000" w:sz="4" w:space="0"/>
            </w:tcBorders>
            <w:shd w:val="clear" w:color="auto" w:fill="auto"/>
            <w:vAlign w:val="center"/>
          </w:tcPr>
          <w:p w14:paraId="20D77C24">
            <w:pPr>
              <w:jc w:val="center"/>
              <w:textAlignment w:val="baseline"/>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6DFC2C25">
            <w:pPr>
              <w:jc w:val="center"/>
              <w:rPr>
                <w:rFonts w:ascii="宋体" w:hAnsi="宋体" w:cs="宋体"/>
                <w:color w:val="auto"/>
                <w:sz w:val="22"/>
                <w:szCs w:val="22"/>
                <w:highlight w:val="none"/>
              </w:rPr>
            </w:pPr>
            <w:r>
              <w:rPr>
                <w:rFonts w:hint="eastAsia"/>
                <w:color w:val="auto"/>
                <w:sz w:val="22"/>
                <w:szCs w:val="22"/>
                <w:highlight w:val="none"/>
              </w:rPr>
              <w:t>垃圾勾臂车</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4E6">
            <w:pPr>
              <w:jc w:val="center"/>
              <w:rPr>
                <w:rFonts w:ascii="宋体" w:hAnsi="宋体" w:cs="宋体"/>
                <w:color w:val="auto"/>
                <w:sz w:val="22"/>
                <w:szCs w:val="22"/>
                <w:highlight w:val="none"/>
              </w:rPr>
            </w:pPr>
            <w:r>
              <w:rPr>
                <w:rFonts w:hint="eastAsia"/>
                <w:color w:val="auto"/>
                <w:sz w:val="22"/>
                <w:szCs w:val="22"/>
                <w:highlight w:val="none"/>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2C55">
            <w:pPr>
              <w:widowControl/>
              <w:jc w:val="center"/>
              <w:textAlignment w:val="center"/>
              <w:rPr>
                <w:rFonts w:ascii="仿宋" w:hAnsi="仿宋" w:eastAsia="仿宋" w:cs="仿宋"/>
                <w:color w:val="auto"/>
                <w:szCs w:val="21"/>
                <w:highlight w:val="none"/>
              </w:rPr>
            </w:pPr>
          </w:p>
        </w:tc>
      </w:tr>
      <w:tr w14:paraId="2724B02D">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5A4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4279" w:type="dxa"/>
            <w:vMerge w:val="continue"/>
            <w:tcBorders>
              <w:left w:val="single" w:color="000000" w:sz="4" w:space="0"/>
              <w:right w:val="single" w:color="000000" w:sz="4" w:space="0"/>
            </w:tcBorders>
            <w:shd w:val="clear" w:color="auto" w:fill="auto"/>
            <w:vAlign w:val="center"/>
          </w:tcPr>
          <w:p w14:paraId="72183CE0">
            <w:pPr>
              <w:jc w:val="center"/>
              <w:textAlignment w:val="baseline"/>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noWrap/>
            <w:vAlign w:val="center"/>
          </w:tcPr>
          <w:p w14:paraId="02EE83A1">
            <w:pPr>
              <w:jc w:val="center"/>
              <w:rPr>
                <w:rFonts w:ascii="宋体" w:hAnsi="宋体" w:cs="宋体"/>
                <w:color w:val="auto"/>
                <w:sz w:val="22"/>
                <w:szCs w:val="22"/>
                <w:highlight w:val="none"/>
              </w:rPr>
            </w:pPr>
            <w:r>
              <w:rPr>
                <w:rFonts w:hint="eastAsia"/>
                <w:color w:val="auto"/>
                <w:sz w:val="22"/>
                <w:szCs w:val="22"/>
                <w:highlight w:val="none"/>
              </w:rPr>
              <w:t>农用后推车</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FB22">
            <w:pPr>
              <w:jc w:val="center"/>
              <w:rPr>
                <w:rFonts w:ascii="宋体" w:hAnsi="宋体" w:cs="宋体"/>
                <w:color w:val="auto"/>
                <w:sz w:val="22"/>
                <w:szCs w:val="22"/>
                <w:highlight w:val="none"/>
              </w:rPr>
            </w:pPr>
            <w:r>
              <w:rPr>
                <w:rFonts w:hint="eastAsia"/>
                <w:color w:val="auto"/>
                <w:sz w:val="22"/>
                <w:szCs w:val="22"/>
                <w:highlight w:val="none"/>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AFCA">
            <w:pPr>
              <w:jc w:val="center"/>
              <w:textAlignment w:val="baseline"/>
              <w:rPr>
                <w:rFonts w:ascii="仿宋" w:hAnsi="仿宋" w:eastAsia="仿宋" w:cs="仿宋"/>
                <w:color w:val="auto"/>
                <w:szCs w:val="21"/>
                <w:highlight w:val="none"/>
              </w:rPr>
            </w:pPr>
          </w:p>
        </w:tc>
      </w:tr>
      <w:tr w14:paraId="0B39BF50">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A7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w:t>
            </w:r>
          </w:p>
        </w:tc>
        <w:tc>
          <w:tcPr>
            <w:tcW w:w="4279" w:type="dxa"/>
            <w:vMerge w:val="continue"/>
            <w:tcBorders>
              <w:left w:val="single" w:color="000000" w:sz="4" w:space="0"/>
              <w:right w:val="single" w:color="000000" w:sz="4" w:space="0"/>
            </w:tcBorders>
            <w:shd w:val="clear" w:color="auto" w:fill="auto"/>
            <w:vAlign w:val="center"/>
          </w:tcPr>
          <w:p w14:paraId="767762B4">
            <w:pPr>
              <w:widowControl/>
              <w:jc w:val="center"/>
              <w:textAlignment w:val="center"/>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0211849C">
            <w:pPr>
              <w:jc w:val="center"/>
              <w:rPr>
                <w:rFonts w:ascii="宋体" w:hAnsi="宋体" w:cs="宋体"/>
                <w:color w:val="auto"/>
                <w:sz w:val="22"/>
                <w:szCs w:val="22"/>
                <w:highlight w:val="none"/>
              </w:rPr>
            </w:pPr>
            <w:r>
              <w:rPr>
                <w:rFonts w:hint="eastAsia"/>
                <w:color w:val="auto"/>
                <w:sz w:val="22"/>
                <w:szCs w:val="22"/>
                <w:highlight w:val="none"/>
              </w:rPr>
              <w:t>垃圾中转站</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DBD">
            <w:pPr>
              <w:jc w:val="center"/>
              <w:rPr>
                <w:rFonts w:ascii="宋体" w:hAnsi="宋体" w:cs="宋体"/>
                <w:color w:val="auto"/>
                <w:sz w:val="22"/>
                <w:szCs w:val="22"/>
                <w:highlight w:val="none"/>
              </w:rPr>
            </w:pPr>
            <w:r>
              <w:rPr>
                <w:rFonts w:hint="eastAsia"/>
                <w:color w:val="auto"/>
                <w:sz w:val="22"/>
                <w:szCs w:val="22"/>
                <w:highlight w:val="none"/>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AD08">
            <w:pPr>
              <w:jc w:val="center"/>
              <w:textAlignment w:val="baseline"/>
              <w:rPr>
                <w:rFonts w:ascii="仿宋" w:hAnsi="仿宋" w:eastAsia="仿宋" w:cs="仿宋"/>
                <w:color w:val="auto"/>
                <w:szCs w:val="21"/>
                <w:highlight w:val="none"/>
              </w:rPr>
            </w:pPr>
          </w:p>
        </w:tc>
      </w:tr>
      <w:tr w14:paraId="660F26FC">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A5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6</w:t>
            </w:r>
          </w:p>
        </w:tc>
        <w:tc>
          <w:tcPr>
            <w:tcW w:w="4279" w:type="dxa"/>
            <w:vMerge w:val="continue"/>
            <w:tcBorders>
              <w:left w:val="single" w:color="000000" w:sz="4" w:space="0"/>
              <w:right w:val="single" w:color="000000" w:sz="4" w:space="0"/>
            </w:tcBorders>
            <w:shd w:val="clear" w:color="auto" w:fill="auto"/>
            <w:vAlign w:val="center"/>
          </w:tcPr>
          <w:p w14:paraId="3362F387">
            <w:pPr>
              <w:jc w:val="center"/>
              <w:textAlignment w:val="baseline"/>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221B9F14">
            <w:pPr>
              <w:jc w:val="center"/>
              <w:rPr>
                <w:rFonts w:ascii="宋体" w:hAnsi="宋体" w:cs="宋体"/>
                <w:color w:val="auto"/>
                <w:sz w:val="22"/>
                <w:szCs w:val="22"/>
                <w:highlight w:val="none"/>
              </w:rPr>
            </w:pPr>
            <w:r>
              <w:rPr>
                <w:rFonts w:hint="eastAsia"/>
                <w:color w:val="auto"/>
                <w:sz w:val="22"/>
                <w:szCs w:val="22"/>
                <w:highlight w:val="none"/>
              </w:rPr>
              <w:t>压缩式垃圾车（3吨）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FC55">
            <w:pPr>
              <w:jc w:val="center"/>
              <w:rPr>
                <w:rFonts w:ascii="宋体" w:hAnsi="宋体" w:cs="宋体"/>
                <w:color w:val="auto"/>
                <w:sz w:val="22"/>
                <w:szCs w:val="22"/>
                <w:highlight w:val="none"/>
              </w:rPr>
            </w:pPr>
            <w:r>
              <w:rPr>
                <w:rFonts w:hint="eastAsia"/>
                <w:color w:val="auto"/>
                <w:sz w:val="22"/>
                <w:szCs w:val="22"/>
                <w:highlight w:val="none"/>
              </w:rPr>
              <w:t>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6B0">
            <w:pPr>
              <w:jc w:val="center"/>
              <w:textAlignment w:val="baseline"/>
              <w:rPr>
                <w:rFonts w:ascii="仿宋" w:hAnsi="仿宋" w:eastAsia="仿宋" w:cs="仿宋"/>
                <w:color w:val="auto"/>
                <w:szCs w:val="21"/>
                <w:highlight w:val="none"/>
              </w:rPr>
            </w:pPr>
          </w:p>
        </w:tc>
      </w:tr>
      <w:tr w14:paraId="5C222421">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D9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7</w:t>
            </w:r>
          </w:p>
        </w:tc>
        <w:tc>
          <w:tcPr>
            <w:tcW w:w="4279" w:type="dxa"/>
            <w:vMerge w:val="continue"/>
            <w:tcBorders>
              <w:left w:val="single" w:color="000000" w:sz="4" w:space="0"/>
              <w:right w:val="single" w:color="000000" w:sz="4" w:space="0"/>
            </w:tcBorders>
            <w:shd w:val="clear" w:color="auto" w:fill="auto"/>
            <w:vAlign w:val="center"/>
          </w:tcPr>
          <w:p w14:paraId="403C39A7">
            <w:pPr>
              <w:jc w:val="center"/>
              <w:textAlignment w:val="baseline"/>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550F3568">
            <w:pPr>
              <w:jc w:val="center"/>
              <w:rPr>
                <w:rFonts w:ascii="宋体" w:hAnsi="宋体" w:cs="宋体"/>
                <w:color w:val="auto"/>
                <w:sz w:val="22"/>
                <w:szCs w:val="22"/>
                <w:highlight w:val="none"/>
              </w:rPr>
            </w:pPr>
            <w:r>
              <w:rPr>
                <w:rFonts w:hint="eastAsia"/>
                <w:color w:val="auto"/>
                <w:sz w:val="22"/>
                <w:szCs w:val="22"/>
                <w:highlight w:val="none"/>
              </w:rPr>
              <w:t>压缩式垃圾车（8吨）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FD9">
            <w:pPr>
              <w:jc w:val="center"/>
              <w:rPr>
                <w:rFonts w:ascii="宋体" w:hAnsi="宋体" w:cs="宋体"/>
                <w:color w:val="auto"/>
                <w:sz w:val="22"/>
                <w:szCs w:val="22"/>
                <w:highlight w:val="none"/>
              </w:rPr>
            </w:pPr>
            <w:r>
              <w:rPr>
                <w:rFonts w:hint="eastAsia"/>
                <w:color w:val="auto"/>
                <w:sz w:val="22"/>
                <w:szCs w:val="22"/>
                <w:highlight w:val="none"/>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E577">
            <w:pPr>
              <w:jc w:val="center"/>
              <w:textAlignment w:val="baseline"/>
              <w:rPr>
                <w:rFonts w:ascii="仿宋" w:hAnsi="仿宋" w:eastAsia="仿宋" w:cs="仿宋"/>
                <w:color w:val="auto"/>
                <w:szCs w:val="21"/>
                <w:highlight w:val="none"/>
              </w:rPr>
            </w:pPr>
          </w:p>
        </w:tc>
      </w:tr>
      <w:tr w14:paraId="1C2F8DAA">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9E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8</w:t>
            </w:r>
          </w:p>
        </w:tc>
        <w:tc>
          <w:tcPr>
            <w:tcW w:w="4279" w:type="dxa"/>
            <w:vMerge w:val="continue"/>
            <w:tcBorders>
              <w:left w:val="single" w:color="000000" w:sz="4" w:space="0"/>
              <w:right w:val="single" w:color="000000" w:sz="4" w:space="0"/>
            </w:tcBorders>
            <w:shd w:val="clear" w:color="auto" w:fill="auto"/>
            <w:vAlign w:val="center"/>
          </w:tcPr>
          <w:p w14:paraId="2DC1A53D">
            <w:pPr>
              <w:widowControl/>
              <w:jc w:val="center"/>
              <w:textAlignment w:val="center"/>
              <w:rPr>
                <w:rFonts w:ascii="仿宋" w:hAnsi="仿宋" w:eastAsia="仿宋" w:cs="仿宋"/>
                <w:color w:val="auto"/>
                <w:szCs w:val="21"/>
                <w:highlight w:val="none"/>
              </w:rPr>
            </w:pPr>
          </w:p>
        </w:tc>
        <w:tc>
          <w:tcPr>
            <w:tcW w:w="3439" w:type="dxa"/>
            <w:tcBorders>
              <w:top w:val="single" w:color="000000" w:sz="4" w:space="0"/>
              <w:left w:val="nil"/>
              <w:bottom w:val="single" w:color="000000" w:sz="4" w:space="0"/>
              <w:right w:val="single" w:color="000000" w:sz="4" w:space="0"/>
            </w:tcBorders>
            <w:shd w:val="clear" w:color="auto" w:fill="auto"/>
            <w:vAlign w:val="center"/>
          </w:tcPr>
          <w:p w14:paraId="08BB1E82">
            <w:pPr>
              <w:jc w:val="center"/>
              <w:rPr>
                <w:rFonts w:ascii="宋体" w:hAnsi="宋体" w:cs="宋体"/>
                <w:color w:val="auto"/>
                <w:sz w:val="22"/>
                <w:szCs w:val="22"/>
                <w:highlight w:val="none"/>
              </w:rPr>
            </w:pPr>
            <w:r>
              <w:rPr>
                <w:rFonts w:hint="eastAsia"/>
                <w:color w:val="auto"/>
                <w:sz w:val="22"/>
                <w:szCs w:val="22"/>
                <w:highlight w:val="none"/>
              </w:rPr>
              <w:t>电动三轮车</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3A78">
            <w:pPr>
              <w:jc w:val="center"/>
              <w:rPr>
                <w:rFonts w:ascii="宋体" w:hAnsi="宋体" w:cs="宋体"/>
                <w:color w:val="auto"/>
                <w:sz w:val="22"/>
                <w:szCs w:val="22"/>
                <w:highlight w:val="none"/>
              </w:rPr>
            </w:pPr>
            <w:r>
              <w:rPr>
                <w:rFonts w:hint="eastAsia"/>
                <w:color w:val="auto"/>
                <w:sz w:val="22"/>
                <w:szCs w:val="22"/>
                <w:highlight w:val="none"/>
              </w:rPr>
              <w:t>70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C05">
            <w:pPr>
              <w:jc w:val="center"/>
              <w:textAlignment w:val="baseline"/>
              <w:rPr>
                <w:rFonts w:ascii="仿宋" w:hAnsi="仿宋" w:eastAsia="仿宋" w:cs="仿宋"/>
                <w:color w:val="auto"/>
                <w:szCs w:val="21"/>
                <w:highlight w:val="none"/>
              </w:rPr>
            </w:pPr>
          </w:p>
        </w:tc>
      </w:tr>
      <w:tr w14:paraId="3C86556F">
        <w:tblPrEx>
          <w:tblCellMar>
            <w:top w:w="0" w:type="dxa"/>
            <w:left w:w="108" w:type="dxa"/>
            <w:bottom w:w="0" w:type="dxa"/>
            <w:right w:w="108" w:type="dxa"/>
          </w:tblCellMar>
        </w:tblPrEx>
        <w:trPr>
          <w:trHeight w:val="459" w:hRule="exac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32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9</w:t>
            </w:r>
          </w:p>
        </w:tc>
        <w:tc>
          <w:tcPr>
            <w:tcW w:w="4279" w:type="dxa"/>
            <w:vMerge w:val="continue"/>
            <w:tcBorders>
              <w:left w:val="single" w:color="000000" w:sz="4" w:space="0"/>
              <w:bottom w:val="single" w:color="000000" w:sz="4" w:space="0"/>
              <w:right w:val="single" w:color="000000" w:sz="4" w:space="0"/>
            </w:tcBorders>
            <w:shd w:val="clear" w:color="auto" w:fill="auto"/>
            <w:vAlign w:val="center"/>
          </w:tcPr>
          <w:p w14:paraId="6E16DEEF">
            <w:pPr>
              <w:widowControl/>
              <w:jc w:val="center"/>
              <w:textAlignment w:val="center"/>
              <w:rPr>
                <w:rFonts w:ascii="仿宋" w:hAnsi="仿宋" w:eastAsia="仿宋" w:cs="仿宋"/>
                <w:color w:val="auto"/>
                <w:szCs w:val="21"/>
                <w:highlight w:val="none"/>
              </w:rPr>
            </w:pP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DC8">
            <w:pPr>
              <w:jc w:val="center"/>
              <w:rPr>
                <w:rFonts w:ascii="宋体" w:hAnsi="宋体" w:cs="宋体"/>
                <w:color w:val="auto"/>
                <w:sz w:val="22"/>
                <w:szCs w:val="22"/>
                <w:highlight w:val="none"/>
              </w:rPr>
            </w:pPr>
            <w:r>
              <w:rPr>
                <w:rFonts w:hint="eastAsia"/>
                <w:color w:val="auto"/>
                <w:sz w:val="22"/>
                <w:szCs w:val="22"/>
                <w:highlight w:val="none"/>
              </w:rPr>
              <w:t>洒水车</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10CD">
            <w:pPr>
              <w:jc w:val="center"/>
              <w:rPr>
                <w:rFonts w:ascii="宋体" w:hAnsi="宋体" w:cs="宋体"/>
                <w:color w:val="auto"/>
                <w:sz w:val="22"/>
                <w:szCs w:val="22"/>
                <w:highlight w:val="none"/>
              </w:rPr>
            </w:pPr>
            <w:r>
              <w:rPr>
                <w:rFonts w:hint="eastAsia"/>
                <w:color w:val="auto"/>
                <w:sz w:val="22"/>
                <w:szCs w:val="22"/>
                <w:highlight w:val="none"/>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D490">
            <w:pPr>
              <w:jc w:val="center"/>
              <w:textAlignment w:val="baseline"/>
              <w:rPr>
                <w:rFonts w:ascii="仿宋" w:hAnsi="仿宋" w:eastAsia="仿宋" w:cs="仿宋"/>
                <w:color w:val="auto"/>
                <w:szCs w:val="21"/>
                <w:highlight w:val="none"/>
              </w:rPr>
            </w:pPr>
          </w:p>
        </w:tc>
      </w:tr>
      <w:tr w14:paraId="664F578A">
        <w:tblPrEx>
          <w:tblCellMar>
            <w:top w:w="0" w:type="dxa"/>
            <w:left w:w="108" w:type="dxa"/>
            <w:bottom w:w="0" w:type="dxa"/>
            <w:right w:w="108" w:type="dxa"/>
          </w:tblCellMar>
        </w:tblPrEx>
        <w:trPr>
          <w:trHeight w:val="469" w:hRule="exact"/>
        </w:trPr>
        <w:tc>
          <w:tcPr>
            <w:tcW w:w="8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4E330">
            <w:pPr>
              <w:jc w:val="center"/>
              <w:rPr>
                <w:color w:val="auto"/>
                <w:sz w:val="22"/>
                <w:szCs w:val="22"/>
                <w:highlight w:val="none"/>
              </w:rPr>
            </w:pPr>
            <w:r>
              <w:rPr>
                <w:rFonts w:hint="eastAsia"/>
                <w:color w:val="auto"/>
                <w:sz w:val="22"/>
                <w:szCs w:val="22"/>
                <w:highlight w:val="none"/>
              </w:rPr>
              <w:t>合计</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403">
            <w:pPr>
              <w:jc w:val="center"/>
              <w:rPr>
                <w:rFonts w:hint="eastAsia" w:eastAsia="宋体"/>
                <w:color w:val="auto"/>
                <w:sz w:val="22"/>
                <w:szCs w:val="22"/>
                <w:highlight w:val="none"/>
                <w:lang w:val="en-US" w:eastAsia="zh-CN"/>
              </w:rPr>
            </w:pPr>
            <w:r>
              <w:rPr>
                <w:rFonts w:hint="eastAsia"/>
                <w:color w:val="auto"/>
                <w:sz w:val="22"/>
                <w:szCs w:val="22"/>
                <w:highlight w:val="none"/>
              </w:rPr>
              <w:t>8</w:t>
            </w:r>
            <w:r>
              <w:rPr>
                <w:rFonts w:hint="eastAsia"/>
                <w:color w:val="auto"/>
                <w:sz w:val="22"/>
                <w:szCs w:val="22"/>
                <w:highlight w:val="none"/>
                <w:lang w:val="en-US" w:eastAsia="zh-CN"/>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EBE5">
            <w:pPr>
              <w:jc w:val="center"/>
              <w:textAlignment w:val="baseline"/>
              <w:rPr>
                <w:rFonts w:ascii="仿宋" w:hAnsi="仿宋" w:eastAsia="仿宋" w:cs="仿宋"/>
                <w:color w:val="auto"/>
                <w:szCs w:val="21"/>
                <w:highlight w:val="none"/>
              </w:rPr>
            </w:pPr>
          </w:p>
        </w:tc>
      </w:tr>
    </w:tbl>
    <w:p w14:paraId="24A8C79C">
      <w:pPr>
        <w:pStyle w:val="12"/>
        <w:rPr>
          <w:rFonts w:ascii="仿宋" w:hAnsi="仿宋" w:eastAsia="仿宋" w:cs="仿宋"/>
          <w:b/>
          <w:bCs/>
          <w:color w:val="auto"/>
          <w:highlight w:val="none"/>
        </w:rPr>
      </w:pPr>
    </w:p>
    <w:p w14:paraId="18D751BD">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以上人员、车辆以及设施配置为估算值，供应商根据项目标段实际情况投入，但不得低于以上数量要求，以满足该项目的实际需求。</w:t>
      </w:r>
      <w:r>
        <w:rPr>
          <w:rFonts w:hint="eastAsia" w:ascii="仿宋" w:hAnsi="仿宋" w:eastAsia="仿宋" w:cs="仿宋"/>
          <w:bCs/>
          <w:color w:val="auto"/>
          <w:sz w:val="24"/>
          <w:highlight w:val="none"/>
          <w:lang w:val="en-US" w:eastAsia="zh-CN"/>
        </w:rPr>
        <w:t>本次服务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包含意外保险、洒水车费用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已含在项目预算中。</w:t>
      </w:r>
    </w:p>
    <w:p w14:paraId="39C5C0BA">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投标人配备的作业车辆必须符合当地道路行驶标准。</w:t>
      </w:r>
    </w:p>
    <w:p w14:paraId="5B19FDD0">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投标人必须配备符合国家规定的垃圾收运车辆，可根据作业环境不同采用电动三轮车、四轮挂桶式垃圾收运车或者勾臂式垃圾收运车。</w:t>
      </w:r>
    </w:p>
    <w:p w14:paraId="5ED0DFDD">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针对本项目投标人必须配备从事环卫业务的保洁人员和专职管理人员，</w:t>
      </w:r>
      <w:r>
        <w:rPr>
          <w:rFonts w:hint="eastAsia" w:ascii="仿宋" w:hAnsi="仿宋" w:eastAsia="仿宋" w:cs="仿宋"/>
          <w:color w:val="auto"/>
          <w:sz w:val="24"/>
          <w:highlight w:val="none"/>
        </w:rPr>
        <w:t>必须配备足够的专业设备，人员设备投入不足的要按不足比例从应付款项中扣除相应的费用。</w:t>
      </w:r>
    </w:p>
    <w:p w14:paraId="4377A88D">
      <w:pPr>
        <w:pStyle w:val="13"/>
        <w:ind w:left="0" w:leftChars="0"/>
        <w:rPr>
          <w:rFonts w:ascii="仿宋" w:hAnsi="仿宋" w:eastAsia="仿宋" w:cs="仿宋"/>
          <w:color w:val="auto"/>
          <w:sz w:val="24"/>
          <w:szCs w:val="24"/>
          <w:highlight w:val="none"/>
        </w:rPr>
      </w:pPr>
    </w:p>
    <w:p w14:paraId="0A3E91A2">
      <w:pPr>
        <w:pStyle w:val="3"/>
        <w:spacing w:before="0" w:after="0" w:line="560" w:lineRule="exact"/>
        <w:ind w:firstLine="0" w:firstLineChars="0"/>
        <w:textAlignment w:val="baseline"/>
        <w:rPr>
          <w:rFonts w:ascii="仿宋" w:hAnsi="仿宋" w:eastAsia="仿宋" w:cs="仿宋"/>
          <w:b w:val="0"/>
          <w:bCs w:val="0"/>
          <w:color w:val="auto"/>
          <w:sz w:val="24"/>
          <w:szCs w:val="24"/>
          <w:highlight w:val="none"/>
        </w:rPr>
      </w:pPr>
      <w:bookmarkStart w:id="11" w:name="_Toc31804"/>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color w:val="auto"/>
          <w:sz w:val="24"/>
          <w:szCs w:val="24"/>
          <w:highlight w:val="none"/>
        </w:rPr>
        <w:t>、作业要求及标准</w:t>
      </w:r>
      <w:bookmarkEnd w:id="11"/>
    </w:p>
    <w:p w14:paraId="4FF0C37B">
      <w:pPr>
        <w:pStyle w:val="4"/>
        <w:spacing w:before="0" w:after="0" w:line="560" w:lineRule="exact"/>
        <w:ind w:firstLine="480" w:firstLineChars="200"/>
        <w:textAlignment w:val="baseline"/>
        <w:rPr>
          <w:rFonts w:ascii="仿宋" w:hAnsi="仿宋" w:eastAsia="仿宋" w:cs="仿宋"/>
          <w:b w:val="0"/>
          <w:color w:val="auto"/>
          <w:szCs w:val="24"/>
          <w:highlight w:val="none"/>
        </w:rPr>
      </w:pPr>
      <w:bookmarkStart w:id="12" w:name="_Toc4028693"/>
      <w:bookmarkStart w:id="13" w:name="_Toc6920"/>
      <w:r>
        <w:rPr>
          <w:rFonts w:hint="eastAsia" w:ascii="仿宋" w:hAnsi="仿宋" w:eastAsia="仿宋" w:cs="仿宋"/>
          <w:b w:val="0"/>
          <w:color w:val="auto"/>
          <w:szCs w:val="24"/>
          <w:highlight w:val="none"/>
        </w:rPr>
        <w:t>（一）作业要求</w:t>
      </w:r>
      <w:bookmarkEnd w:id="12"/>
      <w:bookmarkEnd w:id="13"/>
    </w:p>
    <w:p w14:paraId="1FE50140">
      <w:pPr>
        <w:pStyle w:val="12"/>
        <w:spacing w:before="156" w:after="156"/>
        <w:ind w:firstLine="480" w:firstLineChars="200"/>
        <w:textAlignment w:val="baseline"/>
        <w:rPr>
          <w:rFonts w:ascii="仿宋" w:hAnsi="仿宋" w:eastAsia="仿宋" w:cs="仿宋"/>
          <w:color w:val="auto"/>
          <w:sz w:val="24"/>
          <w:szCs w:val="24"/>
          <w:highlight w:val="none"/>
        </w:rPr>
      </w:pPr>
      <w:bookmarkStart w:id="14" w:name="_Toc29057"/>
      <w:r>
        <w:rPr>
          <w:rFonts w:hint="eastAsia" w:ascii="仿宋" w:hAnsi="仿宋" w:eastAsia="仿宋" w:cs="仿宋"/>
          <w:color w:val="auto"/>
          <w:sz w:val="24"/>
          <w:szCs w:val="24"/>
          <w:highlight w:val="none"/>
        </w:rPr>
        <w:t>1.市政道路保洁要求</w:t>
      </w:r>
      <w:bookmarkEnd w:id="14"/>
    </w:p>
    <w:tbl>
      <w:tblPr>
        <w:tblStyle w:val="2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793"/>
        <w:gridCol w:w="2038"/>
        <w:gridCol w:w="2436"/>
        <w:gridCol w:w="1771"/>
        <w:gridCol w:w="2987"/>
        <w:gridCol w:w="2120"/>
      </w:tblGrid>
      <w:tr w14:paraId="61C1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7"/>
          </w:tcPr>
          <w:p w14:paraId="6F020575">
            <w:pPr>
              <w:pStyle w:val="12"/>
              <w:spacing w:before="156" w:after="156"/>
              <w:ind w:firstLine="560" w:firstLineChars="200"/>
              <w:jc w:val="center"/>
              <w:textAlignment w:val="baseline"/>
              <w:rPr>
                <w:rFonts w:ascii="仿宋" w:hAnsi="仿宋" w:eastAsia="仿宋" w:cs="仿宋"/>
                <w:color w:val="auto"/>
                <w:sz w:val="32"/>
                <w:szCs w:val="32"/>
                <w:highlight w:val="none"/>
              </w:rPr>
            </w:pPr>
            <w:r>
              <w:rPr>
                <w:rFonts w:hint="eastAsia" w:ascii="仿宋" w:hAnsi="仿宋" w:eastAsia="仿宋" w:cs="仿宋"/>
                <w:color w:val="auto"/>
                <w:kern w:val="0"/>
                <w:sz w:val="28"/>
                <w:szCs w:val="28"/>
                <w:highlight w:val="none"/>
              </w:rPr>
              <w:t>市政道路保洁要求</w:t>
            </w:r>
          </w:p>
        </w:tc>
      </w:tr>
      <w:tr w14:paraId="1570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14:paraId="71B0B5A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道路级别</w:t>
            </w:r>
          </w:p>
        </w:tc>
        <w:tc>
          <w:tcPr>
            <w:tcW w:w="1348" w:type="pct"/>
            <w:gridSpan w:val="2"/>
            <w:vAlign w:val="center"/>
          </w:tcPr>
          <w:p w14:paraId="58B26017">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市政路面保洁作业要求</w:t>
            </w:r>
          </w:p>
        </w:tc>
        <w:tc>
          <w:tcPr>
            <w:tcW w:w="857" w:type="pct"/>
            <w:vMerge w:val="restart"/>
            <w:vAlign w:val="center"/>
          </w:tcPr>
          <w:p w14:paraId="2DE4C45E">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垃圾桶、果皮箱保洁作业要求</w:t>
            </w:r>
          </w:p>
        </w:tc>
        <w:tc>
          <w:tcPr>
            <w:tcW w:w="623" w:type="pct"/>
            <w:vMerge w:val="restart"/>
            <w:vAlign w:val="center"/>
          </w:tcPr>
          <w:p w14:paraId="7762804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大件垃圾保洁作业要求</w:t>
            </w:r>
          </w:p>
        </w:tc>
        <w:tc>
          <w:tcPr>
            <w:tcW w:w="1051" w:type="pct"/>
            <w:vMerge w:val="restart"/>
            <w:vAlign w:val="center"/>
          </w:tcPr>
          <w:p w14:paraId="5B2F7D2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市政雨水井盖保洁作业要求</w:t>
            </w:r>
          </w:p>
        </w:tc>
        <w:tc>
          <w:tcPr>
            <w:tcW w:w="743" w:type="pct"/>
            <w:vMerge w:val="restart"/>
            <w:vAlign w:val="center"/>
          </w:tcPr>
          <w:p w14:paraId="6798408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各种立面违法广告保洁作业要求</w:t>
            </w:r>
          </w:p>
        </w:tc>
      </w:tr>
      <w:tr w14:paraId="0D0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020DB752">
            <w:pPr>
              <w:jc w:val="center"/>
              <w:textAlignment w:val="baseline"/>
              <w:rPr>
                <w:rFonts w:ascii="仿宋" w:hAnsi="仿宋" w:eastAsia="仿宋" w:cs="仿宋"/>
                <w:color w:val="auto"/>
                <w:sz w:val="32"/>
                <w:szCs w:val="32"/>
                <w:highlight w:val="none"/>
              </w:rPr>
            </w:pPr>
          </w:p>
        </w:tc>
        <w:tc>
          <w:tcPr>
            <w:tcW w:w="631" w:type="pct"/>
            <w:vAlign w:val="center"/>
          </w:tcPr>
          <w:p w14:paraId="27369B4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人工保洁</w:t>
            </w:r>
          </w:p>
        </w:tc>
        <w:tc>
          <w:tcPr>
            <w:tcW w:w="716" w:type="pct"/>
            <w:vAlign w:val="center"/>
          </w:tcPr>
          <w:p w14:paraId="07D6CFD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机械作业</w:t>
            </w:r>
          </w:p>
        </w:tc>
        <w:tc>
          <w:tcPr>
            <w:tcW w:w="857" w:type="pct"/>
            <w:vMerge w:val="continue"/>
            <w:vAlign w:val="center"/>
          </w:tcPr>
          <w:p w14:paraId="27432BCD">
            <w:pPr>
              <w:widowControl/>
              <w:jc w:val="center"/>
              <w:textAlignment w:val="center"/>
              <w:rPr>
                <w:rFonts w:ascii="仿宋" w:hAnsi="仿宋" w:eastAsia="仿宋" w:cs="仿宋"/>
                <w:color w:val="auto"/>
                <w:kern w:val="0"/>
                <w:sz w:val="24"/>
                <w:highlight w:val="none"/>
              </w:rPr>
            </w:pPr>
          </w:p>
        </w:tc>
        <w:tc>
          <w:tcPr>
            <w:tcW w:w="623" w:type="pct"/>
            <w:vMerge w:val="continue"/>
            <w:vAlign w:val="center"/>
          </w:tcPr>
          <w:p w14:paraId="4475C032">
            <w:pPr>
              <w:jc w:val="center"/>
              <w:textAlignment w:val="baseline"/>
              <w:rPr>
                <w:rFonts w:ascii="仿宋" w:hAnsi="仿宋" w:eastAsia="仿宋" w:cs="仿宋"/>
                <w:color w:val="auto"/>
                <w:sz w:val="32"/>
                <w:szCs w:val="32"/>
                <w:highlight w:val="none"/>
              </w:rPr>
            </w:pPr>
          </w:p>
        </w:tc>
        <w:tc>
          <w:tcPr>
            <w:tcW w:w="1051" w:type="pct"/>
            <w:vMerge w:val="continue"/>
            <w:vAlign w:val="center"/>
          </w:tcPr>
          <w:p w14:paraId="38E44174">
            <w:pPr>
              <w:jc w:val="center"/>
              <w:textAlignment w:val="baseline"/>
              <w:rPr>
                <w:rFonts w:ascii="仿宋" w:hAnsi="仿宋" w:eastAsia="仿宋" w:cs="仿宋"/>
                <w:color w:val="auto"/>
                <w:sz w:val="32"/>
                <w:szCs w:val="32"/>
                <w:highlight w:val="none"/>
              </w:rPr>
            </w:pPr>
          </w:p>
        </w:tc>
        <w:tc>
          <w:tcPr>
            <w:tcW w:w="743" w:type="pct"/>
            <w:vMerge w:val="continue"/>
            <w:vAlign w:val="center"/>
          </w:tcPr>
          <w:p w14:paraId="7D1B3B09">
            <w:pPr>
              <w:jc w:val="center"/>
              <w:textAlignment w:val="baseline"/>
              <w:rPr>
                <w:rFonts w:ascii="仿宋" w:hAnsi="仿宋" w:eastAsia="仿宋" w:cs="仿宋"/>
                <w:color w:val="auto"/>
                <w:sz w:val="32"/>
                <w:szCs w:val="32"/>
                <w:highlight w:val="none"/>
              </w:rPr>
            </w:pPr>
          </w:p>
        </w:tc>
      </w:tr>
      <w:tr w14:paraId="6DC9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26BA88C6">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一级</w:t>
            </w:r>
          </w:p>
        </w:tc>
        <w:tc>
          <w:tcPr>
            <w:tcW w:w="631" w:type="pct"/>
            <w:vAlign w:val="center"/>
          </w:tcPr>
          <w:p w14:paraId="6AF54DA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对停车位、人行道、隔离护栏等机械作业死角，进行人工清扫保洁（每天保洁18小时，05:00点-11：00点，11：00点-19：00点，19：00点-23:00点，每日2.5班次）；</w:t>
            </w:r>
          </w:p>
        </w:tc>
        <w:tc>
          <w:tcPr>
            <w:tcW w:w="716" w:type="pct"/>
            <w:vAlign w:val="center"/>
          </w:tcPr>
          <w:p w14:paraId="1575A93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车行道、人行道和市政设施实施机械化作业每天夜间全面冲洗1次，白天对道路进行巡回洒水、喷雾降尘4次以上，如遇阴雨天气可酌情降低机扫频率；</w:t>
            </w:r>
          </w:p>
        </w:tc>
        <w:tc>
          <w:tcPr>
            <w:tcW w:w="857" w:type="pct"/>
            <w:vAlign w:val="center"/>
          </w:tcPr>
          <w:p w14:paraId="3762769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14:paraId="241C9DA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51B37DF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60689FE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0EF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6BB8DC8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二级</w:t>
            </w:r>
          </w:p>
        </w:tc>
        <w:tc>
          <w:tcPr>
            <w:tcW w:w="631" w:type="pct"/>
            <w:vAlign w:val="center"/>
          </w:tcPr>
          <w:p w14:paraId="7F73059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对停车位、人行道、隔离护栏等机械作业死角，进行人工清扫保洁（每天保洁16小时，06:00点-10:00点,10:00点-18:00点，每日2班次）</w:t>
            </w:r>
          </w:p>
        </w:tc>
        <w:tc>
          <w:tcPr>
            <w:tcW w:w="716" w:type="pct"/>
            <w:vAlign w:val="center"/>
          </w:tcPr>
          <w:p w14:paraId="44935A7F">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车行道、人行道和市政设施机械化作业夜间每2天全面冲洗1次，白天对道路进行巡回洒水、喷雾降尘4次以上，如遇阴雨天气可酌情降低机扫频率；</w:t>
            </w:r>
          </w:p>
        </w:tc>
        <w:tc>
          <w:tcPr>
            <w:tcW w:w="857" w:type="pct"/>
            <w:vAlign w:val="center"/>
          </w:tcPr>
          <w:p w14:paraId="39E665D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084A715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021CB943">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0E9D44A6">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75EE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4E3FA13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三级</w:t>
            </w:r>
          </w:p>
        </w:tc>
        <w:tc>
          <w:tcPr>
            <w:tcW w:w="631" w:type="pct"/>
            <w:vAlign w:val="center"/>
          </w:tcPr>
          <w:p w14:paraId="6D517117">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对停车位、人行道、隔离护栏等机械作业死角，进行人工清扫保洁(每天保洁8小时,07:00点-11:00点，15:00点-19:00点，每日2班次）</w:t>
            </w:r>
          </w:p>
        </w:tc>
        <w:tc>
          <w:tcPr>
            <w:tcW w:w="716" w:type="pct"/>
            <w:vAlign w:val="center"/>
          </w:tcPr>
          <w:p w14:paraId="2206599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车行道、人行道和市政设施机械化作业夜间定期全面冲洗，白天对道路进行巡回洒水、喷雾降尘4次以上，如遇阴雨天气可酌情降低机扫频率；</w:t>
            </w:r>
          </w:p>
        </w:tc>
        <w:tc>
          <w:tcPr>
            <w:tcW w:w="857" w:type="pct"/>
            <w:vAlign w:val="center"/>
          </w:tcPr>
          <w:p w14:paraId="094FDD41">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60E7B18A">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180EDC00">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0CEF45E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21F5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659BFB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四级</w:t>
            </w:r>
          </w:p>
        </w:tc>
        <w:tc>
          <w:tcPr>
            <w:tcW w:w="631" w:type="pct"/>
            <w:vAlign w:val="center"/>
          </w:tcPr>
          <w:p w14:paraId="678BC330">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对停车位、人行道、隔离护栏等机械作业死角，进行人工清扫保洁(每天保洁8小时,07:00点-11:00点，15:00点-19:00点，每日2班次）</w:t>
            </w:r>
          </w:p>
        </w:tc>
        <w:tc>
          <w:tcPr>
            <w:tcW w:w="716" w:type="pct"/>
            <w:vAlign w:val="center"/>
          </w:tcPr>
          <w:p w14:paraId="24E2178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车行道、人行道和市政设施机械化作业夜间定期全面冲洗，白天对道路进行巡回洒水、喷雾降尘4次以上，如遇阴雨天气可酌情降低机扫频率；</w:t>
            </w:r>
          </w:p>
        </w:tc>
        <w:tc>
          <w:tcPr>
            <w:tcW w:w="857" w:type="pct"/>
            <w:vAlign w:val="center"/>
          </w:tcPr>
          <w:p w14:paraId="4E5FB66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21EC5BC3">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768FC96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2FC333C6">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bl>
    <w:p w14:paraId="7A7D4A46">
      <w:pPr>
        <w:pStyle w:val="10"/>
        <w:spacing w:line="560" w:lineRule="exact"/>
        <w:ind w:left="0" w:firstLine="480" w:firstLineChars="200"/>
        <w:textAlignment w:val="baseline"/>
        <w:rPr>
          <w:rFonts w:ascii="仿宋" w:hAnsi="仿宋" w:eastAsia="仿宋" w:cs="仿宋"/>
          <w:color w:val="auto"/>
          <w:highlight w:val="none"/>
          <w:lang w:eastAsia="zh-CN"/>
        </w:rPr>
      </w:pPr>
      <w:bookmarkStart w:id="15" w:name="_Toc29866"/>
      <w:r>
        <w:rPr>
          <w:rFonts w:hint="eastAsia" w:ascii="仿宋" w:hAnsi="仿宋" w:eastAsia="仿宋" w:cs="仿宋"/>
          <w:color w:val="auto"/>
          <w:highlight w:val="none"/>
          <w:lang w:eastAsia="zh-CN"/>
        </w:rPr>
        <w:t>2.公厕保洁及日常运维</w:t>
      </w:r>
      <w:bookmarkEnd w:id="15"/>
    </w:p>
    <w:p w14:paraId="28A2353F">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（1）公厕有专人管理，有保洁制度，公共厕所24小时对外开放；</w:t>
      </w:r>
    </w:p>
    <w:p w14:paraId="645874F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（2）保洁工具使用完毕应整齐存放在不显眼的位置或存放在工具房（箱）内，不得将保洁工具放在便器、洗手盆或楼梯；</w:t>
      </w:r>
    </w:p>
    <w:p w14:paraId="2C586AB5">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（3）供洗手用的水龙头不得用于保洁作业；</w:t>
      </w:r>
    </w:p>
    <w:p w14:paraId="38DDBA93">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（4）管理人员工作室、工作台保持整洁美观；</w:t>
      </w:r>
    </w:p>
    <w:p w14:paraId="740DDCB3">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（5）不得占用或妨碍残疾人公共厕所的正常使用；</w:t>
      </w:r>
    </w:p>
    <w:p w14:paraId="76078C91">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（6）公共厕所每天应全面冲洗两次以上并随时保洁。</w:t>
      </w:r>
    </w:p>
    <w:p w14:paraId="1975E148">
      <w:pPr>
        <w:pStyle w:val="10"/>
        <w:spacing w:line="560" w:lineRule="exact"/>
        <w:ind w:left="0" w:firstLine="480" w:firstLineChars="200"/>
        <w:textAlignment w:val="baseline"/>
        <w:rPr>
          <w:rFonts w:ascii="仿宋" w:hAnsi="仿宋" w:eastAsia="仿宋" w:cs="仿宋"/>
          <w:color w:val="auto"/>
          <w:highlight w:val="none"/>
          <w:lang w:eastAsia="zh-CN"/>
        </w:rPr>
      </w:pPr>
      <w:bookmarkStart w:id="16" w:name="_Toc14813"/>
      <w:r>
        <w:rPr>
          <w:rFonts w:hint="eastAsia" w:ascii="仿宋" w:hAnsi="仿宋" w:eastAsia="仿宋" w:cs="仿宋"/>
          <w:color w:val="auto"/>
          <w:highlight w:val="none"/>
          <w:lang w:eastAsia="zh-CN"/>
        </w:rPr>
        <w:t>3.中转站保洁及日常运维</w:t>
      </w:r>
      <w:bookmarkEnd w:id="16"/>
    </w:p>
    <w:p w14:paraId="72FC6A6D">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（1）中转站坚持值班制度，中转站开放时间为每天05:00-19:30，可根据实际情况作适当调整；</w:t>
      </w:r>
    </w:p>
    <w:p w14:paraId="1ADDD955">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（2）中转站内所有垃圾，必须每天清理，不得堆积在站内。转运结束后站内外要彻底清扫、冲洗，保持中转站内基本无臭味；</w:t>
      </w:r>
    </w:p>
    <w:p w14:paraId="7D492D02">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（3）保持中转站内无垃圾和杂物堆放，无晾晒衣物、无积水，工具、物品、车辆放置应有序；</w:t>
      </w:r>
    </w:p>
    <w:p w14:paraId="10F701C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（4）垃圾车在站内装载垃圾时要充分排放污水并检查密封是否良好，必要时应紧固锁紧装置。离站前要冲洗车身。</w:t>
      </w:r>
    </w:p>
    <w:p w14:paraId="79E968FD">
      <w:pPr>
        <w:pStyle w:val="4"/>
        <w:spacing w:before="0" w:after="0" w:line="560" w:lineRule="exact"/>
        <w:ind w:firstLine="480" w:firstLineChars="200"/>
        <w:textAlignment w:val="baseline"/>
        <w:rPr>
          <w:rFonts w:ascii="仿宋" w:hAnsi="仿宋" w:eastAsia="仿宋" w:cs="仿宋"/>
          <w:b w:val="0"/>
          <w:color w:val="auto"/>
          <w:szCs w:val="24"/>
          <w:highlight w:val="none"/>
        </w:rPr>
      </w:pPr>
      <w:bookmarkStart w:id="17" w:name="_Toc5865"/>
      <w:bookmarkStart w:id="18" w:name="_Toc4028694"/>
      <w:bookmarkStart w:id="19" w:name="_Toc533705128"/>
      <w:r>
        <w:rPr>
          <w:rFonts w:hint="eastAsia" w:ascii="仿宋" w:hAnsi="仿宋" w:eastAsia="仿宋" w:cs="仿宋"/>
          <w:b w:val="0"/>
          <w:color w:val="auto"/>
          <w:szCs w:val="24"/>
          <w:highlight w:val="none"/>
        </w:rPr>
        <w:t>（二）作业标准</w:t>
      </w:r>
      <w:bookmarkEnd w:id="17"/>
      <w:bookmarkEnd w:id="18"/>
      <w:bookmarkEnd w:id="19"/>
    </w:p>
    <w:p w14:paraId="10D1B807">
      <w:pPr>
        <w:pStyle w:val="10"/>
        <w:spacing w:line="560" w:lineRule="exact"/>
        <w:ind w:left="0" w:firstLine="480" w:firstLineChars="200"/>
        <w:textAlignment w:val="baseline"/>
        <w:rPr>
          <w:rFonts w:ascii="仿宋" w:hAnsi="仿宋" w:eastAsia="仿宋" w:cs="仿宋"/>
          <w:color w:val="auto"/>
          <w:highlight w:val="none"/>
          <w:lang w:eastAsia="zh-CN"/>
        </w:rPr>
      </w:pPr>
      <w:bookmarkStart w:id="20" w:name="_Toc28616"/>
      <w:r>
        <w:rPr>
          <w:rFonts w:hint="eastAsia" w:ascii="仿宋" w:hAnsi="仿宋" w:eastAsia="仿宋" w:cs="仿宋"/>
          <w:color w:val="auto"/>
          <w:highlight w:val="none"/>
          <w:lang w:eastAsia="zh-CN"/>
        </w:rPr>
        <w:t>1.道路清扫保洁</w:t>
      </w:r>
      <w:bookmarkEnd w:id="20"/>
    </w:p>
    <w:p w14:paraId="1D8B302C">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（1）一级道路</w:t>
      </w:r>
    </w:p>
    <w:p w14:paraId="3CEB8C81">
      <w:pPr>
        <w:spacing w:line="560" w:lineRule="exact"/>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kern w:val="0"/>
          <w:sz w:val="24"/>
          <w:highlight w:val="none"/>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14:paraId="07D32F9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（2）二级道路</w:t>
      </w:r>
    </w:p>
    <w:p w14:paraId="3D6515A8">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14:paraId="0FF39B47">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（3）三级道路</w:t>
      </w:r>
    </w:p>
    <w:p w14:paraId="19CFBCF6">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14:paraId="01495096">
      <w:pPr>
        <w:pStyle w:val="10"/>
        <w:spacing w:line="560" w:lineRule="exact"/>
        <w:ind w:left="0" w:right="4649" w:firstLine="480" w:firstLineChars="200"/>
        <w:textAlignment w:val="baseline"/>
        <w:rPr>
          <w:rFonts w:ascii="仿宋" w:hAnsi="仿宋" w:eastAsia="仿宋" w:cs="仿宋"/>
          <w:color w:val="auto"/>
          <w:highlight w:val="none"/>
          <w:lang w:eastAsia="zh-CN"/>
        </w:rPr>
      </w:pPr>
      <w:bookmarkStart w:id="21" w:name="_Toc29526"/>
      <w:r>
        <w:rPr>
          <w:rFonts w:hint="eastAsia" w:ascii="仿宋" w:hAnsi="仿宋" w:eastAsia="仿宋" w:cs="仿宋"/>
          <w:color w:val="auto"/>
          <w:highlight w:val="none"/>
          <w:lang w:eastAsia="zh-CN"/>
        </w:rPr>
        <w:t>2.城区生活垃圾收集、清运</w:t>
      </w:r>
      <w:bookmarkEnd w:id="21"/>
    </w:p>
    <w:p w14:paraId="73316E2A">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（1）作业工具采用密闭式电瓶三轮车、后装式垃圾压缩转运车。作业车辆必须与辖区垃圾压缩站相匹配。</w:t>
      </w:r>
    </w:p>
    <w:p w14:paraId="7B15AD4D">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（2）生活垃圾收集、清运车辆必须采用车厢密闭式车辆，无破损、锈迹，保持车容车貌整洁，作业完成后及时清洗车辆。</w:t>
      </w:r>
    </w:p>
    <w:p w14:paraId="1E4F600B">
      <w:pPr>
        <w:pStyle w:val="10"/>
        <w:spacing w:line="560" w:lineRule="exact"/>
        <w:ind w:left="0" w:firstLine="472" w:firstLineChars="200"/>
        <w:textAlignment w:val="baseline"/>
        <w:rPr>
          <w:rFonts w:ascii="仿宋" w:hAnsi="仿宋" w:eastAsia="仿宋" w:cs="仿宋"/>
          <w:color w:val="auto"/>
          <w:highlight w:val="none"/>
          <w:lang w:eastAsia="zh-CN"/>
        </w:rPr>
      </w:pPr>
      <w:r>
        <w:rPr>
          <w:rFonts w:hint="eastAsia" w:ascii="仿宋" w:hAnsi="仿宋" w:eastAsia="仿宋" w:cs="仿宋"/>
          <w:color w:val="auto"/>
          <w:spacing w:val="-2"/>
          <w:highlight w:val="none"/>
          <w:lang w:eastAsia="zh-CN"/>
        </w:rPr>
        <w:t>（3）必须做到日产日清，生活垃圾收集后收集点整洁，无乱堆乱放，无撒漏垃圾，收运后立即进行冲洗消毒，</w:t>
      </w:r>
      <w:r>
        <w:rPr>
          <w:rFonts w:hint="eastAsia" w:ascii="仿宋" w:hAnsi="仿宋" w:eastAsia="仿宋" w:cs="仿宋"/>
          <w:color w:val="auto"/>
          <w:highlight w:val="none"/>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14:paraId="1DF3346F">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（4）生活垃圾收集运输过程中必须密闭，无撒漏、滴漏现象。</w:t>
      </w:r>
    </w:p>
    <w:p w14:paraId="6608683E">
      <w:pPr>
        <w:pStyle w:val="10"/>
        <w:spacing w:line="560" w:lineRule="exact"/>
        <w:ind w:left="0" w:firstLine="480" w:firstLineChars="200"/>
        <w:textAlignment w:val="baseline"/>
        <w:rPr>
          <w:rFonts w:ascii="仿宋" w:hAnsi="仿宋" w:eastAsia="仿宋" w:cs="仿宋"/>
          <w:color w:val="auto"/>
          <w:highlight w:val="none"/>
          <w:lang w:eastAsia="zh-CN"/>
        </w:rPr>
      </w:pPr>
      <w:bookmarkStart w:id="22" w:name="_Toc25501"/>
      <w:r>
        <w:rPr>
          <w:rFonts w:hint="eastAsia" w:ascii="仿宋" w:hAnsi="仿宋" w:eastAsia="仿宋" w:cs="仿宋"/>
          <w:color w:val="auto"/>
          <w:highlight w:val="none"/>
          <w:lang w:eastAsia="zh-CN"/>
        </w:rPr>
        <w:t>3.公厕保洁及日常运维</w:t>
      </w:r>
      <w:bookmarkEnd w:id="22"/>
    </w:p>
    <w:p w14:paraId="71DE22EF">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14:paraId="7BD23C9E">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（2）蹲位整洁，大便槽两侧应无粪便污物，槽内无积粪，洁净见底；小便槽(斗)应无水锈、尿垢、垃圾，基本无臭；沟眼、管道保持畅通。</w:t>
      </w:r>
    </w:p>
    <w:p w14:paraId="729AA8A7">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（3）公厕内照明灯具、洗手器具、镜子、挂衣钩、冲水设备等应完好，无积灰、污物。</w:t>
      </w:r>
    </w:p>
    <w:p w14:paraId="38105994">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（4）公厕外环境应整洁，无乱堆杂物，保洁工具应放置整齐。公厕四周3－5m范围内，应无垃圾、粪便、污水等污物；并设有醒目标志牌，方便群众入厕。</w:t>
      </w:r>
    </w:p>
    <w:p w14:paraId="644E3F81">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（5）应定时喷洒灭蚊蝇药物，有效控制蝇蛆孳生。</w:t>
      </w:r>
    </w:p>
    <w:p w14:paraId="17F53498">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（6）公厕化粪池与出粪口应有盖板，无破损凹陷。</w:t>
      </w:r>
    </w:p>
    <w:p w14:paraId="0EA65C26">
      <w:pPr>
        <w:pStyle w:val="10"/>
        <w:spacing w:line="560" w:lineRule="exact"/>
        <w:ind w:left="0" w:firstLine="480" w:firstLineChars="200"/>
        <w:textAlignment w:val="baseline"/>
        <w:rPr>
          <w:rFonts w:ascii="仿宋" w:hAnsi="仿宋" w:eastAsia="仿宋" w:cs="仿宋"/>
          <w:color w:val="auto"/>
          <w:highlight w:val="none"/>
          <w:lang w:eastAsia="zh-CN"/>
        </w:rPr>
      </w:pPr>
      <w:bookmarkStart w:id="23" w:name="_Toc29096"/>
      <w:r>
        <w:rPr>
          <w:rFonts w:hint="eastAsia" w:ascii="仿宋" w:hAnsi="仿宋" w:eastAsia="仿宋" w:cs="仿宋"/>
          <w:color w:val="auto"/>
          <w:highlight w:val="none"/>
          <w:lang w:eastAsia="zh-CN"/>
        </w:rPr>
        <w:t>4.中转站保洁及日常运维</w:t>
      </w:r>
      <w:bookmarkEnd w:id="23"/>
    </w:p>
    <w:p w14:paraId="1BD3902C">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（1）中转站内外场地整洁，无撒落垃圾和堆积杂物，无积留污水。</w:t>
      </w:r>
    </w:p>
    <w:p w14:paraId="7E9427B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（3）室内通风良好，无明显臭味，墙壁、窗户应无积尘、蛛网。</w:t>
      </w:r>
    </w:p>
    <w:p w14:paraId="6EB404D2">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（4）进入站内的垃圾应当日转运，有贮存设施的，应加盖封闭，定时转运；每日中转站过夜积存垃圾不超过一车。</w:t>
      </w:r>
    </w:p>
    <w:p w14:paraId="36216098">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（5）站内垃圾装运容器应整洁，无积垢，无吊挂垃圾。</w:t>
      </w:r>
    </w:p>
    <w:p w14:paraId="5DA37CA3">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（6）站内有规范标志牌，并公布站点名称、作业时间、投诉电话。</w:t>
      </w:r>
    </w:p>
    <w:p w14:paraId="3325975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（7）中转站清运实行“垃圾不落地”作业，垃圾到站后随即倒入转运车辆箱体，转运作业完成以后，将垃圾桶、地面、墙壁清洗干净。</w:t>
      </w:r>
    </w:p>
    <w:p w14:paraId="70A08292">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（8）有异常垃圾进入中转站时应作好记录。确保全年全天候接纳的垃圾来源、种类、数量符合中转站要求。</w:t>
      </w:r>
    </w:p>
    <w:p w14:paraId="581946D9">
      <w:pPr>
        <w:pStyle w:val="10"/>
        <w:spacing w:line="560" w:lineRule="exact"/>
        <w:ind w:left="0" w:firstLine="480" w:firstLineChars="200"/>
        <w:textAlignment w:val="baseline"/>
        <w:rPr>
          <w:rFonts w:ascii="仿宋" w:hAnsi="仿宋" w:eastAsia="仿宋" w:cs="仿宋"/>
          <w:color w:val="auto"/>
          <w:highlight w:val="none"/>
          <w:lang w:eastAsia="zh-CN"/>
        </w:rPr>
      </w:pPr>
      <w:bookmarkStart w:id="24" w:name="_Toc31704"/>
      <w:r>
        <w:rPr>
          <w:rFonts w:hint="eastAsia" w:ascii="仿宋" w:hAnsi="仿宋" w:eastAsia="仿宋" w:cs="仿宋"/>
          <w:color w:val="auto"/>
          <w:highlight w:val="none"/>
          <w:lang w:eastAsia="zh-CN"/>
        </w:rPr>
        <w:t>5.安全文明生产标准</w:t>
      </w:r>
      <w:bookmarkEnd w:id="24"/>
    </w:p>
    <w:p w14:paraId="33819029">
      <w:pPr>
        <w:pStyle w:val="10"/>
        <w:spacing w:line="56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（1）公司应对新上岗工人进行环卫作业质量标准、安全培训，每月对所有上岗工人进行1次安全培训，并做好培训记录。</w:t>
      </w:r>
    </w:p>
    <w:p w14:paraId="6C4A8539">
      <w:pPr>
        <w:pStyle w:val="10"/>
        <w:spacing w:line="56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（2）环卫工人上班必须穿工作服，主干道、快速通道的环卫工人必须穿安全反光背</w:t>
      </w:r>
      <w:r>
        <w:rPr>
          <w:rFonts w:hint="eastAsia" w:ascii="仿宋" w:hAnsi="仿宋" w:eastAsia="仿宋" w:cs="仿宋"/>
          <w:color w:val="auto"/>
          <w:spacing w:val="-2"/>
          <w:highlight w:val="none"/>
          <w:lang w:eastAsia="zh-CN"/>
        </w:rPr>
        <w:t>心。根据本路段的人、车流情况，合理安排作业时间和方式，环卫工人作业时主动避开</w:t>
      </w:r>
      <w:r>
        <w:rPr>
          <w:rFonts w:hint="eastAsia" w:ascii="仿宋" w:hAnsi="仿宋" w:eastAsia="仿宋" w:cs="仿宋"/>
          <w:color w:val="auto"/>
          <w:highlight w:val="none"/>
          <w:lang w:eastAsia="zh-CN"/>
        </w:rPr>
        <w:t>行人和车流高峰，以免发生意外。</w:t>
      </w:r>
    </w:p>
    <w:p w14:paraId="4D1A19F4">
      <w:pPr>
        <w:pStyle w:val="10"/>
        <w:spacing w:line="56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（3）环卫工人在清扫和保洁时，应按车行线反方向清扫，特别在清扫保洁主车道时</w:t>
      </w:r>
      <w:r>
        <w:rPr>
          <w:rFonts w:hint="eastAsia" w:ascii="仿宋" w:hAnsi="仿宋" w:eastAsia="仿宋" w:cs="仿宋"/>
          <w:color w:val="auto"/>
          <w:spacing w:val="3"/>
          <w:highlight w:val="none"/>
          <w:lang w:eastAsia="zh-CN"/>
        </w:rPr>
        <w:t>要提高警觉，注意来车。清理主车道上的成堆的泥土时，应在清理点来车方向</w:t>
      </w:r>
      <w:r>
        <w:rPr>
          <w:rFonts w:hint="eastAsia" w:ascii="仿宋" w:hAnsi="仿宋" w:eastAsia="仿宋" w:cs="仿宋"/>
          <w:color w:val="auto"/>
          <w:highlight w:val="none"/>
          <w:lang w:eastAsia="zh-CN"/>
        </w:rPr>
        <w:t>50-100米处设置醒目的路障，并做好防护措施。</w:t>
      </w:r>
    </w:p>
    <w:p w14:paraId="4DFA0BDB">
      <w:pPr>
        <w:pStyle w:val="10"/>
        <w:spacing w:line="56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（4）清扫保洁时禁止将垃圾扫入（倒入）雨水井、绿化带、河道内、排水沟等。</w:t>
      </w:r>
    </w:p>
    <w:p w14:paraId="4D3D47CF">
      <w:pPr>
        <w:pStyle w:val="10"/>
        <w:spacing w:line="56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（5）不得将工具摆放在人行道上，要将工具存放在隐蔽位置，并摆放整齐，不得影响观瞻。</w:t>
      </w:r>
    </w:p>
    <w:p w14:paraId="7F280899">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（6）机械化作业车辆出车前必须进行车辆检查，发现故障及时排除，作业时必须开警示灯。</w:t>
      </w:r>
    </w:p>
    <w:p w14:paraId="655F4D93">
      <w:pPr>
        <w:pStyle w:val="10"/>
        <w:spacing w:line="56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（7）机械化作业车辆在工作过程中，必须遵守道路交通规则，礼让行车，注意行人的安全。</w:t>
      </w:r>
    </w:p>
    <w:p w14:paraId="631EA605">
      <w:pPr>
        <w:pStyle w:val="13"/>
        <w:ind w:left="0" w:leftChars="0"/>
        <w:jc w:val="left"/>
        <w:rPr>
          <w:rFonts w:ascii="仿宋" w:hAnsi="仿宋" w:eastAsia="仿宋" w:cs="仿宋"/>
          <w:color w:val="auto"/>
          <w:sz w:val="24"/>
          <w:szCs w:val="24"/>
          <w:highlight w:val="none"/>
        </w:rPr>
      </w:pPr>
    </w:p>
    <w:p w14:paraId="758C04B6">
      <w:pPr>
        <w:spacing w:line="44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六</w:t>
      </w:r>
      <w:r>
        <w:rPr>
          <w:rFonts w:hint="eastAsia" w:ascii="仿宋" w:hAnsi="仿宋" w:eastAsia="仿宋" w:cs="仿宋"/>
          <w:bCs/>
          <w:color w:val="auto"/>
          <w:sz w:val="24"/>
          <w:highlight w:val="none"/>
        </w:rPr>
        <w:t>、其他要求：</w:t>
      </w:r>
    </w:p>
    <w:p w14:paraId="720C5F1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1、为确保承包路段清扫保洁质量达标，拟投入项目人员不能少于本章“人员配备基本要求”规定人数的，否则按缺员人数的比例从每月应付款项中扣除。中标人</w:t>
      </w:r>
      <w:r>
        <w:rPr>
          <w:rFonts w:hint="eastAsia" w:ascii="仿宋" w:hAnsi="仿宋" w:eastAsia="仿宋" w:cs="仿宋"/>
          <w:color w:val="auto"/>
          <w:sz w:val="24"/>
          <w:highlight w:val="none"/>
        </w:rPr>
        <w:t>对清扫保洁员的聘用和工资的分配具有自主支配权，保洁员的工资核发不能低于当地规定的环卫同岗位同工种工资福利待遇，原环卫站工人环龄工资按照采购人现行标准连续计发，依法落实环卫工人的休假权益（每周至少休息1天和带薪休假），同时按国家规定发放防尘补贴、高温补贴、社保、意外险或雇主责任险等费用，所需费用由乙方承担。</w:t>
      </w:r>
    </w:p>
    <w:p w14:paraId="27A05CE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2、各分标中标人应优先聘用原环卫工作服务人员。</w:t>
      </w:r>
    </w:p>
    <w:p w14:paraId="02ABBA17">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中标后，采购人与中标人签定环卫市场化承包合同，另外中标人还须与雇用的环卫工作人员按当地劳动人事部门的要求签订劳动合同，合同一经签订即具有法律效力。任何违反承包合同规定的行为均视为违约，并按有关法律规定追究责任。</w:t>
      </w:r>
    </w:p>
    <w:p w14:paraId="4EF0B19A">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4、承包范围实行经费包干。</w:t>
      </w:r>
    </w:p>
    <w:p w14:paraId="7558E369">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5、如遇自然灾害、突发事件或特殊情况，必须无条件服从采购人统一调配管理,各分标应急队伍人员不少于总人数10%。清扫保洁质量检查员由乙方负责安排人员组成，统一由采购人调配管理。</w:t>
      </w:r>
    </w:p>
    <w:p w14:paraId="791B1474">
      <w:pPr>
        <w:pStyle w:val="12"/>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、付款方式</w:t>
      </w:r>
    </w:p>
    <w:p w14:paraId="7D856089">
      <w:pPr>
        <w:pStyle w:val="12"/>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1、付款方式：服务费按月支付，次月15日前支付上月服务费，月服务费为合同总金额按月平均值，每次支付金额由上月的考评结果确定</w:t>
      </w:r>
      <w:r>
        <w:rPr>
          <w:rFonts w:hint="eastAsia" w:ascii="仿宋" w:hAnsi="仿宋" w:eastAsia="仿宋" w:cs="仿宋"/>
          <w:b/>
          <w:color w:val="auto"/>
          <w:sz w:val="24"/>
          <w:szCs w:val="24"/>
          <w:highlight w:val="none"/>
        </w:rPr>
        <w:t>（考核标准详见附件1）</w:t>
      </w:r>
      <w:r>
        <w:rPr>
          <w:rFonts w:hint="eastAsia" w:ascii="仿宋" w:hAnsi="仿宋" w:eastAsia="仿宋" w:cs="仿宋"/>
          <w:color w:val="auto"/>
          <w:sz w:val="24"/>
          <w:szCs w:val="24"/>
          <w:highlight w:val="none"/>
        </w:rPr>
        <w:t>。</w:t>
      </w:r>
    </w:p>
    <w:p w14:paraId="48663982">
      <w:pPr>
        <w:pStyle w:val="12"/>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2、支付时间：中标人按规定发放本月人员工资并缴纳社保后，报采购人审核，采购人于次月15日前支付上月服务费（节假日顺延）。</w:t>
      </w:r>
    </w:p>
    <w:p w14:paraId="2AF340C6">
      <w:pPr>
        <w:pStyle w:val="13"/>
        <w:ind w:left="0" w:leftChars="0"/>
        <w:jc w:val="left"/>
        <w:rPr>
          <w:rFonts w:ascii="仿宋" w:hAnsi="仿宋" w:eastAsia="仿宋" w:cs="仿宋"/>
          <w:color w:val="auto"/>
          <w:kern w:val="0"/>
          <w:sz w:val="24"/>
          <w:szCs w:val="24"/>
          <w:highlight w:val="none"/>
        </w:rPr>
      </w:pPr>
    </w:p>
    <w:p w14:paraId="72C958CA">
      <w:pPr>
        <w:pStyle w:val="13"/>
        <w:ind w:left="0" w:leftChars="0"/>
        <w:jc w:val="left"/>
        <w:rPr>
          <w:rFonts w:ascii="仿宋" w:hAnsi="仿宋" w:eastAsia="仿宋" w:cs="仿宋"/>
          <w:b/>
          <w:bCs/>
          <w:color w:val="auto"/>
          <w:kern w:val="0"/>
          <w:sz w:val="28"/>
          <w:szCs w:val="28"/>
          <w:highlight w:val="none"/>
        </w:rPr>
      </w:pPr>
    </w:p>
    <w:p w14:paraId="3ED7E571">
      <w:pPr>
        <w:widowControl/>
        <w:jc w:val="left"/>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br w:type="page"/>
      </w:r>
    </w:p>
    <w:p w14:paraId="0333C09C">
      <w:pPr>
        <w:spacing w:line="320" w:lineRule="exact"/>
        <w:rPr>
          <w:rFonts w:hint="eastAsia" w:ascii="宋体" w:hAnsi="宋体" w:cs="宋体"/>
          <w:color w:val="auto"/>
          <w:sz w:val="24"/>
          <w:highlight w:val="none"/>
          <w:lang w:val="zh-CN"/>
        </w:rPr>
        <w:sectPr>
          <w:pgSz w:w="16838" w:h="11906" w:orient="landscape"/>
          <w:pgMar w:top="1247" w:right="1247" w:bottom="1247" w:left="1559" w:header="851" w:footer="992" w:gutter="0"/>
          <w:pgNumType w:fmt="decimal"/>
          <w:cols w:space="0" w:num="1"/>
          <w:titlePg/>
          <w:rtlGutter w:val="0"/>
          <w:docGrid w:linePitch="312" w:charSpace="0"/>
        </w:sectPr>
      </w:pPr>
    </w:p>
    <w:p w14:paraId="156DD655">
      <w:pPr>
        <w:spacing w:line="320" w:lineRule="exact"/>
        <w:rPr>
          <w:rFonts w:ascii="宋体" w:hAnsi="宋体" w:cs="宋体"/>
          <w:color w:val="auto"/>
          <w:sz w:val="24"/>
          <w:highlight w:val="none"/>
          <w:lang w:val="zh-CN"/>
        </w:rPr>
      </w:pPr>
      <w:r>
        <w:rPr>
          <w:rFonts w:hint="eastAsia" w:ascii="宋体" w:hAnsi="宋体" w:cs="宋体"/>
          <w:color w:val="auto"/>
          <w:sz w:val="24"/>
          <w:highlight w:val="none"/>
          <w:lang w:val="zh-CN"/>
        </w:rPr>
        <w:t>附件1</w:t>
      </w:r>
    </w:p>
    <w:p w14:paraId="1F35A5B9">
      <w:pPr>
        <w:spacing w:line="560" w:lineRule="exact"/>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龙州县城区道路清扫保洁绿化养护考核标准表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428"/>
        <w:gridCol w:w="3852"/>
        <w:gridCol w:w="889"/>
      </w:tblGrid>
      <w:tr w14:paraId="2E35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vAlign w:val="center"/>
          </w:tcPr>
          <w:p w14:paraId="3B376AF9">
            <w:pPr>
              <w:spacing w:line="360" w:lineRule="auto"/>
              <w:ind w:left="2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项目</w:t>
            </w:r>
          </w:p>
        </w:tc>
        <w:tc>
          <w:tcPr>
            <w:tcW w:w="4428" w:type="dxa"/>
            <w:vAlign w:val="center"/>
          </w:tcPr>
          <w:p w14:paraId="36E8B8EA">
            <w:pPr>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质量要求</w:t>
            </w:r>
          </w:p>
        </w:tc>
        <w:tc>
          <w:tcPr>
            <w:tcW w:w="3852" w:type="dxa"/>
            <w:vAlign w:val="center"/>
          </w:tcPr>
          <w:p w14:paraId="60425B77">
            <w:pPr>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考核标准</w:t>
            </w:r>
          </w:p>
        </w:tc>
        <w:tc>
          <w:tcPr>
            <w:tcW w:w="889" w:type="dxa"/>
            <w:vAlign w:val="center"/>
          </w:tcPr>
          <w:p w14:paraId="5320DB43">
            <w:pPr>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w:t>
            </w:r>
          </w:p>
        </w:tc>
      </w:tr>
      <w:tr w14:paraId="7079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vMerge w:val="restart"/>
            <w:tcBorders>
              <w:top w:val="single" w:color="auto" w:sz="4" w:space="0"/>
              <w:left w:val="single" w:color="auto" w:sz="4" w:space="0"/>
              <w:bottom w:val="single" w:color="auto" w:sz="4" w:space="0"/>
              <w:right w:val="single" w:color="auto" w:sz="4" w:space="0"/>
            </w:tcBorders>
            <w:vAlign w:val="center"/>
          </w:tcPr>
          <w:p w14:paraId="616AFBBC">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清扫</w:t>
            </w:r>
          </w:p>
          <w:p w14:paraId="189C3089">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保洁</w:t>
            </w:r>
          </w:p>
          <w:p w14:paraId="10D7B596">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收集</w:t>
            </w:r>
          </w:p>
        </w:tc>
        <w:tc>
          <w:tcPr>
            <w:tcW w:w="4428" w:type="dxa"/>
            <w:tcBorders>
              <w:top w:val="single" w:color="auto" w:sz="4" w:space="0"/>
              <w:left w:val="single" w:color="auto" w:sz="4" w:space="0"/>
              <w:bottom w:val="single" w:color="auto" w:sz="4" w:space="0"/>
              <w:right w:val="single" w:color="auto" w:sz="4" w:space="0"/>
            </w:tcBorders>
          </w:tcPr>
          <w:p w14:paraId="03BF962B">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1、确保每天2次普扫，夏季5：30，15：45完成。冬季6：00，15：00完成。</w:t>
            </w:r>
          </w:p>
          <w:p w14:paraId="021059C5">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普扫质量须达到“六无”、“五净”标准，既无垃圾堆积，无果皮、纸屑、痰迹烟蒂，无砖瓦石块，无污泥积水，无人畜粪便，无撒泼食物；路面净，人行道净，排水口净，边角、果壳箱净等环卫设施整齐干净，路面基本见本色。</w:t>
            </w:r>
          </w:p>
          <w:p w14:paraId="1CBC861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3、小街小巷两边所有的居民户生活垃圾每天上午收集清运一次，不能少收漏收。</w:t>
            </w:r>
          </w:p>
        </w:tc>
        <w:tc>
          <w:tcPr>
            <w:tcW w:w="3852" w:type="dxa"/>
            <w:tcBorders>
              <w:top w:val="single" w:color="auto" w:sz="4" w:space="0"/>
              <w:left w:val="single" w:color="auto" w:sz="4" w:space="0"/>
              <w:bottom w:val="single" w:color="auto" w:sz="4" w:space="0"/>
              <w:right w:val="single" w:color="auto" w:sz="4" w:space="0"/>
            </w:tcBorders>
          </w:tcPr>
          <w:p w14:paraId="2B823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1、在规定时间内未完成普扫的每500m</w:t>
            </w:r>
            <w:r>
              <w:rPr>
                <w:rFonts w:hint="eastAsia" w:ascii="宋体" w:hAnsi="宋体" w:eastAsia="宋体" w:cs="宋体"/>
                <w:b/>
                <w:bCs/>
                <w:color w:val="auto"/>
                <w:sz w:val="24"/>
                <w:szCs w:val="24"/>
                <w:highlight w:val="none"/>
                <w:vertAlign w:val="superscript"/>
                <w:lang w:val="zh-CN"/>
              </w:rPr>
              <w:t>2</w:t>
            </w:r>
            <w:r>
              <w:rPr>
                <w:rFonts w:hint="eastAsia" w:ascii="宋体" w:hAnsi="宋体" w:eastAsia="宋体" w:cs="宋体"/>
                <w:color w:val="auto"/>
                <w:sz w:val="24"/>
                <w:szCs w:val="24"/>
                <w:highlight w:val="none"/>
                <w:lang w:val="zh-CN"/>
              </w:rPr>
              <w:t>扣2分；</w:t>
            </w:r>
          </w:p>
          <w:p w14:paraId="052C9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2、普扫质量未达到标准的以10米为单位一次扣1分；</w:t>
            </w:r>
          </w:p>
          <w:p w14:paraId="4B4ADAD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3、卫生死角发现一处扣3分；</w:t>
            </w:r>
          </w:p>
          <w:p w14:paraId="61153A6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4、每漏收一户扣1分。</w:t>
            </w:r>
          </w:p>
        </w:tc>
        <w:tc>
          <w:tcPr>
            <w:tcW w:w="889" w:type="dxa"/>
            <w:tcBorders>
              <w:top w:val="single" w:color="auto" w:sz="4" w:space="0"/>
              <w:left w:val="single" w:color="auto" w:sz="4" w:space="0"/>
              <w:bottom w:val="single" w:color="auto" w:sz="4" w:space="0"/>
              <w:right w:val="single" w:color="auto" w:sz="4" w:space="0"/>
            </w:tcBorders>
            <w:vAlign w:val="center"/>
          </w:tcPr>
          <w:p w14:paraId="1634D1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普扫2小时内抽查</w:t>
            </w:r>
          </w:p>
        </w:tc>
      </w:tr>
      <w:tr w14:paraId="5804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vMerge w:val="continue"/>
            <w:tcBorders>
              <w:top w:val="single" w:color="auto" w:sz="4" w:space="0"/>
              <w:left w:val="single" w:color="auto" w:sz="4" w:space="0"/>
              <w:bottom w:val="single" w:color="auto" w:sz="4" w:space="0"/>
              <w:right w:val="single" w:color="auto" w:sz="4" w:space="0"/>
            </w:tcBorders>
          </w:tcPr>
          <w:p w14:paraId="275384CB">
            <w:pPr>
              <w:spacing w:before="120" w:after="120" w:line="360" w:lineRule="auto"/>
              <w:ind w:firstLine="460" w:firstLineChars="192"/>
              <w:rPr>
                <w:rFonts w:hint="eastAsia" w:ascii="宋体" w:hAnsi="宋体" w:eastAsia="宋体" w:cs="宋体"/>
                <w:color w:val="auto"/>
                <w:kern w:val="0"/>
                <w:sz w:val="24"/>
                <w:szCs w:val="24"/>
                <w:highlight w:val="none"/>
                <w:lang w:val="zh-CN"/>
              </w:rPr>
            </w:pPr>
          </w:p>
        </w:tc>
        <w:tc>
          <w:tcPr>
            <w:tcW w:w="4428" w:type="dxa"/>
            <w:tcBorders>
              <w:top w:val="single" w:color="auto" w:sz="4" w:space="0"/>
              <w:left w:val="single" w:color="auto" w:sz="4" w:space="0"/>
              <w:bottom w:val="single" w:color="auto" w:sz="4" w:space="0"/>
              <w:right w:val="single" w:color="auto" w:sz="4" w:space="0"/>
            </w:tcBorders>
          </w:tcPr>
          <w:p w14:paraId="42C0AFE2">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动态保洁时间内，承包责任区域内无垃圾废弃物（包括烟头、纸屑、瓜果皮核、包装壳、塑料袋、砖瓦、石子等各类明显废弃物）；无散、袋装垃圾滞留路面；果壳箱定时清洗及时加盖、关门；人行道、步阶、墙跟、树穴无明显杂草、杂物；晴天路面无积水,无蚊蝇孳生；路两旁及隔离护栏下无淤泥,路面基本见本色。</w:t>
            </w:r>
          </w:p>
          <w:p w14:paraId="5D2519E9">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2、发现责任路段范围内出现大面积遗撒物等应急作业要求时，应在规定时间内完成清理保洁工作；</w:t>
            </w:r>
          </w:p>
          <w:p w14:paraId="41C17F45">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所有硬化宽度2米以上的水泥路面要求每天拿扫把清扫保洁一次；石板路面和2米以下宽度的水泥路面及人力三轮车无法通行的巷子要求每天用钳子等工具拾捡各种垃圾一次，每周用扫把清扫一次；泥路要求无垃圾遗留。</w:t>
            </w:r>
          </w:p>
        </w:tc>
        <w:tc>
          <w:tcPr>
            <w:tcW w:w="3852" w:type="dxa"/>
            <w:tcBorders>
              <w:top w:val="single" w:color="auto" w:sz="4" w:space="0"/>
              <w:left w:val="single" w:color="auto" w:sz="4" w:space="0"/>
              <w:bottom w:val="single" w:color="auto" w:sz="4" w:space="0"/>
              <w:right w:val="single" w:color="auto" w:sz="4" w:space="0"/>
            </w:tcBorders>
          </w:tcPr>
          <w:p w14:paraId="5BDFBF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1、零星散落发现以5米为单位一次扣0.3分；</w:t>
            </w:r>
          </w:p>
          <w:p w14:paraId="34324B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2、连续散落超3米扣3分；</w:t>
            </w:r>
          </w:p>
          <w:p w14:paraId="3CBA93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、散垃圾一堆扣</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w:t>
            </w:r>
          </w:p>
          <w:p w14:paraId="1F3F19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4、袋装垃圾一堆扣2分；</w:t>
            </w:r>
          </w:p>
          <w:p w14:paraId="6E533B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5、果壳箱未及时清洗加盖、关门发现一只扣0.1分；</w:t>
            </w:r>
          </w:p>
          <w:p w14:paraId="7DCB89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6、人行道、步阶等杂草、杂物发现一处扣0.1分；</w:t>
            </w:r>
          </w:p>
          <w:p w14:paraId="203285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7、污水或蚊蝇孳生地发现一处扣0.3分；</w:t>
            </w:r>
          </w:p>
          <w:p w14:paraId="5E5AE8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8、路两旁及隔离护栏下积淤泥每20米扣0.5分；</w:t>
            </w:r>
          </w:p>
          <w:p w14:paraId="7971E3D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9、应急作业时，未在规定时间内及时清理干净的，每延迟半小时扣3分</w:t>
            </w:r>
          </w:p>
        </w:tc>
        <w:tc>
          <w:tcPr>
            <w:tcW w:w="889" w:type="dxa"/>
            <w:tcBorders>
              <w:top w:val="single" w:color="auto" w:sz="4" w:space="0"/>
              <w:left w:val="single" w:color="auto" w:sz="4" w:space="0"/>
              <w:bottom w:val="single" w:color="auto" w:sz="4" w:space="0"/>
              <w:right w:val="single" w:color="auto" w:sz="4" w:space="0"/>
            </w:tcBorders>
            <w:vAlign w:val="center"/>
          </w:tcPr>
          <w:p w14:paraId="7CDD6BD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规定时间内</w:t>
            </w:r>
          </w:p>
        </w:tc>
      </w:tr>
      <w:tr w14:paraId="3A9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1111331C">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环卫</w:t>
            </w:r>
          </w:p>
          <w:p w14:paraId="3F291FDE">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设施</w:t>
            </w:r>
          </w:p>
        </w:tc>
        <w:tc>
          <w:tcPr>
            <w:tcW w:w="4428" w:type="dxa"/>
            <w:tcBorders>
              <w:top w:val="single" w:color="auto" w:sz="4" w:space="0"/>
              <w:left w:val="single" w:color="auto" w:sz="4" w:space="0"/>
              <w:bottom w:val="single" w:color="auto" w:sz="4" w:space="0"/>
              <w:right w:val="single" w:color="auto" w:sz="4" w:space="0"/>
            </w:tcBorders>
          </w:tcPr>
          <w:p w14:paraId="3DEB164D">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1、环卫设施无破损，定期清洗保持外观清洁。</w:t>
            </w:r>
          </w:p>
          <w:p w14:paraId="260DE389">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2、果壳箱每日清洗一次。</w:t>
            </w:r>
          </w:p>
          <w:p w14:paraId="66A75484">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3、人力三轮车每班收工后必须清洗车辆。</w:t>
            </w:r>
          </w:p>
          <w:p w14:paraId="016BCF88">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4、中转站内外应干净整洁、无撒落垃圾和堆放杂物，无积水。</w:t>
            </w:r>
          </w:p>
          <w:p w14:paraId="2D50C3E5">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5、沿街道和小区所放的垃圾箱无溢满，箱体内外和地面保持干净整洁，无明显污垢和淤泥。</w:t>
            </w:r>
          </w:p>
        </w:tc>
        <w:tc>
          <w:tcPr>
            <w:tcW w:w="3852" w:type="dxa"/>
            <w:tcBorders>
              <w:top w:val="single" w:color="auto" w:sz="4" w:space="0"/>
              <w:left w:val="single" w:color="auto" w:sz="4" w:space="0"/>
              <w:bottom w:val="single" w:color="auto" w:sz="4" w:space="0"/>
              <w:right w:val="single" w:color="auto" w:sz="4" w:space="0"/>
            </w:tcBorders>
          </w:tcPr>
          <w:p w14:paraId="6E60CB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1、设施破损的发现一个扣0.2分；</w:t>
            </w:r>
          </w:p>
          <w:p w14:paraId="26006E8C">
            <w:pPr>
              <w:spacing w:line="36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2、设施、车辆未清洗发现一处的扣0.3分；</w:t>
            </w:r>
          </w:p>
          <w:p w14:paraId="419E69C4">
            <w:pPr>
              <w:tabs>
                <w:tab w:val="left" w:pos="3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3、垃圾没有日产日清的发现一次扣0.5分。</w:t>
            </w:r>
          </w:p>
          <w:p w14:paraId="475654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4、中转站院内外，未达到要求的每次每处扣0.1分。</w:t>
            </w:r>
          </w:p>
          <w:p w14:paraId="2B7A52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5、垃圾箱溢满的要增加清运次数，箱体及四周干净整洁。未达到要求的每次每处扣0.1分。</w:t>
            </w:r>
          </w:p>
        </w:tc>
        <w:tc>
          <w:tcPr>
            <w:tcW w:w="889" w:type="dxa"/>
            <w:tcBorders>
              <w:top w:val="single" w:color="auto" w:sz="4" w:space="0"/>
              <w:left w:val="single" w:color="auto" w:sz="4" w:space="0"/>
              <w:bottom w:val="single" w:color="auto" w:sz="4" w:space="0"/>
              <w:right w:val="single" w:color="auto" w:sz="4" w:space="0"/>
            </w:tcBorders>
            <w:vAlign w:val="center"/>
          </w:tcPr>
          <w:p w14:paraId="0FE75108">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r w14:paraId="274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vMerge w:val="restart"/>
            <w:tcBorders>
              <w:top w:val="single" w:color="auto" w:sz="4" w:space="0"/>
              <w:left w:val="single" w:color="auto" w:sz="4" w:space="0"/>
              <w:bottom w:val="single" w:color="auto" w:sz="4" w:space="0"/>
              <w:right w:val="single" w:color="auto" w:sz="4" w:space="0"/>
            </w:tcBorders>
            <w:vAlign w:val="center"/>
          </w:tcPr>
          <w:p w14:paraId="52535822">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人员规范作业</w:t>
            </w:r>
          </w:p>
        </w:tc>
        <w:tc>
          <w:tcPr>
            <w:tcW w:w="4428" w:type="dxa"/>
            <w:tcBorders>
              <w:top w:val="single" w:color="auto" w:sz="4" w:space="0"/>
              <w:left w:val="single" w:color="auto" w:sz="4" w:space="0"/>
              <w:bottom w:val="single" w:color="auto" w:sz="4" w:space="0"/>
              <w:right w:val="single" w:color="auto" w:sz="4" w:space="0"/>
            </w:tcBorders>
          </w:tcPr>
          <w:p w14:paraId="34017507">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1、按劳动定额工作要求安排足量保洁人员上路保洁，人工保洁作业任务范围不得大于6500平米/工日。</w:t>
            </w:r>
          </w:p>
          <w:p w14:paraId="5BC07EB0">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2、作业人员佩证上岗，作业期内穿反光安全服;在作业时间内，不集聚闲聊，工期休息不超过10分钟;作业期间不做与作业无关的事。</w:t>
            </w:r>
          </w:p>
          <w:p w14:paraId="2F1E9A53">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3、垃圾车须配备反光标识并且不得遮挡，停放时遵守交通法规；垃圾运输实行密闭，不得超高运输和吊挂杂物。</w:t>
            </w:r>
          </w:p>
          <w:p w14:paraId="09351238">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4、严禁作业人员擅自向责任区内单位收取各种费用。</w:t>
            </w:r>
          </w:p>
        </w:tc>
        <w:tc>
          <w:tcPr>
            <w:tcW w:w="3852" w:type="dxa"/>
            <w:tcBorders>
              <w:top w:val="single" w:color="auto" w:sz="4" w:space="0"/>
              <w:left w:val="single" w:color="auto" w:sz="4" w:space="0"/>
              <w:bottom w:val="single" w:color="auto" w:sz="4" w:space="0"/>
              <w:right w:val="single" w:color="auto" w:sz="4" w:space="0"/>
            </w:tcBorders>
          </w:tcPr>
          <w:p w14:paraId="0EE9F7C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1、单班保洁人员安排不足的，每少一人扣1分；</w:t>
            </w:r>
          </w:p>
          <w:p w14:paraId="4A37C8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2、无佩戴上岗证和穿反光安全服的发现一次扣0.3分；</w:t>
            </w:r>
          </w:p>
          <w:p w14:paraId="26F0BA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3、集聚闲聊或坐岗超过10分钟的发现一次扣0.3分；</w:t>
            </w:r>
          </w:p>
          <w:p w14:paraId="0BBBDD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4、动态保洁时间内不在岗或做其他无关事情的发现一次扣1分；</w:t>
            </w:r>
          </w:p>
          <w:p w14:paraId="18D5FF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5、垃圾车无反光标识或反光标识被遮挡发现一次扣0.3分；</w:t>
            </w:r>
          </w:p>
          <w:p w14:paraId="277219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6、垃圾未实行密闭运输一次扣0.3分；</w:t>
            </w:r>
          </w:p>
          <w:p w14:paraId="24CCA1A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7、发现作业人员擅自收费的一次扣4分。</w:t>
            </w:r>
          </w:p>
        </w:tc>
        <w:tc>
          <w:tcPr>
            <w:tcW w:w="889" w:type="dxa"/>
            <w:tcBorders>
              <w:top w:val="single" w:color="auto" w:sz="4" w:space="0"/>
              <w:left w:val="single" w:color="auto" w:sz="4" w:space="0"/>
              <w:bottom w:val="single" w:color="auto" w:sz="4" w:space="0"/>
              <w:right w:val="single" w:color="auto" w:sz="4" w:space="0"/>
            </w:tcBorders>
            <w:vAlign w:val="center"/>
          </w:tcPr>
          <w:p w14:paraId="2124074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r w14:paraId="0FE6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vMerge w:val="continue"/>
            <w:tcBorders>
              <w:top w:val="single" w:color="auto" w:sz="4" w:space="0"/>
              <w:left w:val="single" w:color="auto" w:sz="4" w:space="0"/>
              <w:bottom w:val="single" w:color="auto" w:sz="4" w:space="0"/>
              <w:right w:val="single" w:color="auto" w:sz="4" w:space="0"/>
            </w:tcBorders>
          </w:tcPr>
          <w:p w14:paraId="30164638">
            <w:pPr>
              <w:spacing w:before="120" w:after="120" w:line="360" w:lineRule="auto"/>
              <w:ind w:firstLine="460" w:firstLineChars="192"/>
              <w:rPr>
                <w:rFonts w:hint="eastAsia" w:ascii="宋体" w:hAnsi="宋体" w:eastAsia="宋体" w:cs="宋体"/>
                <w:color w:val="auto"/>
                <w:kern w:val="0"/>
                <w:sz w:val="24"/>
                <w:szCs w:val="24"/>
                <w:highlight w:val="none"/>
                <w:lang w:val="zh-CN"/>
              </w:rPr>
            </w:pPr>
          </w:p>
        </w:tc>
        <w:tc>
          <w:tcPr>
            <w:tcW w:w="4428" w:type="dxa"/>
            <w:tcBorders>
              <w:top w:val="single" w:color="auto" w:sz="4" w:space="0"/>
              <w:left w:val="single" w:color="auto" w:sz="4" w:space="0"/>
              <w:bottom w:val="single" w:color="auto" w:sz="4" w:space="0"/>
              <w:right w:val="single" w:color="auto" w:sz="4" w:space="0"/>
            </w:tcBorders>
          </w:tcPr>
          <w:p w14:paraId="20A2F3BC">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1、清扫保洁时间内（含人工清扫）不得故意将垃圾扫入窑井、花坛、绿化带。</w:t>
            </w:r>
          </w:p>
          <w:p w14:paraId="4F5CE80A">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2、清扫作业中不得漏扫、甩扫。</w:t>
            </w:r>
          </w:p>
          <w:p w14:paraId="3D81120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3、交接班不得出现空档，责任区交界处清扫保洁各过界5米。</w:t>
            </w:r>
          </w:p>
          <w:p w14:paraId="4DCC2FE0">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4、垃圾在指定地点倾倒，不得焚烧垃圾。</w:t>
            </w:r>
          </w:p>
        </w:tc>
        <w:tc>
          <w:tcPr>
            <w:tcW w:w="3852" w:type="dxa"/>
            <w:tcBorders>
              <w:top w:val="single" w:color="auto" w:sz="4" w:space="0"/>
              <w:left w:val="single" w:color="auto" w:sz="4" w:space="0"/>
              <w:bottom w:val="single" w:color="auto" w:sz="4" w:space="0"/>
              <w:right w:val="single" w:color="auto" w:sz="4" w:space="0"/>
            </w:tcBorders>
          </w:tcPr>
          <w:p w14:paraId="4478AF8B">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1、故意将垃圾扫入窑井、花坛、绿化带查证属实的一次扣5分；</w:t>
            </w:r>
          </w:p>
          <w:p w14:paraId="0752A0C8">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2、清扫中发现漏扫、甩扫的发现一次扣2分；</w:t>
            </w:r>
          </w:p>
          <w:p w14:paraId="179A6266">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3、交接班出现空档或交界处清扫未各过界5米的发现一次扣2分；</w:t>
            </w:r>
          </w:p>
          <w:p w14:paraId="6D4FC71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4、垃圾未在指定地点倾倒，或焚烧垃圾的发现一次扣5分。</w:t>
            </w:r>
          </w:p>
        </w:tc>
        <w:tc>
          <w:tcPr>
            <w:tcW w:w="889" w:type="dxa"/>
            <w:tcBorders>
              <w:top w:val="single" w:color="auto" w:sz="4" w:space="0"/>
              <w:left w:val="single" w:color="auto" w:sz="4" w:space="0"/>
              <w:bottom w:val="single" w:color="auto" w:sz="4" w:space="0"/>
              <w:right w:val="single" w:color="auto" w:sz="4" w:space="0"/>
            </w:tcBorders>
            <w:vAlign w:val="center"/>
          </w:tcPr>
          <w:p w14:paraId="6374039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r w14:paraId="72C8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399C838B">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公厕管理</w:t>
            </w:r>
          </w:p>
        </w:tc>
        <w:tc>
          <w:tcPr>
            <w:tcW w:w="4428" w:type="dxa"/>
            <w:tcBorders>
              <w:top w:val="single" w:color="auto" w:sz="4" w:space="0"/>
              <w:left w:val="single" w:color="auto" w:sz="4" w:space="0"/>
              <w:bottom w:val="single" w:color="auto" w:sz="4" w:space="0"/>
              <w:right w:val="single" w:color="auto" w:sz="4" w:space="0"/>
            </w:tcBorders>
          </w:tcPr>
          <w:p w14:paraId="0BFB6D6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1、公厕内采光、照明和通风良好，无明显臭味，墙面、天花板、门窗和隔离板无积灰、污垢、蛛网，无乱涂乱画，无乱张贴小广告，墙面光洁；地面无污物、污垢、积水；公厕外墙面整洁。</w:t>
            </w:r>
          </w:p>
          <w:p w14:paraId="150DAE3C">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2、蹲位整洁，大便槽两侧无粪便污物，槽内无积粪，洁净见底；小便槽（斗）无水锈、尿垢、垃圾，基本无臭；沟眼、管道保持畅通。</w:t>
            </w:r>
          </w:p>
          <w:p w14:paraId="639B471E">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3、公厕内照明灯具、冲水设备完好，无积灰、污物。</w:t>
            </w:r>
          </w:p>
          <w:p w14:paraId="63FE0674">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4、定时喷洒灭蚊蝇药物，有效控制蝇蛆孳生。</w:t>
            </w:r>
          </w:p>
          <w:p w14:paraId="1F982449">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5、公厕化粪池与出粪池设有板盖，无破损凹陷。</w:t>
            </w:r>
          </w:p>
          <w:p w14:paraId="5CFAE96D">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6、定期清理化粪池，粪池不满溢。</w:t>
            </w:r>
          </w:p>
        </w:tc>
        <w:tc>
          <w:tcPr>
            <w:tcW w:w="3852" w:type="dxa"/>
            <w:tcBorders>
              <w:top w:val="single" w:color="auto" w:sz="4" w:space="0"/>
              <w:left w:val="single" w:color="auto" w:sz="4" w:space="0"/>
              <w:bottom w:val="single" w:color="auto" w:sz="4" w:space="0"/>
              <w:right w:val="single" w:color="auto" w:sz="4" w:space="0"/>
            </w:tcBorders>
            <w:vAlign w:val="center"/>
          </w:tcPr>
          <w:p w14:paraId="128B9CE9">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发现一处不达标扣0.02分</w:t>
            </w:r>
          </w:p>
        </w:tc>
        <w:tc>
          <w:tcPr>
            <w:tcW w:w="889" w:type="dxa"/>
            <w:tcBorders>
              <w:top w:val="single" w:color="auto" w:sz="4" w:space="0"/>
              <w:left w:val="single" w:color="auto" w:sz="4" w:space="0"/>
              <w:bottom w:val="single" w:color="auto" w:sz="4" w:space="0"/>
              <w:right w:val="single" w:color="auto" w:sz="4" w:space="0"/>
            </w:tcBorders>
            <w:vAlign w:val="center"/>
          </w:tcPr>
          <w:p w14:paraId="123DEE91">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r w14:paraId="2C60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3EE9724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道路路面和路沿石清洗、隔离栏管理</w:t>
            </w:r>
          </w:p>
        </w:tc>
        <w:tc>
          <w:tcPr>
            <w:tcW w:w="4428" w:type="dxa"/>
            <w:tcBorders>
              <w:top w:val="single" w:color="auto" w:sz="4" w:space="0"/>
              <w:left w:val="single" w:color="auto" w:sz="4" w:space="0"/>
              <w:bottom w:val="single" w:color="auto" w:sz="4" w:space="0"/>
              <w:right w:val="single" w:color="auto" w:sz="4" w:space="0"/>
            </w:tcBorders>
          </w:tcPr>
          <w:p w14:paraId="1097EA0C">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隔离栏内外栏干净整洁，无浮土、无污渍、无小广告等，隔离栏呈本色。</w:t>
            </w:r>
          </w:p>
          <w:p w14:paraId="77B3D6D8">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每周清洗不小于3次。</w:t>
            </w:r>
          </w:p>
          <w:p w14:paraId="18F4F702">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作业完成后栏下地面无脏水、垃圾杂物、积泥等。</w:t>
            </w:r>
          </w:p>
          <w:p w14:paraId="4AF17D5F">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作业时需穿工作服或按规定设置交通安全标志。</w:t>
            </w:r>
          </w:p>
          <w:p w14:paraId="25AD6BD2">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道路路面、路沿石须见原色、无浮土、无泥沙、无积水。</w:t>
            </w:r>
          </w:p>
        </w:tc>
        <w:tc>
          <w:tcPr>
            <w:tcW w:w="3852" w:type="dxa"/>
            <w:tcBorders>
              <w:top w:val="single" w:color="auto" w:sz="4" w:space="0"/>
              <w:left w:val="single" w:color="auto" w:sz="4" w:space="0"/>
              <w:bottom w:val="single" w:color="auto" w:sz="4" w:space="0"/>
              <w:right w:val="single" w:color="auto" w:sz="4" w:space="0"/>
            </w:tcBorders>
            <w:vAlign w:val="center"/>
          </w:tcPr>
          <w:p w14:paraId="25F6EECF">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1、每发现一处扣0.02分；</w:t>
            </w:r>
          </w:p>
          <w:p w14:paraId="05694A56">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2、每发现一次扣0.02分；</w:t>
            </w:r>
          </w:p>
          <w:p w14:paraId="7FCDAB0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3、每发现一人次扣0.05分；</w:t>
            </w:r>
          </w:p>
          <w:p w14:paraId="0D2C8CB2">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4、未清洗的每段道路扣0.5分；</w:t>
            </w:r>
          </w:p>
          <w:p w14:paraId="55341775">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5、清洗后，道路路面和路沿石未达到清洗标准，发现一次扣0.5分。</w:t>
            </w:r>
          </w:p>
        </w:tc>
        <w:tc>
          <w:tcPr>
            <w:tcW w:w="889" w:type="dxa"/>
            <w:tcBorders>
              <w:top w:val="single" w:color="auto" w:sz="4" w:space="0"/>
              <w:left w:val="single" w:color="auto" w:sz="4" w:space="0"/>
              <w:bottom w:val="single" w:color="auto" w:sz="4" w:space="0"/>
              <w:right w:val="single" w:color="auto" w:sz="4" w:space="0"/>
            </w:tcBorders>
            <w:vAlign w:val="center"/>
          </w:tcPr>
          <w:p w14:paraId="33F2941F">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r w14:paraId="4F25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4ED500FB">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绿化养护工作</w:t>
            </w:r>
          </w:p>
        </w:tc>
        <w:tc>
          <w:tcPr>
            <w:tcW w:w="4428" w:type="dxa"/>
            <w:tcBorders>
              <w:top w:val="single" w:color="auto" w:sz="4" w:space="0"/>
              <w:left w:val="single" w:color="auto" w:sz="4" w:space="0"/>
              <w:bottom w:val="single" w:color="auto" w:sz="4" w:space="0"/>
              <w:right w:val="single" w:color="auto" w:sz="4" w:space="0"/>
            </w:tcBorders>
          </w:tcPr>
          <w:p w14:paraId="38B47D63">
            <w:pPr>
              <w:spacing w:before="120" w:after="120"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整体参照园林二级养护标准执行。</w:t>
            </w:r>
          </w:p>
          <w:p w14:paraId="2CD443E1">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1、行道树树形丰满、美观，无枯枝低枝通透无死亡现象，发现有缺苗及时补种，每年施肥1次，粉白2次，病虫害防治4次，树池内无杂草、杂物，树上没有捆绑物。</w:t>
            </w:r>
          </w:p>
          <w:p w14:paraId="2C3AF3F7">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2、绿化带保持造型整齐美观、无枯死枝、无病虫害，不能有垃圾、杂草、杂树，发现缺苗及时补种，每年病虫害防治不得少于4次，施肥不得少于4次。</w:t>
            </w:r>
          </w:p>
          <w:p w14:paraId="53E2CAB0">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3、广场、公园绿化带、绿化树无枯树、无死树、无杂草，通透，发现病虫害、白蚁等及时处理，冬季树干粉白防虫，草坪内无杂草、无死亡缺损，每年修剪不少于12次。</w:t>
            </w:r>
          </w:p>
          <w:p w14:paraId="5D2ACB3D">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4、淋水保养：道路绿化树、绿化带、广场、公园等绿地每周淋水不少于3次。</w:t>
            </w:r>
          </w:p>
        </w:tc>
        <w:tc>
          <w:tcPr>
            <w:tcW w:w="3852" w:type="dxa"/>
            <w:tcBorders>
              <w:top w:val="single" w:color="auto" w:sz="4" w:space="0"/>
              <w:left w:val="single" w:color="auto" w:sz="4" w:space="0"/>
              <w:bottom w:val="single" w:color="auto" w:sz="4" w:space="0"/>
              <w:right w:val="single" w:color="auto" w:sz="4" w:space="0"/>
            </w:tcBorders>
            <w:vAlign w:val="center"/>
          </w:tcPr>
          <w:p w14:paraId="01B4B293">
            <w:pPr>
              <w:spacing w:before="120" w:after="120" w:line="360" w:lineRule="auto"/>
              <w:ind w:firstLine="460" w:firstLineChars="19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每发现一次未达标准，并通报整改后不及时整改的，一次扣0.5分。</w:t>
            </w:r>
          </w:p>
        </w:tc>
        <w:tc>
          <w:tcPr>
            <w:tcW w:w="889" w:type="dxa"/>
            <w:tcBorders>
              <w:top w:val="single" w:color="auto" w:sz="4" w:space="0"/>
              <w:left w:val="single" w:color="auto" w:sz="4" w:space="0"/>
              <w:bottom w:val="single" w:color="auto" w:sz="4" w:space="0"/>
              <w:right w:val="single" w:color="auto" w:sz="4" w:space="0"/>
            </w:tcBorders>
            <w:vAlign w:val="center"/>
          </w:tcPr>
          <w:p w14:paraId="203F77B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随机检查</w:t>
            </w:r>
          </w:p>
        </w:tc>
      </w:tr>
    </w:tbl>
    <w:p w14:paraId="17EEAC3D">
      <w:pPr>
        <w:spacing w:line="320" w:lineRule="exact"/>
        <w:rPr>
          <w:rFonts w:ascii="宋体" w:hAnsi="宋体" w:cs="宋体"/>
          <w:bCs/>
          <w:color w:val="auto"/>
          <w:sz w:val="24"/>
          <w:highlight w:val="none"/>
        </w:rPr>
      </w:pPr>
    </w:p>
    <w:p w14:paraId="7746967B">
      <w:pPr>
        <w:widowControl/>
        <w:jc w:val="left"/>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br w:type="page"/>
      </w:r>
    </w:p>
    <w:p w14:paraId="002870FC">
      <w:pPr>
        <w:pStyle w:val="13"/>
        <w:ind w:left="0" w:leftChars="0"/>
        <w:jc w:val="left"/>
        <w:rPr>
          <w:rFonts w:hint="eastAsia" w:ascii="仿宋" w:hAnsi="仿宋" w:eastAsia="仿宋" w:cs="仿宋"/>
          <w:b/>
          <w:bCs/>
          <w:color w:val="auto"/>
          <w:kern w:val="0"/>
          <w:sz w:val="24"/>
          <w:szCs w:val="24"/>
          <w:highlight w:val="none"/>
        </w:rPr>
        <w:sectPr>
          <w:pgSz w:w="11906" w:h="16838"/>
          <w:pgMar w:top="1247" w:right="1247" w:bottom="1559" w:left="1247" w:header="851" w:footer="992" w:gutter="0"/>
          <w:pgNumType w:fmt="decimal"/>
          <w:cols w:space="0" w:num="1"/>
          <w:titlePg/>
          <w:rtlGutter w:val="0"/>
          <w:docGrid w:linePitch="312" w:charSpace="0"/>
        </w:sectPr>
      </w:pPr>
    </w:p>
    <w:p w14:paraId="14B28698">
      <w:pPr>
        <w:pStyle w:val="13"/>
        <w:ind w:left="0" w:leftChars="0"/>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B分标：</w:t>
      </w:r>
    </w:p>
    <w:p w14:paraId="7B15B869">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一、标段名称：龙州县城（城南区、利民街）、水口镇环卫保洁及绿化养护市场运营</w:t>
      </w:r>
    </w:p>
    <w:p w14:paraId="0B87B4EB">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二、预算金额：50</w:t>
      </w:r>
      <w:r>
        <w:rPr>
          <w:rFonts w:hint="eastAsia" w:ascii="仿宋" w:hAnsi="仿宋" w:eastAsia="仿宋" w:cs="仿宋"/>
          <w:bCs/>
          <w:color w:val="auto"/>
          <w:sz w:val="24"/>
          <w:szCs w:val="24"/>
          <w:highlight w:val="none"/>
          <w:lang w:val="en-US" w:eastAsia="zh-CN"/>
        </w:rPr>
        <w:t>25800</w:t>
      </w:r>
      <w:r>
        <w:rPr>
          <w:rFonts w:hint="eastAsia" w:ascii="仿宋" w:hAnsi="仿宋" w:eastAsia="仿宋" w:cs="仿宋"/>
          <w:bCs/>
          <w:color w:val="auto"/>
          <w:sz w:val="24"/>
          <w:szCs w:val="24"/>
          <w:highlight w:val="none"/>
        </w:rPr>
        <w:t>元/年，</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年总预算为</w:t>
      </w:r>
      <w:r>
        <w:rPr>
          <w:rFonts w:hint="eastAsia" w:ascii="仿宋" w:hAnsi="仿宋" w:eastAsia="仿宋" w:cs="仿宋"/>
          <w:bCs/>
          <w:color w:val="auto"/>
          <w:sz w:val="24"/>
          <w:szCs w:val="24"/>
          <w:highlight w:val="none"/>
          <w:lang w:val="en-US" w:eastAsia="zh-CN"/>
        </w:rPr>
        <w:t>15077400.00</w:t>
      </w:r>
      <w:r>
        <w:rPr>
          <w:rFonts w:hint="eastAsia" w:ascii="仿宋" w:hAnsi="仿宋" w:eastAsia="仿宋" w:cs="仿宋"/>
          <w:bCs/>
          <w:color w:val="auto"/>
          <w:sz w:val="24"/>
          <w:szCs w:val="24"/>
          <w:highlight w:val="none"/>
        </w:rPr>
        <w:t xml:space="preserve">元。   </w:t>
      </w:r>
    </w:p>
    <w:p w14:paraId="607F1F59">
      <w:pPr>
        <w:pStyle w:val="13"/>
        <w:ind w:left="0" w:leftChars="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三、服务年限：</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p>
    <w:p w14:paraId="6527C629">
      <w:pPr>
        <w:pStyle w:val="13"/>
        <w:ind w:left="0" w:left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四、标段划分范围、</w:t>
      </w:r>
      <w:r>
        <w:rPr>
          <w:rFonts w:hint="eastAsia" w:ascii="仿宋" w:hAnsi="仿宋" w:eastAsia="仿宋" w:cs="仿宋"/>
          <w:color w:val="auto"/>
          <w:sz w:val="24"/>
          <w:szCs w:val="24"/>
          <w:highlight w:val="none"/>
        </w:rPr>
        <w:t>保洁</w:t>
      </w:r>
      <w:r>
        <w:rPr>
          <w:rFonts w:hint="eastAsia" w:ascii="仿宋" w:hAnsi="仿宋" w:eastAsia="仿宋" w:cs="仿宋"/>
          <w:bCs/>
          <w:color w:val="auto"/>
          <w:sz w:val="24"/>
          <w:szCs w:val="24"/>
          <w:highlight w:val="none"/>
        </w:rPr>
        <w:t>工作范围及内容</w:t>
      </w:r>
      <w:r>
        <w:rPr>
          <w:rFonts w:hint="eastAsia" w:ascii="仿宋" w:hAnsi="仿宋" w:eastAsia="仿宋" w:cs="仿宋"/>
          <w:bCs/>
          <w:color w:val="auto"/>
          <w:sz w:val="24"/>
          <w:szCs w:val="24"/>
          <w:highlight w:val="none"/>
          <w:lang w:eastAsia="zh-CN"/>
        </w:rPr>
        <w:t>、人员、车辆设备配置：</w:t>
      </w:r>
    </w:p>
    <w:p w14:paraId="68442EB2">
      <w:pPr>
        <w:pStyle w:val="4"/>
        <w:numPr>
          <w:ilvl w:val="1"/>
          <w:numId w:val="6"/>
        </w:numPr>
        <w:spacing w:before="0" w:after="0" w:line="560" w:lineRule="exact"/>
        <w:textAlignment w:val="baseline"/>
        <w:rPr>
          <w:rFonts w:ascii="仿宋" w:hAnsi="仿宋" w:eastAsia="仿宋" w:cs="仿宋"/>
          <w:bCs w:val="0"/>
          <w:color w:val="auto"/>
          <w:szCs w:val="24"/>
          <w:highlight w:val="none"/>
        </w:rPr>
      </w:pPr>
      <w:bookmarkStart w:id="25" w:name="_Toc14992"/>
      <w:r>
        <w:rPr>
          <w:rFonts w:hint="eastAsia" w:ascii="仿宋" w:hAnsi="仿宋" w:eastAsia="仿宋" w:cs="仿宋"/>
          <w:b w:val="0"/>
          <w:color w:val="auto"/>
          <w:szCs w:val="24"/>
          <w:highlight w:val="none"/>
        </w:rPr>
        <w:t>标段划分范围</w:t>
      </w:r>
      <w:bookmarkEnd w:id="25"/>
    </w:p>
    <w:p w14:paraId="589C0E82">
      <w:pPr>
        <w:pStyle w:val="10"/>
        <w:spacing w:line="560" w:lineRule="exact"/>
        <w:ind w:right="126"/>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龙州县城区（城南区、利民街）、水口镇环卫保洁及绿化养护清扫保洁</w:t>
      </w:r>
      <w:r>
        <w:rPr>
          <w:rFonts w:hint="eastAsia" w:ascii="仿宋" w:hAnsi="仿宋" w:eastAsia="仿宋" w:cs="仿宋"/>
          <w:color w:val="auto"/>
          <w:highlight w:val="none"/>
          <w:lang w:val="en-US" w:eastAsia="zh-CN"/>
        </w:rPr>
        <w:t>总</w:t>
      </w:r>
      <w:r>
        <w:rPr>
          <w:rFonts w:hint="eastAsia" w:ascii="仿宋" w:hAnsi="仿宋" w:eastAsia="仿宋" w:cs="仿宋"/>
          <w:color w:val="auto"/>
          <w:highlight w:val="none"/>
          <w:lang w:eastAsia="zh-CN"/>
        </w:rPr>
        <w:t>面积约为</w:t>
      </w:r>
      <w:r>
        <w:rPr>
          <w:rFonts w:ascii="仿宋" w:hAnsi="仿宋" w:eastAsia="仿宋" w:cs="仿宋"/>
          <w:color w:val="auto"/>
          <w:highlight w:val="none"/>
          <w:lang w:eastAsia="zh-CN"/>
        </w:rPr>
        <w:t>1</w:t>
      </w:r>
      <w:r>
        <w:rPr>
          <w:rFonts w:hint="eastAsia" w:ascii="仿宋" w:hAnsi="仿宋" w:eastAsia="仿宋" w:cs="仿宋"/>
          <w:color w:val="auto"/>
          <w:highlight w:val="none"/>
          <w:lang w:val="en-US" w:eastAsia="zh-CN"/>
        </w:rPr>
        <w:t>547916</w:t>
      </w:r>
      <w:r>
        <w:rPr>
          <w:rFonts w:hint="eastAsia" w:ascii="仿宋" w:hAnsi="仿宋" w:eastAsia="仿宋" w:cs="仿宋"/>
          <w:color w:val="auto"/>
          <w:highlight w:val="none"/>
          <w:lang w:eastAsia="zh-CN"/>
        </w:rPr>
        <w:t>平方米，具体保洁范围如下：</w:t>
      </w:r>
    </w:p>
    <w:tbl>
      <w:tblPr>
        <w:tblStyle w:val="20"/>
        <w:tblW w:w="190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217"/>
        <w:gridCol w:w="1635"/>
        <w:gridCol w:w="945"/>
        <w:gridCol w:w="1260"/>
        <w:gridCol w:w="1245"/>
        <w:gridCol w:w="1275"/>
        <w:gridCol w:w="1755"/>
        <w:gridCol w:w="870"/>
        <w:gridCol w:w="1020"/>
        <w:gridCol w:w="1725"/>
        <w:gridCol w:w="1095"/>
        <w:gridCol w:w="4207"/>
      </w:tblGrid>
      <w:tr w14:paraId="4FF7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9068" w:type="dxa"/>
            <w:gridSpan w:val="13"/>
            <w:tcBorders>
              <w:top w:val="nil"/>
              <w:left w:val="nil"/>
              <w:bottom w:val="nil"/>
              <w:right w:val="nil"/>
            </w:tcBorders>
            <w:shd w:val="clear" w:color="auto" w:fill="auto"/>
            <w:vAlign w:val="center"/>
          </w:tcPr>
          <w:p w14:paraId="30C5E885">
            <w:pPr>
              <w:keepNext w:val="0"/>
              <w:keepLines w:val="0"/>
              <w:widowControl/>
              <w:suppressLineNumbers w:val="0"/>
              <w:ind w:left="6809" w:leftChars="1330" w:hanging="4016" w:hangingChars="1000"/>
              <w:jc w:val="both"/>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龙州县城区（城南区、利民街）、水口镇环卫保洁及绿化养护</w:t>
            </w:r>
            <w:r>
              <w:rPr>
                <w:rFonts w:hint="eastAsia" w:ascii="宋体" w:hAnsi="宋体" w:eastAsia="宋体" w:cs="宋体"/>
                <w:b/>
                <w:bCs/>
                <w:i w:val="0"/>
                <w:iCs w:val="0"/>
                <w:color w:val="auto"/>
                <w:kern w:val="0"/>
                <w:sz w:val="40"/>
                <w:szCs w:val="40"/>
                <w:highlight w:val="none"/>
                <w:u w:val="none"/>
                <w:lang w:val="en-US" w:eastAsia="zh-CN" w:bidi="ar"/>
              </w:rPr>
              <w:br w:type="textWrapping"/>
            </w:r>
            <w:r>
              <w:rPr>
                <w:rFonts w:hint="eastAsia" w:ascii="宋体" w:hAnsi="宋体" w:eastAsia="宋体" w:cs="宋体"/>
                <w:b/>
                <w:bCs/>
                <w:i w:val="0"/>
                <w:iCs w:val="0"/>
                <w:color w:val="auto"/>
                <w:kern w:val="0"/>
                <w:sz w:val="40"/>
                <w:szCs w:val="40"/>
                <w:highlight w:val="none"/>
                <w:u w:val="none"/>
                <w:lang w:val="en-US" w:eastAsia="zh-CN" w:bidi="ar"/>
              </w:rPr>
              <w:t>面积明细表</w:t>
            </w:r>
          </w:p>
        </w:tc>
      </w:tr>
      <w:tr w14:paraId="766D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600" w:hRule="atLeast"/>
        </w:trPr>
        <w:tc>
          <w:tcPr>
            <w:tcW w:w="8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3F24F4">
            <w:pPr>
              <w:keepNext w:val="0"/>
              <w:keepLines w:val="0"/>
              <w:widowControl/>
              <w:suppressLineNumbers w:val="0"/>
              <w:jc w:val="center"/>
              <w:textAlignment w:val="center"/>
              <w:rPr>
                <w:rFonts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序号</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AAE101">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归属片区</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3198C9">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街道名称</w:t>
            </w:r>
          </w:p>
        </w:tc>
        <w:tc>
          <w:tcPr>
            <w:tcW w:w="47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BB1FE0">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规模</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3F2144">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应清扫总面积（绿化+道路+广场）</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561EF9">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班次</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C7DECF">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行道树(株）</w:t>
            </w:r>
          </w:p>
        </w:tc>
        <w:tc>
          <w:tcPr>
            <w:tcW w:w="1725" w:type="dxa"/>
            <w:vMerge w:val="restart"/>
            <w:tcBorders>
              <w:top w:val="single" w:color="000000" w:sz="8" w:space="0"/>
              <w:left w:val="single" w:color="auto" w:sz="4" w:space="0"/>
              <w:bottom w:val="single" w:color="000000" w:sz="4" w:space="0"/>
              <w:right w:val="single" w:color="000000" w:sz="4" w:space="0"/>
            </w:tcBorders>
            <w:shd w:val="clear" w:color="auto" w:fill="auto"/>
            <w:vAlign w:val="center"/>
          </w:tcPr>
          <w:p w14:paraId="697C9998">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拟定清扫级别</w:t>
            </w:r>
          </w:p>
        </w:tc>
        <w:tc>
          <w:tcPr>
            <w:tcW w:w="1095"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03E958AB">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备注</w:t>
            </w:r>
          </w:p>
        </w:tc>
      </w:tr>
      <w:tr w14:paraId="3B27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820"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EAFC58">
            <w:pPr>
              <w:jc w:val="center"/>
              <w:rPr>
                <w:rFonts w:hint="eastAsia" w:ascii="仿宋" w:hAnsi="仿宋" w:eastAsia="仿宋" w:cs="仿宋"/>
                <w:b/>
                <w:bCs/>
                <w:i w:val="0"/>
                <w:iCs w:val="0"/>
                <w:color w:val="auto"/>
                <w:sz w:val="30"/>
                <w:szCs w:val="30"/>
                <w:highlight w:val="none"/>
                <w:u w:val="none"/>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CBDB3">
            <w:pPr>
              <w:jc w:val="center"/>
              <w:rPr>
                <w:rFonts w:hint="eastAsia" w:ascii="仿宋" w:hAnsi="仿宋" w:eastAsia="仿宋" w:cs="仿宋"/>
                <w:b/>
                <w:bCs/>
                <w:i w:val="0"/>
                <w:iCs w:val="0"/>
                <w:color w:val="auto"/>
                <w:sz w:val="30"/>
                <w:szCs w:val="30"/>
                <w:highlight w:val="none"/>
                <w:u w:val="none"/>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0031D1">
            <w:pPr>
              <w:jc w:val="center"/>
              <w:rPr>
                <w:rFonts w:hint="eastAsia" w:ascii="仿宋" w:hAnsi="仿宋" w:eastAsia="仿宋" w:cs="仿宋"/>
                <w:b/>
                <w:bCs/>
                <w:i w:val="0"/>
                <w:iCs w:val="0"/>
                <w:color w:val="auto"/>
                <w:sz w:val="30"/>
                <w:szCs w:val="30"/>
                <w:highlight w:val="none"/>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ED9E307">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总面积（㎡）</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5259EE5">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绿化带面积（㎡）</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D77A812">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道路清扫面积（㎡）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5AD64C6">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广场清扫面积（㎡）</w:t>
            </w: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9D6B8">
            <w:pPr>
              <w:jc w:val="center"/>
              <w:rPr>
                <w:rFonts w:hint="eastAsia" w:ascii="仿宋" w:hAnsi="仿宋" w:eastAsia="仿宋" w:cs="仿宋"/>
                <w:b/>
                <w:bCs/>
                <w:i w:val="0"/>
                <w:iCs w:val="0"/>
                <w:color w:val="auto"/>
                <w:sz w:val="30"/>
                <w:szCs w:val="30"/>
                <w:highlight w:val="none"/>
                <w:u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BBEB6">
            <w:pPr>
              <w:jc w:val="center"/>
              <w:rPr>
                <w:rFonts w:hint="eastAsia" w:ascii="仿宋" w:hAnsi="仿宋" w:eastAsia="仿宋" w:cs="仿宋"/>
                <w:b/>
                <w:bCs/>
                <w:i w:val="0"/>
                <w:iCs w:val="0"/>
                <w:color w:val="auto"/>
                <w:sz w:val="30"/>
                <w:szCs w:val="30"/>
                <w:highlight w:val="none"/>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A1F54">
            <w:pPr>
              <w:jc w:val="center"/>
              <w:rPr>
                <w:rFonts w:hint="eastAsia" w:ascii="仿宋" w:hAnsi="仿宋" w:eastAsia="仿宋" w:cs="仿宋"/>
                <w:b/>
                <w:bCs/>
                <w:i w:val="0"/>
                <w:iCs w:val="0"/>
                <w:color w:val="auto"/>
                <w:sz w:val="30"/>
                <w:szCs w:val="30"/>
                <w:highlight w:val="none"/>
                <w:u w:val="none"/>
              </w:rPr>
            </w:pPr>
          </w:p>
        </w:tc>
        <w:tc>
          <w:tcPr>
            <w:tcW w:w="1725" w:type="dxa"/>
            <w:vMerge w:val="continue"/>
            <w:tcBorders>
              <w:top w:val="single" w:color="000000" w:sz="8" w:space="0"/>
              <w:left w:val="single" w:color="auto" w:sz="4" w:space="0"/>
              <w:bottom w:val="single" w:color="000000" w:sz="4" w:space="0"/>
              <w:right w:val="single" w:color="000000" w:sz="4" w:space="0"/>
            </w:tcBorders>
            <w:shd w:val="clear" w:color="auto" w:fill="auto"/>
            <w:vAlign w:val="center"/>
          </w:tcPr>
          <w:p w14:paraId="51A24535">
            <w:pPr>
              <w:jc w:val="center"/>
              <w:rPr>
                <w:rFonts w:hint="eastAsia" w:ascii="仿宋" w:hAnsi="仿宋" w:eastAsia="仿宋" w:cs="仿宋"/>
                <w:b/>
                <w:bCs/>
                <w:i w:val="0"/>
                <w:iCs w:val="0"/>
                <w:color w:val="auto"/>
                <w:sz w:val="28"/>
                <w:szCs w:val="28"/>
                <w:highlight w:val="none"/>
                <w:u w:val="none"/>
              </w:rPr>
            </w:pPr>
          </w:p>
        </w:tc>
        <w:tc>
          <w:tcPr>
            <w:tcW w:w="1095"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0FE8028F">
            <w:pPr>
              <w:jc w:val="center"/>
              <w:rPr>
                <w:rFonts w:hint="eastAsia" w:ascii="仿宋" w:hAnsi="仿宋" w:eastAsia="仿宋" w:cs="仿宋"/>
                <w:b/>
                <w:bCs/>
                <w:i w:val="0"/>
                <w:iCs w:val="0"/>
                <w:color w:val="auto"/>
                <w:sz w:val="28"/>
                <w:szCs w:val="28"/>
                <w:highlight w:val="none"/>
                <w:u w:val="none"/>
              </w:rPr>
            </w:pPr>
          </w:p>
        </w:tc>
      </w:tr>
      <w:tr w14:paraId="5E2D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1120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6AE8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县城区旧城区</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CA1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利民街</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FD1A8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14901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EB6FADA">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267DDB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14901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433820A">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A923C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14901</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A4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04D915B">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7B6CA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0E77926">
            <w:pPr>
              <w:jc w:val="center"/>
              <w:rPr>
                <w:rFonts w:hint="eastAsia" w:ascii="仿宋" w:hAnsi="仿宋" w:eastAsia="仿宋" w:cs="仿宋"/>
                <w:i w:val="0"/>
                <w:iCs w:val="0"/>
                <w:color w:val="auto"/>
                <w:sz w:val="24"/>
                <w:szCs w:val="24"/>
                <w:highlight w:val="none"/>
                <w:u w:val="none"/>
              </w:rPr>
            </w:pPr>
          </w:p>
        </w:tc>
      </w:tr>
      <w:tr w14:paraId="6F4A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25D9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2DD3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县城区城南片区</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CC4E0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城南进城大道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B341D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101600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DFCCE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15489.5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E197C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86110.5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40F846">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916D4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101600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93F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39A6F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492</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3CD9A7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6EA3697">
            <w:pPr>
              <w:jc w:val="center"/>
              <w:rPr>
                <w:rFonts w:hint="eastAsia" w:ascii="仿宋" w:hAnsi="仿宋" w:eastAsia="仿宋" w:cs="仿宋"/>
                <w:i w:val="0"/>
                <w:iCs w:val="0"/>
                <w:color w:val="auto"/>
                <w:sz w:val="24"/>
                <w:szCs w:val="24"/>
                <w:highlight w:val="none"/>
                <w:u w:val="none"/>
              </w:rPr>
            </w:pPr>
          </w:p>
        </w:tc>
      </w:tr>
      <w:tr w14:paraId="440A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666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3A6AB3">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FF5C3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汽车城与先锋花园之间公路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3AB31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18450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A570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2623D2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D5996CB">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184F5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18450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E20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BB982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38751F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BA0821D">
            <w:pPr>
              <w:jc w:val="center"/>
              <w:rPr>
                <w:rFonts w:hint="eastAsia" w:ascii="仿宋" w:hAnsi="仿宋" w:eastAsia="仿宋" w:cs="仿宋"/>
                <w:i w:val="0"/>
                <w:iCs w:val="0"/>
                <w:color w:val="auto"/>
                <w:sz w:val="24"/>
                <w:szCs w:val="24"/>
                <w:highlight w:val="none"/>
                <w:u w:val="none"/>
              </w:rPr>
            </w:pPr>
          </w:p>
        </w:tc>
      </w:tr>
      <w:tr w14:paraId="3D54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7E34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9BAEA">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ADBEE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汽车城后侧道路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36376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A65949B">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99A4A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A38042">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BE2B2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9C6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0F47A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F95F63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8E0F090">
            <w:pPr>
              <w:jc w:val="center"/>
              <w:rPr>
                <w:rFonts w:hint="eastAsia" w:ascii="仿宋" w:hAnsi="仿宋" w:eastAsia="仿宋" w:cs="仿宋"/>
                <w:i w:val="0"/>
                <w:iCs w:val="0"/>
                <w:color w:val="auto"/>
                <w:sz w:val="24"/>
                <w:szCs w:val="24"/>
                <w:highlight w:val="none"/>
                <w:u w:val="none"/>
              </w:rPr>
            </w:pPr>
          </w:p>
        </w:tc>
      </w:tr>
      <w:tr w14:paraId="1131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0197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D18270">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C8D8F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法国领事馆至进城大道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4D0DD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15617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9EBB252">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FA1D5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3D066D5">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DFDFA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15617</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02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E0DD7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48C19D5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8C1ACC7">
            <w:pPr>
              <w:jc w:val="center"/>
              <w:rPr>
                <w:rFonts w:hint="eastAsia" w:ascii="仿宋" w:hAnsi="仿宋" w:eastAsia="仿宋" w:cs="仿宋"/>
                <w:i w:val="0"/>
                <w:iCs w:val="0"/>
                <w:color w:val="auto"/>
                <w:sz w:val="24"/>
                <w:szCs w:val="24"/>
                <w:highlight w:val="none"/>
                <w:u w:val="none"/>
              </w:rPr>
            </w:pPr>
          </w:p>
        </w:tc>
      </w:tr>
      <w:tr w14:paraId="227E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536E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6</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05145E">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B081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汽车城旁至叫及分场路段</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D971B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2A390B3">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BEFAD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2F202A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3D623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15120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FFC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673FD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30DC0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F4FAE8F">
            <w:pPr>
              <w:jc w:val="center"/>
              <w:rPr>
                <w:rFonts w:hint="eastAsia" w:ascii="仿宋" w:hAnsi="仿宋" w:eastAsia="仿宋" w:cs="仿宋"/>
                <w:i w:val="0"/>
                <w:iCs w:val="0"/>
                <w:color w:val="auto"/>
                <w:sz w:val="24"/>
                <w:szCs w:val="24"/>
                <w:highlight w:val="none"/>
                <w:u w:val="none"/>
              </w:rPr>
            </w:pPr>
          </w:p>
        </w:tc>
      </w:tr>
      <w:tr w14:paraId="6558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A01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7</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162662">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E2BB4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东盟汽车城对面大道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014AF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21168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E0ADF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29F2C3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B4BA02">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E3BAB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21168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ADE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31C1A55">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1B063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5F73511">
            <w:pPr>
              <w:jc w:val="center"/>
              <w:rPr>
                <w:rFonts w:hint="eastAsia" w:ascii="仿宋" w:hAnsi="仿宋" w:eastAsia="仿宋" w:cs="仿宋"/>
                <w:i w:val="0"/>
                <w:iCs w:val="0"/>
                <w:color w:val="auto"/>
                <w:sz w:val="24"/>
                <w:szCs w:val="24"/>
                <w:highlight w:val="none"/>
                <w:u w:val="none"/>
              </w:rPr>
            </w:pPr>
          </w:p>
        </w:tc>
      </w:tr>
      <w:tr w14:paraId="15F8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CC60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86686">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4AA5E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城南易地扶贫搬迁点周边道路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5A5E7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22983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49309B6">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12B00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22983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8B27031">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26115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22983</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2EF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5793C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16E07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029059B">
            <w:pPr>
              <w:jc w:val="center"/>
              <w:rPr>
                <w:rFonts w:hint="eastAsia" w:ascii="仿宋" w:hAnsi="仿宋" w:eastAsia="仿宋" w:cs="仿宋"/>
                <w:i w:val="0"/>
                <w:iCs w:val="0"/>
                <w:color w:val="auto"/>
                <w:sz w:val="24"/>
                <w:szCs w:val="24"/>
                <w:highlight w:val="none"/>
                <w:u w:val="none"/>
              </w:rPr>
            </w:pPr>
          </w:p>
        </w:tc>
      </w:tr>
      <w:tr w14:paraId="3655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969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9</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C10F97">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CD269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城南幼儿园前道路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25134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8023481">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11829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C34C224">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73E0E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11520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1B6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C213F63">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07E11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0610199">
            <w:pPr>
              <w:jc w:val="center"/>
              <w:rPr>
                <w:rFonts w:hint="eastAsia" w:ascii="仿宋" w:hAnsi="仿宋" w:eastAsia="仿宋" w:cs="仿宋"/>
                <w:i w:val="0"/>
                <w:iCs w:val="0"/>
                <w:color w:val="auto"/>
                <w:sz w:val="24"/>
                <w:szCs w:val="24"/>
                <w:highlight w:val="none"/>
                <w:u w:val="none"/>
              </w:rPr>
            </w:pPr>
          </w:p>
        </w:tc>
      </w:tr>
      <w:tr w14:paraId="4BAA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4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F0D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10</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67C57A">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A186F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龙水大道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51727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284800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12C95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21800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A06D726">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1C680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263000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C6ED7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284800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A70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91B36E3">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B267F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7B817E3">
            <w:pPr>
              <w:rPr>
                <w:rFonts w:hint="eastAsia" w:ascii="仿宋" w:hAnsi="仿宋" w:eastAsia="仿宋" w:cs="仿宋"/>
                <w:i w:val="0"/>
                <w:iCs w:val="0"/>
                <w:color w:val="auto"/>
                <w:sz w:val="24"/>
                <w:szCs w:val="24"/>
                <w:highlight w:val="none"/>
                <w:u w:val="none"/>
              </w:rPr>
            </w:pPr>
          </w:p>
        </w:tc>
      </w:tr>
      <w:tr w14:paraId="4DEA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70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A2A0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2A9E5C">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2982EE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聚贤路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749CE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E82D68E">
            <w:pPr>
              <w:jc w:val="center"/>
              <w:rPr>
                <w:rFonts w:hint="eastAsia" w:ascii="仿宋" w:hAnsi="仿宋" w:eastAsia="仿宋" w:cs="仿宋"/>
                <w:b/>
                <w:bCs/>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3D812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ED2BCDB">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A0A46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31820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69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1723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2A531FC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68FA39A">
            <w:pPr>
              <w:rPr>
                <w:rFonts w:hint="eastAsia" w:ascii="仿宋" w:hAnsi="仿宋" w:eastAsia="仿宋" w:cs="仿宋"/>
                <w:i w:val="0"/>
                <w:iCs w:val="0"/>
                <w:color w:val="auto"/>
                <w:sz w:val="24"/>
                <w:szCs w:val="24"/>
                <w:highlight w:val="none"/>
                <w:u w:val="none"/>
              </w:rPr>
            </w:pPr>
          </w:p>
        </w:tc>
      </w:tr>
      <w:tr w14:paraId="45D2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031F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F144E">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BE6C3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中轴大道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16B18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61200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FD4A5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6832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B2462B2">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771B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54368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AFC14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61200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F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CD4A61C">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28B9E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7132947">
            <w:pPr>
              <w:rPr>
                <w:rFonts w:hint="eastAsia" w:ascii="仿宋" w:hAnsi="仿宋" w:eastAsia="仿宋" w:cs="仿宋"/>
                <w:i w:val="0"/>
                <w:iCs w:val="0"/>
                <w:color w:val="auto"/>
                <w:sz w:val="24"/>
                <w:szCs w:val="24"/>
                <w:highlight w:val="none"/>
                <w:u w:val="none"/>
              </w:rPr>
            </w:pPr>
          </w:p>
        </w:tc>
      </w:tr>
      <w:tr w14:paraId="29E2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48D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13</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CC7555">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42629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同顾大道延长线</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698BD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9331A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A6533A8">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CA79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46232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AB662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DB7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8B36DAC">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85F554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39D54BF">
            <w:pPr>
              <w:rPr>
                <w:rFonts w:hint="eastAsia" w:ascii="仿宋" w:hAnsi="仿宋" w:eastAsia="仿宋" w:cs="仿宋"/>
                <w:i w:val="0"/>
                <w:iCs w:val="0"/>
                <w:color w:val="auto"/>
                <w:sz w:val="24"/>
                <w:szCs w:val="24"/>
                <w:highlight w:val="none"/>
                <w:u w:val="none"/>
              </w:rPr>
            </w:pPr>
          </w:p>
        </w:tc>
      </w:tr>
      <w:tr w14:paraId="539F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DB50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14</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CF2D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水口镇片区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2622B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东盟大道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E799E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7F084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38204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FD93851">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B251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321796</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09CCE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2FA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4DCC3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3437</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360FBE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5B0130A">
            <w:pPr>
              <w:rPr>
                <w:rFonts w:hint="eastAsia" w:ascii="仿宋" w:hAnsi="仿宋" w:eastAsia="仿宋" w:cs="仿宋"/>
                <w:i w:val="0"/>
                <w:iCs w:val="0"/>
                <w:color w:val="auto"/>
                <w:sz w:val="24"/>
                <w:szCs w:val="24"/>
                <w:highlight w:val="none"/>
                <w:u w:val="none"/>
              </w:rPr>
            </w:pPr>
          </w:p>
        </w:tc>
      </w:tr>
      <w:tr w14:paraId="0B3C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B95C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15</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9B7C89">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CC210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南北大道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A906E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047F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3868</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AAAE0B8">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EF116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42132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AF7EA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2C0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A2766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056EA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4D4D689">
            <w:pPr>
              <w:rPr>
                <w:rFonts w:hint="eastAsia" w:ascii="仿宋" w:hAnsi="仿宋" w:eastAsia="仿宋" w:cs="仿宋"/>
                <w:i w:val="0"/>
                <w:iCs w:val="0"/>
                <w:color w:val="auto"/>
                <w:sz w:val="24"/>
                <w:szCs w:val="24"/>
                <w:highlight w:val="none"/>
                <w:u w:val="none"/>
              </w:rPr>
            </w:pPr>
          </w:p>
        </w:tc>
      </w:tr>
      <w:tr w14:paraId="7617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54F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16</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2206E9">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9B5C6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东西大道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1CB5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DD7A2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6076</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2A9EAF6">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BAF6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39924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92225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3F6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3F65566">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7617B8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A34E400">
            <w:pPr>
              <w:rPr>
                <w:rFonts w:hint="eastAsia" w:ascii="仿宋" w:hAnsi="仿宋" w:eastAsia="仿宋" w:cs="仿宋"/>
                <w:i w:val="0"/>
                <w:iCs w:val="0"/>
                <w:color w:val="auto"/>
                <w:sz w:val="24"/>
                <w:szCs w:val="24"/>
                <w:highlight w:val="none"/>
                <w:u w:val="none"/>
              </w:rPr>
            </w:pPr>
          </w:p>
        </w:tc>
      </w:tr>
      <w:tr w14:paraId="6F53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7F02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17</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5A250">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059C1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秀水路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D776F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86C4A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E2E61A4">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D39B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44575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5E6EF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78B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E89F1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A5F55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9940E3D">
            <w:pPr>
              <w:rPr>
                <w:rFonts w:hint="eastAsia" w:ascii="仿宋" w:hAnsi="仿宋" w:eastAsia="仿宋" w:cs="仿宋"/>
                <w:i w:val="0"/>
                <w:iCs w:val="0"/>
                <w:color w:val="auto"/>
                <w:sz w:val="24"/>
                <w:szCs w:val="24"/>
                <w:highlight w:val="none"/>
                <w:u w:val="none"/>
              </w:rPr>
            </w:pPr>
          </w:p>
        </w:tc>
      </w:tr>
      <w:tr w14:paraId="0068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371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18</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E4F74">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DFF2A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口岸大道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A3C58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BB69065">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CE60405">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10742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135000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C07EC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3EC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29664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A3E60A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400A489">
            <w:pPr>
              <w:rPr>
                <w:rFonts w:hint="eastAsia" w:ascii="仿宋" w:hAnsi="仿宋" w:eastAsia="仿宋" w:cs="仿宋"/>
                <w:i w:val="0"/>
                <w:iCs w:val="0"/>
                <w:color w:val="auto"/>
                <w:sz w:val="24"/>
                <w:szCs w:val="24"/>
                <w:highlight w:val="none"/>
                <w:u w:val="none"/>
              </w:rPr>
            </w:pPr>
          </w:p>
        </w:tc>
      </w:tr>
      <w:tr w14:paraId="10E4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94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323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19</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76C253">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E0DF1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二桥经共宜大桥至扶贫产业园至圆形花圃冻库尾</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9874A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113139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F1A8E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F6B1B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111058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E926F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65FC7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113139</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D0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74FC216">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7887A28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33593A8">
            <w:pPr>
              <w:keepNext w:val="0"/>
              <w:keepLines w:val="0"/>
              <w:widowControl/>
              <w:suppressLineNumbers w:val="0"/>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新增扶贫产业园区外圆形花圃冻库尾29139㎡</w:t>
            </w:r>
          </w:p>
        </w:tc>
      </w:tr>
      <w:tr w14:paraId="5C1D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79C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20</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3FA270">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AA5D6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万宝路及周边路巷</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A0310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AB733F0">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4E9EA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46E77A0">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7022D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178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4B427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9FA61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FBDF579">
            <w:pPr>
              <w:rPr>
                <w:rFonts w:hint="eastAsia" w:ascii="仿宋" w:hAnsi="仿宋" w:eastAsia="仿宋" w:cs="仿宋"/>
                <w:i w:val="0"/>
                <w:iCs w:val="0"/>
                <w:color w:val="auto"/>
                <w:sz w:val="24"/>
                <w:szCs w:val="24"/>
                <w:highlight w:val="none"/>
                <w:u w:val="none"/>
              </w:rPr>
            </w:pPr>
          </w:p>
        </w:tc>
      </w:tr>
      <w:tr w14:paraId="68C0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D101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21</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B9DE62">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D87A4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秀园路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50FCA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7712F32">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4CC86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0DC98F">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4AE9F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43A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60C81B4">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A5EE28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298B4E4">
            <w:pPr>
              <w:rPr>
                <w:rFonts w:hint="eastAsia" w:ascii="仿宋" w:hAnsi="仿宋" w:eastAsia="仿宋" w:cs="仿宋"/>
                <w:i w:val="0"/>
                <w:iCs w:val="0"/>
                <w:color w:val="auto"/>
                <w:sz w:val="24"/>
                <w:szCs w:val="24"/>
                <w:highlight w:val="none"/>
                <w:u w:val="none"/>
              </w:rPr>
            </w:pPr>
          </w:p>
        </w:tc>
      </w:tr>
      <w:tr w14:paraId="7971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51F6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22</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955191">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E1826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教育路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F3397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4D9AC90">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A499A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289D765">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DC04C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B47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838DB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2520F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A416ABD">
            <w:pPr>
              <w:rPr>
                <w:rFonts w:hint="eastAsia" w:ascii="仿宋" w:hAnsi="仿宋" w:eastAsia="仿宋" w:cs="仿宋"/>
                <w:i w:val="0"/>
                <w:iCs w:val="0"/>
                <w:color w:val="auto"/>
                <w:sz w:val="24"/>
                <w:szCs w:val="24"/>
                <w:highlight w:val="none"/>
                <w:u w:val="none"/>
              </w:rPr>
            </w:pPr>
          </w:p>
        </w:tc>
      </w:tr>
      <w:tr w14:paraId="34E6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2246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23</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B5856D">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C8984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共宜社区及周边路巷</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E4509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E0927FC">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CCF6C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B44036">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396BF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FB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20285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469</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7BDFF5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A9E9119">
            <w:pPr>
              <w:rPr>
                <w:rFonts w:hint="eastAsia" w:ascii="仿宋" w:hAnsi="仿宋" w:eastAsia="仿宋" w:cs="仿宋"/>
                <w:i w:val="0"/>
                <w:iCs w:val="0"/>
                <w:color w:val="auto"/>
                <w:sz w:val="24"/>
                <w:szCs w:val="24"/>
                <w:highlight w:val="none"/>
                <w:u w:val="none"/>
              </w:rPr>
            </w:pPr>
          </w:p>
        </w:tc>
      </w:tr>
      <w:tr w14:paraId="4688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0F5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24</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A090F6">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431E6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水口镇市场和文化广场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F8386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6277761">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49ADA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86DB7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FF7D9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3A5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1BD08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7FE805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DBFFEAC">
            <w:pPr>
              <w:rPr>
                <w:rFonts w:hint="eastAsia" w:ascii="仿宋" w:hAnsi="仿宋" w:eastAsia="仿宋" w:cs="仿宋"/>
                <w:i w:val="0"/>
                <w:iCs w:val="0"/>
                <w:color w:val="auto"/>
                <w:sz w:val="24"/>
                <w:szCs w:val="24"/>
                <w:highlight w:val="none"/>
                <w:u w:val="none"/>
              </w:rPr>
            </w:pPr>
          </w:p>
        </w:tc>
      </w:tr>
      <w:tr w14:paraId="501F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DFB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25</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89BB19">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B05A2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罗回市场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93E7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C5A9A4A">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D0296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580B41">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97AC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A2B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D3F42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914</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D81F5C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133D5F9">
            <w:pPr>
              <w:rPr>
                <w:rFonts w:hint="eastAsia" w:ascii="仿宋" w:hAnsi="仿宋" w:eastAsia="仿宋" w:cs="仿宋"/>
                <w:i w:val="0"/>
                <w:iCs w:val="0"/>
                <w:color w:val="auto"/>
                <w:sz w:val="24"/>
                <w:szCs w:val="24"/>
                <w:highlight w:val="none"/>
                <w:u w:val="none"/>
              </w:rPr>
            </w:pPr>
          </w:p>
        </w:tc>
      </w:tr>
      <w:tr w14:paraId="44F6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0D38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26</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4748AC">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2A266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罗回街</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037A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7D9DF68">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091204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0381D61">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FE542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E6F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E4050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1B46B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A002AE1">
            <w:pPr>
              <w:rPr>
                <w:rFonts w:hint="eastAsia" w:ascii="仿宋" w:hAnsi="仿宋" w:eastAsia="仿宋" w:cs="仿宋"/>
                <w:i w:val="0"/>
                <w:iCs w:val="0"/>
                <w:color w:val="auto"/>
                <w:sz w:val="24"/>
                <w:szCs w:val="24"/>
                <w:highlight w:val="none"/>
                <w:u w:val="none"/>
              </w:rPr>
            </w:pPr>
          </w:p>
        </w:tc>
      </w:tr>
      <w:tr w14:paraId="6389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1096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27</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23E21">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B5F75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水口镇政府大院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0CC1D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FA217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4695.25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A059F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7304.75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6DF3CA4">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7E31A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58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12271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762E8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w:t>
            </w: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0432B8F">
            <w:pPr>
              <w:rPr>
                <w:rFonts w:hint="eastAsia" w:ascii="仿宋" w:hAnsi="仿宋" w:eastAsia="仿宋" w:cs="仿宋"/>
                <w:i w:val="0"/>
                <w:iCs w:val="0"/>
                <w:color w:val="auto"/>
                <w:sz w:val="24"/>
                <w:szCs w:val="24"/>
                <w:highlight w:val="none"/>
                <w:u w:val="none"/>
              </w:rPr>
            </w:pPr>
          </w:p>
        </w:tc>
      </w:tr>
      <w:tr w14:paraId="42DF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177E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28</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844D3">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2E41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上灶新村道路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59F3A21">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EEEE9AC">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B470E46">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8D790D9">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CE4F691">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1059B">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998C6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8647808">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9A11E10">
            <w:pPr>
              <w:rPr>
                <w:rFonts w:hint="eastAsia" w:ascii="仿宋" w:hAnsi="仿宋" w:eastAsia="仿宋" w:cs="仿宋"/>
                <w:i w:val="0"/>
                <w:iCs w:val="0"/>
                <w:color w:val="auto"/>
                <w:sz w:val="24"/>
                <w:szCs w:val="24"/>
                <w:highlight w:val="none"/>
                <w:u w:val="none"/>
              </w:rPr>
            </w:pPr>
          </w:p>
        </w:tc>
      </w:tr>
      <w:tr w14:paraId="3FDB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5FEB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29</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83E470">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9F1E2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口经委至红绿灯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E0E1C0E">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E7C61A">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526E2DA">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7EDA33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8EE5C3D">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03B2A">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0100C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1E03294">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2C96540">
            <w:pPr>
              <w:rPr>
                <w:rFonts w:hint="eastAsia" w:ascii="仿宋" w:hAnsi="仿宋" w:eastAsia="仿宋" w:cs="仿宋"/>
                <w:i w:val="0"/>
                <w:iCs w:val="0"/>
                <w:color w:val="auto"/>
                <w:sz w:val="24"/>
                <w:szCs w:val="24"/>
                <w:highlight w:val="none"/>
                <w:u w:val="none"/>
              </w:rPr>
            </w:pPr>
          </w:p>
        </w:tc>
      </w:tr>
      <w:tr w14:paraId="35B9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8EAE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30</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65AE1B">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045FD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红绿灯至学校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1383D6F">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D8AE242">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8B82D12">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36EF86">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CCE273B">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97F0A">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860D4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E2CE139">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22F5750">
            <w:pPr>
              <w:rPr>
                <w:rFonts w:hint="eastAsia" w:ascii="仿宋" w:hAnsi="仿宋" w:eastAsia="仿宋" w:cs="仿宋"/>
                <w:i w:val="0"/>
                <w:iCs w:val="0"/>
                <w:color w:val="auto"/>
                <w:sz w:val="24"/>
                <w:szCs w:val="24"/>
                <w:highlight w:val="none"/>
                <w:u w:val="none"/>
              </w:rPr>
            </w:pPr>
          </w:p>
        </w:tc>
      </w:tr>
      <w:tr w14:paraId="0939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C3F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31</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BCF582">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8EE6E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红绿灯至边检站</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0AB86BB">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481A1F8">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AEC05B0">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37C5DDD">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804632A">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A3709">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4FCE6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42F0D785">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F92C97C">
            <w:pPr>
              <w:rPr>
                <w:rFonts w:hint="eastAsia" w:ascii="仿宋" w:hAnsi="仿宋" w:eastAsia="仿宋" w:cs="仿宋"/>
                <w:i w:val="0"/>
                <w:iCs w:val="0"/>
                <w:color w:val="auto"/>
                <w:sz w:val="24"/>
                <w:szCs w:val="24"/>
                <w:highlight w:val="none"/>
                <w:u w:val="none"/>
              </w:rPr>
            </w:pPr>
          </w:p>
        </w:tc>
      </w:tr>
      <w:tr w14:paraId="22F3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7A39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32</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D02458">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94EE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边检站至口岸</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29DEABC">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554D292">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9264714">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AEBB0D2">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4ED4164">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3284D">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27A05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3D2576F0">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B919D4D">
            <w:pPr>
              <w:rPr>
                <w:rFonts w:hint="eastAsia" w:ascii="仿宋" w:hAnsi="仿宋" w:eastAsia="仿宋" w:cs="仿宋"/>
                <w:i w:val="0"/>
                <w:iCs w:val="0"/>
                <w:color w:val="auto"/>
                <w:sz w:val="24"/>
                <w:szCs w:val="24"/>
                <w:highlight w:val="none"/>
                <w:u w:val="none"/>
              </w:rPr>
            </w:pPr>
          </w:p>
        </w:tc>
      </w:tr>
      <w:tr w14:paraId="1BA4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BECC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33</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BF38DB">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EDCE0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口岸旁边小路1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300C518">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B6A465D">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5B801BE">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8CBBF0F">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5F86EDD">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D7A93">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D4F2F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55E3D8E2">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F3AC7C8">
            <w:pPr>
              <w:rPr>
                <w:rFonts w:hint="eastAsia" w:ascii="仿宋" w:hAnsi="仿宋" w:eastAsia="仿宋" w:cs="仿宋"/>
                <w:i w:val="0"/>
                <w:iCs w:val="0"/>
                <w:color w:val="auto"/>
                <w:sz w:val="24"/>
                <w:szCs w:val="24"/>
                <w:highlight w:val="none"/>
                <w:u w:val="none"/>
              </w:rPr>
            </w:pPr>
          </w:p>
        </w:tc>
      </w:tr>
      <w:tr w14:paraId="5E15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E06F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34</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02A763">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68470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口岸旁边小路2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3D8E0F">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9DD9C9F">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6E109CC8">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FA9F14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E6DA034">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20FE">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AADF6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C6BD7DA">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D67C924">
            <w:pPr>
              <w:rPr>
                <w:rFonts w:hint="eastAsia" w:ascii="仿宋" w:hAnsi="仿宋" w:eastAsia="仿宋" w:cs="仿宋"/>
                <w:i w:val="0"/>
                <w:iCs w:val="0"/>
                <w:color w:val="auto"/>
                <w:sz w:val="24"/>
                <w:szCs w:val="24"/>
                <w:highlight w:val="none"/>
                <w:u w:val="none"/>
              </w:rPr>
            </w:pPr>
          </w:p>
        </w:tc>
      </w:tr>
      <w:tr w14:paraId="3517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5CC9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35</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F7E4AE">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9A690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边检站至水文站（水口桥旧）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49DD868">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1801E8E">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EB8186B">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583C45A">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0E7D6B0">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C0486">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5EAE9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59091D7">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8A894F9">
            <w:pPr>
              <w:rPr>
                <w:rFonts w:hint="eastAsia" w:ascii="仿宋" w:hAnsi="仿宋" w:eastAsia="仿宋" w:cs="仿宋"/>
                <w:i w:val="0"/>
                <w:iCs w:val="0"/>
                <w:color w:val="auto"/>
                <w:sz w:val="24"/>
                <w:szCs w:val="24"/>
                <w:highlight w:val="none"/>
                <w:u w:val="none"/>
              </w:rPr>
            </w:pPr>
          </w:p>
        </w:tc>
      </w:tr>
      <w:tr w14:paraId="0E37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B2C8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36</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457DF">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86B0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水文站（水口桥旧）过共和村驼怀屯至红绿灯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94DEF37">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E3BDFAF">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2C65388">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3F17BE7">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381A807">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BE636">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61CD1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1B2E1883">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25CB66A">
            <w:pPr>
              <w:rPr>
                <w:rFonts w:hint="eastAsia" w:ascii="仿宋" w:hAnsi="仿宋" w:eastAsia="仿宋" w:cs="仿宋"/>
                <w:i w:val="0"/>
                <w:iCs w:val="0"/>
                <w:color w:val="auto"/>
                <w:sz w:val="24"/>
                <w:szCs w:val="24"/>
                <w:highlight w:val="none"/>
                <w:u w:val="none"/>
              </w:rPr>
            </w:pPr>
          </w:p>
        </w:tc>
      </w:tr>
      <w:tr w14:paraId="660A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3CE8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37</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3158B">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E55B4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水文站（水口桥旧）过旧街至共宜路口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0FCED5D">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37FF3E2">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18B8327">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38A71F1">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6D092A6">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EB1E5">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38DE4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749660A6">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EDAAB52">
            <w:pPr>
              <w:rPr>
                <w:rFonts w:hint="eastAsia" w:ascii="仿宋" w:hAnsi="仿宋" w:eastAsia="仿宋" w:cs="仿宋"/>
                <w:i w:val="0"/>
                <w:iCs w:val="0"/>
                <w:color w:val="auto"/>
                <w:sz w:val="24"/>
                <w:szCs w:val="24"/>
                <w:highlight w:val="none"/>
                <w:u w:val="none"/>
              </w:rPr>
            </w:pPr>
          </w:p>
        </w:tc>
      </w:tr>
      <w:tr w14:paraId="0136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C2C1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38</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3DC43B">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029BE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共和完小路段</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E0B5F9">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02A7C11">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FE373E7">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B02C7D7">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FD4C2DB">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66BCE">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570FB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8F30651">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5A41923">
            <w:pPr>
              <w:rPr>
                <w:rFonts w:hint="eastAsia" w:ascii="仿宋" w:hAnsi="仿宋" w:eastAsia="仿宋" w:cs="仿宋"/>
                <w:i w:val="0"/>
                <w:iCs w:val="0"/>
                <w:color w:val="auto"/>
                <w:sz w:val="24"/>
                <w:szCs w:val="24"/>
                <w:highlight w:val="none"/>
                <w:u w:val="none"/>
              </w:rPr>
            </w:pPr>
          </w:p>
        </w:tc>
      </w:tr>
      <w:tr w14:paraId="147D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D14E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39</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52B88">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1E80E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水口市政大道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F11CAA5">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8FB2975">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0F8C2106">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8CA1F7">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0AB0734">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4FE17">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14E68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433</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4B1DA3AA">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F4A96C4">
            <w:pPr>
              <w:rPr>
                <w:rFonts w:hint="eastAsia" w:ascii="仿宋" w:hAnsi="仿宋" w:eastAsia="仿宋" w:cs="仿宋"/>
                <w:i w:val="0"/>
                <w:iCs w:val="0"/>
                <w:color w:val="auto"/>
                <w:sz w:val="24"/>
                <w:szCs w:val="24"/>
                <w:highlight w:val="none"/>
                <w:u w:val="none"/>
              </w:rPr>
            </w:pPr>
          </w:p>
        </w:tc>
      </w:tr>
      <w:tr w14:paraId="2D0C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6F49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40</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2C0732">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DB3E5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共宜大道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513193D">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421B757">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38D9AF9">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CAEAB03">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341CC10">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4ED26">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DB397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44E07023">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EF387AB">
            <w:pPr>
              <w:rPr>
                <w:rFonts w:hint="eastAsia" w:ascii="仿宋" w:hAnsi="仿宋" w:eastAsia="仿宋" w:cs="仿宋"/>
                <w:i w:val="0"/>
                <w:iCs w:val="0"/>
                <w:color w:val="auto"/>
                <w:sz w:val="24"/>
                <w:szCs w:val="24"/>
                <w:highlight w:val="none"/>
                <w:u w:val="none"/>
              </w:rPr>
            </w:pPr>
          </w:p>
        </w:tc>
      </w:tr>
      <w:tr w14:paraId="39F4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872B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41</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9EC767">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D593F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秀峰路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3009D0D">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B7BA9FB">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04AE89E">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5F34D8">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C00FF5B">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56EC4">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EF67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7CF89538">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EC8FFDC">
            <w:pPr>
              <w:rPr>
                <w:rFonts w:hint="eastAsia" w:ascii="仿宋" w:hAnsi="仿宋" w:eastAsia="仿宋" w:cs="仿宋"/>
                <w:i w:val="0"/>
                <w:iCs w:val="0"/>
                <w:color w:val="auto"/>
                <w:sz w:val="24"/>
                <w:szCs w:val="24"/>
                <w:highlight w:val="none"/>
                <w:u w:val="none"/>
              </w:rPr>
            </w:pPr>
          </w:p>
        </w:tc>
      </w:tr>
      <w:tr w14:paraId="676A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863C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42</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0F4A07">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BCD7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罗回市政道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69F2B3E">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CE22627">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69D55A7">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B27560">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D117697">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EC65D">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52F9F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67F88E49">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605B776">
            <w:pPr>
              <w:rPr>
                <w:rFonts w:hint="eastAsia" w:ascii="仿宋" w:hAnsi="仿宋" w:eastAsia="仿宋" w:cs="仿宋"/>
                <w:i w:val="0"/>
                <w:iCs w:val="0"/>
                <w:color w:val="auto"/>
                <w:sz w:val="24"/>
                <w:szCs w:val="24"/>
                <w:highlight w:val="none"/>
                <w:u w:val="none"/>
              </w:rPr>
            </w:pPr>
          </w:p>
        </w:tc>
      </w:tr>
      <w:tr w14:paraId="2318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8FC2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43</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420BD3">
            <w:pPr>
              <w:jc w:val="cente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103D7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水口市政大道绿篱球</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791B59A">
            <w:pPr>
              <w:jc w:val="center"/>
              <w:rPr>
                <w:rFonts w:hint="eastAsia" w:ascii="仿宋" w:hAnsi="仿宋" w:eastAsia="仿宋" w:cs="仿宋"/>
                <w:i w:val="0"/>
                <w:iCs w:val="0"/>
                <w:color w:val="auto"/>
                <w:sz w:val="24"/>
                <w:szCs w:val="24"/>
                <w:highlight w:val="none"/>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80C6EA3">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AC46C0E">
            <w:pPr>
              <w:jc w:val="center"/>
              <w:rPr>
                <w:rFonts w:hint="eastAsia" w:ascii="仿宋" w:hAnsi="仿宋" w:eastAsia="仿宋" w:cs="仿宋"/>
                <w:i w:val="0"/>
                <w:iCs w:val="0"/>
                <w:color w:val="auto"/>
                <w:sz w:val="24"/>
                <w:szCs w:val="24"/>
                <w:highlight w:val="none"/>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991213">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26B5B5C">
            <w:pPr>
              <w:jc w:val="center"/>
              <w:rPr>
                <w:rFonts w:hint="eastAsia" w:ascii="仿宋" w:hAnsi="仿宋" w:eastAsia="仿宋" w:cs="仿宋"/>
                <w:i w:val="0"/>
                <w:iCs w:val="0"/>
                <w:color w:val="auto"/>
                <w:sz w:val="24"/>
                <w:szCs w:val="24"/>
                <w:highlight w:val="none"/>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D0B93">
            <w:pPr>
              <w:jc w:val="center"/>
              <w:rPr>
                <w:rFonts w:hint="eastAsia" w:ascii="仿宋" w:hAnsi="仿宋" w:eastAsia="仿宋" w:cs="仿宋"/>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13C57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bottom"/>
          </w:tcPr>
          <w:p w14:paraId="0CA2DE03">
            <w:pPr>
              <w:jc w:val="center"/>
              <w:rPr>
                <w:rFonts w:hint="eastAsia" w:ascii="仿宋" w:hAnsi="仿宋" w:eastAsia="仿宋" w:cs="仿宋"/>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411BD5A">
            <w:pPr>
              <w:rPr>
                <w:rFonts w:hint="eastAsia" w:ascii="仿宋" w:hAnsi="仿宋" w:eastAsia="仿宋" w:cs="仿宋"/>
                <w:i w:val="0"/>
                <w:iCs w:val="0"/>
                <w:color w:val="auto"/>
                <w:sz w:val="24"/>
                <w:szCs w:val="24"/>
                <w:highlight w:val="none"/>
                <w:u w:val="none"/>
              </w:rPr>
            </w:pPr>
          </w:p>
        </w:tc>
      </w:tr>
      <w:tr w14:paraId="74F4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2BAE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44</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B52A9">
            <w:pP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3406D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驮怀路（卫生院十字路口至水口桥（旧）至三江口</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B3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7738</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3B477">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64F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B208A">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9C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37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B5AD0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88CFE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375AF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r>
      <w:tr w14:paraId="39F3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11C8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45</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D679A">
            <w:pP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2DF608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红绿灯至市场监督管理所（水口）</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5CE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1960</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F4F37">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A7B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906F1">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248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0C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66EEAC1">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BE88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广场类（机扫）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2BC8A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r>
      <w:tr w14:paraId="255C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4F3A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46</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87FC4">
            <w:pP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C7BE0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新出入口岸</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B6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30400</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2A7AF">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7B6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C758B">
            <w:pPr>
              <w:jc w:val="center"/>
              <w:rPr>
                <w:rFonts w:hint="eastAsia" w:ascii="仿宋" w:hAnsi="仿宋" w:eastAsia="仿宋" w:cs="仿宋"/>
                <w:i w:val="0"/>
                <w:iCs w:val="0"/>
                <w:color w:val="auto"/>
                <w:sz w:val="24"/>
                <w:szCs w:val="24"/>
                <w:highlight w:val="none"/>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6E5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30400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1C5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56D7004">
            <w:pPr>
              <w:jc w:val="center"/>
              <w:rPr>
                <w:rFonts w:hint="eastAsia" w:ascii="仿宋" w:hAnsi="仿宋" w:eastAsia="仿宋" w:cs="仿宋"/>
                <w:i w:val="0"/>
                <w:iCs w:val="0"/>
                <w:color w:val="auto"/>
                <w:sz w:val="24"/>
                <w:szCs w:val="24"/>
                <w:highlight w:val="none"/>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37CC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一、二级（机扫）</w:t>
            </w:r>
          </w:p>
        </w:tc>
        <w:tc>
          <w:tcPr>
            <w:tcW w:w="10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76E01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r>
      <w:tr w14:paraId="67C1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07" w:type="dxa"/>
          <w:trHeight w:val="58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559CB">
            <w:pPr>
              <w:rPr>
                <w:rFonts w:hint="eastAsia" w:ascii="仿宋" w:hAnsi="仿宋" w:eastAsia="仿宋" w:cs="仿宋"/>
                <w:i w:val="0"/>
                <w:iCs w:val="0"/>
                <w:color w:val="auto"/>
                <w:sz w:val="24"/>
                <w:szCs w:val="24"/>
                <w:highlight w:val="none"/>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259AD">
            <w:pPr>
              <w:rPr>
                <w:rFonts w:hint="eastAsia" w:ascii="仿宋" w:hAnsi="仿宋" w:eastAsia="仿宋" w:cs="仿宋"/>
                <w:i w:val="0"/>
                <w:iCs w:val="0"/>
                <w:color w:val="auto"/>
                <w:sz w:val="24"/>
                <w:szCs w:val="24"/>
                <w:highlight w:val="none"/>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14DF05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   计</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A68E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1547916</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5CA4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109194.75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0A19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491694.25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4E9B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947027</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13A7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1547916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C49B9">
            <w:pPr>
              <w:jc w:val="center"/>
              <w:rPr>
                <w:rFonts w:hint="eastAsia" w:ascii="仿宋" w:hAnsi="仿宋" w:eastAsia="仿宋" w:cs="仿宋"/>
                <w:b/>
                <w:bCs/>
                <w:i w:val="0"/>
                <w:iCs w:val="0"/>
                <w:color w:val="auto"/>
                <w:sz w:val="24"/>
                <w:szCs w:val="24"/>
                <w:highlight w:val="none"/>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E02E2B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12033</w:t>
            </w:r>
          </w:p>
        </w:tc>
        <w:tc>
          <w:tcPr>
            <w:tcW w:w="17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E33BF4">
            <w:pPr>
              <w:jc w:val="center"/>
              <w:rPr>
                <w:rFonts w:hint="eastAsia" w:ascii="仿宋" w:hAnsi="仿宋" w:eastAsia="仿宋" w:cs="仿宋"/>
                <w:b/>
                <w:bCs/>
                <w:i w:val="0"/>
                <w:iCs w:val="0"/>
                <w:color w:val="auto"/>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A5A54">
            <w:pPr>
              <w:jc w:val="center"/>
              <w:rPr>
                <w:rFonts w:hint="eastAsia" w:ascii="仿宋" w:hAnsi="仿宋" w:eastAsia="仿宋" w:cs="仿宋"/>
                <w:b/>
                <w:bCs/>
                <w:i w:val="0"/>
                <w:iCs w:val="0"/>
                <w:color w:val="auto"/>
                <w:sz w:val="24"/>
                <w:szCs w:val="24"/>
                <w:highlight w:val="none"/>
                <w:u w:val="none"/>
              </w:rPr>
            </w:pPr>
          </w:p>
        </w:tc>
      </w:tr>
    </w:tbl>
    <w:p w14:paraId="6CDEB6DD">
      <w:pPr>
        <w:pStyle w:val="18"/>
        <w:ind w:left="0" w:firstLine="0" w:firstLineChars="0"/>
        <w:rPr>
          <w:color w:val="auto"/>
          <w:highlight w:val="none"/>
          <w:lang w:eastAsia="zh-CN"/>
        </w:rPr>
      </w:pPr>
    </w:p>
    <w:p w14:paraId="22E0EA54">
      <w:pPr>
        <w:pStyle w:val="4"/>
        <w:numPr>
          <w:ilvl w:val="1"/>
          <w:numId w:val="6"/>
        </w:numPr>
        <w:spacing w:before="0" w:after="0" w:line="440" w:lineRule="exact"/>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保洁工作范围</w:t>
      </w:r>
    </w:p>
    <w:p w14:paraId="795316CE">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⑴乙方负责城市道路（含隔离栏）和公共场所路面、人行道（包括门店前）的绿化带及行道树穴的清扫、保洁；</w:t>
      </w:r>
    </w:p>
    <w:p w14:paraId="50A5CA2A">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⑵街道路边果皮箱、环卫工具房等环卫设施的清洗维护；</w:t>
      </w:r>
    </w:p>
    <w:p w14:paraId="364E3345">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⑶清扫保洁垃圾和承包范围内的垃圾清运服务（含垃圾中转站的维护管理）；</w:t>
      </w:r>
    </w:p>
    <w:p w14:paraId="7C1CEC8E">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⑷现有区域绿化修整养护服务（不含种植和未来区域扩增的绿化面积）;</w:t>
      </w:r>
    </w:p>
    <w:p w14:paraId="13F118A3">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⑸向管理部门反馈路面卫生动态。未来新增的作业面积和范围根据试用期效果另行协商;</w:t>
      </w:r>
    </w:p>
    <w:p w14:paraId="063EE297">
      <w:pPr>
        <w:pStyle w:val="4"/>
        <w:spacing w:before="0" w:after="0" w:line="440" w:lineRule="exact"/>
        <w:ind w:firstLine="480" w:firstLineChars="200"/>
        <w:textAlignment w:val="baseline"/>
        <w:rPr>
          <w:rFonts w:ascii="仿宋" w:hAnsi="仿宋" w:eastAsia="仿宋" w:cs="仿宋"/>
          <w:b w:val="0"/>
          <w:color w:val="auto"/>
          <w:kern w:val="0"/>
          <w:szCs w:val="24"/>
          <w:highlight w:val="none"/>
        </w:rPr>
      </w:pPr>
      <w:r>
        <w:rPr>
          <w:rFonts w:hint="eastAsia" w:ascii="仿宋" w:hAnsi="仿宋" w:eastAsia="仿宋" w:cs="仿宋"/>
          <w:b w:val="0"/>
          <w:color w:val="auto"/>
          <w:kern w:val="0"/>
          <w:szCs w:val="24"/>
          <w:highlight w:val="none"/>
        </w:rPr>
        <w:t>⑹以上服务业务如有新增，甲乙双方另行协商。</w:t>
      </w:r>
    </w:p>
    <w:p w14:paraId="50D43E8C">
      <w:pPr>
        <w:pStyle w:val="4"/>
        <w:spacing w:before="0" w:after="0" w:line="440" w:lineRule="exact"/>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3.保洁工作内容</w:t>
      </w:r>
    </w:p>
    <w:p w14:paraId="47516C3F">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分标片区范围内道路的清扫、冲洗、洒水、喷雾降尘和保洁（包含广场、人行道、绿化带及树池内的清扫、除杂草杂树枯枝、除油污、保洁、护栏清洗等，定期对项目范围内道路雨水井进行清淤、除沉泥沉沙）；</w:t>
      </w:r>
    </w:p>
    <w:p w14:paraId="58628264">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（2）分标片区范围内及县城周边村屯生活垃圾清转运（包含沿街大型酒楼、娱乐场所、单位等垃圾点的收集、范围路段果皮箱和垃圾桶垃圾清运）；</w:t>
      </w:r>
    </w:p>
    <w:p w14:paraId="27F3ED1F">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（3）分标片区范围内中转站、周转垃圾桶保洁、消毒、维护等管理；</w:t>
      </w:r>
    </w:p>
    <w:p w14:paraId="373E5C58">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（4）分标片区范围内公厕的保洁、消毒、维护等管理；</w:t>
      </w:r>
    </w:p>
    <w:p w14:paraId="2D237176">
      <w:pPr>
        <w:pStyle w:val="10"/>
        <w:spacing w:line="440" w:lineRule="exact"/>
        <w:ind w:left="0" w:right="126"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（5）分标片区范围内各类违法广告清理；</w:t>
      </w:r>
    </w:p>
    <w:p w14:paraId="6775B1FC">
      <w:pPr>
        <w:textAlignment w:val="baseline"/>
        <w:rPr>
          <w:rFonts w:ascii="仿宋" w:hAnsi="仿宋" w:eastAsia="仿宋" w:cs="仿宋"/>
          <w:color w:val="auto"/>
          <w:sz w:val="20"/>
          <w:highlight w:val="none"/>
        </w:rPr>
      </w:pPr>
    </w:p>
    <w:p w14:paraId="24A681A7">
      <w:pPr>
        <w:pStyle w:val="12"/>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人员、车辆设备配置</w:t>
      </w:r>
    </w:p>
    <w:p w14:paraId="5C6B1001">
      <w:pPr>
        <w:pStyle w:val="4"/>
        <w:spacing w:before="0" w:after="0" w:line="560" w:lineRule="exact"/>
        <w:ind w:firstLine="480" w:firstLineChars="200"/>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（一）、管理及清扫保洁人员配置</w:t>
      </w:r>
    </w:p>
    <w:p w14:paraId="380D4589">
      <w:pPr>
        <w:spacing w:line="560" w:lineRule="exact"/>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结合龙州县实际情况具体人员配置如下：</w:t>
      </w:r>
    </w:p>
    <w:tbl>
      <w:tblPr>
        <w:tblStyle w:val="20"/>
        <w:tblW w:w="13829" w:type="dxa"/>
        <w:tblInd w:w="91" w:type="dxa"/>
        <w:tblLayout w:type="fixed"/>
        <w:tblCellMar>
          <w:top w:w="0" w:type="dxa"/>
          <w:left w:w="108" w:type="dxa"/>
          <w:bottom w:w="0" w:type="dxa"/>
          <w:right w:w="108" w:type="dxa"/>
        </w:tblCellMar>
      </w:tblPr>
      <w:tblGrid>
        <w:gridCol w:w="1080"/>
        <w:gridCol w:w="1080"/>
        <w:gridCol w:w="3016"/>
        <w:gridCol w:w="4013"/>
        <w:gridCol w:w="4640"/>
      </w:tblGrid>
      <w:tr w14:paraId="3FF093A7">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F457">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AB2B">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142">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岗位名称</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51D">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人数</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431">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75A127B6">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0AD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4B91">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管理人员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967E">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项目经理</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D92">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3E3A">
            <w:pPr>
              <w:widowControl/>
              <w:jc w:val="center"/>
              <w:textAlignment w:val="center"/>
              <w:rPr>
                <w:rFonts w:ascii="仿宋" w:hAnsi="仿宋" w:eastAsia="仿宋" w:cs="仿宋"/>
                <w:color w:val="auto"/>
                <w:szCs w:val="21"/>
                <w:highlight w:val="none"/>
              </w:rPr>
            </w:pPr>
          </w:p>
        </w:tc>
      </w:tr>
      <w:tr w14:paraId="43A8EC17">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8B7A">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043B">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E1FB">
            <w:pPr>
              <w:widowControl/>
              <w:jc w:val="center"/>
              <w:textAlignment w:val="center"/>
              <w:rPr>
                <w:rFonts w:cs="仿宋" w:asciiTheme="minorEastAsia" w:hAnsiTheme="minorEastAsia" w:eastAsiaTheme="minorEastAsia"/>
                <w:color w:val="auto"/>
                <w:kern w:val="0"/>
                <w:szCs w:val="21"/>
                <w:highlight w:val="none"/>
              </w:rPr>
            </w:pPr>
            <w:r>
              <w:rPr>
                <w:rFonts w:hint="eastAsia" w:cs="仿宋" w:asciiTheme="minorEastAsia" w:hAnsiTheme="minorEastAsia" w:eastAsiaTheme="minorEastAsia"/>
                <w:color w:val="auto"/>
                <w:kern w:val="0"/>
                <w:szCs w:val="21"/>
                <w:highlight w:val="none"/>
              </w:rPr>
              <w:t>财务</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EDBE">
            <w:pPr>
              <w:widowControl/>
              <w:jc w:val="center"/>
              <w:textAlignment w:val="center"/>
              <w:rPr>
                <w:rFonts w:hint="eastAsia" w:cs="仿宋" w:asciiTheme="minorEastAsia" w:hAnsiTheme="minorEastAsia" w:eastAsiaTheme="minorEastAsia"/>
                <w:color w:val="auto"/>
                <w:kern w:val="0"/>
                <w:szCs w:val="21"/>
                <w:highlight w:val="none"/>
                <w:lang w:val="en-US" w:eastAsia="zh-CN"/>
              </w:rPr>
            </w:pPr>
            <w:r>
              <w:rPr>
                <w:rFonts w:hint="eastAsia" w:cs="仿宋" w:asciiTheme="minorEastAsia" w:hAnsiTheme="minorEastAsia" w:eastAsiaTheme="minorEastAsia"/>
                <w:color w:val="auto"/>
                <w:kern w:val="0"/>
                <w:szCs w:val="21"/>
                <w:highlight w:val="none"/>
                <w:lang w:val="en-US" w:eastAsia="zh-CN"/>
              </w:rPr>
              <w:t>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275E">
            <w:pPr>
              <w:widowControl/>
              <w:jc w:val="center"/>
              <w:textAlignment w:val="center"/>
              <w:rPr>
                <w:rFonts w:ascii="仿宋" w:hAnsi="仿宋" w:eastAsia="仿宋" w:cs="仿宋"/>
                <w:color w:val="auto"/>
                <w:szCs w:val="21"/>
                <w:highlight w:val="none"/>
              </w:rPr>
            </w:pPr>
          </w:p>
        </w:tc>
      </w:tr>
      <w:tr w14:paraId="12207971">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9AC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ED8DF">
            <w:pPr>
              <w:widowControl/>
              <w:jc w:val="center"/>
              <w:textAlignment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0"/>
                <w:szCs w:val="21"/>
                <w:highlight w:val="none"/>
              </w:rPr>
              <w:t>项目实施人员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6C34">
            <w:pPr>
              <w:jc w:val="center"/>
              <w:rPr>
                <w:rFonts w:ascii="宋体" w:hAnsi="宋体" w:cs="宋体"/>
                <w:color w:val="auto"/>
                <w:sz w:val="22"/>
                <w:szCs w:val="22"/>
                <w:highlight w:val="none"/>
              </w:rPr>
            </w:pPr>
            <w:r>
              <w:rPr>
                <w:rFonts w:hint="eastAsia"/>
                <w:color w:val="auto"/>
                <w:sz w:val="22"/>
                <w:szCs w:val="22"/>
                <w:highlight w:val="none"/>
              </w:rPr>
              <w:t>压缩车司机</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A51C">
            <w:pPr>
              <w:jc w:val="center"/>
              <w:rPr>
                <w:rFonts w:ascii="宋体" w:hAnsi="宋体" w:cs="宋体"/>
                <w:color w:val="auto"/>
                <w:sz w:val="22"/>
                <w:szCs w:val="22"/>
                <w:highlight w:val="none"/>
              </w:rPr>
            </w:pPr>
            <w:r>
              <w:rPr>
                <w:rFonts w:hint="eastAsia"/>
                <w:color w:val="auto"/>
                <w:sz w:val="22"/>
                <w:szCs w:val="22"/>
                <w:highlight w:val="none"/>
              </w:rPr>
              <w:t>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932A">
            <w:pPr>
              <w:widowControl/>
              <w:jc w:val="center"/>
              <w:textAlignment w:val="center"/>
              <w:rPr>
                <w:rFonts w:ascii="仿宋" w:hAnsi="仿宋" w:eastAsia="仿宋" w:cs="仿宋"/>
                <w:color w:val="auto"/>
                <w:szCs w:val="21"/>
                <w:highlight w:val="none"/>
              </w:rPr>
            </w:pPr>
          </w:p>
        </w:tc>
      </w:tr>
      <w:tr w14:paraId="56E8D00B">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4A73">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D235">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764">
            <w:pPr>
              <w:jc w:val="center"/>
              <w:rPr>
                <w:rFonts w:ascii="宋体" w:hAnsi="宋体" w:cs="宋体"/>
                <w:color w:val="auto"/>
                <w:sz w:val="22"/>
                <w:szCs w:val="22"/>
                <w:highlight w:val="none"/>
              </w:rPr>
            </w:pPr>
            <w:r>
              <w:rPr>
                <w:rFonts w:hint="eastAsia"/>
                <w:color w:val="auto"/>
                <w:sz w:val="22"/>
                <w:szCs w:val="22"/>
                <w:highlight w:val="none"/>
              </w:rPr>
              <w:t>其他车司机</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8E9F">
            <w:pPr>
              <w:jc w:val="center"/>
              <w:rPr>
                <w:rFonts w:ascii="宋体" w:hAnsi="宋体" w:cs="宋体"/>
                <w:color w:val="auto"/>
                <w:sz w:val="22"/>
                <w:szCs w:val="22"/>
                <w:highlight w:val="none"/>
              </w:rPr>
            </w:pPr>
            <w:r>
              <w:rPr>
                <w:rFonts w:hint="eastAsia"/>
                <w:color w:val="auto"/>
                <w:sz w:val="22"/>
                <w:szCs w:val="22"/>
                <w:highlight w:val="none"/>
              </w:rPr>
              <w:t>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BCD">
            <w:pPr>
              <w:widowControl/>
              <w:jc w:val="center"/>
              <w:textAlignment w:val="center"/>
              <w:rPr>
                <w:rFonts w:ascii="仿宋" w:hAnsi="仿宋" w:eastAsia="仿宋" w:cs="仿宋"/>
                <w:color w:val="auto"/>
                <w:szCs w:val="21"/>
                <w:highlight w:val="none"/>
              </w:rPr>
            </w:pPr>
          </w:p>
        </w:tc>
      </w:tr>
      <w:tr w14:paraId="384AE4FB">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6CD7">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8145">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65A1">
            <w:pPr>
              <w:jc w:val="center"/>
              <w:rPr>
                <w:rFonts w:ascii="宋体" w:hAnsi="宋体" w:cs="宋体"/>
                <w:color w:val="auto"/>
                <w:sz w:val="22"/>
                <w:szCs w:val="22"/>
                <w:highlight w:val="none"/>
              </w:rPr>
            </w:pPr>
            <w:r>
              <w:rPr>
                <w:rFonts w:hint="eastAsia"/>
                <w:color w:val="auto"/>
                <w:sz w:val="22"/>
                <w:szCs w:val="22"/>
                <w:highlight w:val="none"/>
              </w:rPr>
              <w:t>机修组</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48A">
            <w:pPr>
              <w:jc w:val="center"/>
              <w:rPr>
                <w:rFonts w:ascii="宋体" w:hAnsi="宋体" w:cs="宋体"/>
                <w:color w:val="auto"/>
                <w:sz w:val="22"/>
                <w:szCs w:val="22"/>
                <w:highlight w:val="none"/>
              </w:rPr>
            </w:pPr>
            <w:r>
              <w:rPr>
                <w:rFonts w:hint="eastAsia"/>
                <w:color w:val="auto"/>
                <w:sz w:val="22"/>
                <w:szCs w:val="22"/>
                <w:highlight w:val="none"/>
              </w:rPr>
              <w:t>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57F">
            <w:pPr>
              <w:widowControl/>
              <w:jc w:val="center"/>
              <w:textAlignment w:val="center"/>
              <w:rPr>
                <w:rFonts w:ascii="仿宋" w:hAnsi="仿宋" w:eastAsia="仿宋" w:cs="仿宋"/>
                <w:color w:val="auto"/>
                <w:kern w:val="0"/>
                <w:szCs w:val="21"/>
                <w:highlight w:val="none"/>
              </w:rPr>
            </w:pPr>
          </w:p>
        </w:tc>
      </w:tr>
      <w:tr w14:paraId="236CB121">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99B9">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E708">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826">
            <w:pPr>
              <w:jc w:val="center"/>
              <w:rPr>
                <w:rFonts w:ascii="宋体" w:hAnsi="宋体" w:cs="宋体"/>
                <w:color w:val="auto"/>
                <w:sz w:val="22"/>
                <w:szCs w:val="22"/>
                <w:highlight w:val="none"/>
              </w:rPr>
            </w:pPr>
            <w:r>
              <w:rPr>
                <w:rFonts w:hint="eastAsia"/>
                <w:color w:val="auto"/>
                <w:sz w:val="22"/>
                <w:szCs w:val="22"/>
                <w:highlight w:val="none"/>
              </w:rPr>
              <w:t>园林技术员</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681">
            <w:pPr>
              <w:jc w:val="center"/>
              <w:rPr>
                <w:rFonts w:ascii="宋体" w:hAnsi="宋体" w:cs="宋体"/>
                <w:color w:val="auto"/>
                <w:sz w:val="22"/>
                <w:szCs w:val="22"/>
                <w:highlight w:val="none"/>
              </w:rPr>
            </w:pPr>
            <w:r>
              <w:rPr>
                <w:rFonts w:hint="eastAsia"/>
                <w:color w:val="auto"/>
                <w:sz w:val="22"/>
                <w:szCs w:val="22"/>
                <w:highlight w:val="none"/>
              </w:rPr>
              <w:t>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CBC3">
            <w:pPr>
              <w:widowControl/>
              <w:jc w:val="center"/>
              <w:textAlignment w:val="center"/>
              <w:rPr>
                <w:rFonts w:ascii="仿宋" w:hAnsi="仿宋" w:eastAsia="仿宋" w:cs="仿宋"/>
                <w:color w:val="auto"/>
                <w:kern w:val="0"/>
                <w:szCs w:val="21"/>
                <w:highlight w:val="none"/>
              </w:rPr>
            </w:pPr>
          </w:p>
        </w:tc>
      </w:tr>
      <w:tr w14:paraId="7B9E0075">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CFA2">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38D2">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C7B8">
            <w:pPr>
              <w:jc w:val="center"/>
              <w:rPr>
                <w:rFonts w:ascii="宋体" w:hAnsi="宋体" w:cs="宋体"/>
                <w:color w:val="auto"/>
                <w:sz w:val="22"/>
                <w:szCs w:val="22"/>
                <w:highlight w:val="none"/>
              </w:rPr>
            </w:pPr>
            <w:r>
              <w:rPr>
                <w:rFonts w:hint="eastAsia"/>
                <w:color w:val="auto"/>
                <w:sz w:val="22"/>
                <w:szCs w:val="22"/>
                <w:highlight w:val="none"/>
              </w:rPr>
              <w:t>养护员</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035">
            <w:pPr>
              <w:jc w:val="center"/>
              <w:rPr>
                <w:rFonts w:ascii="宋体" w:hAnsi="宋体" w:cs="宋体"/>
                <w:color w:val="auto"/>
                <w:sz w:val="22"/>
                <w:szCs w:val="22"/>
                <w:highlight w:val="none"/>
              </w:rPr>
            </w:pPr>
            <w:r>
              <w:rPr>
                <w:rFonts w:hint="eastAsia"/>
                <w:color w:val="auto"/>
                <w:sz w:val="22"/>
                <w:szCs w:val="22"/>
                <w:highlight w:val="none"/>
              </w:rPr>
              <w:t>20</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AC6">
            <w:pPr>
              <w:widowControl/>
              <w:jc w:val="center"/>
              <w:textAlignment w:val="center"/>
              <w:rPr>
                <w:rFonts w:ascii="仿宋" w:hAnsi="仿宋" w:eastAsia="仿宋" w:cs="仿宋"/>
                <w:color w:val="auto"/>
                <w:kern w:val="0"/>
                <w:szCs w:val="21"/>
                <w:highlight w:val="none"/>
              </w:rPr>
            </w:pPr>
          </w:p>
        </w:tc>
      </w:tr>
      <w:tr w14:paraId="418B3C55">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2911">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A838">
            <w:pPr>
              <w:jc w:val="center"/>
              <w:textAlignment w:val="baseline"/>
              <w:rPr>
                <w:rFonts w:cs="仿宋" w:asciiTheme="minorEastAsia" w:hAnsiTheme="minorEastAsia" w:eastAsiaTheme="minorEastAsia"/>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954">
            <w:pPr>
              <w:jc w:val="center"/>
              <w:rPr>
                <w:rFonts w:ascii="宋体" w:hAnsi="宋体" w:cs="宋体"/>
                <w:color w:val="auto"/>
                <w:sz w:val="22"/>
                <w:szCs w:val="22"/>
                <w:highlight w:val="none"/>
              </w:rPr>
            </w:pPr>
            <w:r>
              <w:rPr>
                <w:rFonts w:hint="eastAsia"/>
                <w:color w:val="auto"/>
                <w:sz w:val="22"/>
                <w:szCs w:val="22"/>
                <w:highlight w:val="none"/>
              </w:rPr>
              <w:t>保洁员</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57D0">
            <w:pPr>
              <w:jc w:val="center"/>
              <w:rPr>
                <w:rFonts w:hint="eastAsia" w:ascii="宋体" w:hAnsi="宋体" w:eastAsia="宋体" w:cs="宋体"/>
                <w:color w:val="auto"/>
                <w:sz w:val="22"/>
                <w:szCs w:val="22"/>
                <w:highlight w:val="none"/>
                <w:lang w:val="en-US" w:eastAsia="zh-CN"/>
              </w:rPr>
            </w:pPr>
            <w:r>
              <w:rPr>
                <w:rFonts w:hint="eastAsia"/>
                <w:color w:val="auto"/>
                <w:sz w:val="22"/>
                <w:szCs w:val="22"/>
                <w:highlight w:val="none"/>
              </w:rPr>
              <w:t>7</w:t>
            </w:r>
            <w:r>
              <w:rPr>
                <w:rFonts w:hint="eastAsia"/>
                <w:color w:val="auto"/>
                <w:sz w:val="22"/>
                <w:szCs w:val="22"/>
                <w:highlight w:val="none"/>
                <w:lang w:val="en-US" w:eastAsia="zh-CN"/>
              </w:rPr>
              <w:t>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B70">
            <w:pPr>
              <w:widowControl/>
              <w:jc w:val="center"/>
              <w:textAlignment w:val="center"/>
              <w:rPr>
                <w:rFonts w:ascii="仿宋" w:hAnsi="仿宋" w:eastAsia="仿宋" w:cs="仿宋"/>
                <w:color w:val="auto"/>
                <w:kern w:val="0"/>
                <w:szCs w:val="21"/>
                <w:highlight w:val="none"/>
              </w:rPr>
            </w:pPr>
          </w:p>
        </w:tc>
      </w:tr>
      <w:tr w14:paraId="66F67D2B">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B61A">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D2CB">
            <w:pPr>
              <w:jc w:val="center"/>
              <w:textAlignment w:val="baseline"/>
              <w:rPr>
                <w:rFonts w:ascii="仿宋" w:hAnsi="仿宋" w:eastAsia="仿宋" w:cs="仿宋"/>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D9CB">
            <w:pPr>
              <w:jc w:val="center"/>
              <w:rPr>
                <w:rFonts w:ascii="宋体" w:hAnsi="宋体" w:cs="宋体"/>
                <w:color w:val="auto"/>
                <w:sz w:val="22"/>
                <w:szCs w:val="22"/>
                <w:highlight w:val="none"/>
              </w:rPr>
            </w:pPr>
            <w:r>
              <w:rPr>
                <w:rFonts w:hint="eastAsia"/>
                <w:color w:val="auto"/>
                <w:sz w:val="22"/>
                <w:szCs w:val="22"/>
                <w:highlight w:val="none"/>
              </w:rPr>
              <w:t>压缩车司机</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244">
            <w:pPr>
              <w:jc w:val="center"/>
              <w:rPr>
                <w:rFonts w:ascii="宋体" w:hAnsi="宋体" w:cs="宋体"/>
                <w:color w:val="auto"/>
                <w:sz w:val="22"/>
                <w:szCs w:val="22"/>
                <w:highlight w:val="none"/>
              </w:rPr>
            </w:pPr>
            <w:r>
              <w:rPr>
                <w:rFonts w:hint="eastAsia"/>
                <w:color w:val="auto"/>
                <w:sz w:val="22"/>
                <w:szCs w:val="22"/>
                <w:highlight w:val="none"/>
              </w:rPr>
              <w:t>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18B7">
            <w:pPr>
              <w:widowControl/>
              <w:jc w:val="center"/>
              <w:textAlignment w:val="center"/>
              <w:rPr>
                <w:rFonts w:ascii="仿宋" w:hAnsi="仿宋" w:eastAsia="仿宋" w:cs="仿宋"/>
                <w:color w:val="auto"/>
                <w:kern w:val="0"/>
                <w:szCs w:val="21"/>
                <w:highlight w:val="none"/>
              </w:rPr>
            </w:pPr>
          </w:p>
        </w:tc>
      </w:tr>
      <w:tr w14:paraId="20C6BFC3">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A3F5">
            <w:pPr>
              <w:jc w:val="center"/>
              <w:textAlignment w:val="baseline"/>
              <w:rPr>
                <w:rFonts w:ascii="仿宋" w:hAnsi="仿宋" w:eastAsia="仿宋" w:cs="仿宋"/>
                <w:color w:val="auto"/>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01B8">
            <w:pPr>
              <w:jc w:val="center"/>
              <w:textAlignment w:val="baseline"/>
              <w:rPr>
                <w:rFonts w:ascii="仿宋" w:hAnsi="仿宋" w:eastAsia="仿宋" w:cs="仿宋"/>
                <w:color w:val="auto"/>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F04">
            <w:pPr>
              <w:widowControl/>
              <w:jc w:val="center"/>
              <w:textAlignment w:val="center"/>
              <w:rPr>
                <w:rFonts w:ascii="仿宋" w:hAnsi="仿宋" w:eastAsia="仿宋" w:cs="仿宋"/>
                <w:color w:val="auto"/>
                <w:szCs w:val="21"/>
                <w:highlight w:val="none"/>
              </w:rPr>
            </w:pP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5BF9">
            <w:pPr>
              <w:widowControl/>
              <w:jc w:val="center"/>
              <w:textAlignment w:val="center"/>
              <w:rPr>
                <w:rFonts w:ascii="仿宋" w:hAnsi="仿宋" w:eastAsia="仿宋" w:cs="仿宋"/>
                <w:color w:val="auto"/>
                <w:szCs w:val="21"/>
                <w:highlight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CCF">
            <w:pPr>
              <w:widowControl/>
              <w:jc w:val="center"/>
              <w:textAlignment w:val="center"/>
              <w:rPr>
                <w:rFonts w:ascii="仿宋" w:hAnsi="仿宋" w:eastAsia="仿宋" w:cs="仿宋"/>
                <w:color w:val="auto"/>
                <w:szCs w:val="21"/>
                <w:highlight w:val="none"/>
              </w:rPr>
            </w:pPr>
          </w:p>
        </w:tc>
      </w:tr>
      <w:tr w14:paraId="67844FEC">
        <w:tblPrEx>
          <w:tblCellMar>
            <w:top w:w="0" w:type="dxa"/>
            <w:left w:w="108" w:type="dxa"/>
            <w:bottom w:w="0" w:type="dxa"/>
            <w:right w:w="108" w:type="dxa"/>
          </w:tblCellMar>
        </w:tblPrEx>
        <w:trPr>
          <w:trHeight w:val="454" w:hRule="exact"/>
        </w:trPr>
        <w:tc>
          <w:tcPr>
            <w:tcW w:w="5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C45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合计</w:t>
            </w:r>
          </w:p>
        </w:tc>
        <w:tc>
          <w:tcPr>
            <w:tcW w:w="4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F21">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en-US" w:eastAsia="zh-CN"/>
              </w:rPr>
              <w:t>2</w:t>
            </w:r>
          </w:p>
        </w:tc>
        <w:tc>
          <w:tcPr>
            <w:tcW w:w="4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346">
            <w:pPr>
              <w:jc w:val="center"/>
              <w:textAlignment w:val="baseline"/>
              <w:rPr>
                <w:rFonts w:ascii="仿宋" w:hAnsi="仿宋" w:eastAsia="仿宋" w:cs="仿宋"/>
                <w:color w:val="auto"/>
                <w:szCs w:val="21"/>
                <w:highlight w:val="none"/>
              </w:rPr>
            </w:pPr>
          </w:p>
        </w:tc>
      </w:tr>
    </w:tbl>
    <w:p w14:paraId="310069AA">
      <w:pPr>
        <w:pStyle w:val="4"/>
        <w:numPr>
          <w:ilvl w:val="0"/>
          <w:numId w:val="7"/>
        </w:numPr>
        <w:spacing w:before="0" w:after="0" w:line="560" w:lineRule="exact"/>
        <w:ind w:firstLine="480"/>
        <w:textAlignment w:val="baseline"/>
        <w:rPr>
          <w:rFonts w:ascii="仿宋" w:hAnsi="仿宋" w:eastAsia="仿宋" w:cs="仿宋"/>
          <w:b w:val="0"/>
          <w:color w:val="auto"/>
          <w:szCs w:val="24"/>
          <w:highlight w:val="none"/>
        </w:rPr>
      </w:pPr>
      <w:r>
        <w:rPr>
          <w:rFonts w:hint="eastAsia" w:ascii="仿宋" w:hAnsi="仿宋" w:eastAsia="仿宋" w:cs="仿宋"/>
          <w:b w:val="0"/>
          <w:color w:val="auto"/>
          <w:szCs w:val="24"/>
          <w:highlight w:val="none"/>
        </w:rPr>
        <w:t>、车辆、设施配置明细表</w:t>
      </w:r>
    </w:p>
    <w:tbl>
      <w:tblPr>
        <w:tblStyle w:val="20"/>
        <w:tblW w:w="13737" w:type="dxa"/>
        <w:tblInd w:w="91" w:type="dxa"/>
        <w:tblLayout w:type="fixed"/>
        <w:tblCellMar>
          <w:top w:w="0" w:type="dxa"/>
          <w:left w:w="108" w:type="dxa"/>
          <w:bottom w:w="0" w:type="dxa"/>
          <w:right w:w="108" w:type="dxa"/>
        </w:tblCellMar>
      </w:tblPr>
      <w:tblGrid>
        <w:gridCol w:w="1299"/>
        <w:gridCol w:w="4564"/>
        <w:gridCol w:w="3669"/>
        <w:gridCol w:w="2304"/>
        <w:gridCol w:w="1901"/>
      </w:tblGrid>
      <w:tr w14:paraId="27D939C8">
        <w:tblPrEx>
          <w:tblCellMar>
            <w:top w:w="0" w:type="dxa"/>
            <w:left w:w="108" w:type="dxa"/>
            <w:bottom w:w="0" w:type="dxa"/>
            <w:right w:w="108" w:type="dxa"/>
          </w:tblCellMar>
        </w:tblPrEx>
        <w:trPr>
          <w:trHeight w:val="630"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71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序号</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195">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项目</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DB6">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车辆类型</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0704">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数量（辆）</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6E47">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5FD4FA97">
        <w:tblPrEx>
          <w:tblCellMar>
            <w:top w:w="0" w:type="dxa"/>
            <w:left w:w="108" w:type="dxa"/>
            <w:bottom w:w="0" w:type="dxa"/>
            <w:right w:w="108" w:type="dxa"/>
          </w:tblCellMar>
        </w:tblPrEx>
        <w:trPr>
          <w:trHeight w:val="438"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C2E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4564" w:type="dxa"/>
            <w:vMerge w:val="restart"/>
            <w:tcBorders>
              <w:top w:val="single" w:color="000000" w:sz="4" w:space="0"/>
              <w:left w:val="single" w:color="000000" w:sz="4" w:space="0"/>
              <w:right w:val="single" w:color="000000" w:sz="4" w:space="0"/>
            </w:tcBorders>
            <w:shd w:val="clear" w:color="auto" w:fill="auto"/>
            <w:vAlign w:val="center"/>
          </w:tcPr>
          <w:p w14:paraId="08A9E119">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保洁工作及运输工作设备</w:t>
            </w:r>
          </w:p>
        </w:tc>
        <w:tc>
          <w:tcPr>
            <w:tcW w:w="3669" w:type="dxa"/>
            <w:tcBorders>
              <w:top w:val="single" w:color="000000" w:sz="4" w:space="0"/>
              <w:left w:val="nil"/>
              <w:bottom w:val="single" w:color="000000" w:sz="4" w:space="0"/>
              <w:right w:val="single" w:color="000000" w:sz="4" w:space="0"/>
            </w:tcBorders>
            <w:shd w:val="clear" w:color="auto" w:fill="auto"/>
            <w:vAlign w:val="center"/>
          </w:tcPr>
          <w:p w14:paraId="098154ED">
            <w:pPr>
              <w:jc w:val="center"/>
              <w:rPr>
                <w:rFonts w:ascii="宋体" w:hAnsi="宋体" w:cs="宋体"/>
                <w:color w:val="auto"/>
                <w:sz w:val="22"/>
                <w:szCs w:val="22"/>
                <w:highlight w:val="none"/>
              </w:rPr>
            </w:pPr>
            <w:r>
              <w:rPr>
                <w:rFonts w:hint="eastAsia"/>
                <w:color w:val="auto"/>
                <w:sz w:val="22"/>
                <w:szCs w:val="22"/>
                <w:highlight w:val="none"/>
              </w:rPr>
              <w:t>电动三轮车</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D69">
            <w:pPr>
              <w:jc w:val="center"/>
              <w:rPr>
                <w:rFonts w:ascii="宋体" w:hAnsi="宋体" w:cs="宋体"/>
                <w:color w:val="auto"/>
                <w:sz w:val="22"/>
                <w:szCs w:val="22"/>
                <w:highlight w:val="none"/>
              </w:rPr>
            </w:pPr>
            <w:r>
              <w:rPr>
                <w:rFonts w:hint="eastAsia"/>
                <w:color w:val="auto"/>
                <w:sz w:val="22"/>
                <w:szCs w:val="22"/>
                <w:highlight w:val="none"/>
              </w:rPr>
              <w:t>30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F1A">
            <w:pPr>
              <w:jc w:val="center"/>
              <w:textAlignment w:val="baseline"/>
              <w:rPr>
                <w:rFonts w:ascii="仿宋" w:hAnsi="仿宋" w:eastAsia="仿宋" w:cs="仿宋"/>
                <w:color w:val="auto"/>
                <w:szCs w:val="21"/>
                <w:highlight w:val="none"/>
              </w:rPr>
            </w:pPr>
          </w:p>
        </w:tc>
      </w:tr>
      <w:tr w14:paraId="73E439EB">
        <w:tblPrEx>
          <w:tblCellMar>
            <w:top w:w="0" w:type="dxa"/>
            <w:left w:w="108" w:type="dxa"/>
            <w:bottom w:w="0" w:type="dxa"/>
            <w:right w:w="108" w:type="dxa"/>
          </w:tblCellMar>
        </w:tblPrEx>
        <w:trPr>
          <w:trHeight w:val="438"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0F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4564" w:type="dxa"/>
            <w:vMerge w:val="continue"/>
            <w:tcBorders>
              <w:left w:val="single" w:color="000000" w:sz="4" w:space="0"/>
              <w:right w:val="single" w:color="000000" w:sz="4" w:space="0"/>
            </w:tcBorders>
            <w:shd w:val="clear" w:color="auto" w:fill="auto"/>
            <w:vAlign w:val="center"/>
          </w:tcPr>
          <w:p w14:paraId="7C899418">
            <w:pPr>
              <w:jc w:val="center"/>
              <w:textAlignment w:val="baseline"/>
              <w:rPr>
                <w:rFonts w:ascii="仿宋" w:hAnsi="仿宋" w:eastAsia="仿宋" w:cs="仿宋"/>
                <w:color w:val="auto"/>
                <w:szCs w:val="21"/>
                <w:highlight w:val="none"/>
              </w:rPr>
            </w:pPr>
          </w:p>
        </w:tc>
        <w:tc>
          <w:tcPr>
            <w:tcW w:w="3669" w:type="dxa"/>
            <w:tcBorders>
              <w:top w:val="single" w:color="000000" w:sz="4" w:space="0"/>
              <w:left w:val="nil"/>
              <w:bottom w:val="single" w:color="000000" w:sz="4" w:space="0"/>
              <w:right w:val="single" w:color="000000" w:sz="4" w:space="0"/>
            </w:tcBorders>
            <w:shd w:val="clear" w:color="auto" w:fill="auto"/>
            <w:noWrap/>
            <w:vAlign w:val="center"/>
          </w:tcPr>
          <w:p w14:paraId="0669368D">
            <w:pPr>
              <w:jc w:val="center"/>
              <w:rPr>
                <w:rFonts w:ascii="宋体" w:hAnsi="宋体" w:cs="宋体"/>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吨垃圾清运车</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148B">
            <w:pPr>
              <w:jc w:val="center"/>
              <w:rPr>
                <w:rFonts w:ascii="宋体" w:hAnsi="宋体" w:cs="宋体"/>
                <w:color w:val="auto"/>
                <w:sz w:val="22"/>
                <w:szCs w:val="22"/>
                <w:highlight w:val="none"/>
              </w:rPr>
            </w:pPr>
            <w:r>
              <w:rPr>
                <w:rFonts w:hint="eastAsia"/>
                <w:color w:val="auto"/>
                <w:sz w:val="22"/>
                <w:szCs w:val="22"/>
                <w:highlight w:val="none"/>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04F">
            <w:pPr>
              <w:jc w:val="center"/>
              <w:textAlignment w:val="baseline"/>
              <w:rPr>
                <w:rFonts w:ascii="仿宋" w:hAnsi="仿宋" w:eastAsia="仿宋" w:cs="仿宋"/>
                <w:color w:val="auto"/>
                <w:szCs w:val="21"/>
                <w:highlight w:val="none"/>
              </w:rPr>
            </w:pPr>
          </w:p>
        </w:tc>
      </w:tr>
      <w:tr w14:paraId="4A4DD9BB">
        <w:tblPrEx>
          <w:tblCellMar>
            <w:top w:w="0" w:type="dxa"/>
            <w:left w:w="108" w:type="dxa"/>
            <w:bottom w:w="0" w:type="dxa"/>
            <w:right w:w="108" w:type="dxa"/>
          </w:tblCellMar>
        </w:tblPrEx>
        <w:trPr>
          <w:trHeight w:val="438"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EEE">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4564" w:type="dxa"/>
            <w:vMerge w:val="continue"/>
            <w:tcBorders>
              <w:left w:val="single" w:color="000000" w:sz="4" w:space="0"/>
              <w:right w:val="single" w:color="000000" w:sz="4" w:space="0"/>
            </w:tcBorders>
            <w:shd w:val="clear" w:color="auto" w:fill="auto"/>
            <w:vAlign w:val="center"/>
          </w:tcPr>
          <w:p w14:paraId="4220DFA4">
            <w:pPr>
              <w:jc w:val="center"/>
              <w:textAlignment w:val="baseline"/>
              <w:rPr>
                <w:rFonts w:ascii="仿宋" w:hAnsi="仿宋" w:eastAsia="仿宋" w:cs="仿宋"/>
                <w:color w:val="auto"/>
                <w:szCs w:val="21"/>
                <w:highlight w:val="none"/>
              </w:rPr>
            </w:pPr>
          </w:p>
        </w:tc>
        <w:tc>
          <w:tcPr>
            <w:tcW w:w="3669" w:type="dxa"/>
            <w:tcBorders>
              <w:top w:val="single" w:color="000000" w:sz="4" w:space="0"/>
              <w:left w:val="nil"/>
              <w:bottom w:val="nil"/>
              <w:right w:val="single" w:color="000000" w:sz="4" w:space="0"/>
            </w:tcBorders>
            <w:shd w:val="clear" w:color="auto" w:fill="auto"/>
            <w:vAlign w:val="center"/>
          </w:tcPr>
          <w:p w14:paraId="4A561FBA">
            <w:pPr>
              <w:jc w:val="center"/>
              <w:rPr>
                <w:rFonts w:ascii="宋体" w:hAnsi="宋体" w:cs="宋体"/>
                <w:color w:val="auto"/>
                <w:sz w:val="22"/>
                <w:szCs w:val="22"/>
                <w:highlight w:val="none"/>
              </w:rPr>
            </w:pPr>
            <w:r>
              <w:rPr>
                <w:rFonts w:hint="eastAsia"/>
                <w:color w:val="auto"/>
                <w:sz w:val="22"/>
                <w:szCs w:val="22"/>
                <w:highlight w:val="none"/>
              </w:rPr>
              <w:t>三吨垃圾清运车</w:t>
            </w:r>
          </w:p>
        </w:tc>
        <w:tc>
          <w:tcPr>
            <w:tcW w:w="2304" w:type="dxa"/>
            <w:tcBorders>
              <w:top w:val="single" w:color="000000" w:sz="4" w:space="0"/>
              <w:left w:val="single" w:color="000000" w:sz="4" w:space="0"/>
              <w:bottom w:val="nil"/>
              <w:right w:val="single" w:color="000000" w:sz="4" w:space="0"/>
            </w:tcBorders>
            <w:shd w:val="clear" w:color="auto" w:fill="auto"/>
            <w:vAlign w:val="center"/>
          </w:tcPr>
          <w:p w14:paraId="6E6E56B3">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D35">
            <w:pPr>
              <w:widowControl/>
              <w:jc w:val="center"/>
              <w:textAlignment w:val="center"/>
              <w:rPr>
                <w:rFonts w:ascii="仿宋" w:hAnsi="仿宋" w:eastAsia="仿宋" w:cs="仿宋"/>
                <w:color w:val="auto"/>
                <w:szCs w:val="21"/>
                <w:highlight w:val="none"/>
              </w:rPr>
            </w:pPr>
          </w:p>
        </w:tc>
      </w:tr>
      <w:tr w14:paraId="718B853C">
        <w:tblPrEx>
          <w:tblCellMar>
            <w:top w:w="0" w:type="dxa"/>
            <w:left w:w="108" w:type="dxa"/>
            <w:bottom w:w="0" w:type="dxa"/>
            <w:right w:w="108" w:type="dxa"/>
          </w:tblCellMar>
        </w:tblPrEx>
        <w:trPr>
          <w:trHeight w:val="438"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EA8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w:t>
            </w:r>
          </w:p>
        </w:tc>
        <w:tc>
          <w:tcPr>
            <w:tcW w:w="4564" w:type="dxa"/>
            <w:vMerge w:val="continue"/>
            <w:tcBorders>
              <w:left w:val="single" w:color="000000" w:sz="4" w:space="0"/>
              <w:right w:val="single" w:color="000000" w:sz="4" w:space="0"/>
            </w:tcBorders>
            <w:shd w:val="clear" w:color="auto" w:fill="auto"/>
            <w:vAlign w:val="center"/>
          </w:tcPr>
          <w:p w14:paraId="1A6090A8">
            <w:pPr>
              <w:widowControl/>
              <w:jc w:val="center"/>
              <w:textAlignment w:val="center"/>
              <w:rPr>
                <w:rFonts w:ascii="仿宋" w:hAnsi="仿宋" w:eastAsia="仿宋" w:cs="仿宋"/>
                <w:color w:val="auto"/>
                <w:szCs w:val="21"/>
                <w:highlight w:val="none"/>
              </w:rPr>
            </w:pPr>
          </w:p>
        </w:tc>
        <w:tc>
          <w:tcPr>
            <w:tcW w:w="3669" w:type="dxa"/>
            <w:tcBorders>
              <w:top w:val="single" w:color="000000" w:sz="4" w:space="0"/>
              <w:left w:val="nil"/>
              <w:bottom w:val="single" w:color="000000" w:sz="4" w:space="0"/>
              <w:right w:val="single" w:color="000000" w:sz="4" w:space="0"/>
            </w:tcBorders>
            <w:shd w:val="clear" w:color="auto" w:fill="auto"/>
            <w:vAlign w:val="center"/>
          </w:tcPr>
          <w:p w14:paraId="3BD75E41">
            <w:pPr>
              <w:jc w:val="center"/>
              <w:rPr>
                <w:rFonts w:ascii="宋体" w:hAnsi="宋体" w:cs="宋体"/>
                <w:color w:val="auto"/>
                <w:sz w:val="22"/>
                <w:szCs w:val="22"/>
                <w:highlight w:val="none"/>
              </w:rPr>
            </w:pPr>
            <w:r>
              <w:rPr>
                <w:rFonts w:hint="eastAsia"/>
                <w:color w:val="auto"/>
                <w:sz w:val="22"/>
                <w:szCs w:val="22"/>
                <w:highlight w:val="none"/>
              </w:rPr>
              <w:t>洗扫车</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742">
            <w:pPr>
              <w:jc w:val="center"/>
              <w:rPr>
                <w:rFonts w:ascii="宋体" w:hAnsi="宋体" w:cs="宋体"/>
                <w:color w:val="auto"/>
                <w:sz w:val="22"/>
                <w:szCs w:val="22"/>
                <w:highlight w:val="none"/>
              </w:rPr>
            </w:pPr>
            <w:r>
              <w:rPr>
                <w:rFonts w:hint="eastAsia"/>
                <w:color w:val="auto"/>
                <w:sz w:val="22"/>
                <w:szCs w:val="22"/>
                <w:highlight w:val="none"/>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894B">
            <w:pPr>
              <w:jc w:val="center"/>
              <w:textAlignment w:val="baseline"/>
              <w:rPr>
                <w:rFonts w:ascii="仿宋" w:hAnsi="仿宋" w:eastAsia="仿宋" w:cs="仿宋"/>
                <w:color w:val="auto"/>
                <w:szCs w:val="21"/>
                <w:highlight w:val="none"/>
              </w:rPr>
            </w:pPr>
          </w:p>
        </w:tc>
      </w:tr>
      <w:tr w14:paraId="1C3EEF39">
        <w:tblPrEx>
          <w:tblCellMar>
            <w:top w:w="0" w:type="dxa"/>
            <w:left w:w="108" w:type="dxa"/>
            <w:bottom w:w="0" w:type="dxa"/>
            <w:right w:w="108" w:type="dxa"/>
          </w:tblCellMar>
        </w:tblPrEx>
        <w:trPr>
          <w:trHeight w:val="438" w:hRule="exact"/>
        </w:trPr>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25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6</w:t>
            </w:r>
          </w:p>
        </w:tc>
        <w:tc>
          <w:tcPr>
            <w:tcW w:w="4564" w:type="dxa"/>
            <w:vMerge w:val="continue"/>
            <w:tcBorders>
              <w:left w:val="single" w:color="000000" w:sz="4" w:space="0"/>
              <w:right w:val="single" w:color="000000" w:sz="4" w:space="0"/>
            </w:tcBorders>
            <w:shd w:val="clear" w:color="auto" w:fill="auto"/>
            <w:vAlign w:val="center"/>
          </w:tcPr>
          <w:p w14:paraId="7F3E0B21">
            <w:pPr>
              <w:jc w:val="center"/>
              <w:textAlignment w:val="baseline"/>
              <w:rPr>
                <w:rFonts w:ascii="仿宋" w:hAnsi="仿宋" w:eastAsia="仿宋" w:cs="仿宋"/>
                <w:color w:val="auto"/>
                <w:szCs w:val="21"/>
                <w:highlight w:val="none"/>
              </w:rPr>
            </w:pPr>
          </w:p>
        </w:tc>
        <w:tc>
          <w:tcPr>
            <w:tcW w:w="3669" w:type="dxa"/>
            <w:tcBorders>
              <w:top w:val="single" w:color="000000" w:sz="4" w:space="0"/>
              <w:left w:val="nil"/>
              <w:bottom w:val="single" w:color="000000" w:sz="4" w:space="0"/>
              <w:right w:val="single" w:color="000000" w:sz="4" w:space="0"/>
            </w:tcBorders>
            <w:shd w:val="clear" w:color="auto" w:fill="auto"/>
            <w:vAlign w:val="center"/>
          </w:tcPr>
          <w:p w14:paraId="66057C70">
            <w:pPr>
              <w:jc w:val="center"/>
              <w:rPr>
                <w:rFonts w:ascii="宋体" w:hAnsi="宋体" w:cs="宋体"/>
                <w:color w:val="auto"/>
                <w:sz w:val="22"/>
                <w:szCs w:val="22"/>
                <w:highlight w:val="none"/>
              </w:rPr>
            </w:pPr>
            <w:r>
              <w:rPr>
                <w:rFonts w:hint="eastAsia"/>
                <w:color w:val="auto"/>
                <w:sz w:val="22"/>
                <w:szCs w:val="22"/>
                <w:highlight w:val="none"/>
              </w:rPr>
              <w:t>清扫车</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4FFA">
            <w:pPr>
              <w:jc w:val="center"/>
              <w:rPr>
                <w:rFonts w:ascii="宋体" w:hAnsi="宋体" w:cs="宋体"/>
                <w:color w:val="auto"/>
                <w:sz w:val="22"/>
                <w:szCs w:val="22"/>
                <w:highlight w:val="none"/>
              </w:rPr>
            </w:pPr>
            <w:r>
              <w:rPr>
                <w:rFonts w:hint="eastAsia"/>
                <w:color w:val="auto"/>
                <w:sz w:val="22"/>
                <w:szCs w:val="22"/>
                <w:highlight w:val="none"/>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4DB">
            <w:pPr>
              <w:jc w:val="center"/>
              <w:textAlignment w:val="baseline"/>
              <w:rPr>
                <w:rFonts w:ascii="仿宋" w:hAnsi="仿宋" w:eastAsia="仿宋" w:cs="仿宋"/>
                <w:color w:val="auto"/>
                <w:szCs w:val="21"/>
                <w:highlight w:val="none"/>
              </w:rPr>
            </w:pPr>
          </w:p>
        </w:tc>
      </w:tr>
      <w:tr w14:paraId="010AA3DB">
        <w:tblPrEx>
          <w:tblCellMar>
            <w:top w:w="0" w:type="dxa"/>
            <w:left w:w="108" w:type="dxa"/>
            <w:bottom w:w="0" w:type="dxa"/>
            <w:right w:w="108" w:type="dxa"/>
          </w:tblCellMar>
        </w:tblPrEx>
        <w:trPr>
          <w:trHeight w:val="458" w:hRule="exact"/>
        </w:trPr>
        <w:tc>
          <w:tcPr>
            <w:tcW w:w="95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2A612">
            <w:pPr>
              <w:jc w:val="center"/>
              <w:rPr>
                <w:color w:val="auto"/>
                <w:sz w:val="22"/>
                <w:szCs w:val="22"/>
                <w:highlight w:val="none"/>
              </w:rPr>
            </w:pPr>
            <w:r>
              <w:rPr>
                <w:rFonts w:hint="eastAsia"/>
                <w:color w:val="auto"/>
                <w:sz w:val="22"/>
                <w:szCs w:val="22"/>
                <w:highlight w:val="none"/>
              </w:rPr>
              <w:t>合计</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D65">
            <w:pPr>
              <w:jc w:val="center"/>
              <w:rPr>
                <w:rFonts w:hint="eastAsia" w:eastAsia="宋体"/>
                <w:color w:val="auto"/>
                <w:sz w:val="22"/>
                <w:szCs w:val="22"/>
                <w:highlight w:val="none"/>
                <w:lang w:val="en-US" w:eastAsia="zh-CN"/>
              </w:rPr>
            </w:pPr>
            <w:r>
              <w:rPr>
                <w:rFonts w:hint="eastAsia"/>
                <w:color w:val="auto"/>
                <w:sz w:val="22"/>
                <w:szCs w:val="22"/>
                <w:highlight w:val="none"/>
              </w:rPr>
              <w:t>3</w:t>
            </w:r>
            <w:r>
              <w:rPr>
                <w:rFonts w:hint="eastAsia"/>
                <w:color w:val="auto"/>
                <w:sz w:val="22"/>
                <w:szCs w:val="22"/>
                <w:highlight w:val="none"/>
                <w:lang w:val="en-US" w:eastAsia="zh-CN"/>
              </w:rPr>
              <w:t>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EC00">
            <w:pPr>
              <w:jc w:val="center"/>
              <w:textAlignment w:val="baseline"/>
              <w:rPr>
                <w:rFonts w:ascii="仿宋" w:hAnsi="仿宋" w:eastAsia="仿宋" w:cs="仿宋"/>
                <w:color w:val="auto"/>
                <w:szCs w:val="21"/>
                <w:highlight w:val="none"/>
              </w:rPr>
            </w:pPr>
          </w:p>
        </w:tc>
      </w:tr>
    </w:tbl>
    <w:p w14:paraId="37AF37B3">
      <w:pPr>
        <w:pStyle w:val="12"/>
        <w:rPr>
          <w:rFonts w:ascii="仿宋" w:hAnsi="仿宋" w:eastAsia="仿宋" w:cs="仿宋"/>
          <w:b/>
          <w:bCs/>
          <w:color w:val="auto"/>
          <w:highlight w:val="none"/>
        </w:rPr>
      </w:pPr>
    </w:p>
    <w:p w14:paraId="24490AFA">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以上人员、车辆以及设施配置为估算值，供应商根据项目标段实际情况投入，但不得低于以上数量要求，以满足该项目的实际需求。</w:t>
      </w:r>
      <w:r>
        <w:rPr>
          <w:rFonts w:hint="eastAsia" w:ascii="仿宋" w:hAnsi="仿宋" w:eastAsia="仿宋" w:cs="仿宋"/>
          <w:bCs/>
          <w:color w:val="auto"/>
          <w:sz w:val="24"/>
          <w:highlight w:val="none"/>
          <w:lang w:val="en-US" w:eastAsia="zh-CN"/>
        </w:rPr>
        <w:t>本次服务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包含意外保险、洒水车费用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全部费用已含在项目预算中。</w:t>
      </w:r>
    </w:p>
    <w:p w14:paraId="2249BF06">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投标人配备的作业车辆必须符合当地道路行驶标准。</w:t>
      </w:r>
    </w:p>
    <w:p w14:paraId="214420A1">
      <w:pPr>
        <w:widowControl/>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投标人必须配备符合国家规定的垃圾收运车辆，可根据作业环境不同采用电动三轮车、四轮挂桶式垃圾收运车或者勾臂式垃圾收运车。</w:t>
      </w:r>
    </w:p>
    <w:p w14:paraId="53E0431D">
      <w:pPr>
        <w:widowControl/>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针对本项目投标人必须配备从事环卫业务的保洁人员和专职管理人员，</w:t>
      </w:r>
      <w:r>
        <w:rPr>
          <w:rFonts w:hint="eastAsia" w:ascii="仿宋" w:hAnsi="仿宋" w:eastAsia="仿宋" w:cs="仿宋"/>
          <w:color w:val="auto"/>
          <w:sz w:val="24"/>
          <w:highlight w:val="none"/>
        </w:rPr>
        <w:t>必须配备足够的专业设备，人员设备投入不足的要按不足比例从应付款项中扣除相应的费用。</w:t>
      </w:r>
    </w:p>
    <w:p w14:paraId="02517CAC">
      <w:pPr>
        <w:pStyle w:val="19"/>
        <w:ind w:firstLine="480"/>
        <w:rPr>
          <w:color w:val="auto"/>
          <w:highlight w:val="none"/>
          <w:lang w:eastAsia="zh-CN"/>
        </w:rPr>
      </w:pPr>
    </w:p>
    <w:p w14:paraId="63AA9F9D">
      <w:pPr>
        <w:pStyle w:val="3"/>
        <w:spacing w:before="0" w:after="0" w:line="560" w:lineRule="exact"/>
        <w:ind w:firstLine="0" w:firstLineChars="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color w:val="auto"/>
          <w:sz w:val="24"/>
          <w:szCs w:val="24"/>
          <w:highlight w:val="none"/>
        </w:rPr>
        <w:t>、作业要求及标准：（同A分标）</w:t>
      </w:r>
    </w:p>
    <w:p w14:paraId="2401CDCF">
      <w:pPr>
        <w:spacing w:line="44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六</w:t>
      </w:r>
      <w:r>
        <w:rPr>
          <w:rFonts w:hint="eastAsia" w:ascii="仿宋" w:hAnsi="仿宋" w:eastAsia="仿宋" w:cs="仿宋"/>
          <w:bCs/>
          <w:color w:val="auto"/>
          <w:sz w:val="24"/>
          <w:highlight w:val="none"/>
        </w:rPr>
        <w:t>、其他要求：</w:t>
      </w:r>
      <w:r>
        <w:rPr>
          <w:rFonts w:hint="eastAsia" w:ascii="仿宋" w:hAnsi="仿宋" w:eastAsia="仿宋" w:cs="仿宋"/>
          <w:color w:val="auto"/>
          <w:sz w:val="24"/>
          <w:highlight w:val="none"/>
        </w:rPr>
        <w:t>（同A分标）</w:t>
      </w:r>
    </w:p>
    <w:p w14:paraId="32F0BC66">
      <w:pPr>
        <w:pStyle w:val="12"/>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、付款方式：（同A分标）</w:t>
      </w:r>
    </w:p>
    <w:p w14:paraId="19877F6F">
      <w:pPr>
        <w:pageBreakBefore/>
        <w:numPr>
          <w:ilvl w:val="0"/>
          <w:numId w:val="8"/>
        </w:numPr>
        <w:spacing w:line="360" w:lineRule="exact"/>
        <w:jc w:val="center"/>
        <w:rPr>
          <w:rFonts w:ascii="仿宋" w:hAnsi="仿宋" w:eastAsia="仿宋" w:cs="仿宋"/>
          <w:b/>
          <w:color w:val="auto"/>
          <w:sz w:val="32"/>
          <w:szCs w:val="32"/>
          <w:highlight w:val="none"/>
        </w:rPr>
        <w:sectPr>
          <w:pgSz w:w="16838" w:h="11906" w:orient="landscape"/>
          <w:pgMar w:top="1247" w:right="1247" w:bottom="1247" w:left="1559" w:header="851" w:footer="992" w:gutter="0"/>
          <w:pgNumType w:fmt="decimal"/>
          <w:cols w:space="0" w:num="1"/>
          <w:titlePg/>
          <w:rtlGutter w:val="0"/>
          <w:docGrid w:linePitch="312" w:charSpace="0"/>
        </w:sectPr>
      </w:pPr>
    </w:p>
    <w:p w14:paraId="31538836">
      <w:pPr>
        <w:pageBreakBefore/>
        <w:numPr>
          <w:ilvl w:val="0"/>
          <w:numId w:val="8"/>
        </w:numPr>
        <w:spacing w:line="36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评标办法</w:t>
      </w:r>
    </w:p>
    <w:p w14:paraId="1C0D8C48">
      <w:pPr>
        <w:pStyle w:val="35"/>
        <w:rPr>
          <w:rFonts w:ascii="仿宋" w:hAnsi="仿宋" w:eastAsia="仿宋" w:cs="仿宋"/>
          <w:color w:val="auto"/>
          <w:highlight w:val="none"/>
        </w:rPr>
      </w:pPr>
    </w:p>
    <w:p w14:paraId="219EF8DB">
      <w:pPr>
        <w:pStyle w:val="35"/>
        <w:spacing w:line="360" w:lineRule="auto"/>
        <w:rPr>
          <w:rFonts w:ascii="仿宋" w:hAnsi="仿宋" w:eastAsia="仿宋" w:cs="仿宋"/>
          <w:color w:val="auto"/>
          <w:highlight w:val="none"/>
        </w:rPr>
      </w:pPr>
      <w:r>
        <w:rPr>
          <w:rFonts w:hint="eastAsia" w:ascii="仿宋" w:hAnsi="仿宋" w:eastAsia="仿宋" w:cs="仿宋"/>
          <w:color w:val="auto"/>
          <w:highlight w:val="none"/>
        </w:rPr>
        <w:t>本评分办法适用于A、B分标。</w:t>
      </w:r>
    </w:p>
    <w:p w14:paraId="46AF82E9">
      <w:pPr>
        <w:pStyle w:val="12"/>
        <w:spacing w:line="360" w:lineRule="auto"/>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一、评标依据及方式</w:t>
      </w:r>
    </w:p>
    <w:p w14:paraId="573688C7">
      <w:pPr>
        <w:pStyle w:val="1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评标依据：评标委员会以招标文件和投标文件为评标依据，对投标人的投标报价、项目实施服务方案、企业履约能力及实力、业绩等内容进行百分制打分。</w:t>
      </w:r>
    </w:p>
    <w:p w14:paraId="1D342F60">
      <w:pPr>
        <w:pStyle w:val="12"/>
        <w:spacing w:line="360" w:lineRule="auto"/>
        <w:ind w:left="210" w:leftChars="100"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评标方式：以封闭方式进行评标。</w:t>
      </w:r>
    </w:p>
    <w:p w14:paraId="19620A37">
      <w:pPr>
        <w:pStyle w:val="12"/>
        <w:spacing w:line="360" w:lineRule="auto"/>
        <w:ind w:left="210" w:leftChars="100"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采购人和采购代理机构、评标委员会成员要严格遵守政府采购相关法律制度，依法履行各自职责，公正、客观、审慎地组织和参与评审工作。</w:t>
      </w:r>
    </w:p>
    <w:p w14:paraId="5DC986C5">
      <w:pPr>
        <w:pStyle w:val="12"/>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二、评标办法</w:t>
      </w:r>
    </w:p>
    <w:tbl>
      <w:tblPr>
        <w:tblStyle w:val="20"/>
        <w:tblW w:w="8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1270"/>
        <w:gridCol w:w="1176"/>
        <w:gridCol w:w="4856"/>
      </w:tblGrid>
      <w:tr w14:paraId="0D110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183" w:type="dxa"/>
            <w:vAlign w:val="center"/>
          </w:tcPr>
          <w:p w14:paraId="41901390">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270" w:type="dxa"/>
            <w:vAlign w:val="center"/>
          </w:tcPr>
          <w:p w14:paraId="3CE92C29">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评标项目</w:t>
            </w:r>
          </w:p>
        </w:tc>
        <w:tc>
          <w:tcPr>
            <w:tcW w:w="1176" w:type="dxa"/>
            <w:vAlign w:val="center"/>
          </w:tcPr>
          <w:p w14:paraId="68ECCAA9">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评标分值</w:t>
            </w:r>
          </w:p>
        </w:tc>
        <w:tc>
          <w:tcPr>
            <w:tcW w:w="4856" w:type="dxa"/>
            <w:vAlign w:val="center"/>
          </w:tcPr>
          <w:p w14:paraId="5983B411">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评标方法描述</w:t>
            </w:r>
          </w:p>
        </w:tc>
      </w:tr>
      <w:tr w14:paraId="5EA6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85" w:type="dxa"/>
            <w:gridSpan w:val="4"/>
            <w:vAlign w:val="center"/>
          </w:tcPr>
          <w:p w14:paraId="738013CF">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（一）、价格分（满分10分）</w:t>
            </w:r>
          </w:p>
        </w:tc>
      </w:tr>
      <w:tr w14:paraId="53A1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14:paraId="21315E1B">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270" w:type="dxa"/>
            <w:vAlign w:val="center"/>
          </w:tcPr>
          <w:p w14:paraId="7D040D6D">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报价评审</w:t>
            </w:r>
          </w:p>
        </w:tc>
        <w:tc>
          <w:tcPr>
            <w:tcW w:w="1176" w:type="dxa"/>
            <w:vAlign w:val="center"/>
          </w:tcPr>
          <w:p w14:paraId="6A796C7A">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c>
          <w:tcPr>
            <w:tcW w:w="4856" w:type="dxa"/>
            <w:vAlign w:val="center"/>
          </w:tcPr>
          <w:p w14:paraId="0112E19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本项目专门面向中小企业采购，价格不再进行</w:t>
            </w:r>
            <w:r>
              <w:rPr>
                <w:rFonts w:hint="eastAsia" w:ascii="仿宋" w:hAnsi="仿宋" w:eastAsia="仿宋" w:cs="仿宋"/>
                <w:color w:val="auto"/>
                <w:sz w:val="24"/>
                <w:szCs w:val="24"/>
                <w:highlight w:val="none"/>
              </w:rPr>
              <w:t>政策性扣除</w:t>
            </w:r>
          </w:p>
          <w:p w14:paraId="57059D95">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评审价＝最后报价。</w:t>
            </w:r>
          </w:p>
          <w:p w14:paraId="066775A1">
            <w:pPr>
              <w:pStyle w:val="12"/>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3.以进入比较与评价环节的最低的评审价为基准价，基准价得分为10分。</w:t>
            </w:r>
          </w:p>
          <w:p w14:paraId="366A6965">
            <w:pPr>
              <w:pStyle w:val="12"/>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4.价格分计算公式：</w:t>
            </w:r>
          </w:p>
          <w:p w14:paraId="62529CF1">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报价得分=（基准价/评审价）×10分</w:t>
            </w:r>
          </w:p>
          <w:p w14:paraId="4D72B4BC">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（供应商为中小</w:t>
            </w:r>
            <w:r>
              <w:rPr>
                <w:rFonts w:hint="eastAsia" w:ascii="仿宋" w:hAnsi="仿宋" w:eastAsia="仿宋" w:cs="仿宋"/>
                <w:color w:val="auto"/>
                <w:sz w:val="24"/>
                <w:szCs w:val="24"/>
                <w:highlight w:val="none"/>
                <w:lang w:val="en-US" w:eastAsia="zh-CN"/>
              </w:rPr>
              <w:t>型</w:t>
            </w:r>
            <w:r>
              <w:rPr>
                <w:rFonts w:hint="eastAsia" w:ascii="仿宋" w:hAnsi="仿宋" w:eastAsia="仿宋" w:cs="仿宋"/>
                <w:color w:val="auto"/>
                <w:sz w:val="24"/>
                <w:szCs w:val="24"/>
                <w:highlight w:val="none"/>
              </w:rPr>
              <w:t>企业或监狱企业或残疾人福利企业 ）</w:t>
            </w:r>
          </w:p>
        </w:tc>
      </w:tr>
      <w:tr w14:paraId="7A71A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85" w:type="dxa"/>
            <w:gridSpan w:val="4"/>
            <w:vAlign w:val="center"/>
          </w:tcPr>
          <w:p w14:paraId="3AE78B16">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（二）、技术分（满分76分）</w:t>
            </w:r>
          </w:p>
        </w:tc>
      </w:tr>
      <w:tr w14:paraId="343A5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14:paraId="261AC17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270" w:type="dxa"/>
            <w:vAlign w:val="center"/>
          </w:tcPr>
          <w:p w14:paraId="457428DB">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服务方案分</w:t>
            </w:r>
          </w:p>
        </w:tc>
        <w:tc>
          <w:tcPr>
            <w:tcW w:w="1176" w:type="dxa"/>
            <w:vAlign w:val="center"/>
          </w:tcPr>
          <w:p w14:paraId="454BBD27">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12分</w:t>
            </w:r>
          </w:p>
        </w:tc>
        <w:tc>
          <w:tcPr>
            <w:tcW w:w="4856" w:type="dxa"/>
            <w:vAlign w:val="center"/>
          </w:tcPr>
          <w:p w14:paraId="513A4389">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供应商提供的实施工作组织、质量保证措施、管理服务方针、目标、服务内容不全，或编制的实施工作组织、质量保证措施及供应商在服务过程中配合项目实施所提供的管理服务方针、目标、服务内容、响应时间等方面的内容简单，可实施性差；</w:t>
            </w:r>
          </w:p>
          <w:p w14:paraId="5B4B3EF3">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二档(4分)：供应商编制的实施工作组织、质量保证措施及供应商在服务过程中配合工程实施所提供的管理服务方针、目标、服务内容、响应时间等方面的较合理、具有一定的可实施性、能指导实际工作；</w:t>
            </w:r>
          </w:p>
          <w:p w14:paraId="200975D0">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(8分)：供应商编制的实施工作组织、质量保证措施及供应商在服务过程中配合工程实施所提供的服务内容、管理服务方针、目标、服务内容、响应时间等方面的合理可行性较高、操作可实施性强、能很好的指导实际工作；</w:t>
            </w:r>
          </w:p>
          <w:p w14:paraId="5D98E5FA">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(12分)：供应商编制的实施工作组织、质量保证措施及供应商在服务过程中配合工程实施所提供的管理服务方针、目标、服务内容、响应时间等方面的有特点合理可行高、操作可实施性强、能很好的指导实际工作，提供本地化服务，能提供完整、详细的后续服务方案。</w:t>
            </w:r>
          </w:p>
        </w:tc>
      </w:tr>
      <w:tr w14:paraId="1808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183" w:type="dxa"/>
            <w:vAlign w:val="center"/>
          </w:tcPr>
          <w:p w14:paraId="02EAFE60">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1270" w:type="dxa"/>
            <w:vAlign w:val="center"/>
          </w:tcPr>
          <w:p w14:paraId="44CD186F">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配置方案分</w:t>
            </w:r>
          </w:p>
        </w:tc>
        <w:tc>
          <w:tcPr>
            <w:tcW w:w="1176" w:type="dxa"/>
            <w:vAlign w:val="center"/>
          </w:tcPr>
          <w:p w14:paraId="6E9B5790">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12分</w:t>
            </w:r>
          </w:p>
        </w:tc>
        <w:tc>
          <w:tcPr>
            <w:tcW w:w="4856" w:type="dxa"/>
            <w:vAlign w:val="center"/>
          </w:tcPr>
          <w:p w14:paraId="4DFDF144">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分）：针对本项目设置的项目管理机构图、服务管理流程图，拟投入的人员数量及质量较差，针对上述人员制定有培训计划方案，拟机械、设备、工具保养和管理方案措施内容较差，可实施性较差；</w:t>
            </w:r>
          </w:p>
          <w:p w14:paraId="04DA1DC6">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针对本项目设置的项目管理机构图、服务管理流程图，拟投入的人员数量及质量满足管理、作业需要，针对上述人员制定的培训计划方案内容基本合理，有针对性，拟机械、设备、工具保养和管理方案措施内容基本合理，可实施性一般；</w:t>
            </w:r>
          </w:p>
          <w:p w14:paraId="766648A3">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8分）：针对本项目设置的项目管理机构图、服务管理流程图，拟投入的人员数量及质量满足管理、作业需要，针对上述人员制定的培训计划方案内容完整，拟机械、设备、工具保养和管理方案措施内容合理，有良好的可实施性；</w:t>
            </w:r>
          </w:p>
          <w:p w14:paraId="6B1571B3">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12分）：针对本项目设置的项目管理机构图、服务管理流程图，拟投入的人员数量及质量优于管理、作业需要，针对上述人员制定的培训计划方案内容完整、具体，针对性强，拟投入机械、设备、工具保养和管理方案措施内容完整、具体，可实施性强。</w:t>
            </w:r>
          </w:p>
        </w:tc>
      </w:tr>
      <w:tr w14:paraId="7C44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0" w:hRule="atLeast"/>
          <w:jc w:val="center"/>
        </w:trPr>
        <w:tc>
          <w:tcPr>
            <w:tcW w:w="1183" w:type="dxa"/>
            <w:vAlign w:val="center"/>
          </w:tcPr>
          <w:p w14:paraId="0557F261">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1270" w:type="dxa"/>
            <w:vAlign w:val="center"/>
          </w:tcPr>
          <w:p w14:paraId="456DE604">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制度建设分</w:t>
            </w:r>
          </w:p>
        </w:tc>
        <w:tc>
          <w:tcPr>
            <w:tcW w:w="1176" w:type="dxa"/>
            <w:vAlign w:val="center"/>
          </w:tcPr>
          <w:p w14:paraId="556DB891">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12分</w:t>
            </w:r>
          </w:p>
        </w:tc>
        <w:tc>
          <w:tcPr>
            <w:tcW w:w="4856" w:type="dxa"/>
            <w:vAlign w:val="center"/>
          </w:tcPr>
          <w:p w14:paraId="4FF8E31C">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分）投标人所提供的规章管理制度、档案管理制度以及企业内部监督考核制度等包含内容不完整，缺失内容较多，无针对本项目的企业内部监督考核制度或制度不符合项目实际需求；</w:t>
            </w:r>
          </w:p>
          <w:p w14:paraId="30EAFBDA">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二档（4分）投标人所提供的规章管理制度、档案管理制度以及企业内部监督考核制度等包含内容一般，有针对本项目的企业内部监督考核制度，但制度针对性不强，可操作性一般；</w:t>
            </w:r>
          </w:p>
          <w:p w14:paraId="4BCCDCEC">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8分）投标人所提供的规章管理制度、档案管理制度以及企业内部监督考核制度等包含内容较全面，有针对本项目的企业内部监督考核制度，制度针对性较强，可操作性较强，对本项目的实施有一定的规范及约束作用；</w:t>
            </w:r>
          </w:p>
          <w:p w14:paraId="354BB338">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12分）投标人所提供的规章管理制度、档案管理制度以及企业内部监督考核制度等包含内容完整、全面、详细、可行，有针对本项目的企业内部监督考核制度，制度针对性强，可操作性强，对本项目的实施有很强的规范及约束作用，能给采购人提出自己的可行的项目监督管理建议。</w:t>
            </w:r>
          </w:p>
        </w:tc>
      </w:tr>
      <w:tr w14:paraId="2EEA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jc w:val="center"/>
        </w:trPr>
        <w:tc>
          <w:tcPr>
            <w:tcW w:w="1183" w:type="dxa"/>
            <w:vAlign w:val="center"/>
          </w:tcPr>
          <w:p w14:paraId="11847AD8">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1270" w:type="dxa"/>
            <w:vAlign w:val="center"/>
          </w:tcPr>
          <w:p w14:paraId="54FFB388">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服务保障及应急方案分</w:t>
            </w:r>
          </w:p>
        </w:tc>
        <w:tc>
          <w:tcPr>
            <w:tcW w:w="1176" w:type="dxa"/>
            <w:vAlign w:val="center"/>
          </w:tcPr>
          <w:p w14:paraId="1BBB09A3">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16分</w:t>
            </w:r>
          </w:p>
        </w:tc>
        <w:tc>
          <w:tcPr>
            <w:tcW w:w="4856" w:type="dxa"/>
            <w:vAlign w:val="center"/>
          </w:tcPr>
          <w:p w14:paraId="4A9C245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分）：提供具有项目执行组织措施和保障措施以及提供消防应急方案、突击检查应急方案、疫情公共卫生防控方案和卫生保洁实施方案较差，不能确保服务工作的正常运转；</w:t>
            </w:r>
          </w:p>
          <w:p w14:paraId="40AE6E7A">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二档（6分）：提供的项目执行组织措施、保障等措施方案、消防应急方案、突击检查应急方案、疫情公共卫生防控方案和卫生保洁实施方案简单内容不够完整，可行性一般，有故障排除和应急方案；</w:t>
            </w:r>
          </w:p>
          <w:p w14:paraId="6D1A2B2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分）：在二档基础上，项目执行组织措施、保障等措施方案、消防应急方案、突击检查应急方案、疫情公共卫生防控方案和卫生保洁实施方案内容较详细，有针对服务工作提出的故障排除和应急方案，实施安全保证体系、安全事故控制、应急预案等内容较健全、得力和科学合理；</w:t>
            </w:r>
          </w:p>
          <w:p w14:paraId="37E3AB78">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16分）：在三档基础上，项目执行组织措施、保障措施方案、消防应急方案、突击检查应急方案、疫情公共卫生防控方案和卫生保洁实施方案等内容详细、切实可行，针对服务工作提出详细的故障排除和应急方案，实施安全保证体系健全、安全事故控制得力、应急预案科学合理符合实际需求。</w:t>
            </w:r>
          </w:p>
        </w:tc>
      </w:tr>
      <w:tr w14:paraId="59EE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14:paraId="1A7E9BE0">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270" w:type="dxa"/>
            <w:vAlign w:val="center"/>
          </w:tcPr>
          <w:p w14:paraId="3E028E53">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拟投入本项目的人员情况分</w:t>
            </w:r>
          </w:p>
        </w:tc>
        <w:tc>
          <w:tcPr>
            <w:tcW w:w="1176" w:type="dxa"/>
            <w:vAlign w:val="center"/>
          </w:tcPr>
          <w:p w14:paraId="346E4605">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12分</w:t>
            </w:r>
          </w:p>
        </w:tc>
        <w:tc>
          <w:tcPr>
            <w:tcW w:w="4856" w:type="dxa"/>
            <w:vAlign w:val="center"/>
          </w:tcPr>
          <w:p w14:paraId="62EAA7F4">
            <w:pPr>
              <w:spacing w:before="120" w:after="12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分）：拟投入本项目的人员未满足招标文件要求，不能提供基本的人员调配服务流程；</w:t>
            </w:r>
          </w:p>
          <w:p w14:paraId="665915FA">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二档(4分)：拟投入本项目的人员满足招标文件要求，技术人员经验比较丰富，能提供人员调配服务流程；</w:t>
            </w:r>
          </w:p>
          <w:p w14:paraId="3A3E5BE4">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三档(8分)：拟投入本项目的人员满足招标文件要求，技术人员经验丰富，能提供详细的人员调配服务流程，流程较合理；</w:t>
            </w:r>
          </w:p>
          <w:p w14:paraId="4E6A9D38">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四档(12分)：拟投入本项目的人员满足招标文件要求，技术人员经验丰富、人员储备充沛，能提供详细的人员调配服务流程，流程合理，人员配合紧密。</w:t>
            </w:r>
          </w:p>
        </w:tc>
      </w:tr>
      <w:tr w14:paraId="2A7F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1183" w:type="dxa"/>
            <w:vAlign w:val="center"/>
          </w:tcPr>
          <w:p w14:paraId="0B724C8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1270" w:type="dxa"/>
            <w:vAlign w:val="center"/>
          </w:tcPr>
          <w:p w14:paraId="387A6D6B">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拟投入本项目的设备情况分</w:t>
            </w:r>
          </w:p>
        </w:tc>
        <w:tc>
          <w:tcPr>
            <w:tcW w:w="1176" w:type="dxa"/>
            <w:vAlign w:val="center"/>
          </w:tcPr>
          <w:p w14:paraId="451455D0">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12分</w:t>
            </w:r>
          </w:p>
        </w:tc>
        <w:tc>
          <w:tcPr>
            <w:tcW w:w="4856" w:type="dxa"/>
            <w:vAlign w:val="center"/>
          </w:tcPr>
          <w:p w14:paraId="3F5A60A8">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分）：针对本项目情况投入设备情况不满足招标文件服务要求，工作计划安排不合理，设备配置少，不能够满足项目要求；</w:t>
            </w:r>
          </w:p>
          <w:p w14:paraId="28682749">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二档（4分）：针对本项目情况投入设备情况满足招标文件服务要求，工作计划安排较恰当，设备配置较合理；</w:t>
            </w:r>
          </w:p>
          <w:p w14:paraId="3E703E65">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三档（8分）：针对本项目情况投入设备情况满足招标文件服务要求，工作计划安排恰当，设备配置合理，内容较详细。</w:t>
            </w:r>
          </w:p>
          <w:p w14:paraId="536ADD8C">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四档（12分）：针对本项目情况投入设备情况满足招标文件服务要求，工作计划安排恰当，设备配置合理，内容详细且完整透彻的。</w:t>
            </w:r>
          </w:p>
        </w:tc>
      </w:tr>
      <w:tr w14:paraId="0D84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85" w:type="dxa"/>
            <w:gridSpan w:val="4"/>
            <w:vAlign w:val="center"/>
          </w:tcPr>
          <w:p w14:paraId="7E6E83BB">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（三）、企业信誉实力分（满分14分）</w:t>
            </w:r>
          </w:p>
        </w:tc>
      </w:tr>
      <w:tr w14:paraId="2D6F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jc w:val="center"/>
        </w:trPr>
        <w:tc>
          <w:tcPr>
            <w:tcW w:w="1183" w:type="dxa"/>
            <w:vAlign w:val="center"/>
          </w:tcPr>
          <w:p w14:paraId="35C50E89">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w:t>
            </w:r>
          </w:p>
        </w:tc>
        <w:tc>
          <w:tcPr>
            <w:tcW w:w="1270" w:type="dxa"/>
            <w:vAlign w:val="center"/>
          </w:tcPr>
          <w:p w14:paraId="1DE28656">
            <w:pPr>
              <w:spacing w:before="120" w:after="120" w:line="360" w:lineRule="auto"/>
              <w:ind w:firstLine="460" w:firstLineChars="192"/>
              <w:rPr>
                <w:rFonts w:ascii="仿宋" w:hAnsi="仿宋" w:eastAsia="仿宋" w:cs="仿宋"/>
                <w:color w:val="auto"/>
                <w:kern w:val="0"/>
                <w:sz w:val="24"/>
                <w:highlight w:val="none"/>
              </w:rPr>
            </w:pPr>
          </w:p>
          <w:p w14:paraId="7A46D30C">
            <w:pPr>
              <w:spacing w:before="120" w:after="120" w:line="360" w:lineRule="auto"/>
              <w:ind w:firstLine="460" w:firstLineChars="192"/>
              <w:rPr>
                <w:rFonts w:ascii="仿宋" w:hAnsi="仿宋" w:eastAsia="仿宋" w:cs="仿宋"/>
                <w:color w:val="auto"/>
                <w:kern w:val="0"/>
                <w:sz w:val="24"/>
                <w:highlight w:val="none"/>
              </w:rPr>
            </w:pPr>
          </w:p>
          <w:p w14:paraId="5306800B">
            <w:pPr>
              <w:spacing w:before="120" w:after="120" w:line="360" w:lineRule="auto"/>
              <w:ind w:firstLine="460" w:firstLineChars="192"/>
              <w:rPr>
                <w:rFonts w:ascii="仿宋" w:hAnsi="仿宋" w:eastAsia="仿宋" w:cs="仿宋"/>
                <w:color w:val="auto"/>
                <w:kern w:val="0"/>
                <w:sz w:val="24"/>
                <w:highlight w:val="none"/>
              </w:rPr>
            </w:pPr>
          </w:p>
          <w:p w14:paraId="777913A8">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企业综合实力得分</w:t>
            </w:r>
          </w:p>
        </w:tc>
        <w:tc>
          <w:tcPr>
            <w:tcW w:w="1176" w:type="dxa"/>
            <w:vAlign w:val="center"/>
          </w:tcPr>
          <w:p w14:paraId="43356361">
            <w:pPr>
              <w:spacing w:before="120" w:after="120" w:line="360" w:lineRule="auto"/>
              <w:ind w:firstLine="460" w:firstLineChars="192"/>
              <w:rPr>
                <w:rFonts w:ascii="仿宋" w:hAnsi="仿宋" w:eastAsia="仿宋" w:cs="仿宋"/>
                <w:color w:val="auto"/>
                <w:kern w:val="0"/>
                <w:sz w:val="24"/>
                <w:highlight w:val="none"/>
              </w:rPr>
            </w:pPr>
          </w:p>
          <w:p w14:paraId="263F1D1D">
            <w:pPr>
              <w:spacing w:before="120" w:after="120" w:line="360" w:lineRule="auto"/>
              <w:ind w:firstLine="460" w:firstLineChars="192"/>
              <w:rPr>
                <w:rFonts w:ascii="仿宋" w:hAnsi="仿宋" w:eastAsia="仿宋" w:cs="仿宋"/>
                <w:color w:val="auto"/>
                <w:kern w:val="0"/>
                <w:sz w:val="24"/>
                <w:highlight w:val="none"/>
              </w:rPr>
            </w:pPr>
          </w:p>
          <w:p w14:paraId="130B6A91">
            <w:pPr>
              <w:spacing w:before="120" w:after="120" w:line="360" w:lineRule="auto"/>
              <w:ind w:firstLine="460" w:firstLineChars="192"/>
              <w:rPr>
                <w:rFonts w:ascii="仿宋" w:hAnsi="仿宋" w:eastAsia="仿宋" w:cs="仿宋"/>
                <w:color w:val="auto"/>
                <w:kern w:val="0"/>
                <w:sz w:val="24"/>
                <w:highlight w:val="none"/>
              </w:rPr>
            </w:pPr>
          </w:p>
          <w:p w14:paraId="6A4D5B5C">
            <w:pPr>
              <w:spacing w:before="120" w:after="120" w:line="360" w:lineRule="auto"/>
              <w:ind w:firstLine="460" w:firstLineChars="192"/>
              <w:rPr>
                <w:rFonts w:ascii="仿宋" w:hAnsi="仿宋" w:eastAsia="仿宋" w:cs="仿宋"/>
                <w:color w:val="auto"/>
                <w:kern w:val="0"/>
                <w:sz w:val="24"/>
                <w:highlight w:val="none"/>
              </w:rPr>
            </w:pPr>
          </w:p>
          <w:p w14:paraId="4ABB9B7F">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8分</w:t>
            </w:r>
          </w:p>
        </w:tc>
        <w:tc>
          <w:tcPr>
            <w:tcW w:w="4856" w:type="dxa"/>
            <w:vAlign w:val="center"/>
          </w:tcPr>
          <w:p w14:paraId="1AF36CB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1）、投标人（含分公司）在提供环卫服务期间，所服务的市、区、县获得县级以上（含县级）与采购项目服务相关的（如清洁、保洁、卫生等）先进单位的每提供一个得2.5分，共5分。</w:t>
            </w:r>
          </w:p>
          <w:p w14:paraId="249202AB">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2）、投标人具备ISO9001质量管理体系认证证书、ISO14001环境管理体系认证证书及</w:t>
            </w:r>
            <w:r>
              <w:rPr>
                <w:rFonts w:hint="eastAsia" w:ascii="仿宋" w:hAnsi="仿宋" w:eastAsia="仿宋" w:cs="仿宋"/>
                <w:color w:val="auto"/>
                <w:kern w:val="0"/>
                <w:sz w:val="24"/>
                <w:highlight w:val="none"/>
                <w:lang w:val="en-US" w:eastAsia="zh-CN"/>
              </w:rPr>
              <w:t>I</w:t>
            </w:r>
            <w:r>
              <w:rPr>
                <w:rFonts w:hint="eastAsia" w:ascii="仿宋" w:hAnsi="仿宋" w:eastAsia="仿宋" w:cs="仿宋"/>
                <w:color w:val="auto"/>
                <w:kern w:val="0"/>
                <w:sz w:val="24"/>
                <w:highlight w:val="none"/>
              </w:rPr>
              <w:t>SO45001职业健康安全管理体系认证证书，且均在有效期内内的，每个得1分；共3分。</w:t>
            </w:r>
          </w:p>
          <w:p w14:paraId="7D487BCA">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注：投标文件中提供证书复印件(要求证书在有效期内)并加盖投标人单位公章，否则不计分）。</w:t>
            </w:r>
          </w:p>
        </w:tc>
      </w:tr>
      <w:tr w14:paraId="433F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14:paraId="00E210F1">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c>
          <w:tcPr>
            <w:tcW w:w="1270" w:type="dxa"/>
            <w:vAlign w:val="center"/>
          </w:tcPr>
          <w:p w14:paraId="6561577A">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类似业绩得分</w:t>
            </w:r>
          </w:p>
        </w:tc>
        <w:tc>
          <w:tcPr>
            <w:tcW w:w="1176" w:type="dxa"/>
            <w:vAlign w:val="center"/>
          </w:tcPr>
          <w:p w14:paraId="20E76357">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6分</w:t>
            </w:r>
          </w:p>
        </w:tc>
        <w:tc>
          <w:tcPr>
            <w:tcW w:w="4856" w:type="dxa"/>
            <w:vAlign w:val="center"/>
          </w:tcPr>
          <w:p w14:paraId="73003300">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供应商自20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年以来具有环卫服务的业绩（以有效的合同复印件和中标通知书复印件为准,每个项目得1.5分，满分6分。</w:t>
            </w:r>
          </w:p>
          <w:p w14:paraId="090FDC9D">
            <w:pPr>
              <w:spacing w:before="120" w:after="12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注：①类似业绩是指市政环卫、环境卫生清洁（保洁）类服务项目；</w:t>
            </w:r>
          </w:p>
          <w:p w14:paraId="39F754DB">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②须在投标文件中提供相应业绩的中标（成交）通知书及合同复印件并加盖投标人单位公章，否则不得分；</w:t>
            </w:r>
          </w:p>
          <w:p w14:paraId="4927E1FE">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③业绩中标（成交）通知书或合同须含有道路清扫保洁或环境卫生清洁或垃圾收集或转运作业等相关的服务类项目，否则不得分。</w:t>
            </w:r>
          </w:p>
        </w:tc>
      </w:tr>
      <w:tr w14:paraId="0FBA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85" w:type="dxa"/>
            <w:gridSpan w:val="4"/>
            <w:vAlign w:val="center"/>
          </w:tcPr>
          <w:p w14:paraId="54F53A3C">
            <w:pPr>
              <w:spacing w:line="360" w:lineRule="exact"/>
              <w:jc w:val="left"/>
              <w:rPr>
                <w:rFonts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总分=（一）+（二）+（三）</w:t>
            </w:r>
          </w:p>
        </w:tc>
      </w:tr>
    </w:tbl>
    <w:p w14:paraId="16C15728">
      <w:pPr>
        <w:rPr>
          <w:color w:val="auto"/>
          <w:sz w:val="28"/>
          <w:szCs w:val="28"/>
          <w:highlight w:val="none"/>
        </w:rPr>
      </w:pPr>
    </w:p>
    <w:p w14:paraId="10A355B4">
      <w:pPr>
        <w:rPr>
          <w:color w:val="auto"/>
          <w:highlight w:val="none"/>
        </w:rPr>
      </w:pPr>
    </w:p>
    <w:p w14:paraId="1AE8E762">
      <w:pPr>
        <w:spacing w:before="120" w:after="120" w:line="360" w:lineRule="auto"/>
        <w:ind w:firstLine="460" w:firstLineChars="19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采购人应当确定评标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重新进行政府采购活动。</w:t>
      </w:r>
    </w:p>
    <w:p w14:paraId="65914593">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四、评标委员会认为，某投标人的有效投标报价或者某些分项报价明显不合理或者低于成本，有可能影响服务质量和不能诚信履约的，应要求其在规定的期限内提供书面文件予以解释说明，并提交相关证明材料，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ascii="仿宋" w:hAnsi="仿宋" w:eastAsia="仿宋" w:cs="仿宋"/>
          <w:b/>
          <w:bCs/>
          <w:color w:val="auto"/>
          <w:kern w:val="0"/>
          <w:sz w:val="24"/>
          <w:highlight w:val="none"/>
        </w:rPr>
        <w:t>否则，评标委员会不推荐该投标人为中标候选人。</w:t>
      </w:r>
    </w:p>
    <w:p w14:paraId="5B04FF35">
      <w:pPr>
        <w:pStyle w:val="12"/>
        <w:pageBreakBefore/>
        <w:spacing w:line="400" w:lineRule="exac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环卫市场化承包合同（格式）</w:t>
      </w:r>
    </w:p>
    <w:p w14:paraId="39A46F43">
      <w:pPr>
        <w:spacing w:line="400" w:lineRule="exact"/>
        <w:rPr>
          <w:rFonts w:ascii="仿宋" w:hAnsi="仿宋" w:eastAsia="仿宋" w:cs="仿宋"/>
          <w:color w:val="auto"/>
          <w:highlight w:val="none"/>
        </w:rPr>
      </w:pPr>
    </w:p>
    <w:p w14:paraId="036A4057">
      <w:pPr>
        <w:spacing w:line="400" w:lineRule="exact"/>
        <w:rPr>
          <w:rFonts w:ascii="仿宋" w:hAnsi="仿宋" w:eastAsia="仿宋" w:cs="仿宋"/>
          <w:color w:val="auto"/>
          <w:highlight w:val="none"/>
        </w:rPr>
      </w:pPr>
    </w:p>
    <w:p w14:paraId="72E6CA19">
      <w:pPr>
        <w:spacing w:line="720" w:lineRule="auto"/>
        <w:rPr>
          <w:rFonts w:ascii="仿宋" w:hAnsi="仿宋" w:eastAsia="仿宋" w:cs="仿宋"/>
          <w:b/>
          <w:color w:val="auto"/>
          <w:spacing w:val="40"/>
          <w:sz w:val="52"/>
          <w:szCs w:val="44"/>
          <w:highlight w:val="none"/>
        </w:rPr>
      </w:pPr>
    </w:p>
    <w:p w14:paraId="45EE6851">
      <w:pPr>
        <w:spacing w:line="720" w:lineRule="auto"/>
        <w:jc w:val="center"/>
        <w:rPr>
          <w:rFonts w:ascii="仿宋" w:hAnsi="仿宋" w:eastAsia="仿宋" w:cs="仿宋"/>
          <w:b/>
          <w:color w:val="auto"/>
          <w:spacing w:val="40"/>
          <w:sz w:val="52"/>
          <w:szCs w:val="52"/>
          <w:highlight w:val="none"/>
        </w:rPr>
      </w:pPr>
      <w:r>
        <w:rPr>
          <w:rFonts w:hint="eastAsia" w:ascii="仿宋" w:hAnsi="仿宋" w:eastAsia="仿宋" w:cs="仿宋"/>
          <w:b/>
          <w:color w:val="auto"/>
          <w:spacing w:val="40"/>
          <w:sz w:val="52"/>
          <w:szCs w:val="52"/>
          <w:highlight w:val="none"/>
        </w:rPr>
        <w:t>龙州县环卫市场化服务项目</w:t>
      </w:r>
    </w:p>
    <w:p w14:paraId="0A604B42">
      <w:pPr>
        <w:spacing w:line="720" w:lineRule="auto"/>
        <w:jc w:val="center"/>
        <w:rPr>
          <w:rFonts w:ascii="仿宋" w:hAnsi="仿宋" w:eastAsia="仿宋" w:cs="仿宋"/>
          <w:color w:val="auto"/>
          <w:highlight w:val="none"/>
        </w:rPr>
      </w:pPr>
      <w:r>
        <w:rPr>
          <w:rFonts w:hint="eastAsia" w:ascii="仿宋" w:hAnsi="仿宋" w:eastAsia="仿宋" w:cs="仿宋"/>
          <w:b/>
          <w:color w:val="auto"/>
          <w:spacing w:val="40"/>
          <w:sz w:val="52"/>
          <w:szCs w:val="52"/>
          <w:highlight w:val="none"/>
        </w:rPr>
        <w:t>承包合同</w:t>
      </w:r>
    </w:p>
    <w:p w14:paraId="634B4422">
      <w:pPr>
        <w:spacing w:line="400" w:lineRule="exact"/>
        <w:rPr>
          <w:rFonts w:ascii="仿宋" w:hAnsi="仿宋" w:eastAsia="仿宋" w:cs="仿宋"/>
          <w:color w:val="auto"/>
          <w:highlight w:val="none"/>
        </w:rPr>
      </w:pPr>
    </w:p>
    <w:p w14:paraId="53A77A02">
      <w:pPr>
        <w:spacing w:line="400" w:lineRule="exact"/>
        <w:rPr>
          <w:rFonts w:ascii="仿宋" w:hAnsi="仿宋" w:eastAsia="仿宋" w:cs="仿宋"/>
          <w:color w:val="auto"/>
          <w:highlight w:val="none"/>
        </w:rPr>
      </w:pPr>
    </w:p>
    <w:p w14:paraId="4975339A">
      <w:pPr>
        <w:spacing w:line="400" w:lineRule="exact"/>
        <w:ind w:firstLine="1470" w:firstLineChars="700"/>
        <w:rPr>
          <w:rFonts w:ascii="仿宋" w:hAnsi="仿宋" w:eastAsia="仿宋" w:cs="仿宋"/>
          <w:color w:val="auto"/>
          <w:highlight w:val="none"/>
        </w:rPr>
      </w:pPr>
    </w:p>
    <w:p w14:paraId="10688EF0">
      <w:pPr>
        <w:spacing w:line="400" w:lineRule="exact"/>
        <w:ind w:firstLine="2100" w:firstLineChars="700"/>
        <w:rPr>
          <w:rFonts w:ascii="仿宋" w:hAnsi="仿宋" w:eastAsia="仿宋" w:cs="仿宋"/>
          <w:color w:val="auto"/>
          <w:sz w:val="30"/>
          <w:szCs w:val="30"/>
          <w:highlight w:val="none"/>
        </w:rPr>
      </w:pPr>
    </w:p>
    <w:p w14:paraId="4D9173ED">
      <w:pPr>
        <w:spacing w:line="400" w:lineRule="exact"/>
        <w:ind w:firstLine="2100" w:firstLineChars="700"/>
        <w:rPr>
          <w:rFonts w:ascii="仿宋" w:hAnsi="仿宋" w:eastAsia="仿宋" w:cs="仿宋"/>
          <w:color w:val="auto"/>
          <w:sz w:val="30"/>
          <w:szCs w:val="30"/>
          <w:highlight w:val="none"/>
        </w:rPr>
      </w:pPr>
    </w:p>
    <w:p w14:paraId="05C2F405">
      <w:pPr>
        <w:spacing w:line="400" w:lineRule="exact"/>
        <w:ind w:firstLine="2100" w:firstLineChars="7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标段名称：</w:t>
      </w:r>
    </w:p>
    <w:p w14:paraId="11B55B61">
      <w:pPr>
        <w:spacing w:line="400" w:lineRule="exact"/>
        <w:ind w:firstLine="1500" w:firstLineChars="5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龙州县环卫市场化服务项目A分标（   ）/</w:t>
      </w:r>
    </w:p>
    <w:p w14:paraId="40AACC94">
      <w:pPr>
        <w:spacing w:line="400" w:lineRule="exact"/>
        <w:ind w:firstLine="1500" w:firstLineChars="5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龙州县环卫市场化服务项目B分标（  ）</w:t>
      </w:r>
    </w:p>
    <w:p w14:paraId="53B37A89">
      <w:pPr>
        <w:spacing w:line="400" w:lineRule="exact"/>
        <w:rPr>
          <w:rFonts w:ascii="仿宋" w:hAnsi="仿宋" w:eastAsia="仿宋" w:cs="仿宋"/>
          <w:color w:val="auto"/>
          <w:sz w:val="30"/>
          <w:szCs w:val="30"/>
          <w:highlight w:val="none"/>
        </w:rPr>
      </w:pPr>
    </w:p>
    <w:p w14:paraId="2639A4F4">
      <w:pPr>
        <w:spacing w:line="400" w:lineRule="exact"/>
        <w:ind w:firstLine="2100" w:firstLineChars="7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06E31DAC">
      <w:pPr>
        <w:pStyle w:val="35"/>
        <w:jc w:val="center"/>
        <w:rPr>
          <w:rFonts w:ascii="仿宋" w:hAnsi="仿宋" w:eastAsia="仿宋" w:cs="仿宋"/>
          <w:color w:val="auto"/>
          <w:highlight w:val="none"/>
        </w:rPr>
      </w:pPr>
    </w:p>
    <w:p w14:paraId="36142D28">
      <w:pPr>
        <w:spacing w:line="400" w:lineRule="exact"/>
        <w:ind w:firstLine="2100" w:firstLineChars="700"/>
        <w:rPr>
          <w:rFonts w:ascii="仿宋" w:hAnsi="仿宋" w:eastAsia="仿宋" w:cs="仿宋"/>
          <w:color w:val="auto"/>
          <w:sz w:val="30"/>
          <w:szCs w:val="30"/>
          <w:highlight w:val="none"/>
        </w:rPr>
      </w:pPr>
    </w:p>
    <w:p w14:paraId="3DF426A4">
      <w:pPr>
        <w:pStyle w:val="35"/>
        <w:rPr>
          <w:rFonts w:ascii="仿宋" w:hAnsi="仿宋" w:eastAsia="仿宋" w:cs="仿宋"/>
          <w:color w:val="auto"/>
          <w:highlight w:val="none"/>
        </w:rPr>
      </w:pPr>
    </w:p>
    <w:p w14:paraId="1477AD71">
      <w:pPr>
        <w:pStyle w:val="35"/>
        <w:rPr>
          <w:rFonts w:ascii="仿宋" w:hAnsi="仿宋" w:eastAsia="仿宋" w:cs="仿宋"/>
          <w:color w:val="auto"/>
          <w:highlight w:val="none"/>
        </w:rPr>
      </w:pPr>
    </w:p>
    <w:p w14:paraId="6410101A">
      <w:pPr>
        <w:pStyle w:val="35"/>
        <w:rPr>
          <w:rFonts w:ascii="仿宋" w:hAnsi="仿宋" w:eastAsia="仿宋" w:cs="仿宋"/>
          <w:color w:val="auto"/>
          <w:highlight w:val="none"/>
        </w:rPr>
      </w:pPr>
    </w:p>
    <w:p w14:paraId="7984159B">
      <w:pPr>
        <w:pStyle w:val="35"/>
        <w:rPr>
          <w:rFonts w:ascii="仿宋" w:hAnsi="仿宋" w:eastAsia="仿宋" w:cs="仿宋"/>
          <w:color w:val="auto"/>
          <w:highlight w:val="none"/>
        </w:rPr>
      </w:pPr>
    </w:p>
    <w:p w14:paraId="20DF45E3">
      <w:pPr>
        <w:pStyle w:val="35"/>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二〇二</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年月</w:t>
      </w:r>
    </w:p>
    <w:p w14:paraId="15A9198B">
      <w:pPr>
        <w:tabs>
          <w:tab w:val="left" w:pos="5040"/>
        </w:tabs>
        <w:spacing w:line="400" w:lineRule="exact"/>
        <w:rPr>
          <w:rFonts w:ascii="仿宋" w:hAnsi="仿宋" w:eastAsia="仿宋" w:cs="仿宋"/>
          <w:color w:val="auto"/>
          <w:sz w:val="30"/>
          <w:szCs w:val="30"/>
          <w:highlight w:val="none"/>
        </w:rPr>
      </w:pPr>
    </w:p>
    <w:p w14:paraId="14092247">
      <w:pPr>
        <w:tabs>
          <w:tab w:val="left" w:pos="5040"/>
        </w:tabs>
        <w:spacing w:line="400" w:lineRule="exact"/>
        <w:rPr>
          <w:rFonts w:ascii="仿宋" w:hAnsi="仿宋" w:eastAsia="仿宋" w:cs="仿宋"/>
          <w:color w:val="auto"/>
          <w:szCs w:val="21"/>
          <w:highlight w:val="none"/>
        </w:rPr>
      </w:pPr>
    </w:p>
    <w:p w14:paraId="754D674C">
      <w:pPr>
        <w:tabs>
          <w:tab w:val="left" w:pos="5040"/>
        </w:tabs>
        <w:spacing w:line="400" w:lineRule="exact"/>
        <w:rPr>
          <w:rFonts w:ascii="仿宋" w:hAnsi="仿宋" w:eastAsia="仿宋" w:cs="仿宋"/>
          <w:color w:val="auto"/>
          <w:szCs w:val="21"/>
          <w:highlight w:val="none"/>
        </w:rPr>
      </w:pPr>
    </w:p>
    <w:p w14:paraId="5191353F">
      <w:pPr>
        <w:numPr>
          <w:ilvl w:val="0"/>
          <w:numId w:val="9"/>
        </w:num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 则</w:t>
      </w:r>
    </w:p>
    <w:p w14:paraId="6454FEFA">
      <w:pPr>
        <w:spacing w:line="480" w:lineRule="exact"/>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第一条  </w:t>
      </w:r>
      <w:r>
        <w:rPr>
          <w:rFonts w:hint="eastAsia" w:ascii="仿宋" w:hAnsi="仿宋" w:eastAsia="仿宋" w:cs="仿宋"/>
          <w:color w:val="auto"/>
          <w:sz w:val="24"/>
          <w:highlight w:val="none"/>
        </w:rPr>
        <w:t>本合同当事人</w:t>
      </w:r>
    </w:p>
    <w:p w14:paraId="7C66E4C5">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委托方（以下简称甲方）：</w:t>
      </w:r>
    </w:p>
    <w:p w14:paraId="32CBA4A7">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w:t>
      </w:r>
    </w:p>
    <w:p w14:paraId="7D6DE331">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2051F974">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14:paraId="26396AC1">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受委托方（以下简称乙方）：                                                             </w:t>
      </w:r>
    </w:p>
    <w:p w14:paraId="3E1C4AED">
      <w:pPr>
        <w:spacing w:line="480" w:lineRule="exact"/>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w:t>
      </w:r>
    </w:p>
    <w:p w14:paraId="3E0C5E5E">
      <w:pPr>
        <w:spacing w:line="480" w:lineRule="exact"/>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 xml:space="preserve">注册地址：                                       </w:t>
      </w:r>
    </w:p>
    <w:p w14:paraId="794F4B09">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14:paraId="777F489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为推行龙州县环境卫生作业市场化运作，甲乙双方根据年月日</w:t>
      </w:r>
      <w:r>
        <w:rPr>
          <w:rFonts w:hint="eastAsia" w:ascii="仿宋" w:hAnsi="仿宋" w:eastAsia="仿宋" w:cs="仿宋"/>
          <w:color w:val="auto"/>
          <w:sz w:val="24"/>
          <w:highlight w:val="none"/>
          <w:u w:val="single"/>
        </w:rPr>
        <w:t>龙州县环卫市场化服务</w:t>
      </w:r>
      <w:r>
        <w:rPr>
          <w:rFonts w:hint="eastAsia" w:ascii="仿宋" w:hAnsi="仿宋" w:eastAsia="仿宋" w:cs="仿宋"/>
          <w:color w:val="auto"/>
          <w:sz w:val="24"/>
          <w:highlight w:val="none"/>
        </w:rPr>
        <w:t xml:space="preserve">项目分标（）(项目编号：的招标结果和招标文件的要求，依据《中华人民共和国民法典》、《中华人民共和国招标投标法》、《城市市容和环境卫生管理条例》、《城市生活垃圾管理办法》等有关法律、法规，甲乙双方格守公平、公正、诚信的原则，友好协商，签订本合同。 </w:t>
      </w:r>
    </w:p>
    <w:p w14:paraId="0A7F058F">
      <w:pP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第二条  </w:t>
      </w:r>
      <w:r>
        <w:rPr>
          <w:rFonts w:hint="eastAsia" w:ascii="仿宋" w:hAnsi="仿宋" w:eastAsia="仿宋" w:cs="仿宋"/>
          <w:color w:val="auto"/>
          <w:sz w:val="24"/>
          <w:highlight w:val="none"/>
        </w:rPr>
        <w:t>合同文件的组成</w:t>
      </w:r>
    </w:p>
    <w:p w14:paraId="670AAEA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本合同所附下列文件是构成本合同不可分割的部分：</w:t>
      </w:r>
    </w:p>
    <w:p w14:paraId="1C820D0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1、招标文件以及相关的澄清、补充文件等；</w:t>
      </w:r>
    </w:p>
    <w:p w14:paraId="7DD06CC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2、乙方的投标文件及其澄清、补充说明文件等；</w:t>
      </w:r>
    </w:p>
    <w:p w14:paraId="6B945E1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3、履约保证金（如有）； </w:t>
      </w:r>
    </w:p>
    <w:p w14:paraId="1F76AE2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4、中标通知书。</w:t>
      </w:r>
    </w:p>
    <w:p w14:paraId="3BC74D95">
      <w:pPr>
        <w:spacing w:line="400" w:lineRule="exact"/>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第三条  </w:t>
      </w:r>
      <w:r>
        <w:rPr>
          <w:rFonts w:hint="eastAsia" w:ascii="仿宋" w:hAnsi="仿宋" w:eastAsia="仿宋" w:cs="仿宋"/>
          <w:color w:val="auto"/>
          <w:sz w:val="24"/>
          <w:highlight w:val="none"/>
        </w:rPr>
        <w:t>承包范围、保洁工作范围及内容</w:t>
      </w:r>
    </w:p>
    <w:p w14:paraId="7A7475AD">
      <w:pPr>
        <w:tabs>
          <w:tab w:val="left" w:pos="1560"/>
        </w:tabs>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详见：附件1  A分标/B分标标段划分范围、保洁工作范围及内容</w:t>
      </w:r>
    </w:p>
    <w:p w14:paraId="1A3FC1AF">
      <w:pPr>
        <w:pStyle w:val="35"/>
        <w:rPr>
          <w:rFonts w:ascii="仿宋" w:hAnsi="仿宋" w:eastAsia="仿宋" w:cs="仿宋"/>
          <w:b/>
          <w:bCs/>
          <w:color w:val="auto"/>
          <w:sz w:val="28"/>
          <w:szCs w:val="28"/>
          <w:highlight w:val="none"/>
        </w:rPr>
      </w:pPr>
    </w:p>
    <w:p w14:paraId="11FCDB2A">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第二章  承包事项</w:t>
      </w:r>
    </w:p>
    <w:p w14:paraId="529DE269">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第三条 </w:t>
      </w:r>
      <w:r>
        <w:rPr>
          <w:rFonts w:hint="eastAsia" w:ascii="仿宋" w:hAnsi="仿宋" w:eastAsia="仿宋" w:cs="仿宋"/>
          <w:color w:val="auto"/>
          <w:sz w:val="24"/>
          <w:highlight w:val="none"/>
        </w:rPr>
        <w:t>除附件1  A分标/B分标标段划分范围、保洁工作范围及内容外，还包含以下成包事项：</w:t>
      </w:r>
    </w:p>
    <w:p w14:paraId="61A6665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1、突发事件如道路污染和自然灾害如台风等的及时清理。</w:t>
      </w:r>
      <w:r>
        <w:rPr>
          <w:rFonts w:hint="eastAsia" w:ascii="仿宋" w:hAnsi="仿宋" w:eastAsia="仿宋" w:cs="仿宋"/>
          <w:color w:val="auto"/>
          <w:sz w:val="24"/>
          <w:highlight w:val="none"/>
        </w:rPr>
        <w:tab/>
      </w:r>
    </w:p>
    <w:p w14:paraId="6DECEAA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2、各种重大活动（包括国家、省、市大检查）及重大节假日的重点保洁。</w:t>
      </w:r>
    </w:p>
    <w:p w14:paraId="041E6C8A">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3、配合做好各级环卫管理部门及招标单位的检查评比工作。</w:t>
      </w:r>
    </w:p>
    <w:p w14:paraId="0B0AE45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4、积极协助行业管理部门对发现违反市容环境卫生行为的个人和单位的举报及协助行政执法部门的取证。</w:t>
      </w:r>
    </w:p>
    <w:p w14:paraId="6CC8C4B9">
      <w:pPr>
        <w:spacing w:line="400" w:lineRule="exact"/>
        <w:ind w:firstLine="480" w:firstLineChars="200"/>
        <w:rPr>
          <w:rFonts w:ascii="仿宋" w:hAnsi="仿宋" w:eastAsia="仿宋" w:cs="仿宋"/>
          <w:color w:val="auto"/>
          <w:sz w:val="24"/>
          <w:highlight w:val="none"/>
        </w:rPr>
      </w:pPr>
    </w:p>
    <w:p w14:paraId="7035E744">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第三章  承包作业服务要求及标准</w:t>
      </w:r>
    </w:p>
    <w:p w14:paraId="01DA4CDA">
      <w:pPr>
        <w:pStyle w:val="4"/>
        <w:spacing w:before="0" w:after="0" w:line="560" w:lineRule="exact"/>
        <w:ind w:firstLine="482" w:firstLineChars="200"/>
        <w:textAlignment w:val="baseline"/>
        <w:rPr>
          <w:rFonts w:ascii="仿宋" w:hAnsi="仿宋" w:eastAsia="仿宋" w:cs="仿宋"/>
          <w:b w:val="0"/>
          <w:color w:val="auto"/>
          <w:szCs w:val="24"/>
          <w:highlight w:val="none"/>
        </w:rPr>
      </w:pPr>
      <w:r>
        <w:rPr>
          <w:rFonts w:hint="eastAsia" w:ascii="仿宋" w:hAnsi="仿宋" w:eastAsia="仿宋" w:cs="仿宋"/>
          <w:bCs w:val="0"/>
          <w:color w:val="auto"/>
          <w:szCs w:val="24"/>
          <w:highlight w:val="none"/>
        </w:rPr>
        <w:t>第四条</w:t>
      </w:r>
      <w:r>
        <w:rPr>
          <w:rFonts w:hint="eastAsia" w:ascii="仿宋" w:hAnsi="仿宋" w:eastAsia="仿宋" w:cs="仿宋"/>
          <w:b w:val="0"/>
          <w:color w:val="auto"/>
          <w:szCs w:val="24"/>
          <w:highlight w:val="none"/>
        </w:rPr>
        <w:t>作业要求</w:t>
      </w:r>
    </w:p>
    <w:p w14:paraId="1598D41A">
      <w:pPr>
        <w:pStyle w:val="12"/>
        <w:spacing w:before="156" w:after="156"/>
        <w:ind w:firstLine="480" w:firstLineChars="200"/>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1.市政道路保洁要求</w:t>
      </w:r>
    </w:p>
    <w:tbl>
      <w:tblPr>
        <w:tblStyle w:val="2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2"/>
        <w:gridCol w:w="1377"/>
        <w:gridCol w:w="1646"/>
        <w:gridCol w:w="1197"/>
        <w:gridCol w:w="2019"/>
        <w:gridCol w:w="1433"/>
      </w:tblGrid>
      <w:tr w14:paraId="22CB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49C8CC6">
            <w:pPr>
              <w:pStyle w:val="12"/>
              <w:spacing w:before="156" w:after="156"/>
              <w:ind w:firstLine="480" w:firstLineChars="200"/>
              <w:jc w:val="center"/>
              <w:textAlignment w:val="baseline"/>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市政道路保洁要求</w:t>
            </w:r>
          </w:p>
        </w:tc>
      </w:tr>
      <w:tr w14:paraId="49D1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14:paraId="1F37ADB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道路级别</w:t>
            </w:r>
          </w:p>
        </w:tc>
        <w:tc>
          <w:tcPr>
            <w:tcW w:w="1348" w:type="pct"/>
            <w:gridSpan w:val="2"/>
            <w:vAlign w:val="center"/>
          </w:tcPr>
          <w:p w14:paraId="7BD23366">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市政路面保洁作业要求</w:t>
            </w:r>
          </w:p>
        </w:tc>
        <w:tc>
          <w:tcPr>
            <w:tcW w:w="857" w:type="pct"/>
            <w:vMerge w:val="restart"/>
            <w:vAlign w:val="center"/>
          </w:tcPr>
          <w:p w14:paraId="00009DA3">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垃圾桶、果皮箱保洁作业要求</w:t>
            </w:r>
          </w:p>
        </w:tc>
        <w:tc>
          <w:tcPr>
            <w:tcW w:w="623" w:type="pct"/>
            <w:vMerge w:val="restart"/>
            <w:vAlign w:val="center"/>
          </w:tcPr>
          <w:p w14:paraId="147D0D9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大件垃圾保洁作业要求</w:t>
            </w:r>
          </w:p>
        </w:tc>
        <w:tc>
          <w:tcPr>
            <w:tcW w:w="1051" w:type="pct"/>
            <w:vMerge w:val="restart"/>
            <w:vAlign w:val="center"/>
          </w:tcPr>
          <w:p w14:paraId="354383E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市政雨水井盖保洁作业要求</w:t>
            </w:r>
          </w:p>
        </w:tc>
        <w:tc>
          <w:tcPr>
            <w:tcW w:w="743" w:type="pct"/>
            <w:vMerge w:val="restart"/>
            <w:vAlign w:val="center"/>
          </w:tcPr>
          <w:p w14:paraId="2686DE2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各种立面违法广告保洁作业要求</w:t>
            </w:r>
          </w:p>
        </w:tc>
      </w:tr>
      <w:tr w14:paraId="18A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0D5254AB">
            <w:pPr>
              <w:jc w:val="center"/>
              <w:textAlignment w:val="baseline"/>
              <w:rPr>
                <w:rFonts w:ascii="仿宋" w:hAnsi="仿宋" w:eastAsia="仿宋" w:cs="仿宋"/>
                <w:color w:val="auto"/>
                <w:sz w:val="24"/>
                <w:highlight w:val="none"/>
              </w:rPr>
            </w:pPr>
          </w:p>
        </w:tc>
        <w:tc>
          <w:tcPr>
            <w:tcW w:w="631" w:type="pct"/>
            <w:vAlign w:val="center"/>
          </w:tcPr>
          <w:p w14:paraId="162D2652">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人工保洁</w:t>
            </w:r>
          </w:p>
        </w:tc>
        <w:tc>
          <w:tcPr>
            <w:tcW w:w="716" w:type="pct"/>
            <w:vAlign w:val="center"/>
          </w:tcPr>
          <w:p w14:paraId="17A25300">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机械作业</w:t>
            </w:r>
          </w:p>
        </w:tc>
        <w:tc>
          <w:tcPr>
            <w:tcW w:w="857" w:type="pct"/>
            <w:vMerge w:val="continue"/>
            <w:vAlign w:val="center"/>
          </w:tcPr>
          <w:p w14:paraId="1862CB8A">
            <w:pPr>
              <w:widowControl/>
              <w:jc w:val="center"/>
              <w:textAlignment w:val="center"/>
              <w:rPr>
                <w:rFonts w:ascii="仿宋" w:hAnsi="仿宋" w:eastAsia="仿宋" w:cs="仿宋"/>
                <w:color w:val="auto"/>
                <w:kern w:val="0"/>
                <w:sz w:val="24"/>
                <w:highlight w:val="none"/>
              </w:rPr>
            </w:pPr>
          </w:p>
        </w:tc>
        <w:tc>
          <w:tcPr>
            <w:tcW w:w="623" w:type="pct"/>
            <w:vMerge w:val="continue"/>
            <w:vAlign w:val="center"/>
          </w:tcPr>
          <w:p w14:paraId="25A231E3">
            <w:pPr>
              <w:jc w:val="center"/>
              <w:textAlignment w:val="baseline"/>
              <w:rPr>
                <w:rFonts w:ascii="仿宋" w:hAnsi="仿宋" w:eastAsia="仿宋" w:cs="仿宋"/>
                <w:color w:val="auto"/>
                <w:sz w:val="24"/>
                <w:highlight w:val="none"/>
              </w:rPr>
            </w:pPr>
          </w:p>
        </w:tc>
        <w:tc>
          <w:tcPr>
            <w:tcW w:w="1051" w:type="pct"/>
            <w:vMerge w:val="continue"/>
            <w:vAlign w:val="center"/>
          </w:tcPr>
          <w:p w14:paraId="33C8D249">
            <w:pPr>
              <w:jc w:val="center"/>
              <w:textAlignment w:val="baseline"/>
              <w:rPr>
                <w:rFonts w:ascii="仿宋" w:hAnsi="仿宋" w:eastAsia="仿宋" w:cs="仿宋"/>
                <w:color w:val="auto"/>
                <w:sz w:val="24"/>
                <w:highlight w:val="none"/>
              </w:rPr>
            </w:pPr>
          </w:p>
        </w:tc>
        <w:tc>
          <w:tcPr>
            <w:tcW w:w="743" w:type="pct"/>
            <w:vMerge w:val="continue"/>
            <w:vAlign w:val="center"/>
          </w:tcPr>
          <w:p w14:paraId="134ADEDF">
            <w:pPr>
              <w:jc w:val="center"/>
              <w:textAlignment w:val="baseline"/>
              <w:rPr>
                <w:rFonts w:ascii="仿宋" w:hAnsi="仿宋" w:eastAsia="仿宋" w:cs="仿宋"/>
                <w:color w:val="auto"/>
                <w:sz w:val="24"/>
                <w:highlight w:val="none"/>
              </w:rPr>
            </w:pPr>
          </w:p>
        </w:tc>
      </w:tr>
      <w:tr w14:paraId="15F4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7BAB34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一级</w:t>
            </w:r>
          </w:p>
        </w:tc>
        <w:tc>
          <w:tcPr>
            <w:tcW w:w="631" w:type="pct"/>
            <w:vAlign w:val="center"/>
          </w:tcPr>
          <w:p w14:paraId="621D8BA2">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对停车位、人行道、隔离护栏等机械作业死角，进行人工清扫保洁（每天保洁18小时，05:00点-11：00点，11：00点-19：00点，19：00点-23:00点，每日2.5班次）；</w:t>
            </w:r>
          </w:p>
        </w:tc>
        <w:tc>
          <w:tcPr>
            <w:tcW w:w="716" w:type="pct"/>
            <w:vAlign w:val="center"/>
          </w:tcPr>
          <w:p w14:paraId="0151813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车行道、人行道和市政设施实施机械化作业每天夜间全面冲洗1次，白天对道路进行巡回洒水、喷雾降尘4次以上，如遇阴雨天气可酌情降低机扫频率；</w:t>
            </w:r>
          </w:p>
        </w:tc>
        <w:tc>
          <w:tcPr>
            <w:tcW w:w="857" w:type="pct"/>
            <w:vAlign w:val="center"/>
          </w:tcPr>
          <w:p w14:paraId="1863A3EA">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14:paraId="3E5C716E">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62531D2D">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7059BD8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280F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A1CAD8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二级</w:t>
            </w:r>
          </w:p>
        </w:tc>
        <w:tc>
          <w:tcPr>
            <w:tcW w:w="631" w:type="pct"/>
            <w:vAlign w:val="center"/>
          </w:tcPr>
          <w:p w14:paraId="1971B21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对停车位、人行道、隔离护栏等机械作业死角，进行人工清扫保洁（每天保洁16小时，06:00点-10:00点,10:00点-18:00点，每日2班次）</w:t>
            </w:r>
          </w:p>
        </w:tc>
        <w:tc>
          <w:tcPr>
            <w:tcW w:w="716" w:type="pct"/>
            <w:vAlign w:val="center"/>
          </w:tcPr>
          <w:p w14:paraId="57692EE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车行道、人行道和市政设施机械化作业夜间每2天全面冲洗1次，白天对道路进行巡回洒水、喷雾降尘4次以上，如遇阴雨天气可酌情降低机扫频率；</w:t>
            </w:r>
          </w:p>
        </w:tc>
        <w:tc>
          <w:tcPr>
            <w:tcW w:w="857" w:type="pct"/>
            <w:vAlign w:val="center"/>
          </w:tcPr>
          <w:p w14:paraId="51E8C63D">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334342C7">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169924D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8500AC1">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5CCC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7F5FEE9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三级</w:t>
            </w:r>
          </w:p>
        </w:tc>
        <w:tc>
          <w:tcPr>
            <w:tcW w:w="631" w:type="pct"/>
            <w:vAlign w:val="center"/>
          </w:tcPr>
          <w:p w14:paraId="489CF39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对停车位、人行道、隔离护栏等机械作业死角，进行人工清扫保洁(每天保洁8小时,07:00点-11:00点，15:00点-19:00点，每日2班次）</w:t>
            </w:r>
          </w:p>
        </w:tc>
        <w:tc>
          <w:tcPr>
            <w:tcW w:w="716" w:type="pct"/>
            <w:vAlign w:val="center"/>
          </w:tcPr>
          <w:p w14:paraId="5ABC6AE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车行道、人行道和市政设施机械化作业夜间定期全面冲洗，白天对道路进行巡回洒水、喷雾降尘4次以上，如遇阴雨天气可酌情降低机扫频率；</w:t>
            </w:r>
          </w:p>
        </w:tc>
        <w:tc>
          <w:tcPr>
            <w:tcW w:w="857" w:type="pct"/>
            <w:vAlign w:val="center"/>
          </w:tcPr>
          <w:p w14:paraId="7A8E8EC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33D1D03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15DD56AE">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7051578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r w14:paraId="03E7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7BBD5E1F">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四级</w:t>
            </w:r>
          </w:p>
        </w:tc>
        <w:tc>
          <w:tcPr>
            <w:tcW w:w="631" w:type="pct"/>
            <w:vAlign w:val="center"/>
          </w:tcPr>
          <w:p w14:paraId="7BE5B8CD">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对停车位、人行道、隔离护栏等机械作业死角，进行人工清扫保洁(每天保洁8小时,07:00点-11:00点，15:00点-19:00点，每日2班次）</w:t>
            </w:r>
          </w:p>
        </w:tc>
        <w:tc>
          <w:tcPr>
            <w:tcW w:w="716" w:type="pct"/>
            <w:vAlign w:val="center"/>
          </w:tcPr>
          <w:p w14:paraId="6122E0A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车行道、人行道和市政设施机械化作业夜间定期全面冲洗，白天对道路进行巡回洒水、喷雾降尘、4次以上，如遇阴雨天气可酌情降低机扫频率；</w:t>
            </w:r>
          </w:p>
        </w:tc>
        <w:tc>
          <w:tcPr>
            <w:tcW w:w="857" w:type="pct"/>
            <w:vAlign w:val="center"/>
          </w:tcPr>
          <w:p w14:paraId="545C2A4F">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724A8FC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由业主指定处置场地，由中标企业根据合同要求负责大件生活垃圾的收运。</w:t>
            </w:r>
          </w:p>
        </w:tc>
        <w:tc>
          <w:tcPr>
            <w:tcW w:w="1051" w:type="pct"/>
            <w:vAlign w:val="center"/>
          </w:tcPr>
          <w:p w14:paraId="42487F32">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53BA6277">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视线范围内可操作立面违法广告每月定期清理、刷涂</w:t>
            </w:r>
          </w:p>
        </w:tc>
      </w:tr>
    </w:tbl>
    <w:p w14:paraId="1A4787C1">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2.公厕保洁及日常运维</w:t>
      </w:r>
    </w:p>
    <w:p w14:paraId="67A74365">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（1）公厕有专人管理，有保洁制度，公共厕所24小时对外开放；</w:t>
      </w:r>
    </w:p>
    <w:p w14:paraId="663E9DB1">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（2）保洁工具使用完毕应整齐存放在不显眼的位置或存放在工具房（箱）内，不得将保洁工具放在便器、洗手盆或楼梯；</w:t>
      </w:r>
    </w:p>
    <w:p w14:paraId="147481D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（3）供洗手用的水龙头不得用于保洁作业；</w:t>
      </w:r>
    </w:p>
    <w:p w14:paraId="5834748A">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（4）管理人员工作室、工作台保持整洁美观；</w:t>
      </w:r>
    </w:p>
    <w:p w14:paraId="099D9F33">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（5）不得占用或妨碍残疾人公共厕所的正常使用；</w:t>
      </w:r>
    </w:p>
    <w:p w14:paraId="3648AE37">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（6）公共厕所每天应全面冲洗两次以上并随时保洁。</w:t>
      </w:r>
    </w:p>
    <w:p w14:paraId="3AD4576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3.中转站保洁及日常运维</w:t>
      </w:r>
    </w:p>
    <w:p w14:paraId="3086D9F0">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（1）中转站坚持值班制度，中转站开放时间为每天05:00-19:30，可根据实际情况作适当调整；</w:t>
      </w:r>
    </w:p>
    <w:p w14:paraId="2F3A7790">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（2）中转站内所有垃圾，必须每天清理，不得堆积在站内。转运结束后站内外要彻底清扫、冲洗，保持中转站内基本无臭味；</w:t>
      </w:r>
    </w:p>
    <w:p w14:paraId="1FFE8C40">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（3）保持中转站内无垃圾和杂物堆放，无晾晒衣物、无积水，工具、物品、车辆放置应有序；</w:t>
      </w:r>
    </w:p>
    <w:p w14:paraId="2504BA07">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（4）垃圾车在站内装载垃圾时要充分排放污水并检查密封是否良好，必要时应紧固锁紧装置。离站前要冲洗车身。</w:t>
      </w:r>
    </w:p>
    <w:p w14:paraId="0C7588BD">
      <w:pPr>
        <w:pStyle w:val="4"/>
        <w:spacing w:before="0" w:after="0" w:line="400" w:lineRule="exact"/>
        <w:ind w:firstLine="482" w:firstLineChars="200"/>
        <w:textAlignment w:val="baseline"/>
        <w:rPr>
          <w:rFonts w:ascii="仿宋" w:hAnsi="仿宋" w:eastAsia="仿宋" w:cs="仿宋"/>
          <w:b w:val="0"/>
          <w:color w:val="auto"/>
          <w:szCs w:val="24"/>
          <w:highlight w:val="none"/>
        </w:rPr>
      </w:pPr>
      <w:r>
        <w:rPr>
          <w:rFonts w:hint="eastAsia" w:ascii="仿宋" w:hAnsi="仿宋" w:eastAsia="仿宋" w:cs="仿宋"/>
          <w:bCs w:val="0"/>
          <w:color w:val="auto"/>
          <w:szCs w:val="24"/>
          <w:highlight w:val="none"/>
        </w:rPr>
        <w:t xml:space="preserve">第五条 </w:t>
      </w:r>
      <w:r>
        <w:rPr>
          <w:rFonts w:hint="eastAsia" w:ascii="仿宋" w:hAnsi="仿宋" w:eastAsia="仿宋" w:cs="仿宋"/>
          <w:b w:val="0"/>
          <w:color w:val="auto"/>
          <w:szCs w:val="24"/>
          <w:highlight w:val="none"/>
        </w:rPr>
        <w:t>作业标准</w:t>
      </w:r>
    </w:p>
    <w:p w14:paraId="0C46FC4E">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1.道路清扫保洁</w:t>
      </w:r>
    </w:p>
    <w:p w14:paraId="277A5621">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（1）一级道路</w:t>
      </w:r>
    </w:p>
    <w:p w14:paraId="4B04F7F4">
      <w:pPr>
        <w:spacing w:line="400" w:lineRule="exact"/>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kern w:val="0"/>
          <w:sz w:val="24"/>
          <w:highlight w:val="none"/>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14:paraId="58FF3B03">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（2）二级道路</w:t>
      </w:r>
    </w:p>
    <w:p w14:paraId="1B5D2A5D">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14:paraId="726CAA2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（3）三级道路</w:t>
      </w:r>
    </w:p>
    <w:p w14:paraId="3EFD3CA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14:paraId="0D9CFCB7">
      <w:pPr>
        <w:pStyle w:val="10"/>
        <w:spacing w:line="400" w:lineRule="exact"/>
        <w:ind w:left="0" w:right="4649"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2.城区生活垃圾收集、清运</w:t>
      </w:r>
    </w:p>
    <w:p w14:paraId="27614669">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（1）作业工具采用密闭式电瓶三轮车、后装式垃圾压缩转运车。作业车辆必须与辖区垃圾压缩站相匹配。</w:t>
      </w:r>
    </w:p>
    <w:p w14:paraId="3C312E22">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（2）生活垃圾收集、清运车辆必须采用车厢密闭式车辆，无破损、锈迹，保持车容车貌整洁，作业完成后及时清洗车辆。</w:t>
      </w:r>
    </w:p>
    <w:p w14:paraId="67C4CC73">
      <w:pPr>
        <w:pStyle w:val="10"/>
        <w:spacing w:line="400" w:lineRule="exact"/>
        <w:ind w:left="0" w:firstLine="472" w:firstLineChars="200"/>
        <w:textAlignment w:val="baseline"/>
        <w:rPr>
          <w:rFonts w:ascii="仿宋" w:hAnsi="仿宋" w:eastAsia="仿宋" w:cs="仿宋"/>
          <w:color w:val="auto"/>
          <w:highlight w:val="none"/>
          <w:lang w:eastAsia="zh-CN"/>
        </w:rPr>
      </w:pPr>
      <w:r>
        <w:rPr>
          <w:rFonts w:hint="eastAsia" w:ascii="仿宋" w:hAnsi="仿宋" w:eastAsia="仿宋" w:cs="仿宋"/>
          <w:color w:val="auto"/>
          <w:spacing w:val="-2"/>
          <w:highlight w:val="none"/>
          <w:lang w:eastAsia="zh-CN"/>
        </w:rPr>
        <w:t>（3）必须做到日产日清，生活垃圾收集后收集点整洁，无乱堆乱放，无撒漏垃圾，收运后立即进行冲洗消毒，</w:t>
      </w:r>
      <w:r>
        <w:rPr>
          <w:rFonts w:hint="eastAsia" w:ascii="仿宋" w:hAnsi="仿宋" w:eastAsia="仿宋" w:cs="仿宋"/>
          <w:color w:val="auto"/>
          <w:highlight w:val="none"/>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14:paraId="5E3BFEB4">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（4）生活垃圾收集运输过程中必须密闭，无撒漏、滴漏现象。</w:t>
      </w:r>
    </w:p>
    <w:p w14:paraId="01F0ABA5">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3.公厕保洁及日常运维</w:t>
      </w:r>
    </w:p>
    <w:p w14:paraId="2860DA95">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14:paraId="1C4CBC1F">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（2）蹲位整洁，大便槽两侧应无粪便污物，槽内无积粪，洁净见底；小便槽(斗)应无水锈、尿垢、垃圾，基本无臭；沟眼、管道保持畅通。</w:t>
      </w:r>
    </w:p>
    <w:p w14:paraId="5B7A131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（3）公厕内照明灯具、洗手器具、镜子、挂衣钩、冲水设备等应完好，无积灰、污物。</w:t>
      </w:r>
    </w:p>
    <w:p w14:paraId="675EC70F">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（4）公厕外环境应整洁，无乱堆杂物，保洁工具应放置整齐。公厕四周3－5m范围内，应无垃圾、粪便、污水等污物；并设有醒目标志牌，方便群众入厕。</w:t>
      </w:r>
    </w:p>
    <w:p w14:paraId="05103E48">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（5）应定时喷洒灭蚊蝇药物，有效控制蝇蛆孳生。</w:t>
      </w:r>
    </w:p>
    <w:p w14:paraId="1E2E926A">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（6）公厕化粪池与出粪口应有盖板，无破损凹陷。</w:t>
      </w:r>
    </w:p>
    <w:p w14:paraId="4FD1878F">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4.中转站保洁及日常运维</w:t>
      </w:r>
    </w:p>
    <w:p w14:paraId="64817F0F">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（1）中转站内外场地整洁，无撒落垃圾和堆积杂物，无积留污水。</w:t>
      </w:r>
    </w:p>
    <w:p w14:paraId="461C5D82">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（3）室内通风良好，无明显臭味，墙壁、窗户应无积尘、蛛网。</w:t>
      </w:r>
    </w:p>
    <w:p w14:paraId="0F2298BD">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（4）进入站内的垃圾应当日转运，有贮存设施的，应加盖封闭，定时转运；每日中转站过夜积存垃圾不超过一车。</w:t>
      </w:r>
    </w:p>
    <w:p w14:paraId="0E78F8A4">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（5）站内垃圾装运容器应整洁，无积垢，无吊挂垃圾。</w:t>
      </w:r>
    </w:p>
    <w:p w14:paraId="46386DFC">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（6）站内有规范标志牌，并公布站点名称、作业时间、投诉电话。</w:t>
      </w:r>
    </w:p>
    <w:p w14:paraId="7D653A7C">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（7）中转站清运实行“垃圾不落地”作业，垃圾到站后随即倒入转运车辆箱体，转运作业完成以后，将垃圾桶、地面、墙壁清洗干净。</w:t>
      </w:r>
    </w:p>
    <w:p w14:paraId="0167CA81">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（8）有异常垃圾进入中转站时应作好记录。确保全年全天候接纳的垃圾来源、种类、数量符合中转站要求。</w:t>
      </w:r>
    </w:p>
    <w:p w14:paraId="30E1F7D4">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5.安全文明生产标准</w:t>
      </w:r>
    </w:p>
    <w:p w14:paraId="1A83D62E">
      <w:pPr>
        <w:pStyle w:val="10"/>
        <w:spacing w:line="40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（1）公司应对新上岗工人进行环卫作业质量标准、安全培训，每月对所有上岗工人进行1次安全培训，并做好培训记录。</w:t>
      </w:r>
    </w:p>
    <w:p w14:paraId="6F07C2ED">
      <w:pPr>
        <w:pStyle w:val="10"/>
        <w:spacing w:line="40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（2）环卫工人上班必须穿工作服，主干道、快速通道的环卫工人必须穿安全反光背</w:t>
      </w:r>
      <w:r>
        <w:rPr>
          <w:rFonts w:hint="eastAsia" w:ascii="仿宋" w:hAnsi="仿宋" w:eastAsia="仿宋" w:cs="仿宋"/>
          <w:color w:val="auto"/>
          <w:spacing w:val="-2"/>
          <w:highlight w:val="none"/>
          <w:lang w:eastAsia="zh-CN"/>
        </w:rPr>
        <w:t>心。根据本路段的人、车流情况，合理安排作业时间和方式，环卫工人作业时主动避开</w:t>
      </w:r>
      <w:r>
        <w:rPr>
          <w:rFonts w:hint="eastAsia" w:ascii="仿宋" w:hAnsi="仿宋" w:eastAsia="仿宋" w:cs="仿宋"/>
          <w:color w:val="auto"/>
          <w:highlight w:val="none"/>
          <w:lang w:eastAsia="zh-CN"/>
        </w:rPr>
        <w:t>行人和车流高峰，以免发生意外。</w:t>
      </w:r>
    </w:p>
    <w:p w14:paraId="49EDEB91">
      <w:pPr>
        <w:pStyle w:val="10"/>
        <w:spacing w:line="40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（3）环卫工人在清扫和保洁时，应按车行线反方向清扫，特别在清扫保洁主车道时</w:t>
      </w:r>
      <w:r>
        <w:rPr>
          <w:rFonts w:hint="eastAsia" w:ascii="仿宋" w:hAnsi="仿宋" w:eastAsia="仿宋" w:cs="仿宋"/>
          <w:color w:val="auto"/>
          <w:spacing w:val="3"/>
          <w:highlight w:val="none"/>
          <w:lang w:eastAsia="zh-CN"/>
        </w:rPr>
        <w:t>要提高警觉，注意来车。清理主车道上的成堆的泥土时，应在清理点来车方向</w:t>
      </w:r>
      <w:r>
        <w:rPr>
          <w:rFonts w:hint="eastAsia" w:ascii="仿宋" w:hAnsi="仿宋" w:eastAsia="仿宋" w:cs="仿宋"/>
          <w:color w:val="auto"/>
          <w:highlight w:val="none"/>
          <w:lang w:eastAsia="zh-CN"/>
        </w:rPr>
        <w:t>50-100米处设置醒目的路障，并做好防护措施。</w:t>
      </w:r>
    </w:p>
    <w:p w14:paraId="30A52440">
      <w:pPr>
        <w:pStyle w:val="10"/>
        <w:spacing w:line="40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（4）清扫保洁时禁止将垃圾扫入（倒入）雨水井、绿化带、河道内、排水沟等。</w:t>
      </w:r>
    </w:p>
    <w:p w14:paraId="1A394F0C">
      <w:pPr>
        <w:pStyle w:val="10"/>
        <w:spacing w:line="400" w:lineRule="exact"/>
        <w:ind w:left="0" w:right="154" w:firstLine="480" w:firstLineChars="200"/>
        <w:jc w:val="both"/>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（5）不得将工具摆放在人行道上，要将工具存放在隐蔽位置，并摆放整齐，不得影响观瞻。</w:t>
      </w:r>
    </w:p>
    <w:p w14:paraId="3DF70E87">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（6）机械化作业车辆出车前必须进行车辆检查，发现故障及时排除，作业时必须开警示灯。</w:t>
      </w:r>
    </w:p>
    <w:p w14:paraId="70082580">
      <w:pPr>
        <w:pStyle w:val="10"/>
        <w:spacing w:line="400" w:lineRule="exact"/>
        <w:ind w:left="0" w:firstLine="480" w:firstLineChars="200"/>
        <w:textAlignment w:val="baseline"/>
        <w:rPr>
          <w:rFonts w:ascii="仿宋" w:hAnsi="仿宋" w:eastAsia="仿宋" w:cs="仿宋"/>
          <w:color w:val="auto"/>
          <w:highlight w:val="none"/>
          <w:lang w:eastAsia="zh-CN"/>
        </w:rPr>
      </w:pPr>
      <w:r>
        <w:rPr>
          <w:rFonts w:hint="eastAsia" w:ascii="仿宋" w:hAnsi="仿宋" w:eastAsia="仿宋" w:cs="仿宋"/>
          <w:color w:val="auto"/>
          <w:highlight w:val="none"/>
          <w:lang w:eastAsia="zh-CN"/>
        </w:rPr>
        <w:t>（7）机械化作业车辆在工作过程中，必须遵守道路交通规则，礼让行车，注意行人的安全。</w:t>
      </w:r>
    </w:p>
    <w:p w14:paraId="23C7F108">
      <w:pPr>
        <w:spacing w:line="400" w:lineRule="exact"/>
        <w:ind w:firstLine="482"/>
        <w:rPr>
          <w:rFonts w:ascii="仿宋" w:hAnsi="仿宋" w:eastAsia="仿宋" w:cs="仿宋"/>
          <w:color w:val="auto"/>
          <w:sz w:val="24"/>
          <w:highlight w:val="none"/>
        </w:rPr>
      </w:pPr>
    </w:p>
    <w:p w14:paraId="58F06ACD">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第四章  服务承包期限及考评方案</w:t>
      </w:r>
    </w:p>
    <w:p w14:paraId="624C57FC">
      <w:pPr>
        <w:spacing w:line="400" w:lineRule="exact"/>
        <w:ind w:firstLine="482"/>
        <w:rPr>
          <w:rFonts w:ascii="仿宋" w:hAnsi="仿宋" w:eastAsia="仿宋" w:cs="仿宋"/>
          <w:color w:val="auto"/>
          <w:spacing w:val="-6"/>
          <w:sz w:val="24"/>
          <w:highlight w:val="none"/>
        </w:rPr>
      </w:pPr>
      <w:r>
        <w:rPr>
          <w:rFonts w:hint="eastAsia" w:ascii="仿宋" w:hAnsi="仿宋" w:eastAsia="仿宋" w:cs="仿宋"/>
          <w:b/>
          <w:color w:val="auto"/>
          <w:sz w:val="24"/>
          <w:highlight w:val="none"/>
        </w:rPr>
        <w:t>第六条</w:t>
      </w:r>
      <w:r>
        <w:rPr>
          <w:rFonts w:hint="eastAsia" w:ascii="仿宋" w:hAnsi="仿宋" w:eastAsia="仿宋" w:cs="仿宋"/>
          <w:color w:val="auto"/>
          <w:spacing w:val="-6"/>
          <w:sz w:val="24"/>
          <w:highlight w:val="none"/>
        </w:rPr>
        <w:t>服务承包期限为</w:t>
      </w:r>
      <w:r>
        <w:rPr>
          <w:rFonts w:hint="eastAsia" w:ascii="仿宋" w:hAnsi="仿宋" w:eastAsia="仿宋" w:cs="仿宋"/>
          <w:color w:val="auto"/>
          <w:spacing w:val="-6"/>
          <w:sz w:val="24"/>
          <w:highlight w:val="none"/>
          <w:u w:val="single"/>
          <w:lang w:eastAsia="zh-CN"/>
        </w:rPr>
        <w:t>叁</w:t>
      </w:r>
      <w:r>
        <w:rPr>
          <w:rFonts w:hint="eastAsia" w:ascii="仿宋" w:hAnsi="仿宋" w:eastAsia="仿宋" w:cs="仿宋"/>
          <w:color w:val="auto"/>
          <w:spacing w:val="-6"/>
          <w:sz w:val="24"/>
          <w:highlight w:val="none"/>
        </w:rPr>
        <w:t>年。自年月日起至年月日止，并结合考评结果确定最终服务期限。</w:t>
      </w:r>
    </w:p>
    <w:p w14:paraId="73E2CCEA">
      <w:pPr>
        <w:spacing w:line="400" w:lineRule="exact"/>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第七条  </w:t>
      </w:r>
      <w:r>
        <w:rPr>
          <w:rFonts w:hint="eastAsia" w:ascii="仿宋" w:hAnsi="仿宋" w:eastAsia="仿宋" w:cs="仿宋"/>
          <w:bCs/>
          <w:color w:val="auto"/>
          <w:sz w:val="24"/>
          <w:highlight w:val="none"/>
        </w:rPr>
        <w:t>考评时间和人员安排</w:t>
      </w:r>
    </w:p>
    <w:p w14:paraId="27F3577F">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1、考评时间：每月5号之前，具体日期由执法局确定。</w:t>
      </w:r>
    </w:p>
    <w:p w14:paraId="1F08BB07">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2、考评内容：参考考评细则，按实际调查情况分类别及科目打分。</w:t>
      </w:r>
    </w:p>
    <w:p w14:paraId="5D05B009">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3、考评人员：从执法局、创城办、文明办、各物业公司、城中镇人民政府、城中镇各社区抽调</w:t>
      </w:r>
    </w:p>
    <w:p w14:paraId="50DF58E3">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4、考评路线要求：由执法局牵头负责拟定线路和具体方案，其中主要街道不少于5公里，次干道不少于3公里，背街小巷随机不少于5处，考评社区不少于3个，考评周边行政村不少于2个。</w:t>
      </w:r>
    </w:p>
    <w:p w14:paraId="0A6CDEEA">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5、考评要求：抽调人员应服从安排，认真履行职责，对环卫保洁工作逐项打分，并将结果签字确认后，提交考评组负责人汇总。</w:t>
      </w:r>
    </w:p>
    <w:p w14:paraId="2BF3EA9B">
      <w:pPr>
        <w:spacing w:line="400" w:lineRule="exact"/>
        <w:ind w:firstLine="482"/>
        <w:rPr>
          <w:rFonts w:ascii="仿宋" w:hAnsi="仿宋" w:eastAsia="仿宋" w:cs="仿宋"/>
          <w:color w:val="auto"/>
          <w:spacing w:val="-6"/>
          <w:sz w:val="24"/>
          <w:highlight w:val="none"/>
        </w:rPr>
      </w:pPr>
      <w:r>
        <w:rPr>
          <w:rFonts w:hint="eastAsia" w:ascii="仿宋" w:hAnsi="仿宋" w:eastAsia="仿宋" w:cs="仿宋"/>
          <w:b/>
          <w:bCs/>
          <w:color w:val="auto"/>
          <w:sz w:val="24"/>
          <w:highlight w:val="none"/>
        </w:rPr>
        <w:t>第八条</w:t>
      </w:r>
      <w:r>
        <w:rPr>
          <w:rFonts w:hint="eastAsia" w:ascii="仿宋" w:hAnsi="仿宋" w:eastAsia="仿宋" w:cs="仿宋"/>
          <w:bCs/>
          <w:color w:val="auto"/>
          <w:sz w:val="24"/>
          <w:highlight w:val="none"/>
        </w:rPr>
        <w:t>考评细则（详见合同附件）</w:t>
      </w:r>
    </w:p>
    <w:p w14:paraId="30326647">
      <w:pPr>
        <w:spacing w:line="400" w:lineRule="exact"/>
        <w:ind w:firstLine="482"/>
        <w:rPr>
          <w:rFonts w:ascii="仿宋" w:hAnsi="仿宋" w:eastAsia="仿宋" w:cs="仿宋"/>
          <w:color w:val="auto"/>
          <w:spacing w:val="-6"/>
          <w:sz w:val="24"/>
          <w:highlight w:val="none"/>
        </w:rPr>
      </w:pPr>
      <w:r>
        <w:rPr>
          <w:rFonts w:hint="eastAsia" w:ascii="仿宋" w:hAnsi="仿宋" w:eastAsia="仿宋" w:cs="仿宋"/>
          <w:b/>
          <w:color w:val="auto"/>
          <w:sz w:val="24"/>
          <w:highlight w:val="none"/>
        </w:rPr>
        <w:t xml:space="preserve">第九条 </w:t>
      </w:r>
      <w:r>
        <w:rPr>
          <w:rFonts w:hint="eastAsia" w:ascii="仿宋" w:hAnsi="仿宋" w:eastAsia="仿宋" w:cs="仿宋"/>
          <w:color w:val="auto"/>
          <w:spacing w:val="-6"/>
          <w:sz w:val="24"/>
          <w:highlight w:val="none"/>
        </w:rPr>
        <w:t>考评结果和终止服务条件</w:t>
      </w:r>
    </w:p>
    <w:p w14:paraId="1EF16662">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（一）考评流程</w:t>
      </w:r>
    </w:p>
    <w:p w14:paraId="56FA7D99">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由县</w:t>
      </w:r>
      <w:r>
        <w:rPr>
          <w:rFonts w:hint="eastAsia" w:ascii="仿宋" w:hAnsi="仿宋" w:eastAsia="仿宋" w:cs="仿宋"/>
          <w:bCs/>
          <w:color w:val="auto"/>
          <w:sz w:val="24"/>
          <w:highlight w:val="none"/>
        </w:rPr>
        <w:t>执法局</w:t>
      </w:r>
      <w:r>
        <w:rPr>
          <w:rFonts w:hint="eastAsia" w:ascii="仿宋" w:hAnsi="仿宋" w:eastAsia="仿宋" w:cs="仿宋"/>
          <w:color w:val="auto"/>
          <w:spacing w:val="-6"/>
          <w:sz w:val="24"/>
          <w:highlight w:val="none"/>
        </w:rPr>
        <w:t>汇总各部门评分后，将参照考评细则打分得出的考评结果，于每月5号书面告知环卫服务中标单位。</w:t>
      </w:r>
    </w:p>
    <w:p w14:paraId="1139F5CE">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（二）意见处理</w:t>
      </w:r>
    </w:p>
    <w:p w14:paraId="757E00EE">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环卫服务中标单位如对考评结果有异议，需在每月10号前向县</w:t>
      </w:r>
      <w:r>
        <w:rPr>
          <w:rFonts w:hint="eastAsia" w:ascii="仿宋" w:hAnsi="仿宋" w:eastAsia="仿宋" w:cs="仿宋"/>
          <w:bCs/>
          <w:color w:val="auto"/>
          <w:sz w:val="24"/>
          <w:highlight w:val="none"/>
        </w:rPr>
        <w:t>执法局</w:t>
      </w:r>
      <w:r>
        <w:rPr>
          <w:rFonts w:hint="eastAsia" w:ascii="仿宋" w:hAnsi="仿宋" w:eastAsia="仿宋" w:cs="仿宋"/>
          <w:color w:val="auto"/>
          <w:spacing w:val="-6"/>
          <w:sz w:val="24"/>
          <w:highlight w:val="none"/>
        </w:rPr>
        <w:t>上报书面意见及相关佐证材料。逾期不再处理。</w:t>
      </w:r>
    </w:p>
    <w:p w14:paraId="01992115">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（三）考评公示</w:t>
      </w:r>
    </w:p>
    <w:p w14:paraId="1496B064">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经各方确认后的考评结果，由县</w:t>
      </w:r>
      <w:r>
        <w:rPr>
          <w:rFonts w:hint="eastAsia" w:ascii="仿宋" w:hAnsi="仿宋" w:eastAsia="仿宋" w:cs="仿宋"/>
          <w:bCs/>
          <w:color w:val="auto"/>
          <w:sz w:val="24"/>
          <w:highlight w:val="none"/>
        </w:rPr>
        <w:t>执法局</w:t>
      </w:r>
      <w:r>
        <w:rPr>
          <w:rFonts w:hint="eastAsia" w:ascii="仿宋" w:hAnsi="仿宋" w:eastAsia="仿宋" w:cs="仿宋"/>
          <w:color w:val="auto"/>
          <w:spacing w:val="-6"/>
          <w:sz w:val="24"/>
          <w:highlight w:val="none"/>
        </w:rPr>
        <w:t>在政府门户网站上公示，接受群众监督。</w:t>
      </w:r>
    </w:p>
    <w:p w14:paraId="7B394D65">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（四）等次说明</w:t>
      </w:r>
    </w:p>
    <w:p w14:paraId="3F982C28">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考评分为合格和不合格两个等次，考评分数满分为100分，80~100分为合格，80分以下为不合格。</w:t>
      </w:r>
    </w:p>
    <w:p w14:paraId="219B9026">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（五）惩罚机制</w:t>
      </w:r>
    </w:p>
    <w:p w14:paraId="2B9D61F7">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当月考评等次为合格，当月环卫服务经费足额划拨；当月考评等次为不合格，扣除当月环卫服务经费的20%，即按服务费的80%划拨，且不再补发。</w:t>
      </w:r>
    </w:p>
    <w:p w14:paraId="0B8E7968">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（六）终止服务</w:t>
      </w:r>
    </w:p>
    <w:p w14:paraId="02E94430">
      <w:pPr>
        <w:spacing w:line="400" w:lineRule="exact"/>
        <w:ind w:firstLine="482"/>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当月考评等次为不合格，由</w:t>
      </w:r>
      <w:r>
        <w:rPr>
          <w:rFonts w:hint="eastAsia" w:ascii="仿宋" w:hAnsi="仿宋" w:eastAsia="仿宋" w:cs="仿宋"/>
          <w:bCs/>
          <w:color w:val="auto"/>
          <w:sz w:val="24"/>
          <w:highlight w:val="none"/>
        </w:rPr>
        <w:t>执法局</w:t>
      </w:r>
      <w:r>
        <w:rPr>
          <w:rFonts w:hint="eastAsia" w:ascii="仿宋" w:hAnsi="仿宋" w:eastAsia="仿宋" w:cs="仿宋"/>
          <w:color w:val="auto"/>
          <w:spacing w:val="-6"/>
          <w:sz w:val="24"/>
          <w:highlight w:val="none"/>
        </w:rPr>
        <w:t>召集考评成员单位约谈环卫服务中标单位法人代表，并要求出具书面整改报告。当年累计3次或合同服务期内累计5次考评等次不合格，由</w:t>
      </w:r>
      <w:r>
        <w:rPr>
          <w:rFonts w:hint="eastAsia" w:ascii="仿宋" w:hAnsi="仿宋" w:eastAsia="仿宋" w:cs="仿宋"/>
          <w:bCs/>
          <w:color w:val="auto"/>
          <w:sz w:val="24"/>
          <w:highlight w:val="none"/>
        </w:rPr>
        <w:t>执法局</w:t>
      </w:r>
      <w:r>
        <w:rPr>
          <w:rFonts w:hint="eastAsia" w:ascii="仿宋" w:hAnsi="仿宋" w:eastAsia="仿宋" w:cs="仿宋"/>
          <w:color w:val="auto"/>
          <w:spacing w:val="-6"/>
          <w:sz w:val="24"/>
          <w:highlight w:val="none"/>
        </w:rPr>
        <w:t>召集考评成员单位约谈环卫服务中标单位法人代表，并以书面形式解除环卫服务合同。因此造成的损失，由环卫服务中标单位承担。</w:t>
      </w:r>
    </w:p>
    <w:p w14:paraId="526C63A4">
      <w:pPr>
        <w:pStyle w:val="12"/>
        <w:rPr>
          <w:rFonts w:ascii="仿宋" w:hAnsi="仿宋" w:eastAsia="仿宋" w:cs="仿宋"/>
          <w:color w:val="auto"/>
          <w:highlight w:val="none"/>
        </w:rPr>
      </w:pPr>
    </w:p>
    <w:p w14:paraId="2EDF9D43">
      <w:pPr>
        <w:spacing w:line="400" w:lineRule="exact"/>
        <w:ind w:firstLine="480"/>
        <w:rPr>
          <w:rFonts w:ascii="仿宋" w:hAnsi="仿宋" w:eastAsia="仿宋" w:cs="仿宋"/>
          <w:color w:val="auto"/>
          <w:sz w:val="24"/>
          <w:highlight w:val="none"/>
        </w:rPr>
      </w:pPr>
    </w:p>
    <w:p w14:paraId="0269CBAD">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第五章  承包经费</w:t>
      </w:r>
    </w:p>
    <w:p w14:paraId="36C0B45E">
      <w:pPr>
        <w:spacing w:line="400" w:lineRule="exact"/>
        <w:ind w:firstLine="480"/>
        <w:rPr>
          <w:rFonts w:ascii="仿宋" w:hAnsi="仿宋" w:eastAsia="仿宋" w:cs="仿宋"/>
          <w:b/>
          <w:color w:val="auto"/>
          <w:sz w:val="24"/>
          <w:highlight w:val="none"/>
        </w:rPr>
      </w:pPr>
      <w:r>
        <w:rPr>
          <w:rFonts w:hint="eastAsia" w:ascii="仿宋" w:hAnsi="仿宋" w:eastAsia="仿宋" w:cs="仿宋"/>
          <w:b/>
          <w:bCs/>
          <w:color w:val="auto"/>
          <w:sz w:val="24"/>
          <w:highlight w:val="none"/>
        </w:rPr>
        <w:t xml:space="preserve">第十条 </w:t>
      </w:r>
      <w:r>
        <w:rPr>
          <w:rFonts w:hint="eastAsia" w:ascii="仿宋" w:hAnsi="仿宋" w:eastAsia="仿宋" w:cs="仿宋"/>
          <w:color w:val="auto"/>
          <w:sz w:val="24"/>
          <w:highlight w:val="none"/>
        </w:rPr>
        <w:t xml:space="preserve"> 本合同总承包金额为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万元，按承包期平均每年总承包金额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万元，每月承包金额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b/>
          <w:color w:val="auto"/>
          <w:sz w:val="24"/>
          <w:highlight w:val="none"/>
        </w:rPr>
        <w:t>。</w:t>
      </w:r>
    </w:p>
    <w:p w14:paraId="7D6DA86C">
      <w:pPr>
        <w:spacing w:line="400" w:lineRule="exact"/>
        <w:ind w:left="120" w:leftChars="57" w:firstLine="361" w:firstLineChars="15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第十一条 </w:t>
      </w:r>
      <w:r>
        <w:rPr>
          <w:rFonts w:hint="eastAsia" w:ascii="仿宋" w:hAnsi="仿宋" w:eastAsia="仿宋" w:cs="仿宋"/>
          <w:color w:val="auto"/>
          <w:sz w:val="24"/>
          <w:highlight w:val="none"/>
        </w:rPr>
        <w:t xml:space="preserve"> 在承包期内，甲方按考评结果在次月的</w:t>
      </w:r>
      <w:r>
        <w:rPr>
          <w:rFonts w:hint="eastAsia" w:ascii="仿宋" w:hAnsi="仿宋" w:eastAsia="仿宋" w:cs="仿宋"/>
          <w:color w:val="auto"/>
          <w:sz w:val="24"/>
          <w:highlight w:val="none"/>
          <w:u w:val="single"/>
        </w:rPr>
        <w:t>15</w:t>
      </w:r>
      <w:r>
        <w:rPr>
          <w:rFonts w:hint="eastAsia" w:ascii="仿宋" w:hAnsi="仿宋" w:eastAsia="仿宋" w:cs="仿宋"/>
          <w:color w:val="auto"/>
          <w:sz w:val="24"/>
          <w:highlight w:val="none"/>
        </w:rPr>
        <w:t>日前，将上月应支付给乙方的实际应发承包款汇到乙方指定的账户（账户信息：</w:t>
      </w:r>
      <w:r>
        <w:rPr>
          <w:rFonts w:hint="eastAsia" w:ascii="仿宋" w:hAnsi="仿宋" w:eastAsia="仿宋" w:cs="仿宋"/>
          <w:color w:val="auto"/>
          <w:sz w:val="24"/>
          <w:highlight w:val="none"/>
          <w:u w:val="single"/>
        </w:rPr>
        <w:t xml:space="preserve">  填写开户银行名称、开户名称、账号信息等  </w:t>
      </w:r>
      <w:r>
        <w:rPr>
          <w:rFonts w:hint="eastAsia" w:ascii="仿宋" w:hAnsi="仿宋" w:eastAsia="仿宋" w:cs="仿宋"/>
          <w:color w:val="auto"/>
          <w:sz w:val="24"/>
          <w:highlight w:val="none"/>
        </w:rPr>
        <w:t>）（遇法定公休节假日顺延）。乙方每月30日前上报当月用工情况并把当月工资表报甲方留档。</w:t>
      </w:r>
    </w:p>
    <w:p w14:paraId="2CEEB559">
      <w:pPr>
        <w:spacing w:line="400" w:lineRule="exact"/>
        <w:ind w:firstLine="472" w:firstLineChars="196"/>
        <w:rPr>
          <w:rFonts w:ascii="仿宋" w:hAnsi="仿宋" w:eastAsia="仿宋" w:cs="仿宋"/>
          <w:b/>
          <w:color w:val="auto"/>
          <w:sz w:val="24"/>
          <w:highlight w:val="none"/>
        </w:rPr>
      </w:pPr>
      <w:r>
        <w:rPr>
          <w:rFonts w:hint="eastAsia" w:ascii="仿宋" w:hAnsi="仿宋" w:eastAsia="仿宋" w:cs="仿宋"/>
          <w:b/>
          <w:bCs/>
          <w:color w:val="auto"/>
          <w:sz w:val="24"/>
          <w:highlight w:val="none"/>
        </w:rPr>
        <w:t>第十二条</w:t>
      </w:r>
      <w:r>
        <w:rPr>
          <w:rFonts w:hint="eastAsia" w:ascii="仿宋" w:hAnsi="仿宋" w:eastAsia="仿宋" w:cs="仿宋"/>
          <w:color w:val="auto"/>
          <w:sz w:val="24"/>
          <w:highlight w:val="none"/>
        </w:rPr>
        <w:t xml:space="preserve">  承包总金额实行包干制，包干内容包括员工工资、劳保、社保、公积金、医保、风险金、福利奖金、税费、人身意外保险及各种补贴，各种突击性劳动及日常加班费，各种材料费、燃料费、水、电费，各种工具、设备维修费及折旧费、行政管理费等，以及合理利润。</w:t>
      </w:r>
    </w:p>
    <w:p w14:paraId="15ABA899">
      <w:pPr>
        <w:spacing w:line="400" w:lineRule="exact"/>
        <w:jc w:val="center"/>
        <w:rPr>
          <w:rFonts w:ascii="仿宋" w:hAnsi="仿宋" w:eastAsia="仿宋" w:cs="仿宋"/>
          <w:b/>
          <w:bCs/>
          <w:color w:val="auto"/>
          <w:sz w:val="24"/>
          <w:highlight w:val="none"/>
        </w:rPr>
      </w:pPr>
    </w:p>
    <w:p w14:paraId="1EDEDA5B">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第六章  双方权利义务</w:t>
      </w:r>
    </w:p>
    <w:p w14:paraId="2034DFC1">
      <w:pPr>
        <w:spacing w:line="400" w:lineRule="exact"/>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第十三条</w:t>
      </w:r>
      <w:r>
        <w:rPr>
          <w:rFonts w:hint="eastAsia" w:ascii="仿宋" w:hAnsi="仿宋" w:eastAsia="仿宋" w:cs="仿宋"/>
          <w:color w:val="auto"/>
          <w:sz w:val="24"/>
          <w:highlight w:val="none"/>
        </w:rPr>
        <w:t xml:space="preserve">  甲方权利义务 </w:t>
      </w:r>
    </w:p>
    <w:p w14:paraId="27A94188">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检查考评结果作为每月发放给乙方承包费用的依据，甲方按约定支付承包经费。</w:t>
      </w:r>
    </w:p>
    <w:p w14:paraId="48469C5A">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14:paraId="7477E501">
      <w:pPr>
        <w:spacing w:line="400" w:lineRule="exact"/>
        <w:ind w:firstLine="480"/>
        <w:rPr>
          <w:rFonts w:ascii="仿宋" w:hAnsi="仿宋" w:eastAsia="仿宋" w:cs="仿宋"/>
          <w:color w:val="auto"/>
          <w:spacing w:val="-6"/>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6"/>
          <w:sz w:val="24"/>
          <w:highlight w:val="none"/>
        </w:rPr>
        <w:t>甲方有权协同劳动监察部门对乙方用工情况进行检查，有权要求乙方按招标要求保障作业人员的福利待遇。甲方不承担任何由于乙方未办理员工劳动关系由此而产生的纠纷等责任。</w:t>
      </w:r>
    </w:p>
    <w:p w14:paraId="01328F1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4、甲方不提供办公场所、车辆停车场，若乙方租用甲方办公场所、停车场 ，甲方按市场价收取乙方租赁费用。</w:t>
      </w:r>
    </w:p>
    <w:p w14:paraId="0FDA11D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5、遇重大活动或检查突击任务需要时，甲方应及时通知乙方做好重点保洁保障工作。</w:t>
      </w:r>
    </w:p>
    <w:p w14:paraId="17DA45D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6、甲方应积极协助乙方解决在承包期内出现的相关问题。</w:t>
      </w:r>
    </w:p>
    <w:p w14:paraId="22E453F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第十四条  </w:t>
      </w:r>
      <w:r>
        <w:rPr>
          <w:rFonts w:hint="eastAsia" w:ascii="仿宋" w:hAnsi="仿宋" w:eastAsia="仿宋" w:cs="仿宋"/>
          <w:color w:val="auto"/>
          <w:sz w:val="24"/>
          <w:highlight w:val="none"/>
        </w:rPr>
        <w:t>乙方权利义务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1、在承包期内，乙方有权在每月15日向甲方开具</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税票领取上月的实额应发承包费</w:t>
      </w:r>
      <w:r>
        <w:rPr>
          <w:rFonts w:hint="eastAsia" w:ascii="仿宋" w:hAnsi="仿宋" w:eastAsia="仿宋" w:cs="仿宋"/>
          <w:b/>
          <w:bCs/>
          <w:color w:val="auto"/>
          <w:sz w:val="24"/>
          <w:highlight w:val="none"/>
          <w:lang w:eastAsia="zh-CN"/>
        </w:rPr>
        <w:t>（乙方提供的税票应该在项目所在地税务局开具，即要求项目中标人的营业税缴纳在项目所在地）</w:t>
      </w:r>
      <w:r>
        <w:rPr>
          <w:rFonts w:hint="eastAsia" w:ascii="仿宋" w:hAnsi="仿宋" w:eastAsia="仿宋" w:cs="仿宋"/>
          <w:color w:val="auto"/>
          <w:sz w:val="24"/>
          <w:highlight w:val="none"/>
        </w:rPr>
        <w:t>。</w:t>
      </w:r>
    </w:p>
    <w:p w14:paraId="13514E15">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2、乙方必须依照本合同规定的作业形式、作业质量标准及行业有关作业规范、作业质量标准，按时、保质、保量完成所承包作业项目范围、承包事项的工作。</w:t>
      </w:r>
    </w:p>
    <w:p w14:paraId="07221EA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3、乙方及其雇用的员工应严格遵守国家的法律、法规，如果乙方及其所雇用的工人违反法律、法规和相关规定，所造成的后果由其自行负责，与甲方无关。</w:t>
      </w:r>
    </w:p>
    <w:p w14:paraId="0667C53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必须根据国家、自治区、崇左市和本县环卫行政主管部门、环卫专业管理部门颁布的各项环卫作业规范、安全规范、质量标准，建立自身的运营管理机制和质量检查机制、实行自查自纠，并每月30日前书面向环卫专业管理部门通报执行合同情况；若出现严重的质量问题或安全事故，在采取措施补救的同时，当日应向甲方及其市环卫专业管理部门报告；若出现紧急事故，应在马上报告环卫行政主管部门。</w:t>
      </w:r>
    </w:p>
    <w:p w14:paraId="6FD176D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必须按国家的劳动法律法规规定与企业员工确立合法的劳资关系，签定用工劳务合同，为企业员工办理养老、医疗等基本社会保险和公积金，并购买雇主责任险。乙方与工人签定的用工劳务合同及人身意外保险手续应送甲方备案。若员工发生事故，必须按有关规定处理，一切经济损失和各项费用由乙方自理。</w:t>
      </w:r>
    </w:p>
    <w:p w14:paraId="5AEE6B05">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须按时支付作业人员工资，作业人员工资不得低于当地最低环卫工人工资标准，资福利标准不得低于现甲方发放的同工种同岗位工资福利水平。乙方不得以压低用工人员工资或加大用工人员工作量以提高企业利润。</w:t>
      </w:r>
    </w:p>
    <w:p w14:paraId="407E727F">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7、乙方有义务参加甲方通知的相关作业会议，通报作业情况，完善作业措施，提高作业水平。</w:t>
      </w:r>
    </w:p>
    <w:p w14:paraId="0EEC62B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乙方必须自觉接受甲方及其各级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w:t>
      </w:r>
    </w:p>
    <w:p w14:paraId="02B2A56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9、乙方必须对企业员工进行道德教育和工作培训。教育职工严格遵守国家法律法规及环卫作业操作规程。作业人员应经环卫专业培训后方可上岗作业。</w:t>
      </w:r>
    </w:p>
    <w:p w14:paraId="02DAEC9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10、乙方签订合同后需向甲方环卫管理主管部门申请办理服务许可证。</w:t>
      </w:r>
    </w:p>
    <w:p w14:paraId="6681A4D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11、乙方应不断提高企业管理水平和作业能力，提高企业运营管理实力，保持、提高环卫作业资信等级，并按时向环卫作业资信等级审查机构办理年检。</w:t>
      </w:r>
    </w:p>
    <w:p w14:paraId="335F38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12、乙方有权对甲方人员在检查考评乙方作业质量过程中的违规行为向甲方行政主管部门或市级环卫行政主管部门举报。</w:t>
      </w:r>
    </w:p>
    <w:p w14:paraId="592B134F">
      <w:pPr>
        <w:pStyle w:val="12"/>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13、未经甲方同意，乙方不得擅自在龙州县接手其他环卫业务（公开招标的除外）</w:t>
      </w:r>
    </w:p>
    <w:p w14:paraId="7221624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14、未经甲方同意，乙方不得擅自将所承包的合同转让给他人，或肢解分包给他人。</w:t>
      </w:r>
    </w:p>
    <w:p w14:paraId="7E1CF25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乙方需在项目所在地缴纳营业税</w:t>
      </w:r>
      <w:r>
        <w:rPr>
          <w:rFonts w:hint="eastAsia" w:ascii="仿宋" w:hAnsi="仿宋" w:eastAsia="仿宋" w:cs="仿宋"/>
          <w:color w:val="auto"/>
          <w:sz w:val="24"/>
          <w:highlight w:val="none"/>
        </w:rPr>
        <w:t>。</w:t>
      </w:r>
    </w:p>
    <w:p w14:paraId="7354218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16、乙方必须在每月15日前向甲方提供上月工资表、购买社保及公积金（如有）的相关资料。</w:t>
      </w:r>
    </w:p>
    <w:p w14:paraId="30C7B7D5">
      <w:pPr>
        <w:spacing w:line="400" w:lineRule="exact"/>
        <w:ind w:left="-95" w:leftChars="-229" w:hanging="386" w:hangingChars="160"/>
        <w:jc w:val="center"/>
        <w:rPr>
          <w:rFonts w:ascii="仿宋" w:hAnsi="仿宋" w:eastAsia="仿宋" w:cs="仿宋"/>
          <w:b/>
          <w:color w:val="auto"/>
          <w:sz w:val="24"/>
          <w:highlight w:val="none"/>
        </w:rPr>
      </w:pPr>
    </w:p>
    <w:p w14:paraId="7BC3E023">
      <w:pPr>
        <w:tabs>
          <w:tab w:val="left" w:pos="1560"/>
        </w:tabs>
        <w:spacing w:afterLines="50" w:line="480" w:lineRule="exact"/>
        <w:jc w:val="center"/>
        <w:rPr>
          <w:rFonts w:ascii="仿宋" w:hAnsi="仿宋" w:eastAsia="仿宋" w:cs="仿宋"/>
          <w:b/>
          <w:bCs/>
          <w:color w:val="auto"/>
          <w:sz w:val="28"/>
          <w:szCs w:val="28"/>
          <w:highlight w:val="none"/>
        </w:rPr>
      </w:pPr>
    </w:p>
    <w:p w14:paraId="0EB08301">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第七章  违约处理及合同解除</w:t>
      </w:r>
    </w:p>
    <w:p w14:paraId="1D08726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第十五条</w:t>
      </w:r>
      <w:r>
        <w:rPr>
          <w:rFonts w:hint="eastAsia" w:ascii="仿宋" w:hAnsi="仿宋" w:eastAsia="仿宋" w:cs="仿宋"/>
          <w:color w:val="auto"/>
          <w:sz w:val="24"/>
          <w:highlight w:val="none"/>
        </w:rPr>
        <w:t xml:space="preserve">  乙方违反本合同第十二条第四款的约定，乙方隐瞒不报，及导致发生重大质量事故和安全事故的，依据情节严重程度，甲方在取得行政主管部门的同意后，有权临时接管乙方承包的项目，并解除合同，由此造成的损失由乙方承担。</w:t>
      </w:r>
    </w:p>
    <w:p w14:paraId="2CC39292">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第十六条</w:t>
      </w:r>
      <w:r>
        <w:rPr>
          <w:rFonts w:hint="eastAsia" w:ascii="仿宋" w:hAnsi="仿宋" w:eastAsia="仿宋" w:cs="仿宋"/>
          <w:color w:val="auto"/>
          <w:sz w:val="24"/>
          <w:highlight w:val="none"/>
        </w:rPr>
        <w:t xml:space="preserve">  乙方违反本合同第二十条第五款的规定，未与员工签订劳务合同或者未按规定为员工购买社保的，当年考评定为不合格，造成员工群体事件的本合同即行终止。</w:t>
      </w:r>
    </w:p>
    <w:p w14:paraId="0C22CE4D">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第十七条</w:t>
      </w:r>
      <w:r>
        <w:rPr>
          <w:rFonts w:hint="eastAsia" w:ascii="仿宋" w:hAnsi="仿宋" w:eastAsia="仿宋" w:cs="仿宋"/>
          <w:color w:val="auto"/>
          <w:sz w:val="24"/>
          <w:highlight w:val="none"/>
        </w:rPr>
        <w:t xml:space="preserve">  乙方违反本合同第十二条第六款的规定，当年考评定为不合格，造成员工群体事件的本合同即行终止。</w:t>
      </w:r>
    </w:p>
    <w:p w14:paraId="7FAAD4B1">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第十八条</w:t>
      </w:r>
      <w:r>
        <w:rPr>
          <w:rFonts w:hint="eastAsia" w:ascii="仿宋" w:hAnsi="仿宋" w:eastAsia="仿宋" w:cs="仿宋"/>
          <w:color w:val="auto"/>
          <w:sz w:val="24"/>
          <w:highlight w:val="none"/>
        </w:rPr>
        <w:t xml:space="preserve">  乙方违反本合同第十二条第八款的规定，如遇突发事件或重大活动的突击任务，乙方不服从安排，甲方可将其作为不良记录上报环卫作业资信等级审查机构和服务许可审批机构，一年中如不服从安排达三次以上的，甲方将有权解除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由此造成的损失由乙方承担。</w:t>
      </w:r>
    </w:p>
    <w:p w14:paraId="35278A32">
      <w:pPr>
        <w:spacing w:line="400" w:lineRule="exact"/>
        <w:ind w:firstLine="482"/>
        <w:rPr>
          <w:rFonts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bCs/>
          <w:color w:val="auto"/>
          <w:sz w:val="24"/>
          <w:highlight w:val="none"/>
        </w:rPr>
        <w:t>十九条</w:t>
      </w:r>
      <w:r>
        <w:rPr>
          <w:rFonts w:hint="eastAsia" w:ascii="仿宋" w:hAnsi="仿宋" w:eastAsia="仿宋" w:cs="仿宋"/>
          <w:color w:val="auto"/>
          <w:sz w:val="24"/>
          <w:highlight w:val="none"/>
        </w:rPr>
        <w:t>乙方违反本合同第十二条第十款的规定，如由于乙方的原因不办理或无法取得服务许可，导致乙方不能从事环卫作业项目服务的，甲方有权解除合同，乙方应赔偿甲方由此产生的经济损失。</w:t>
      </w:r>
    </w:p>
    <w:p w14:paraId="49430BBF">
      <w:pPr>
        <w:spacing w:line="400" w:lineRule="exact"/>
        <w:ind w:left="-166" w:leftChars="-79" w:firstLine="602" w:firstLineChars="25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第二十条   </w:t>
      </w:r>
      <w:r>
        <w:rPr>
          <w:rFonts w:hint="eastAsia" w:ascii="仿宋" w:hAnsi="仿宋" w:eastAsia="仿宋" w:cs="仿宋"/>
          <w:color w:val="auto"/>
          <w:sz w:val="24"/>
          <w:highlight w:val="none"/>
        </w:rPr>
        <w:t>乙方违反本合同第二十条第十三款的规定，甲方有权要求乙方按违规金额支付违约金，对甲方造成重大损失的当年考评定为不合格。经公开招标的项目需将垃圾运到甲方转运站的，需与甲方签订补充协议并按物价局的标准向甲方缴纳垃圾代运费。</w:t>
      </w:r>
    </w:p>
    <w:p w14:paraId="1706D6E0">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第二十一条  </w:t>
      </w:r>
      <w:r>
        <w:rPr>
          <w:rFonts w:hint="eastAsia" w:ascii="仿宋" w:hAnsi="仿宋" w:eastAsia="仿宋" w:cs="仿宋"/>
          <w:color w:val="auto"/>
          <w:sz w:val="24"/>
          <w:highlight w:val="none"/>
        </w:rPr>
        <w:t>甲乙双方任何一方无法律依据提前终止合同或违反合同义务性规定又拒不整改履行的，造成对方经济损失的，应给予经济赔偿。</w:t>
      </w:r>
    </w:p>
    <w:p w14:paraId="6AF0D18F">
      <w:pPr>
        <w:spacing w:line="400" w:lineRule="exact"/>
        <w:ind w:left="-166" w:leftChars="-79" w:firstLine="602" w:firstLineChars="250"/>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第二十二条  </w:t>
      </w:r>
      <w:r>
        <w:rPr>
          <w:rFonts w:hint="eastAsia" w:ascii="仿宋" w:hAnsi="仿宋" w:eastAsia="仿宋" w:cs="仿宋"/>
          <w:bCs/>
          <w:color w:val="auto"/>
          <w:sz w:val="24"/>
          <w:highlight w:val="none"/>
        </w:rPr>
        <w:t xml:space="preserve">甲乙双方在履行合同期内，出现以下情形之一的，甲方有权予以处理并可以解除合同。 </w:t>
      </w:r>
    </w:p>
    <w:p w14:paraId="4EB70B71">
      <w:pPr>
        <w:spacing w:line="400" w:lineRule="exact"/>
        <w:ind w:left="-166" w:leftChars="-79" w:firstLine="600" w:firstLineChars="250"/>
        <w:rPr>
          <w:rFonts w:ascii="仿宋" w:hAnsi="仿宋" w:eastAsia="仿宋" w:cs="仿宋"/>
          <w:b/>
          <w:color w:val="auto"/>
          <w:sz w:val="24"/>
          <w:highlight w:val="none"/>
        </w:rPr>
      </w:pPr>
      <w:r>
        <w:rPr>
          <w:rFonts w:hint="eastAsia" w:ascii="仿宋" w:hAnsi="仿宋" w:eastAsia="仿宋" w:cs="仿宋"/>
          <w:color w:val="auto"/>
          <w:sz w:val="24"/>
          <w:highlight w:val="none"/>
        </w:rPr>
        <w:t>1、当年累计3次或合同服务期内累计5次考评等次不合格，以及在重大活动期间因清扫保洁不到位造成重大恶劣影响的，甲方有权解除合同，由此造成的损失由乙方负责。</w:t>
      </w:r>
    </w:p>
    <w:p w14:paraId="57F0802B">
      <w:pPr>
        <w:tabs>
          <w:tab w:val="left" w:pos="2265"/>
          <w:tab w:val="left" w:pos="5985"/>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2、乙方工人发生群体性上访事件（5人以上）或发生罢工事件，乙方未及时处理，并造成严重后果或社会影响极为恶劣的，甲方有权取消其承包资格，解除合同，由此造成的损失由乙方负责。</w:t>
      </w:r>
    </w:p>
    <w:p w14:paraId="2EF97470">
      <w:pPr>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3、乙方须按投标文件的承诺投入人员，投入人员数达不到承诺人数的90％的，甲方将按乙方实际用工人数比例拨付承包经费（乙方采用机械化等先进作业手段提高工作效率，确实需要核减用工的须向甲方书面报批才能实施，实施后达不到质量要求的必须恢复报批前的用工人数）；若乙方一年内累计三个月达不到核定人数的80％或者用工总数购买五险的比例达不到75%的，甲方有权解除合同。作业人员应经环境卫生专业培训后方可上岗作业。</w:t>
      </w:r>
    </w:p>
    <w:p w14:paraId="0F12C5F4">
      <w:pPr>
        <w:spacing w:line="400" w:lineRule="exact"/>
        <w:ind w:firstLine="482"/>
        <w:rPr>
          <w:rFonts w:ascii="仿宋" w:hAnsi="仿宋" w:eastAsia="仿宋" w:cs="仿宋"/>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color w:val="auto"/>
          <w:sz w:val="24"/>
          <w:highlight w:val="none"/>
        </w:rPr>
        <w:t>乙方违反本合同第二十条第十四款的规定，将承包的合同转包或肢解分包给他人，甲方有权解除合同，乙方应赔偿甲方由此产生的经济损失。</w:t>
      </w:r>
    </w:p>
    <w:p w14:paraId="704B4FE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第二十三条</w:t>
      </w:r>
      <w:r>
        <w:rPr>
          <w:rFonts w:hint="eastAsia" w:ascii="仿宋" w:hAnsi="仿宋" w:eastAsia="仿宋" w:cs="仿宋"/>
          <w:color w:val="auto"/>
          <w:sz w:val="24"/>
          <w:highlight w:val="none"/>
        </w:rPr>
        <w:t xml:space="preserve">  甲乙双方行使合同解除权，应当以书面通知形式通知对方。对方对解除合同通知有异议的，应于收到通知之日起30日内向人民法院提起诉讼。合同解除后双方应在三个工作日内交接工作，如双方发生争议协商不成应先移交工作再向人民法院提起诉讼。</w:t>
      </w:r>
    </w:p>
    <w:p w14:paraId="1BD51AA8">
      <w:pPr>
        <w:spacing w:line="400" w:lineRule="exact"/>
        <w:jc w:val="center"/>
        <w:rPr>
          <w:rFonts w:ascii="仿宋" w:hAnsi="仿宋" w:eastAsia="仿宋" w:cs="仿宋"/>
          <w:b/>
          <w:color w:val="auto"/>
          <w:sz w:val="24"/>
          <w:highlight w:val="none"/>
        </w:rPr>
      </w:pPr>
    </w:p>
    <w:p w14:paraId="765DADF8">
      <w:pPr>
        <w:tabs>
          <w:tab w:val="left" w:pos="1560"/>
        </w:tabs>
        <w:spacing w:afterLines="50"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第八章  合同的中断与终止</w:t>
      </w:r>
    </w:p>
    <w:p w14:paraId="00C70A63">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第二十四条</w:t>
      </w:r>
      <w:r>
        <w:rPr>
          <w:rFonts w:hint="eastAsia" w:ascii="仿宋" w:hAnsi="仿宋" w:eastAsia="仿宋" w:cs="仿宋"/>
          <w:color w:val="auto"/>
          <w:sz w:val="24"/>
          <w:highlight w:val="none"/>
        </w:rPr>
        <w:t xml:space="preserve">  由于政策的变化和其它甲乙双方之外的原因使合同不能继续履行，视为合同中断。合同中断后，乙方应妥善做好承包项目的移交工作，按甲方的要求做好善后清理等相关工作。甲方应为乙方撤离现场提供必要的条件，同时向政府申请赔偿乙方因合同中断所造成的直接经济损失。</w:t>
      </w:r>
    </w:p>
    <w:p w14:paraId="7C7FFD49">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第二十五条 </w:t>
      </w:r>
      <w:r>
        <w:rPr>
          <w:rFonts w:hint="eastAsia" w:ascii="仿宋" w:hAnsi="仿宋" w:eastAsia="仿宋" w:cs="仿宋"/>
          <w:color w:val="auto"/>
          <w:sz w:val="24"/>
          <w:highlight w:val="none"/>
        </w:rPr>
        <w:t>合同终止：（1）合同到期；（2）中标后，未经双方协商同意，承包者单方终止合同或将承包权转让给第三方；（3）因乙方的原因发生重大责任事故，如工人罢工、重要的活动安排不到位造成负面影响；（4）当年累计3次或合同服务期内累计5次考评等次不合格；（5）遇政策的改变或不可预测的特殊原因发包方需终止合同的，须提前一个月通知承包方，双方协商解决；（6）承包方如不按合同条款及国家法规规定支付工人工资或延期支付工人工资，或用人累计3月低于核定人员的80%（如承包方提高机械清扫率，通过机扫核减人员，需提前30天报方案并通过审批后方能实施），经核实，采购人有权单方面终止合同，并需提前一个月书面通知承包方；（8）若承包方单方面或其他原因终止合同，承包方须提前一个月书面通知采购人，并须在合同终止后24小时内与采购人进行交接，原则上采购人只接管符合要求的原路段环卫站工人。</w:t>
      </w:r>
    </w:p>
    <w:p w14:paraId="2149330F">
      <w:pPr>
        <w:spacing w:line="400" w:lineRule="exact"/>
        <w:ind w:firstLine="480" w:firstLineChars="200"/>
        <w:rPr>
          <w:rFonts w:ascii="仿宋" w:hAnsi="仿宋" w:eastAsia="仿宋" w:cs="仿宋"/>
          <w:color w:val="auto"/>
          <w:sz w:val="24"/>
          <w:highlight w:val="none"/>
        </w:rPr>
      </w:pPr>
    </w:p>
    <w:p w14:paraId="0FB928A0">
      <w:pPr>
        <w:tabs>
          <w:tab w:val="left" w:pos="1560"/>
        </w:tabs>
        <w:spacing w:afterLines="50" w:line="40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第九章  附则</w:t>
      </w:r>
    </w:p>
    <w:p w14:paraId="77E09930">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第二十六条</w:t>
      </w:r>
      <w:r>
        <w:rPr>
          <w:rFonts w:hint="eastAsia" w:ascii="仿宋" w:hAnsi="仿宋" w:eastAsia="仿宋" w:cs="仿宋"/>
          <w:color w:val="auto"/>
          <w:sz w:val="24"/>
          <w:highlight w:val="none"/>
        </w:rPr>
        <w:t xml:space="preserve">  双方约定自本合同生效之日起天内，根据甲方委托承包事项，办理接管验收手续。</w:t>
      </w:r>
    </w:p>
    <w:p w14:paraId="691F9B54">
      <w:pPr>
        <w:spacing w:line="400" w:lineRule="exact"/>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第二十七条</w:t>
      </w:r>
      <w:r>
        <w:rPr>
          <w:rFonts w:hint="eastAsia" w:ascii="仿宋" w:hAnsi="仿宋" w:eastAsia="仿宋" w:cs="仿宋"/>
          <w:color w:val="auto"/>
          <w:sz w:val="24"/>
          <w:highlight w:val="none"/>
        </w:rPr>
        <w:t xml:space="preserve">  双方可对本合同的条款进行补充，以书面形式签订补充协议，补充协议与合同具有同等效力。</w:t>
      </w:r>
    </w:p>
    <w:p w14:paraId="2929BCAB">
      <w:pPr>
        <w:spacing w:line="400" w:lineRule="exact"/>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第二十八条  </w:t>
      </w:r>
      <w:r>
        <w:rPr>
          <w:rFonts w:hint="eastAsia" w:ascii="仿宋" w:hAnsi="仿宋" w:eastAsia="仿宋" w:cs="仿宋"/>
          <w:color w:val="auto"/>
          <w:sz w:val="24"/>
          <w:highlight w:val="none"/>
        </w:rPr>
        <w:t>本合同之附件均为合同有效组成部分。本合同及其附件和补充协议中未规定的事宜，均遵照中华人民共和国有关法律、法规和规章执行。 </w:t>
      </w:r>
    </w:p>
    <w:p w14:paraId="0BDEE3D0">
      <w:pPr>
        <w:spacing w:line="400" w:lineRule="exact"/>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第二十九条</w:t>
      </w:r>
      <w:r>
        <w:rPr>
          <w:rFonts w:hint="eastAsia" w:ascii="仿宋" w:hAnsi="仿宋" w:eastAsia="仿宋" w:cs="仿宋"/>
          <w:color w:val="auto"/>
          <w:sz w:val="24"/>
          <w:highlight w:val="none"/>
        </w:rPr>
        <w:t xml:space="preserve">  本合同连同附件，一式五份，甲乙双方各执两份，当地环卫行政主管部门（或环卫专业管理部门）执一份，具有同等法律效力。</w:t>
      </w:r>
    </w:p>
    <w:p w14:paraId="2AAA9805">
      <w:pPr>
        <w:spacing w:line="400" w:lineRule="exact"/>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第三十条  </w:t>
      </w:r>
      <w:r>
        <w:rPr>
          <w:rFonts w:hint="eastAsia" w:ascii="仿宋" w:hAnsi="仿宋" w:eastAsia="仿宋" w:cs="仿宋"/>
          <w:color w:val="auto"/>
          <w:sz w:val="24"/>
          <w:highlight w:val="none"/>
        </w:rPr>
        <w:t>本合同执行期间，如遇不可抗力，致使合同无法履行时，双方应按有关法律规定及时协商处理。</w:t>
      </w:r>
    </w:p>
    <w:p w14:paraId="1B697531">
      <w:pPr>
        <w:spacing w:line="400" w:lineRule="exact"/>
        <w:ind w:firstLine="482"/>
        <w:rPr>
          <w:rFonts w:ascii="仿宋" w:hAnsi="仿宋" w:eastAsia="仿宋" w:cs="仿宋"/>
          <w:color w:val="auto"/>
          <w:sz w:val="24"/>
          <w:highlight w:val="none"/>
        </w:rPr>
      </w:pPr>
      <w:r>
        <w:rPr>
          <w:rFonts w:hint="eastAsia" w:ascii="仿宋" w:hAnsi="仿宋" w:eastAsia="仿宋" w:cs="仿宋"/>
          <w:b/>
          <w:bCs/>
          <w:color w:val="auto"/>
          <w:sz w:val="24"/>
          <w:highlight w:val="none"/>
        </w:rPr>
        <w:t>第三十一条</w:t>
      </w:r>
      <w:r>
        <w:rPr>
          <w:rFonts w:hint="eastAsia" w:ascii="仿宋" w:hAnsi="仿宋" w:eastAsia="仿宋" w:cs="仿宋"/>
          <w:color w:val="auto"/>
          <w:sz w:val="24"/>
          <w:highlight w:val="none"/>
        </w:rPr>
        <w:t xml:space="preserve">  本合同在履行中如发生争议，双方应协商解决，协商不成时，</w:t>
      </w:r>
      <w:r>
        <w:rPr>
          <w:rFonts w:hint="eastAsia" w:ascii="仿宋" w:hAnsi="仿宋" w:eastAsia="仿宋" w:cs="仿宋"/>
          <w:color w:val="auto"/>
          <w:sz w:val="24"/>
          <w:highlight w:val="none"/>
          <w:lang w:eastAsia="zh-CN"/>
        </w:rPr>
        <w:t>可以向合同履行地有管辖权的人民法院提起诉讼。</w:t>
      </w:r>
    </w:p>
    <w:p w14:paraId="37063CB0">
      <w:pPr>
        <w:spacing w:line="400" w:lineRule="exact"/>
        <w:ind w:firstLine="482"/>
        <w:rPr>
          <w:rFonts w:ascii="仿宋" w:hAnsi="仿宋" w:eastAsia="仿宋" w:cs="仿宋"/>
          <w:color w:val="auto"/>
          <w:sz w:val="28"/>
          <w:szCs w:val="28"/>
          <w:highlight w:val="none"/>
        </w:rPr>
      </w:pPr>
      <w:r>
        <w:rPr>
          <w:rFonts w:hint="eastAsia" w:ascii="仿宋" w:hAnsi="仿宋" w:eastAsia="仿宋" w:cs="仿宋"/>
          <w:b/>
          <w:bCs/>
          <w:color w:val="auto"/>
          <w:sz w:val="24"/>
          <w:highlight w:val="none"/>
        </w:rPr>
        <w:t>第三十</w:t>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本合同自签订之日起生效。</w:t>
      </w:r>
    </w:p>
    <w:p w14:paraId="47B02D18">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附件1  A分标/B分标标段划分范围、保洁工作范围及内容</w:t>
      </w:r>
    </w:p>
    <w:p w14:paraId="72979870">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附件2  A分标/B分 标环卫设施需求</w:t>
      </w:r>
    </w:p>
    <w:p w14:paraId="1FE4C274">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附件3  A分标/B分标 人员、车辆设备配置</w:t>
      </w:r>
    </w:p>
    <w:p w14:paraId="5DC80E89">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附件4  作业要求及标准</w:t>
      </w:r>
    </w:p>
    <w:p w14:paraId="2D67F23A">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附件5  其他要求</w:t>
      </w:r>
    </w:p>
    <w:p w14:paraId="7986C985">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附件6  清扫保洁和垃圾收集清运考评细则</w:t>
      </w:r>
    </w:p>
    <w:p w14:paraId="3702E2EA">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甲方名称（盖章）：　　　　　　　　　　乙方名称（盖章）： </w:t>
      </w:r>
    </w:p>
    <w:p w14:paraId="6F156E4D">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02F8322B">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或授权委托人(签字)：　　　　　　　　　或授权委托人(签字)：　</w:t>
      </w:r>
    </w:p>
    <w:p w14:paraId="00DB4FD6">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410FC136">
      <w:pPr>
        <w:pStyle w:val="12"/>
        <w:spacing w:line="40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14:paraId="73BDA58C">
      <w:pPr>
        <w:pStyle w:val="12"/>
        <w:spacing w:line="40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14:paraId="0A7CC7A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14:paraId="5CD56A61">
      <w:pPr>
        <w:tabs>
          <w:tab w:val="left" w:pos="5040"/>
        </w:tabs>
        <w:spacing w:line="400" w:lineRule="exact"/>
        <w:rPr>
          <w:rFonts w:ascii="仿宋" w:hAnsi="仿宋" w:eastAsia="仿宋" w:cs="仿宋"/>
          <w:color w:val="auto"/>
          <w:sz w:val="28"/>
          <w:szCs w:val="28"/>
          <w:highlight w:val="none"/>
        </w:rPr>
      </w:pPr>
    </w:p>
    <w:p w14:paraId="4C71B82E">
      <w:pPr>
        <w:ind w:firstLine="480" w:firstLineChars="200"/>
        <w:rPr>
          <w:rFonts w:ascii="仿宋" w:hAnsi="仿宋" w:eastAsia="仿宋" w:cs="仿宋"/>
          <w:color w:val="auto"/>
          <w:sz w:val="24"/>
          <w:highlight w:val="none"/>
        </w:rPr>
      </w:pPr>
      <w:bookmarkStart w:id="26" w:name="_Toc3457"/>
      <w:r>
        <w:rPr>
          <w:rFonts w:hint="eastAsia" w:ascii="仿宋" w:hAnsi="仿宋" w:eastAsia="仿宋" w:cs="仿宋"/>
          <w:color w:val="auto"/>
          <w:sz w:val="24"/>
          <w:highlight w:val="none"/>
        </w:rPr>
        <w:t>附件1  A分标/B分标标段划分范围、保洁工作范围及内容（详见服务采购需求）</w:t>
      </w:r>
    </w:p>
    <w:p w14:paraId="1E414417">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附件2  A分标/B分 标环卫设施需求（详见服务采购需求）</w:t>
      </w:r>
    </w:p>
    <w:p w14:paraId="334B8177">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附件3  A分标/B分标 人员、车辆设备配置（详见服务采购需求）</w:t>
      </w:r>
    </w:p>
    <w:p w14:paraId="49A953D4">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附件4  作业要求及标准（详见服务采购需求）</w:t>
      </w:r>
    </w:p>
    <w:p w14:paraId="3DEF5C0D">
      <w:pPr>
        <w:pStyle w:val="3"/>
        <w:spacing w:before="0" w:after="0" w:line="560" w:lineRule="exact"/>
        <w:ind w:left="420" w:firstLine="0" w:firstLineChars="0"/>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附件5  其他要求（详见服务采购需求）</w:t>
      </w:r>
    </w:p>
    <w:p w14:paraId="3966C172">
      <w:pPr>
        <w:rPr>
          <w:color w:val="auto"/>
          <w:highlight w:val="none"/>
        </w:rPr>
      </w:pPr>
    </w:p>
    <w:p w14:paraId="1A1D1554">
      <w:pPr>
        <w:pStyle w:val="3"/>
        <w:spacing w:before="0" w:after="0" w:line="560" w:lineRule="exact"/>
        <w:ind w:firstLine="480"/>
        <w:textAlignment w:val="baseline"/>
        <w:rPr>
          <w:rStyle w:val="41"/>
          <w:rFonts w:ascii="仿宋" w:hAnsi="仿宋" w:eastAsia="仿宋" w:cs="仿宋"/>
          <w:b w:val="0"/>
          <w:bCs w:val="0"/>
          <w:color w:val="auto"/>
          <w:szCs w:val="24"/>
          <w:highlight w:val="none"/>
        </w:rPr>
      </w:pPr>
      <w:r>
        <w:rPr>
          <w:rStyle w:val="41"/>
          <w:rFonts w:hint="eastAsia" w:ascii="仿宋" w:hAnsi="仿宋" w:eastAsia="仿宋" w:cs="仿宋"/>
          <w:b w:val="0"/>
          <w:bCs w:val="0"/>
          <w:color w:val="auto"/>
          <w:szCs w:val="24"/>
          <w:highlight w:val="none"/>
        </w:rPr>
        <w:t>附件6：项目考评细则</w:t>
      </w:r>
      <w:bookmarkEnd w:id="26"/>
    </w:p>
    <w:p w14:paraId="4ACE4386">
      <w:pPr>
        <w:pStyle w:val="3"/>
        <w:numPr>
          <w:ilvl w:val="0"/>
          <w:numId w:val="10"/>
        </w:numPr>
        <w:spacing w:before="0" w:after="0" w:line="560" w:lineRule="exact"/>
        <w:ind w:firstLineChars="0"/>
        <w:textAlignment w:val="baseline"/>
        <w:rPr>
          <w:rFonts w:ascii="仿宋" w:hAnsi="仿宋" w:eastAsia="仿宋" w:cs="仿宋"/>
          <w:b w:val="0"/>
          <w:bCs w:val="0"/>
          <w:color w:val="auto"/>
          <w:kern w:val="0"/>
          <w:sz w:val="24"/>
          <w:szCs w:val="24"/>
          <w:highlight w:val="none"/>
        </w:rPr>
      </w:pPr>
      <w:bookmarkStart w:id="27" w:name="_Toc8260"/>
      <w:r>
        <w:rPr>
          <w:rStyle w:val="41"/>
          <w:rFonts w:hint="eastAsia" w:ascii="仿宋" w:hAnsi="仿宋" w:eastAsia="仿宋" w:cs="仿宋"/>
          <w:b w:val="0"/>
          <w:bCs w:val="0"/>
          <w:color w:val="auto"/>
          <w:szCs w:val="24"/>
          <w:highlight w:val="none"/>
        </w:rPr>
        <w:t>考评时间和人员安排</w:t>
      </w:r>
      <w:bookmarkEnd w:id="27"/>
    </w:p>
    <w:p w14:paraId="2F0A3B8F">
      <w:pPr>
        <w:numPr>
          <w:ilvl w:val="0"/>
          <w:numId w:val="11"/>
        </w:numPr>
        <w:spacing w:line="4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考评时间：每月5号之前，具体日期由执法局确定。</w:t>
      </w:r>
    </w:p>
    <w:p w14:paraId="297233AC">
      <w:pPr>
        <w:numPr>
          <w:ilvl w:val="0"/>
          <w:numId w:val="11"/>
        </w:numPr>
        <w:spacing w:line="400" w:lineRule="exac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考评内容：参考考评细则，按实际调查情况分类别及科目打分。</w:t>
      </w:r>
    </w:p>
    <w:p w14:paraId="2FA5808E">
      <w:pPr>
        <w:pStyle w:val="12"/>
        <w:numPr>
          <w:ilvl w:val="0"/>
          <w:numId w:val="11"/>
        </w:numPr>
        <w:spacing w:before="156" w:after="156" w:line="400" w:lineRule="exact"/>
        <w:textAlignment w:val="baseline"/>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考评人员：从执法局、创城办、文明办、各物业公司、城中镇人民政府、城中镇各社区抽调。</w:t>
      </w:r>
    </w:p>
    <w:p w14:paraId="5A964108">
      <w:pPr>
        <w:pStyle w:val="12"/>
        <w:spacing w:before="156" w:after="156" w:line="400" w:lineRule="exact"/>
        <w:textAlignment w:val="baseline"/>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4、考评路线要求：由执法局牵头负责拟定线路和具体方案，其中主要街道不少于5公里，次干道不少于3公里，背街小巷随机不少于5处，考评社区不少于3个，考评周边行政村不少于2个。</w:t>
      </w:r>
    </w:p>
    <w:p w14:paraId="1F8D3E9C">
      <w:pPr>
        <w:pStyle w:val="12"/>
        <w:spacing w:before="156" w:after="156" w:line="400" w:lineRule="exact"/>
        <w:textAlignment w:val="baseline"/>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5、考评要求：抽调人员应服从安排，认真履行职责，对环卫保洁工作逐项打分，并将结果签字确认后，提交考评组负责人汇总。</w:t>
      </w:r>
    </w:p>
    <w:p w14:paraId="1CB57B15">
      <w:pPr>
        <w:spacing w:line="320" w:lineRule="exact"/>
        <w:rPr>
          <w:rFonts w:ascii="宋体" w:hAnsi="宋体"/>
          <w:color w:val="auto"/>
          <w:sz w:val="24"/>
          <w:highlight w:val="none"/>
        </w:rPr>
      </w:pPr>
    </w:p>
    <w:p w14:paraId="2815460E">
      <w:pPr>
        <w:spacing w:line="320" w:lineRule="exact"/>
        <w:rPr>
          <w:rFonts w:hint="eastAsia" w:ascii="宋体" w:hAnsi="宋体" w:cs="宋体"/>
          <w:color w:val="auto"/>
          <w:sz w:val="24"/>
          <w:highlight w:val="none"/>
          <w:lang w:val="zh-CN"/>
        </w:rPr>
      </w:pPr>
      <w:r>
        <w:rPr>
          <w:rFonts w:hint="eastAsia" w:ascii="宋体" w:hAnsi="宋体"/>
          <w:color w:val="auto"/>
          <w:sz w:val="24"/>
          <w:highlight w:val="none"/>
        </w:rPr>
        <w:t xml:space="preserve"> </w:t>
      </w:r>
      <w:r>
        <w:rPr>
          <w:rFonts w:hint="eastAsia" w:ascii="宋体" w:hAnsi="宋体" w:cs="宋体"/>
          <w:color w:val="auto"/>
          <w:sz w:val="24"/>
          <w:highlight w:val="none"/>
          <w:lang w:val="zh-CN"/>
        </w:rPr>
        <w:t>附件</w:t>
      </w:r>
    </w:p>
    <w:p w14:paraId="5EEB0CF1">
      <w:pPr>
        <w:spacing w:line="560" w:lineRule="exact"/>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龙州县城区道路清扫保洁绿化养护考核标准表</w:t>
      </w:r>
    </w:p>
    <w:tbl>
      <w:tblPr>
        <w:tblStyle w:val="20"/>
        <w:tblpPr w:leftFromText="180" w:rightFromText="180" w:vertAnchor="text" w:horzAnchor="page" w:tblpX="838" w:tblpY="5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428"/>
        <w:gridCol w:w="3852"/>
        <w:gridCol w:w="889"/>
      </w:tblGrid>
      <w:tr w14:paraId="4B24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vAlign w:val="center"/>
          </w:tcPr>
          <w:p w14:paraId="3F99A9D1">
            <w:pPr>
              <w:spacing w:line="360" w:lineRule="auto"/>
              <w:ind w:left="211"/>
              <w:rPr>
                <w:rFonts w:ascii="宋体" w:hAnsi="宋体" w:cs="宋体"/>
                <w:b/>
                <w:color w:val="auto"/>
                <w:szCs w:val="21"/>
                <w:highlight w:val="none"/>
                <w:lang w:val="zh-CN"/>
              </w:rPr>
            </w:pPr>
            <w:r>
              <w:rPr>
                <w:rFonts w:hint="eastAsia" w:ascii="宋体" w:hAnsi="宋体" w:cs="宋体"/>
                <w:b/>
                <w:color w:val="auto"/>
                <w:szCs w:val="21"/>
                <w:highlight w:val="none"/>
                <w:lang w:val="zh-CN"/>
              </w:rPr>
              <w:t>项目</w:t>
            </w:r>
          </w:p>
        </w:tc>
        <w:tc>
          <w:tcPr>
            <w:tcW w:w="4428" w:type="dxa"/>
            <w:vAlign w:val="center"/>
          </w:tcPr>
          <w:p w14:paraId="7F77A4B5">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质量要求</w:t>
            </w:r>
          </w:p>
        </w:tc>
        <w:tc>
          <w:tcPr>
            <w:tcW w:w="3852" w:type="dxa"/>
            <w:vAlign w:val="center"/>
          </w:tcPr>
          <w:p w14:paraId="71896627">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考核标准</w:t>
            </w:r>
          </w:p>
        </w:tc>
        <w:tc>
          <w:tcPr>
            <w:tcW w:w="889" w:type="dxa"/>
            <w:vAlign w:val="center"/>
          </w:tcPr>
          <w:p w14:paraId="65A7C404">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775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vMerge w:val="restart"/>
            <w:tcBorders>
              <w:top w:val="single" w:color="auto" w:sz="4" w:space="0"/>
              <w:left w:val="single" w:color="auto" w:sz="4" w:space="0"/>
              <w:bottom w:val="single" w:color="auto" w:sz="4" w:space="0"/>
              <w:right w:val="single" w:color="auto" w:sz="4" w:space="0"/>
            </w:tcBorders>
            <w:vAlign w:val="center"/>
          </w:tcPr>
          <w:p w14:paraId="7DD79A8A">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清扫</w:t>
            </w:r>
          </w:p>
          <w:p w14:paraId="251C38BF">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保洁</w:t>
            </w:r>
          </w:p>
          <w:p w14:paraId="6AE1137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收集</w:t>
            </w:r>
          </w:p>
        </w:tc>
        <w:tc>
          <w:tcPr>
            <w:tcW w:w="4428" w:type="dxa"/>
            <w:tcBorders>
              <w:top w:val="single" w:color="auto" w:sz="4" w:space="0"/>
              <w:left w:val="single" w:color="auto" w:sz="4" w:space="0"/>
              <w:bottom w:val="single" w:color="auto" w:sz="4" w:space="0"/>
              <w:right w:val="single" w:color="auto" w:sz="4" w:space="0"/>
            </w:tcBorders>
          </w:tcPr>
          <w:p w14:paraId="7C9EF87C">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1、确保每天2次普扫</w:t>
            </w:r>
            <w:r>
              <w:rPr>
                <w:rFonts w:hint="eastAsia" w:ascii="宋体" w:hAnsi="宋体" w:cs="宋体"/>
                <w:color w:val="auto"/>
                <w:kern w:val="0"/>
                <w:szCs w:val="21"/>
                <w:highlight w:val="none"/>
              </w:rPr>
              <w:t>，夏季5：30，15：45完成。冬季6：00，15：00完成</w:t>
            </w:r>
            <w:r>
              <w:rPr>
                <w:rFonts w:hint="eastAsia" w:ascii="宋体" w:hAnsi="宋体" w:cs="宋体"/>
                <w:color w:val="auto"/>
                <w:szCs w:val="21"/>
                <w:highlight w:val="none"/>
                <w:lang w:val="zh-CN"/>
              </w:rPr>
              <w:t>。</w:t>
            </w:r>
          </w:p>
          <w:p w14:paraId="27F9B9D2">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2、普扫质量须达到“六无”、“五净”标准，既无垃圾堆积，无果皮、纸屑、痰迹烟蒂，无砖瓦石块，无污泥积水，无人畜粪便，无撒泼食物；路面净，人行道净，排水口净，边角、果壳箱净等环卫设施整齐干净，路面基本见本色。</w:t>
            </w:r>
          </w:p>
          <w:p w14:paraId="06A195D8">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3、小街小巷两边所有的居民户生活垃圾每天上午收集清运一次，不能少收漏收。</w:t>
            </w:r>
          </w:p>
        </w:tc>
        <w:tc>
          <w:tcPr>
            <w:tcW w:w="3852" w:type="dxa"/>
            <w:tcBorders>
              <w:top w:val="single" w:color="auto" w:sz="4" w:space="0"/>
              <w:left w:val="single" w:color="auto" w:sz="4" w:space="0"/>
              <w:bottom w:val="single" w:color="auto" w:sz="4" w:space="0"/>
              <w:right w:val="single" w:color="auto" w:sz="4" w:space="0"/>
            </w:tcBorders>
          </w:tcPr>
          <w:p w14:paraId="0A395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1、在规定时间内未完成普扫的每500m</w:t>
            </w:r>
            <w:r>
              <w:rPr>
                <w:rFonts w:hint="eastAsia" w:ascii="宋体" w:hAnsi="宋体" w:cs="宋体"/>
                <w:b/>
                <w:bCs/>
                <w:color w:val="auto"/>
                <w:szCs w:val="21"/>
                <w:highlight w:val="none"/>
                <w:vertAlign w:val="superscript"/>
                <w:lang w:val="zh-CN"/>
              </w:rPr>
              <w:t>2</w:t>
            </w:r>
            <w:r>
              <w:rPr>
                <w:rFonts w:hint="eastAsia" w:ascii="宋体" w:hAnsi="宋体" w:cs="宋体"/>
                <w:color w:val="auto"/>
                <w:szCs w:val="21"/>
                <w:highlight w:val="none"/>
                <w:lang w:val="zh-CN"/>
              </w:rPr>
              <w:t>扣2分；</w:t>
            </w:r>
          </w:p>
          <w:p w14:paraId="40AF31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2、普扫质量未达到标准的以10米为单位一次扣1分；</w:t>
            </w:r>
          </w:p>
          <w:p w14:paraId="1BC779BD">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3、卫生死角发现一处扣3分；</w:t>
            </w:r>
          </w:p>
          <w:p w14:paraId="62CD10C1">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4、每漏收一户扣1分。</w:t>
            </w:r>
          </w:p>
        </w:tc>
        <w:tc>
          <w:tcPr>
            <w:tcW w:w="889" w:type="dxa"/>
            <w:tcBorders>
              <w:top w:val="single" w:color="auto" w:sz="4" w:space="0"/>
              <w:left w:val="single" w:color="auto" w:sz="4" w:space="0"/>
              <w:bottom w:val="single" w:color="auto" w:sz="4" w:space="0"/>
              <w:right w:val="single" w:color="auto" w:sz="4" w:space="0"/>
            </w:tcBorders>
            <w:vAlign w:val="center"/>
          </w:tcPr>
          <w:p w14:paraId="762F98C6">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普扫2小时内抽查</w:t>
            </w:r>
          </w:p>
        </w:tc>
      </w:tr>
      <w:tr w14:paraId="6F83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vMerge w:val="continue"/>
            <w:tcBorders>
              <w:top w:val="single" w:color="auto" w:sz="4" w:space="0"/>
              <w:left w:val="single" w:color="auto" w:sz="4" w:space="0"/>
              <w:bottom w:val="single" w:color="auto" w:sz="4" w:space="0"/>
              <w:right w:val="single" w:color="auto" w:sz="4" w:space="0"/>
            </w:tcBorders>
          </w:tcPr>
          <w:p w14:paraId="6279C0CC">
            <w:pPr>
              <w:spacing w:line="360" w:lineRule="auto"/>
              <w:rPr>
                <w:rFonts w:ascii="宋体" w:hAnsi="宋体" w:cs="宋体"/>
                <w:color w:val="auto"/>
                <w:szCs w:val="21"/>
                <w:highlight w:val="none"/>
                <w:lang w:val="zh-CN"/>
              </w:rPr>
            </w:pPr>
          </w:p>
        </w:tc>
        <w:tc>
          <w:tcPr>
            <w:tcW w:w="4428" w:type="dxa"/>
            <w:tcBorders>
              <w:top w:val="single" w:color="auto" w:sz="4" w:space="0"/>
              <w:left w:val="single" w:color="auto" w:sz="4" w:space="0"/>
              <w:bottom w:val="single" w:color="auto" w:sz="4" w:space="0"/>
              <w:right w:val="single" w:color="auto" w:sz="4" w:space="0"/>
            </w:tcBorders>
          </w:tcPr>
          <w:p w14:paraId="033F103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动态保洁时间内，承包责任区域内无垃圾废弃物（包括烟头、纸屑、瓜果皮核、包装壳、塑料袋、砖瓦、石子等各类明显废弃物）；无散、袋装垃圾滞留路面；果壳箱定时清洗及时加盖、关门；人行道、步阶、墙跟、树穴无明显杂草、杂物；晴天路面无积水</w:t>
            </w:r>
            <w:r>
              <w:rPr>
                <w:rFonts w:hint="eastAsia" w:ascii="宋体" w:hAnsi="宋体" w:cs="宋体"/>
                <w:color w:val="auto"/>
                <w:szCs w:val="21"/>
                <w:highlight w:val="none"/>
              </w:rPr>
              <w:t>,</w:t>
            </w:r>
            <w:r>
              <w:rPr>
                <w:rFonts w:hint="eastAsia" w:ascii="宋体" w:hAnsi="宋体" w:cs="宋体"/>
                <w:color w:val="auto"/>
                <w:szCs w:val="21"/>
                <w:highlight w:val="none"/>
                <w:lang w:val="zh-CN"/>
              </w:rPr>
              <w:t>无蚊蝇孳生；路两旁及隔离护栏下无淤泥</w:t>
            </w:r>
            <w:r>
              <w:rPr>
                <w:rFonts w:hint="eastAsia" w:ascii="宋体" w:hAnsi="宋体" w:cs="宋体"/>
                <w:color w:val="auto"/>
                <w:szCs w:val="21"/>
                <w:highlight w:val="none"/>
              </w:rPr>
              <w:t>,</w:t>
            </w:r>
            <w:r>
              <w:rPr>
                <w:rFonts w:hint="eastAsia" w:ascii="宋体" w:hAnsi="宋体" w:cs="宋体"/>
                <w:color w:val="auto"/>
                <w:szCs w:val="21"/>
                <w:highlight w:val="none"/>
                <w:lang w:val="zh-CN"/>
              </w:rPr>
              <w:t>路面基本见本色。</w:t>
            </w:r>
          </w:p>
          <w:p w14:paraId="46D80036">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2、发现责任路段范围内出现大面积遗撒物等应急作业要求时，应在规定时间内完成清理保洁工作；</w:t>
            </w:r>
          </w:p>
          <w:p w14:paraId="0E3BAEB4">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所有硬化宽度2米以上的水泥路面要求每天拿扫把清扫保洁一次；石板路面和2米以下宽度的水泥路面及人力三轮车无法通行的巷子要求每天用钳子等工具拾捡各种垃圾一次，每周用扫把清扫一次；泥路要求无垃圾遗留。</w:t>
            </w:r>
          </w:p>
        </w:tc>
        <w:tc>
          <w:tcPr>
            <w:tcW w:w="3852" w:type="dxa"/>
            <w:tcBorders>
              <w:top w:val="single" w:color="auto" w:sz="4" w:space="0"/>
              <w:left w:val="single" w:color="auto" w:sz="4" w:space="0"/>
              <w:bottom w:val="single" w:color="auto" w:sz="4" w:space="0"/>
              <w:right w:val="single" w:color="auto" w:sz="4" w:space="0"/>
            </w:tcBorders>
          </w:tcPr>
          <w:p w14:paraId="441CB4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1、零星散落发现以5米为单位一次扣0.3分；</w:t>
            </w:r>
          </w:p>
          <w:p w14:paraId="4BA6B3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2、连续散落超3米扣3分；</w:t>
            </w:r>
          </w:p>
          <w:p w14:paraId="5D169E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、散垃圾一堆扣</w:t>
            </w:r>
            <w:r>
              <w:rPr>
                <w:rFonts w:hint="eastAsia" w:ascii="宋体" w:hAnsi="宋体" w:cs="宋体"/>
                <w:color w:val="auto"/>
                <w:szCs w:val="21"/>
                <w:highlight w:val="none"/>
              </w:rPr>
              <w:t>5</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p w14:paraId="207F00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4、袋装垃圾一堆扣2分；</w:t>
            </w:r>
          </w:p>
          <w:p w14:paraId="437674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5、果壳箱未及时清洗加盖、关门发现一只扣0.1分；</w:t>
            </w:r>
          </w:p>
          <w:p w14:paraId="3CF82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6、人行道、步阶等杂草、杂物发现一处扣0.1分；</w:t>
            </w:r>
          </w:p>
          <w:p w14:paraId="6A2D11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7、污水或蚊蝇孳生地发现一处扣0.3分；</w:t>
            </w:r>
          </w:p>
          <w:p w14:paraId="311924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8、路两旁及隔离护栏下积淤泥每20米扣0.5分；</w:t>
            </w:r>
          </w:p>
          <w:p w14:paraId="218CD3B1">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9、应急作业时，未在规定时间内及时清理干净的，每延迟半小时扣3分</w:t>
            </w:r>
          </w:p>
        </w:tc>
        <w:tc>
          <w:tcPr>
            <w:tcW w:w="889" w:type="dxa"/>
            <w:tcBorders>
              <w:top w:val="single" w:color="auto" w:sz="4" w:space="0"/>
              <w:left w:val="single" w:color="auto" w:sz="4" w:space="0"/>
              <w:bottom w:val="single" w:color="auto" w:sz="4" w:space="0"/>
              <w:right w:val="single" w:color="auto" w:sz="4" w:space="0"/>
            </w:tcBorders>
            <w:vAlign w:val="center"/>
          </w:tcPr>
          <w:p w14:paraId="7E7E0599">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规定时间内</w:t>
            </w:r>
          </w:p>
        </w:tc>
      </w:tr>
      <w:tr w14:paraId="0109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tcBorders>
              <w:top w:val="single" w:color="auto" w:sz="4" w:space="0"/>
              <w:left w:val="single" w:color="auto" w:sz="4" w:space="0"/>
              <w:bottom w:val="single" w:color="auto" w:sz="4" w:space="0"/>
              <w:right w:val="single" w:color="auto" w:sz="4" w:space="0"/>
            </w:tcBorders>
            <w:vAlign w:val="center"/>
          </w:tcPr>
          <w:p w14:paraId="580DFD4D">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环卫</w:t>
            </w:r>
          </w:p>
          <w:p w14:paraId="1492121A">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设施</w:t>
            </w:r>
          </w:p>
        </w:tc>
        <w:tc>
          <w:tcPr>
            <w:tcW w:w="4428" w:type="dxa"/>
            <w:tcBorders>
              <w:top w:val="single" w:color="auto" w:sz="4" w:space="0"/>
              <w:left w:val="single" w:color="auto" w:sz="4" w:space="0"/>
              <w:bottom w:val="single" w:color="auto" w:sz="4" w:space="0"/>
              <w:right w:val="single" w:color="auto" w:sz="4" w:space="0"/>
            </w:tcBorders>
          </w:tcPr>
          <w:p w14:paraId="66519444">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1、环卫设施无破损，定期清洗保持外观清洁。</w:t>
            </w:r>
          </w:p>
          <w:p w14:paraId="4B78AB6A">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2、果壳箱每日清洗一次。</w:t>
            </w:r>
          </w:p>
          <w:p w14:paraId="1073B805">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3、人力三轮车每班收工后必须清洗车辆。</w:t>
            </w:r>
          </w:p>
          <w:p w14:paraId="018249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4、中转站内外应干净整洁、无撒落垃圾和堆放杂物，无积水。</w:t>
            </w:r>
          </w:p>
          <w:p w14:paraId="6A9AD6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5、沿街道和小区所放的垃圾箱无溢满，箱体内外和地面保持干净整洁，无明显污垢和淤泥。</w:t>
            </w:r>
          </w:p>
        </w:tc>
        <w:tc>
          <w:tcPr>
            <w:tcW w:w="3852" w:type="dxa"/>
            <w:tcBorders>
              <w:top w:val="single" w:color="auto" w:sz="4" w:space="0"/>
              <w:left w:val="single" w:color="auto" w:sz="4" w:space="0"/>
              <w:bottom w:val="single" w:color="auto" w:sz="4" w:space="0"/>
              <w:right w:val="single" w:color="auto" w:sz="4" w:space="0"/>
            </w:tcBorders>
          </w:tcPr>
          <w:p w14:paraId="18F2D0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1、设施破损的发现一个扣0.2分；</w:t>
            </w:r>
          </w:p>
          <w:p w14:paraId="42F7694A">
            <w:pPr>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lang w:val="zh-CN"/>
              </w:rPr>
              <w:t>2、设施、车辆未清洗发现一处的扣0.3分；</w:t>
            </w:r>
          </w:p>
          <w:p w14:paraId="68FD0202">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3、垃圾没有日产日清的发现一次扣0.5分。</w:t>
            </w:r>
          </w:p>
          <w:p w14:paraId="700BAA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4、中转站院内外，未达到要求的每次每处扣0.1分。</w:t>
            </w:r>
          </w:p>
          <w:p w14:paraId="072771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5、垃圾箱溢满的要增加清运次数，箱体及四周干净整洁。未达到要求的每次每处扣0.1分。</w:t>
            </w:r>
          </w:p>
        </w:tc>
        <w:tc>
          <w:tcPr>
            <w:tcW w:w="889" w:type="dxa"/>
            <w:tcBorders>
              <w:top w:val="single" w:color="auto" w:sz="4" w:space="0"/>
              <w:left w:val="single" w:color="auto" w:sz="4" w:space="0"/>
              <w:bottom w:val="single" w:color="auto" w:sz="4" w:space="0"/>
              <w:right w:val="single" w:color="auto" w:sz="4" w:space="0"/>
            </w:tcBorders>
            <w:vAlign w:val="center"/>
          </w:tcPr>
          <w:p w14:paraId="6F533340">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r w14:paraId="0F77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vMerge w:val="restart"/>
            <w:tcBorders>
              <w:top w:val="single" w:color="auto" w:sz="4" w:space="0"/>
              <w:left w:val="single" w:color="auto" w:sz="4" w:space="0"/>
              <w:bottom w:val="single" w:color="auto" w:sz="4" w:space="0"/>
              <w:right w:val="single" w:color="auto" w:sz="4" w:space="0"/>
            </w:tcBorders>
            <w:vAlign w:val="center"/>
          </w:tcPr>
          <w:p w14:paraId="2541100E">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人员规范作业</w:t>
            </w:r>
          </w:p>
        </w:tc>
        <w:tc>
          <w:tcPr>
            <w:tcW w:w="4428" w:type="dxa"/>
            <w:tcBorders>
              <w:top w:val="single" w:color="auto" w:sz="4" w:space="0"/>
              <w:left w:val="single" w:color="auto" w:sz="4" w:space="0"/>
              <w:bottom w:val="single" w:color="auto" w:sz="4" w:space="0"/>
              <w:right w:val="single" w:color="auto" w:sz="4" w:space="0"/>
            </w:tcBorders>
          </w:tcPr>
          <w:p w14:paraId="70898C3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1、按劳动定额工作要求安排足量保洁人员上路保洁，人工保洁作业任务范围不得大于6500平米/工日。</w:t>
            </w:r>
          </w:p>
          <w:p w14:paraId="33B04DA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2、作业人员佩证上岗，作业期内穿反光安全服;在作业时间内，不集聚闲聊，工期休息不超过10分钟;作业期间不做与作业无关的事。</w:t>
            </w:r>
          </w:p>
          <w:p w14:paraId="27BB993F">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3、垃圾车须配备反光标识并且不得遮挡，停放时遵守交通法规；垃圾运输实行密闭，不得超高运输和吊挂杂物。</w:t>
            </w:r>
          </w:p>
          <w:p w14:paraId="220D209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4、严禁作业人员擅自向责任区内单位收取各种费用。</w:t>
            </w:r>
          </w:p>
        </w:tc>
        <w:tc>
          <w:tcPr>
            <w:tcW w:w="3852" w:type="dxa"/>
            <w:tcBorders>
              <w:top w:val="single" w:color="auto" w:sz="4" w:space="0"/>
              <w:left w:val="single" w:color="auto" w:sz="4" w:space="0"/>
              <w:bottom w:val="single" w:color="auto" w:sz="4" w:space="0"/>
              <w:right w:val="single" w:color="auto" w:sz="4" w:space="0"/>
            </w:tcBorders>
          </w:tcPr>
          <w:p w14:paraId="28FAFB8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1、单班保洁人员安排不足的，每少一人扣1分；</w:t>
            </w:r>
          </w:p>
          <w:p w14:paraId="5F10C8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2、无佩戴上岗证和穿反光安全服的发现一次扣0.3分；</w:t>
            </w:r>
          </w:p>
          <w:p w14:paraId="2BE071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3、集聚闲聊或坐岗超过10分钟的发现一次扣0.3分；</w:t>
            </w:r>
          </w:p>
          <w:p w14:paraId="14C92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4、动态保洁时间内不在岗或做其他无关事情的发现一次扣1分；</w:t>
            </w:r>
          </w:p>
          <w:p w14:paraId="4492CE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5、垃圾车无反光标识或反光标识被遮挡发现一次扣0.3分；</w:t>
            </w:r>
          </w:p>
          <w:p w14:paraId="14609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6、垃圾未实行密闭运输一次扣0.3分；</w:t>
            </w:r>
          </w:p>
          <w:p w14:paraId="4EFBD7AF">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7、发现作业人员擅自收费的一次扣4分。</w:t>
            </w:r>
          </w:p>
        </w:tc>
        <w:tc>
          <w:tcPr>
            <w:tcW w:w="889" w:type="dxa"/>
            <w:tcBorders>
              <w:top w:val="single" w:color="auto" w:sz="4" w:space="0"/>
              <w:left w:val="single" w:color="auto" w:sz="4" w:space="0"/>
              <w:bottom w:val="single" w:color="auto" w:sz="4" w:space="0"/>
              <w:right w:val="single" w:color="auto" w:sz="4" w:space="0"/>
            </w:tcBorders>
            <w:vAlign w:val="center"/>
          </w:tcPr>
          <w:p w14:paraId="671380B5">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r w14:paraId="29D5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vMerge w:val="continue"/>
            <w:tcBorders>
              <w:top w:val="single" w:color="auto" w:sz="4" w:space="0"/>
              <w:left w:val="single" w:color="auto" w:sz="4" w:space="0"/>
              <w:bottom w:val="single" w:color="auto" w:sz="4" w:space="0"/>
              <w:right w:val="single" w:color="auto" w:sz="4" w:space="0"/>
            </w:tcBorders>
          </w:tcPr>
          <w:p w14:paraId="3D4F9DA9">
            <w:pPr>
              <w:spacing w:line="360" w:lineRule="auto"/>
              <w:rPr>
                <w:rFonts w:ascii="宋体" w:hAnsi="宋体" w:cs="宋体"/>
                <w:color w:val="auto"/>
                <w:szCs w:val="21"/>
                <w:highlight w:val="none"/>
                <w:lang w:val="zh-CN"/>
              </w:rPr>
            </w:pPr>
          </w:p>
        </w:tc>
        <w:tc>
          <w:tcPr>
            <w:tcW w:w="4428" w:type="dxa"/>
            <w:tcBorders>
              <w:top w:val="single" w:color="auto" w:sz="4" w:space="0"/>
              <w:left w:val="single" w:color="auto" w:sz="4" w:space="0"/>
              <w:bottom w:val="single" w:color="auto" w:sz="4" w:space="0"/>
              <w:right w:val="single" w:color="auto" w:sz="4" w:space="0"/>
            </w:tcBorders>
          </w:tcPr>
          <w:p w14:paraId="21DFCF02">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1、清扫保洁时间内（含人工清扫）不得故意将垃圾扫入窑井、花坛、绿化带。</w:t>
            </w:r>
          </w:p>
          <w:p w14:paraId="5F7DB93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2、清扫作业中不得漏扫、甩扫。</w:t>
            </w:r>
          </w:p>
          <w:p w14:paraId="56441F0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3、交接班不得出现空档，责任区交界处清扫保洁各过界5米。</w:t>
            </w:r>
          </w:p>
          <w:p w14:paraId="4AC5425E">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4、垃圾在指定地点倾倒，不得焚烧垃圾。</w:t>
            </w:r>
          </w:p>
        </w:tc>
        <w:tc>
          <w:tcPr>
            <w:tcW w:w="3852" w:type="dxa"/>
            <w:tcBorders>
              <w:top w:val="single" w:color="auto" w:sz="4" w:space="0"/>
              <w:left w:val="single" w:color="auto" w:sz="4" w:space="0"/>
              <w:bottom w:val="single" w:color="auto" w:sz="4" w:space="0"/>
              <w:right w:val="single" w:color="auto" w:sz="4" w:space="0"/>
            </w:tcBorders>
          </w:tcPr>
          <w:p w14:paraId="462F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1、故意将垃圾扫入窑井、花坛、绿化带查证属实的一次扣5分；</w:t>
            </w:r>
          </w:p>
          <w:p w14:paraId="35F77C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2、清扫中发现漏扫、甩扫的发现一次扣2分；</w:t>
            </w:r>
          </w:p>
          <w:p w14:paraId="460FDE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3、交接班出现空档或交界处清扫未各过界5米的发现一次扣2分；</w:t>
            </w:r>
          </w:p>
          <w:p w14:paraId="5F174993">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4、垃圾未在指定地点倾倒，或焚烧垃圾的发现一次扣5分。</w:t>
            </w:r>
          </w:p>
        </w:tc>
        <w:tc>
          <w:tcPr>
            <w:tcW w:w="889" w:type="dxa"/>
            <w:tcBorders>
              <w:top w:val="single" w:color="auto" w:sz="4" w:space="0"/>
              <w:left w:val="single" w:color="auto" w:sz="4" w:space="0"/>
              <w:bottom w:val="single" w:color="auto" w:sz="4" w:space="0"/>
              <w:right w:val="single" w:color="auto" w:sz="4" w:space="0"/>
            </w:tcBorders>
            <w:vAlign w:val="center"/>
          </w:tcPr>
          <w:p w14:paraId="58F441C8">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r w14:paraId="7A43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tcBorders>
              <w:top w:val="single" w:color="auto" w:sz="4" w:space="0"/>
              <w:left w:val="single" w:color="auto" w:sz="4" w:space="0"/>
              <w:bottom w:val="single" w:color="auto" w:sz="4" w:space="0"/>
              <w:right w:val="single" w:color="auto" w:sz="4" w:space="0"/>
            </w:tcBorders>
            <w:vAlign w:val="center"/>
          </w:tcPr>
          <w:p w14:paraId="3243F5B0">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公厕管理</w:t>
            </w:r>
          </w:p>
        </w:tc>
        <w:tc>
          <w:tcPr>
            <w:tcW w:w="4428" w:type="dxa"/>
            <w:tcBorders>
              <w:top w:val="single" w:color="auto" w:sz="4" w:space="0"/>
              <w:left w:val="single" w:color="auto" w:sz="4" w:space="0"/>
              <w:bottom w:val="single" w:color="auto" w:sz="4" w:space="0"/>
              <w:right w:val="single" w:color="auto" w:sz="4" w:space="0"/>
            </w:tcBorders>
          </w:tcPr>
          <w:p w14:paraId="24C54CDC">
            <w:pPr>
              <w:spacing w:line="360" w:lineRule="auto"/>
              <w:rPr>
                <w:rFonts w:ascii="宋体" w:hAnsi="宋体" w:cs="宋体"/>
                <w:color w:val="auto"/>
                <w:szCs w:val="21"/>
                <w:highlight w:val="none"/>
              </w:rPr>
            </w:pPr>
            <w:r>
              <w:rPr>
                <w:rFonts w:hint="eastAsia" w:ascii="宋体" w:hAnsi="宋体" w:cs="宋体"/>
                <w:color w:val="auto"/>
                <w:szCs w:val="21"/>
                <w:highlight w:val="none"/>
              </w:rPr>
              <w:t>1、公厕内采光、照明和通风良好，无明显臭味，墙面、天花板、门窗和隔离板无积灰、污垢、蛛网，无乱涂乱画，无乱张贴小广告，墙面光洁；地面无污物、污垢、积水；公厕外墙面整洁。</w:t>
            </w:r>
          </w:p>
          <w:p w14:paraId="65A13846">
            <w:pPr>
              <w:spacing w:line="360" w:lineRule="auto"/>
              <w:rPr>
                <w:rFonts w:ascii="宋体" w:hAnsi="宋体" w:cs="宋体"/>
                <w:color w:val="auto"/>
                <w:szCs w:val="21"/>
                <w:highlight w:val="none"/>
              </w:rPr>
            </w:pPr>
            <w:r>
              <w:rPr>
                <w:rFonts w:hint="eastAsia" w:ascii="宋体" w:hAnsi="宋体" w:cs="宋体"/>
                <w:color w:val="auto"/>
                <w:szCs w:val="21"/>
                <w:highlight w:val="none"/>
              </w:rPr>
              <w:t>2、蹲位整洁，大便槽两侧无粪便污物，槽内无积粪，洁净见底；小便槽（斗）无水锈、尿垢、垃圾，基本无臭；沟眼、管道保持畅通。</w:t>
            </w:r>
          </w:p>
          <w:p w14:paraId="38545198">
            <w:pPr>
              <w:spacing w:line="360" w:lineRule="auto"/>
              <w:rPr>
                <w:rFonts w:ascii="宋体" w:hAnsi="宋体" w:cs="宋体"/>
                <w:color w:val="auto"/>
                <w:szCs w:val="21"/>
                <w:highlight w:val="none"/>
              </w:rPr>
            </w:pPr>
            <w:r>
              <w:rPr>
                <w:rFonts w:hint="eastAsia" w:ascii="宋体" w:hAnsi="宋体" w:cs="宋体"/>
                <w:color w:val="auto"/>
                <w:szCs w:val="21"/>
                <w:highlight w:val="none"/>
              </w:rPr>
              <w:t>3、公厕内照明灯具、冲水设备完好，无积灰、污物。</w:t>
            </w:r>
          </w:p>
          <w:p w14:paraId="1DFDA459">
            <w:pPr>
              <w:spacing w:line="360" w:lineRule="auto"/>
              <w:rPr>
                <w:rFonts w:ascii="宋体" w:hAnsi="宋体" w:cs="宋体"/>
                <w:color w:val="auto"/>
                <w:szCs w:val="21"/>
                <w:highlight w:val="none"/>
              </w:rPr>
            </w:pPr>
            <w:r>
              <w:rPr>
                <w:rFonts w:hint="eastAsia" w:ascii="宋体" w:hAnsi="宋体" w:cs="宋体"/>
                <w:color w:val="auto"/>
                <w:szCs w:val="21"/>
                <w:highlight w:val="none"/>
              </w:rPr>
              <w:t>4、定时喷洒灭蚊蝇药物，有效控制蝇蛆孳生。</w:t>
            </w:r>
          </w:p>
          <w:p w14:paraId="3FE42ED6">
            <w:pPr>
              <w:spacing w:line="360" w:lineRule="auto"/>
              <w:rPr>
                <w:rFonts w:ascii="宋体" w:hAnsi="宋体" w:cs="宋体"/>
                <w:color w:val="auto"/>
                <w:szCs w:val="21"/>
                <w:highlight w:val="none"/>
              </w:rPr>
            </w:pPr>
            <w:r>
              <w:rPr>
                <w:rFonts w:hint="eastAsia" w:ascii="宋体" w:hAnsi="宋体" w:cs="宋体"/>
                <w:color w:val="auto"/>
                <w:szCs w:val="21"/>
                <w:highlight w:val="none"/>
              </w:rPr>
              <w:t>5、公厕化粪池与出粪池设有板盖，无破损凹陷。</w:t>
            </w:r>
          </w:p>
          <w:p w14:paraId="287576F6">
            <w:pPr>
              <w:spacing w:line="360" w:lineRule="auto"/>
              <w:rPr>
                <w:rFonts w:ascii="宋体" w:hAnsi="宋体" w:cs="宋体"/>
                <w:color w:val="auto"/>
                <w:szCs w:val="21"/>
                <w:highlight w:val="none"/>
              </w:rPr>
            </w:pPr>
            <w:r>
              <w:rPr>
                <w:rFonts w:hint="eastAsia" w:ascii="宋体" w:hAnsi="宋体" w:cs="宋体"/>
                <w:color w:val="auto"/>
                <w:szCs w:val="21"/>
                <w:highlight w:val="none"/>
              </w:rPr>
              <w:t>6、定期清理化粪池，粪池不满溢。</w:t>
            </w:r>
          </w:p>
        </w:tc>
        <w:tc>
          <w:tcPr>
            <w:tcW w:w="3852" w:type="dxa"/>
            <w:tcBorders>
              <w:top w:val="single" w:color="auto" w:sz="4" w:space="0"/>
              <w:left w:val="single" w:color="auto" w:sz="4" w:space="0"/>
              <w:bottom w:val="single" w:color="auto" w:sz="4" w:space="0"/>
              <w:right w:val="single" w:color="auto" w:sz="4" w:space="0"/>
            </w:tcBorders>
            <w:vAlign w:val="center"/>
          </w:tcPr>
          <w:p w14:paraId="650ADEBD">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发现一处不达标扣</w:t>
            </w:r>
            <w:r>
              <w:rPr>
                <w:rFonts w:hint="eastAsia" w:ascii="宋体" w:hAnsi="宋体" w:cs="宋体"/>
                <w:color w:val="auto"/>
                <w:szCs w:val="21"/>
                <w:highlight w:val="none"/>
              </w:rPr>
              <w:t>0.02分</w:t>
            </w:r>
          </w:p>
        </w:tc>
        <w:tc>
          <w:tcPr>
            <w:tcW w:w="889" w:type="dxa"/>
            <w:tcBorders>
              <w:top w:val="single" w:color="auto" w:sz="4" w:space="0"/>
              <w:left w:val="single" w:color="auto" w:sz="4" w:space="0"/>
              <w:bottom w:val="single" w:color="auto" w:sz="4" w:space="0"/>
              <w:right w:val="single" w:color="auto" w:sz="4" w:space="0"/>
            </w:tcBorders>
            <w:vAlign w:val="center"/>
          </w:tcPr>
          <w:p w14:paraId="696F97F7">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r w14:paraId="220D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tcBorders>
              <w:top w:val="single" w:color="auto" w:sz="4" w:space="0"/>
              <w:left w:val="single" w:color="auto" w:sz="4" w:space="0"/>
              <w:bottom w:val="single" w:color="auto" w:sz="4" w:space="0"/>
              <w:right w:val="single" w:color="auto" w:sz="4" w:space="0"/>
            </w:tcBorders>
            <w:vAlign w:val="center"/>
          </w:tcPr>
          <w:p w14:paraId="62EA7854">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道路路面和路沿石清洗、隔离栏管理</w:t>
            </w:r>
          </w:p>
        </w:tc>
        <w:tc>
          <w:tcPr>
            <w:tcW w:w="4428" w:type="dxa"/>
            <w:tcBorders>
              <w:top w:val="single" w:color="auto" w:sz="4" w:space="0"/>
              <w:left w:val="single" w:color="auto" w:sz="4" w:space="0"/>
              <w:bottom w:val="single" w:color="auto" w:sz="4" w:space="0"/>
              <w:right w:val="single" w:color="auto" w:sz="4" w:space="0"/>
            </w:tcBorders>
          </w:tcPr>
          <w:p w14:paraId="72691FCA">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隔离栏内外栏干净整洁，无浮土、无污渍、无小广告等，隔离栏呈本色。</w:t>
            </w:r>
          </w:p>
          <w:p w14:paraId="78698FA6">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每周清洗不小于3次。</w:t>
            </w:r>
          </w:p>
          <w:p w14:paraId="450AEC4D">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作业完成后栏下地面无脏水、垃圾杂物、积泥等。</w:t>
            </w:r>
          </w:p>
          <w:p w14:paraId="1C8E1D90">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作业时需穿工作服或按规定设置交通安全标志。</w:t>
            </w:r>
          </w:p>
          <w:p w14:paraId="56AC7A5D">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道路路面、路沿石须见原色、无浮土、无泥沙、无积水。</w:t>
            </w:r>
          </w:p>
        </w:tc>
        <w:tc>
          <w:tcPr>
            <w:tcW w:w="3852" w:type="dxa"/>
            <w:tcBorders>
              <w:top w:val="single" w:color="auto" w:sz="4" w:space="0"/>
              <w:left w:val="single" w:color="auto" w:sz="4" w:space="0"/>
              <w:bottom w:val="single" w:color="auto" w:sz="4" w:space="0"/>
              <w:right w:val="single" w:color="auto" w:sz="4" w:space="0"/>
            </w:tcBorders>
            <w:vAlign w:val="center"/>
          </w:tcPr>
          <w:p w14:paraId="60BD62B3">
            <w:pPr>
              <w:spacing w:line="360" w:lineRule="auto"/>
              <w:rPr>
                <w:rFonts w:ascii="宋体" w:hAnsi="宋体" w:cs="宋体"/>
                <w:color w:val="auto"/>
                <w:szCs w:val="21"/>
                <w:highlight w:val="none"/>
              </w:rPr>
            </w:pPr>
            <w:r>
              <w:rPr>
                <w:rFonts w:hint="eastAsia" w:ascii="宋体" w:hAnsi="宋体" w:cs="宋体"/>
                <w:color w:val="auto"/>
                <w:szCs w:val="21"/>
                <w:highlight w:val="none"/>
              </w:rPr>
              <w:t>1、每发现一处扣0.02分；</w:t>
            </w:r>
          </w:p>
          <w:p w14:paraId="5244C47F">
            <w:pPr>
              <w:spacing w:line="360" w:lineRule="auto"/>
              <w:rPr>
                <w:rFonts w:ascii="宋体" w:hAnsi="宋体" w:cs="宋体"/>
                <w:color w:val="auto"/>
                <w:szCs w:val="21"/>
                <w:highlight w:val="none"/>
              </w:rPr>
            </w:pPr>
            <w:r>
              <w:rPr>
                <w:rFonts w:hint="eastAsia" w:ascii="宋体" w:hAnsi="宋体" w:cs="宋体"/>
                <w:color w:val="auto"/>
                <w:szCs w:val="21"/>
                <w:highlight w:val="none"/>
              </w:rPr>
              <w:t>2、每发现一次扣0.02分；</w:t>
            </w:r>
          </w:p>
          <w:p w14:paraId="711C7EA2">
            <w:pPr>
              <w:spacing w:line="360" w:lineRule="auto"/>
              <w:rPr>
                <w:rFonts w:ascii="宋体" w:hAnsi="宋体" w:cs="宋体"/>
                <w:color w:val="auto"/>
                <w:szCs w:val="21"/>
                <w:highlight w:val="none"/>
              </w:rPr>
            </w:pPr>
            <w:r>
              <w:rPr>
                <w:rFonts w:hint="eastAsia" w:ascii="宋体" w:hAnsi="宋体" w:cs="宋体"/>
                <w:color w:val="auto"/>
                <w:szCs w:val="21"/>
                <w:highlight w:val="none"/>
              </w:rPr>
              <w:t>3、每发现一人次扣0.05分；</w:t>
            </w:r>
          </w:p>
          <w:p w14:paraId="6304DE47">
            <w:pPr>
              <w:spacing w:line="360" w:lineRule="auto"/>
              <w:rPr>
                <w:rFonts w:ascii="宋体" w:hAnsi="宋体" w:cs="宋体"/>
                <w:color w:val="auto"/>
                <w:szCs w:val="21"/>
                <w:highlight w:val="none"/>
              </w:rPr>
            </w:pPr>
            <w:r>
              <w:rPr>
                <w:rFonts w:hint="eastAsia" w:ascii="宋体" w:hAnsi="宋体" w:cs="宋体"/>
                <w:color w:val="auto"/>
                <w:szCs w:val="21"/>
                <w:highlight w:val="none"/>
              </w:rPr>
              <w:t>4、未清洗的每段道路扣0.5分；</w:t>
            </w:r>
          </w:p>
          <w:p w14:paraId="4A9C51CE">
            <w:pPr>
              <w:spacing w:line="360" w:lineRule="auto"/>
              <w:rPr>
                <w:rFonts w:ascii="宋体" w:hAnsi="宋体" w:cs="宋体"/>
                <w:color w:val="auto"/>
                <w:szCs w:val="21"/>
                <w:highlight w:val="none"/>
              </w:rPr>
            </w:pPr>
            <w:r>
              <w:rPr>
                <w:rFonts w:hint="eastAsia" w:ascii="宋体" w:hAnsi="宋体" w:cs="宋体"/>
                <w:color w:val="auto"/>
                <w:szCs w:val="21"/>
                <w:highlight w:val="none"/>
              </w:rPr>
              <w:t>5、清洗后，道路路面和路沿石未达到清洗标准，发现一次扣0.5分。</w:t>
            </w:r>
          </w:p>
        </w:tc>
        <w:tc>
          <w:tcPr>
            <w:tcW w:w="889" w:type="dxa"/>
            <w:tcBorders>
              <w:top w:val="single" w:color="auto" w:sz="4" w:space="0"/>
              <w:left w:val="single" w:color="auto" w:sz="4" w:space="0"/>
              <w:bottom w:val="single" w:color="auto" w:sz="4" w:space="0"/>
              <w:right w:val="single" w:color="auto" w:sz="4" w:space="0"/>
            </w:tcBorders>
            <w:vAlign w:val="center"/>
          </w:tcPr>
          <w:p w14:paraId="77ADDBA8">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r w14:paraId="02DE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9" w:type="dxa"/>
            <w:tcBorders>
              <w:top w:val="single" w:color="auto" w:sz="4" w:space="0"/>
              <w:left w:val="single" w:color="auto" w:sz="4" w:space="0"/>
              <w:bottom w:val="single" w:color="auto" w:sz="4" w:space="0"/>
              <w:right w:val="single" w:color="auto" w:sz="4" w:space="0"/>
            </w:tcBorders>
            <w:vAlign w:val="center"/>
          </w:tcPr>
          <w:p w14:paraId="39EC3A43">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绿化养护工作</w:t>
            </w:r>
          </w:p>
        </w:tc>
        <w:tc>
          <w:tcPr>
            <w:tcW w:w="4428" w:type="dxa"/>
            <w:tcBorders>
              <w:top w:val="single" w:color="auto" w:sz="4" w:space="0"/>
              <w:left w:val="single" w:color="auto" w:sz="4" w:space="0"/>
              <w:bottom w:val="single" w:color="auto" w:sz="4" w:space="0"/>
              <w:right w:val="single" w:color="auto" w:sz="4" w:space="0"/>
            </w:tcBorders>
          </w:tcPr>
          <w:p w14:paraId="5FDFD3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整体参照园林二级养护标准执行。</w:t>
            </w:r>
          </w:p>
          <w:p w14:paraId="79E3F3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1、行道树树形丰满、美观，无枯枝低枝通透无死亡现象，发现有缺苗及时补种，每年施肥1次，粉白2次，病虫害防治4次，树池内无杂草、杂物，树上没有捆绑物。</w:t>
            </w:r>
          </w:p>
          <w:p w14:paraId="30E360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2、绿化带保持造型整齐美观、无枯死枝、无病虫害，不能有垃圾、杂草、杂树，发现缺苗及时补种，每年病虫害防治不得少于4次，施肥不得少于4次。</w:t>
            </w:r>
          </w:p>
          <w:p w14:paraId="32E6BF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3、广场、公园绿化带、绿化树无枯树、无死树、无杂草，通透，发现病虫害、白蚁等及时处理，冬季树干粉白防虫，草坪内无杂草、无死亡缺损，每年修剪不少于12次。</w:t>
            </w:r>
          </w:p>
          <w:p w14:paraId="4B387EEC">
            <w:pPr>
              <w:spacing w:line="360" w:lineRule="auto"/>
              <w:rPr>
                <w:rFonts w:ascii="宋体" w:hAnsi="宋体" w:cs="宋体"/>
                <w:color w:val="auto"/>
                <w:szCs w:val="21"/>
                <w:highlight w:val="none"/>
              </w:rPr>
            </w:pPr>
            <w:r>
              <w:rPr>
                <w:rFonts w:hint="eastAsia" w:ascii="宋体" w:hAnsi="宋体" w:cs="宋体"/>
                <w:color w:val="auto"/>
                <w:szCs w:val="21"/>
                <w:highlight w:val="none"/>
              </w:rPr>
              <w:t>4、淋水保养：道路绿化树、绿化带、广场、公园等绿地每周淋水不少于3次。</w:t>
            </w:r>
          </w:p>
        </w:tc>
        <w:tc>
          <w:tcPr>
            <w:tcW w:w="3852" w:type="dxa"/>
            <w:tcBorders>
              <w:top w:val="single" w:color="auto" w:sz="4" w:space="0"/>
              <w:left w:val="single" w:color="auto" w:sz="4" w:space="0"/>
              <w:bottom w:val="single" w:color="auto" w:sz="4" w:space="0"/>
              <w:right w:val="single" w:color="auto" w:sz="4" w:space="0"/>
            </w:tcBorders>
            <w:vAlign w:val="center"/>
          </w:tcPr>
          <w:p w14:paraId="44650118">
            <w:pPr>
              <w:spacing w:line="360" w:lineRule="auto"/>
              <w:rPr>
                <w:rFonts w:ascii="宋体" w:hAnsi="宋体" w:cs="宋体"/>
                <w:color w:val="auto"/>
                <w:szCs w:val="21"/>
                <w:highlight w:val="none"/>
              </w:rPr>
            </w:pPr>
            <w:r>
              <w:rPr>
                <w:rFonts w:hint="eastAsia" w:ascii="宋体" w:hAnsi="宋体" w:cs="宋体"/>
                <w:color w:val="auto"/>
                <w:szCs w:val="21"/>
                <w:highlight w:val="none"/>
              </w:rPr>
              <w:t>每发现一次未达标准，并通报整改后不及时整改的，一次扣0.5分。</w:t>
            </w:r>
          </w:p>
        </w:tc>
        <w:tc>
          <w:tcPr>
            <w:tcW w:w="889" w:type="dxa"/>
            <w:tcBorders>
              <w:top w:val="single" w:color="auto" w:sz="4" w:space="0"/>
              <w:left w:val="single" w:color="auto" w:sz="4" w:space="0"/>
              <w:bottom w:val="single" w:color="auto" w:sz="4" w:space="0"/>
              <w:right w:val="single" w:color="auto" w:sz="4" w:space="0"/>
            </w:tcBorders>
            <w:vAlign w:val="center"/>
          </w:tcPr>
          <w:p w14:paraId="1C19C8A0">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随机检查</w:t>
            </w:r>
          </w:p>
        </w:tc>
      </w:tr>
    </w:tbl>
    <w:p w14:paraId="03C83D95">
      <w:pPr>
        <w:spacing w:line="320" w:lineRule="exact"/>
        <w:rPr>
          <w:rFonts w:ascii="宋体" w:hAnsi="宋体" w:cs="宋体"/>
          <w:bCs/>
          <w:color w:val="auto"/>
          <w:sz w:val="24"/>
          <w:highlight w:val="none"/>
        </w:rPr>
      </w:pPr>
    </w:p>
    <w:p w14:paraId="07D86AB3">
      <w:pPr>
        <w:spacing w:line="320" w:lineRule="exact"/>
        <w:rPr>
          <w:rFonts w:ascii="宋体" w:hAnsi="宋体" w:cs="宋体"/>
          <w:bCs/>
          <w:color w:val="auto"/>
          <w:sz w:val="24"/>
          <w:highlight w:val="none"/>
        </w:rPr>
      </w:pPr>
    </w:p>
    <w:p w14:paraId="3E069C06">
      <w:pPr>
        <w:tabs>
          <w:tab w:val="left" w:pos="5040"/>
        </w:tabs>
        <w:spacing w:line="400" w:lineRule="exact"/>
        <w:rPr>
          <w:rFonts w:ascii="仿宋" w:hAnsi="仿宋" w:eastAsia="仿宋" w:cs="仿宋"/>
          <w:color w:val="auto"/>
          <w:szCs w:val="21"/>
          <w:highlight w:val="none"/>
        </w:rPr>
      </w:pPr>
    </w:p>
    <w:p w14:paraId="5F01D49B">
      <w:pPr>
        <w:pageBreakBefore/>
        <w:numPr>
          <w:ilvl w:val="0"/>
          <w:numId w:val="13"/>
        </w:numPr>
        <w:spacing w:line="440" w:lineRule="atLeas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投标文件（格式）</w:t>
      </w:r>
    </w:p>
    <w:p w14:paraId="62C7F32C">
      <w:pPr>
        <w:pStyle w:val="12"/>
        <w:rPr>
          <w:rFonts w:ascii="仿宋" w:hAnsi="仿宋" w:eastAsia="仿宋" w:cs="仿宋"/>
          <w:color w:val="auto"/>
          <w:highlight w:val="none"/>
        </w:rPr>
      </w:pPr>
      <w:bookmarkStart w:id="28" w:name="_Toc19686835"/>
      <w:bookmarkStart w:id="29" w:name="_Toc254970556"/>
      <w:bookmarkStart w:id="30" w:name="_Toc254970697"/>
    </w:p>
    <w:p w14:paraId="63BA4635">
      <w:pPr>
        <w:snapToGrid w:val="0"/>
        <w:spacing w:before="50" w:after="50"/>
        <w:outlineLvl w:val="1"/>
        <w:rPr>
          <w:rFonts w:ascii="仿宋" w:hAnsi="仿宋" w:eastAsia="仿宋" w:cs="仿宋"/>
          <w:b/>
          <w:bCs/>
          <w:color w:val="auto"/>
          <w:sz w:val="24"/>
          <w:szCs w:val="20"/>
          <w:highlight w:val="none"/>
        </w:rPr>
      </w:pPr>
      <w:r>
        <w:rPr>
          <w:rFonts w:hint="eastAsia" w:ascii="仿宋" w:hAnsi="仿宋" w:eastAsia="仿宋" w:cs="仿宋"/>
          <w:b/>
          <w:bCs/>
          <w:color w:val="auto"/>
          <w:sz w:val="24"/>
          <w:highlight w:val="none"/>
        </w:rPr>
        <w:t>一、投标文件总封面格式</w:t>
      </w:r>
    </w:p>
    <w:p w14:paraId="16E01AA4">
      <w:pPr>
        <w:snapToGrid w:val="0"/>
        <w:spacing w:beforeLines="50" w:after="50"/>
        <w:rPr>
          <w:rFonts w:ascii="仿宋" w:hAnsi="仿宋" w:eastAsia="仿宋" w:cs="仿宋"/>
          <w:color w:val="auto"/>
          <w:sz w:val="24"/>
          <w:szCs w:val="20"/>
          <w:highlight w:val="none"/>
        </w:rPr>
      </w:pPr>
    </w:p>
    <w:p w14:paraId="7261CA53">
      <w:pPr>
        <w:snapToGrid w:val="0"/>
        <w:spacing w:beforeLines="50" w:after="50"/>
        <w:jc w:val="center"/>
        <w:rPr>
          <w:rFonts w:ascii="仿宋" w:hAnsi="仿宋" w:eastAsia="仿宋" w:cs="仿宋"/>
          <w:bCs/>
          <w:color w:val="auto"/>
          <w:sz w:val="52"/>
          <w:szCs w:val="52"/>
          <w:highlight w:val="none"/>
        </w:rPr>
      </w:pPr>
      <w:r>
        <w:rPr>
          <w:rFonts w:hint="eastAsia" w:ascii="仿宋" w:hAnsi="仿宋" w:eastAsia="仿宋" w:cs="仿宋"/>
          <w:bCs/>
          <w:color w:val="auto"/>
          <w:sz w:val="52"/>
          <w:szCs w:val="52"/>
          <w:highlight w:val="none"/>
        </w:rPr>
        <w:t>投 标 文 件</w:t>
      </w:r>
    </w:p>
    <w:p w14:paraId="0B84FD9C">
      <w:pPr>
        <w:snapToGrid w:val="0"/>
        <w:spacing w:beforeLines="50" w:after="50"/>
        <w:rPr>
          <w:rFonts w:ascii="仿宋" w:hAnsi="仿宋" w:eastAsia="仿宋" w:cs="仿宋"/>
          <w:bCs/>
          <w:color w:val="auto"/>
          <w:sz w:val="24"/>
          <w:highlight w:val="none"/>
        </w:rPr>
      </w:pPr>
    </w:p>
    <w:p w14:paraId="2E66ABAA">
      <w:pPr>
        <w:snapToGrid w:val="0"/>
        <w:spacing w:beforeLines="50" w:after="50"/>
        <w:rPr>
          <w:rFonts w:ascii="仿宋" w:hAnsi="仿宋" w:eastAsia="仿宋" w:cs="仿宋"/>
          <w:bCs/>
          <w:color w:val="auto"/>
          <w:sz w:val="24"/>
          <w:highlight w:val="none"/>
        </w:rPr>
      </w:pPr>
    </w:p>
    <w:p w14:paraId="2A35CC47">
      <w:pPr>
        <w:snapToGrid w:val="0"/>
        <w:spacing w:beforeLines="50" w:after="50"/>
        <w:rPr>
          <w:rFonts w:ascii="仿宋" w:hAnsi="仿宋" w:eastAsia="仿宋" w:cs="仿宋"/>
          <w:bCs/>
          <w:color w:val="auto"/>
          <w:sz w:val="24"/>
          <w:highlight w:val="none"/>
        </w:rPr>
      </w:pPr>
    </w:p>
    <w:p w14:paraId="503DDB46">
      <w:pPr>
        <w:snapToGrid w:val="0"/>
        <w:spacing w:beforeLines="50" w:after="50"/>
        <w:rPr>
          <w:rFonts w:ascii="仿宋" w:hAnsi="仿宋" w:eastAsia="仿宋" w:cs="仿宋"/>
          <w:bCs/>
          <w:color w:val="auto"/>
          <w:sz w:val="24"/>
          <w:highlight w:val="none"/>
        </w:rPr>
      </w:pPr>
    </w:p>
    <w:p w14:paraId="4DFDDBDC">
      <w:pPr>
        <w:snapToGrid w:val="0"/>
        <w:spacing w:beforeLines="50" w:after="50"/>
        <w:rPr>
          <w:rFonts w:ascii="仿宋" w:hAnsi="仿宋" w:eastAsia="仿宋" w:cs="仿宋"/>
          <w:bCs/>
          <w:color w:val="auto"/>
          <w:sz w:val="24"/>
          <w:highlight w:val="none"/>
        </w:rPr>
      </w:pPr>
    </w:p>
    <w:p w14:paraId="395CFAB6">
      <w:pPr>
        <w:snapToGrid w:val="0"/>
        <w:spacing w:beforeLines="50" w:after="50"/>
        <w:rPr>
          <w:rFonts w:ascii="仿宋" w:hAnsi="仿宋" w:eastAsia="仿宋" w:cs="仿宋"/>
          <w:bCs/>
          <w:color w:val="auto"/>
          <w:sz w:val="24"/>
          <w:highlight w:val="none"/>
        </w:rPr>
      </w:pPr>
    </w:p>
    <w:p w14:paraId="45D6C538">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项目名称：（项目名称）A/B分标</w:t>
      </w:r>
    </w:p>
    <w:p w14:paraId="7FF46829">
      <w:pPr>
        <w:snapToGrid w:val="0"/>
        <w:spacing w:beforeLines="50" w:after="50"/>
        <w:ind w:firstLine="360" w:firstLineChars="150"/>
        <w:rPr>
          <w:rFonts w:ascii="仿宋" w:hAnsi="仿宋" w:eastAsia="仿宋" w:cs="仿宋"/>
          <w:bCs/>
          <w:color w:val="auto"/>
          <w:sz w:val="24"/>
          <w:highlight w:val="none"/>
        </w:rPr>
      </w:pPr>
    </w:p>
    <w:p w14:paraId="0F71A79B">
      <w:pPr>
        <w:snapToGrid w:val="0"/>
        <w:spacing w:beforeLines="50" w:after="50"/>
        <w:ind w:firstLine="360" w:firstLineChars="150"/>
        <w:rPr>
          <w:rFonts w:ascii="仿宋" w:hAnsi="仿宋" w:eastAsia="仿宋" w:cs="仿宋"/>
          <w:bCs/>
          <w:color w:val="auto"/>
          <w:sz w:val="24"/>
          <w:highlight w:val="none"/>
        </w:rPr>
      </w:pPr>
    </w:p>
    <w:p w14:paraId="59F6E75A">
      <w:pPr>
        <w:snapToGrid w:val="0"/>
        <w:spacing w:beforeLines="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38EEDBCE">
      <w:pPr>
        <w:snapToGrid w:val="0"/>
        <w:spacing w:beforeLines="50" w:after="50"/>
        <w:rPr>
          <w:rFonts w:ascii="仿宋" w:hAnsi="仿宋" w:eastAsia="仿宋" w:cs="仿宋"/>
          <w:bCs/>
          <w:color w:val="auto"/>
          <w:sz w:val="24"/>
          <w:highlight w:val="none"/>
        </w:rPr>
      </w:pPr>
    </w:p>
    <w:p w14:paraId="2D4D0EC7">
      <w:pPr>
        <w:snapToGrid w:val="0"/>
        <w:spacing w:beforeLines="50" w:after="50"/>
        <w:ind w:firstLine="360" w:firstLineChars="150"/>
        <w:rPr>
          <w:rFonts w:ascii="仿宋" w:hAnsi="仿宋" w:eastAsia="仿宋" w:cs="仿宋"/>
          <w:bCs/>
          <w:color w:val="auto"/>
          <w:sz w:val="24"/>
          <w:highlight w:val="none"/>
        </w:rPr>
      </w:pPr>
    </w:p>
    <w:p w14:paraId="344D10AD">
      <w:pPr>
        <w:snapToGrid w:val="0"/>
        <w:spacing w:before="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投标文件名称：报价文件、资格证明文件、商务文件和技术文件</w:t>
      </w:r>
    </w:p>
    <w:p w14:paraId="001AF1F7">
      <w:pPr>
        <w:snapToGrid w:val="0"/>
        <w:spacing w:before="50" w:after="50"/>
        <w:ind w:firstLine="360" w:firstLineChars="150"/>
        <w:rPr>
          <w:rFonts w:ascii="仿宋" w:hAnsi="仿宋" w:eastAsia="仿宋" w:cs="仿宋"/>
          <w:bCs/>
          <w:color w:val="auto"/>
          <w:sz w:val="24"/>
          <w:highlight w:val="none"/>
        </w:rPr>
      </w:pPr>
    </w:p>
    <w:p w14:paraId="031F5842">
      <w:pPr>
        <w:snapToGrid w:val="0"/>
        <w:spacing w:before="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14:paraId="467A315C">
      <w:pPr>
        <w:snapToGrid w:val="0"/>
        <w:spacing w:before="50" w:after="50"/>
        <w:ind w:firstLine="360" w:firstLineChars="150"/>
        <w:rPr>
          <w:rFonts w:ascii="仿宋" w:hAnsi="仿宋" w:eastAsia="仿宋" w:cs="仿宋"/>
          <w:bCs/>
          <w:color w:val="auto"/>
          <w:sz w:val="24"/>
          <w:highlight w:val="none"/>
        </w:rPr>
      </w:pPr>
    </w:p>
    <w:p w14:paraId="1009A9AC">
      <w:pPr>
        <w:snapToGrid w:val="0"/>
        <w:spacing w:before="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14:paraId="237D7936">
      <w:pPr>
        <w:snapToGrid w:val="0"/>
        <w:spacing w:beforeLines="50" w:after="50"/>
        <w:ind w:firstLine="4080" w:firstLineChars="1700"/>
        <w:rPr>
          <w:rFonts w:ascii="仿宋" w:hAnsi="仿宋" w:eastAsia="仿宋" w:cs="仿宋"/>
          <w:bCs/>
          <w:color w:val="auto"/>
          <w:sz w:val="24"/>
          <w:highlight w:val="none"/>
        </w:rPr>
      </w:pPr>
    </w:p>
    <w:p w14:paraId="367CA85D">
      <w:pPr>
        <w:snapToGrid w:val="0"/>
        <w:spacing w:beforeLines="50" w:after="50"/>
        <w:ind w:firstLine="645"/>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年    月    日</w:t>
      </w:r>
    </w:p>
    <w:p w14:paraId="6BEB55CE">
      <w:pPr>
        <w:snapToGrid w:val="0"/>
        <w:spacing w:beforeLines="50" w:after="50"/>
        <w:jc w:val="center"/>
        <w:outlineLvl w:val="1"/>
        <w:rPr>
          <w:rFonts w:ascii="仿宋" w:hAnsi="仿宋" w:eastAsia="仿宋" w:cs="仿宋"/>
          <w:color w:val="auto"/>
          <w:highlight w:val="none"/>
        </w:rPr>
      </w:pPr>
    </w:p>
    <w:p w14:paraId="397463D4">
      <w:pPr>
        <w:snapToGrid w:val="0"/>
        <w:spacing w:beforeLines="50" w:after="50"/>
        <w:jc w:val="center"/>
        <w:outlineLvl w:val="1"/>
        <w:rPr>
          <w:rFonts w:ascii="仿宋" w:hAnsi="仿宋" w:eastAsia="仿宋" w:cs="仿宋"/>
          <w:color w:val="auto"/>
          <w:highlight w:val="none"/>
        </w:rPr>
      </w:pPr>
    </w:p>
    <w:p w14:paraId="74DE81F4">
      <w:pPr>
        <w:snapToGrid w:val="0"/>
        <w:spacing w:beforeLines="50" w:after="50"/>
        <w:jc w:val="center"/>
        <w:outlineLvl w:val="1"/>
        <w:rPr>
          <w:rFonts w:ascii="仿宋" w:hAnsi="仿宋" w:eastAsia="仿宋" w:cs="仿宋"/>
          <w:color w:val="auto"/>
          <w:highlight w:val="none"/>
        </w:rPr>
      </w:pPr>
    </w:p>
    <w:p w14:paraId="4EEEC6CF">
      <w:pPr>
        <w:snapToGrid w:val="0"/>
        <w:spacing w:beforeLines="50" w:after="50"/>
        <w:jc w:val="center"/>
        <w:outlineLvl w:val="1"/>
        <w:rPr>
          <w:rFonts w:ascii="仿宋" w:hAnsi="仿宋" w:eastAsia="仿宋" w:cs="仿宋"/>
          <w:color w:val="auto"/>
          <w:highlight w:val="none"/>
        </w:rPr>
      </w:pPr>
      <w:r>
        <w:rPr>
          <w:rFonts w:hint="eastAsia" w:ascii="仿宋" w:hAnsi="仿宋" w:eastAsia="仿宋" w:cs="仿宋"/>
          <w:color w:val="auto"/>
          <w:highlight w:val="none"/>
        </w:rPr>
        <w:br w:type="page"/>
      </w:r>
    </w:p>
    <w:p w14:paraId="447DA06B">
      <w:pPr>
        <w:snapToGrid w:val="0"/>
        <w:spacing w:beforeLines="50" w:after="5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二、报价文件格式</w:t>
      </w:r>
    </w:p>
    <w:p w14:paraId="56A267F4">
      <w:pPr>
        <w:snapToGrid w:val="0"/>
        <w:spacing w:beforeLines="50" w:after="50"/>
        <w:ind w:left="142"/>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t xml:space="preserve">1. 报价文件封面格式： </w:t>
      </w:r>
    </w:p>
    <w:p w14:paraId="2C6EC8AE">
      <w:pPr>
        <w:snapToGrid w:val="0"/>
        <w:spacing w:beforeLines="50" w:after="50" w:line="400" w:lineRule="exact"/>
        <w:rPr>
          <w:rFonts w:ascii="仿宋" w:hAnsi="仿宋" w:eastAsia="仿宋" w:cs="仿宋"/>
          <w:bCs/>
          <w:color w:val="auto"/>
          <w:sz w:val="32"/>
          <w:szCs w:val="20"/>
          <w:highlight w:val="none"/>
        </w:rPr>
      </w:pPr>
    </w:p>
    <w:p w14:paraId="00D88AC7">
      <w:pPr>
        <w:snapToGrid w:val="0"/>
        <w:spacing w:beforeLines="50" w:after="50" w:line="400" w:lineRule="exact"/>
        <w:jc w:val="center"/>
        <w:rPr>
          <w:rFonts w:ascii="仿宋" w:hAnsi="仿宋" w:eastAsia="仿宋" w:cs="仿宋"/>
          <w:bCs/>
          <w:color w:val="auto"/>
          <w:sz w:val="24"/>
          <w:szCs w:val="20"/>
          <w:highlight w:val="none"/>
        </w:rPr>
      </w:pPr>
    </w:p>
    <w:p w14:paraId="1E1E0E58">
      <w:pPr>
        <w:snapToGrid w:val="0"/>
        <w:spacing w:beforeLines="50" w:after="50"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u w:val="single"/>
        </w:rPr>
        <w:t xml:space="preserve">     （项目名称）A/B</w:t>
      </w:r>
      <w:r>
        <w:rPr>
          <w:rFonts w:hint="eastAsia" w:ascii="仿宋" w:hAnsi="仿宋" w:eastAsia="仿宋" w:cs="仿宋"/>
          <w:b/>
          <w:color w:val="auto"/>
          <w:sz w:val="32"/>
          <w:szCs w:val="32"/>
          <w:highlight w:val="none"/>
        </w:rPr>
        <w:t>分标</w:t>
      </w:r>
    </w:p>
    <w:p w14:paraId="6FC836FE">
      <w:pPr>
        <w:snapToGrid w:val="0"/>
        <w:spacing w:beforeLines="50" w:after="50" w:line="40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14:paraId="6F2A838C">
      <w:pPr>
        <w:snapToGrid w:val="0"/>
        <w:spacing w:beforeLines="50" w:after="50" w:line="400" w:lineRule="exact"/>
        <w:rPr>
          <w:rFonts w:ascii="仿宋" w:hAnsi="仿宋" w:eastAsia="仿宋" w:cs="仿宋"/>
          <w:bCs/>
          <w:color w:val="auto"/>
          <w:sz w:val="24"/>
          <w:szCs w:val="20"/>
          <w:highlight w:val="none"/>
        </w:rPr>
      </w:pPr>
    </w:p>
    <w:p w14:paraId="0C7B306B">
      <w:pPr>
        <w:snapToGrid w:val="0"/>
        <w:spacing w:beforeLines="50" w:after="50" w:line="400" w:lineRule="exact"/>
        <w:rPr>
          <w:rFonts w:ascii="仿宋" w:hAnsi="仿宋" w:eastAsia="仿宋" w:cs="仿宋"/>
          <w:bCs/>
          <w:color w:val="auto"/>
          <w:sz w:val="24"/>
          <w:szCs w:val="20"/>
          <w:highlight w:val="none"/>
        </w:rPr>
      </w:pPr>
    </w:p>
    <w:p w14:paraId="2DD7ECE0">
      <w:pPr>
        <w:snapToGrid w:val="0"/>
        <w:spacing w:beforeLines="50" w:after="50" w:line="400" w:lineRule="exact"/>
        <w:rPr>
          <w:rFonts w:ascii="仿宋" w:hAnsi="仿宋" w:eastAsia="仿宋" w:cs="仿宋"/>
          <w:bCs/>
          <w:color w:val="auto"/>
          <w:sz w:val="24"/>
          <w:szCs w:val="20"/>
          <w:highlight w:val="none"/>
        </w:rPr>
      </w:pPr>
    </w:p>
    <w:p w14:paraId="39416B83">
      <w:pPr>
        <w:snapToGrid w:val="0"/>
        <w:spacing w:beforeLines="50" w:after="50" w:line="400" w:lineRule="exact"/>
        <w:rPr>
          <w:rFonts w:ascii="仿宋" w:hAnsi="仿宋" w:eastAsia="仿宋" w:cs="仿宋"/>
          <w:bCs/>
          <w:color w:val="auto"/>
          <w:sz w:val="24"/>
          <w:szCs w:val="20"/>
          <w:highlight w:val="none"/>
        </w:rPr>
      </w:pPr>
    </w:p>
    <w:p w14:paraId="71E9119C">
      <w:pPr>
        <w:snapToGrid w:val="0"/>
        <w:spacing w:beforeLines="50" w:after="50" w:line="400" w:lineRule="exact"/>
        <w:rPr>
          <w:rFonts w:ascii="仿宋" w:hAnsi="仿宋" w:eastAsia="仿宋" w:cs="仿宋"/>
          <w:bCs/>
          <w:color w:val="auto"/>
          <w:sz w:val="24"/>
          <w:szCs w:val="20"/>
          <w:highlight w:val="none"/>
        </w:rPr>
      </w:pPr>
    </w:p>
    <w:p w14:paraId="716F3AA7">
      <w:pPr>
        <w:snapToGrid w:val="0"/>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项目名称：（项目名称）A/B分标</w:t>
      </w:r>
    </w:p>
    <w:p w14:paraId="6D1A2660">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项目编号： </w:t>
      </w:r>
    </w:p>
    <w:p w14:paraId="48311C3B">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14:paraId="42EA23F6">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14:paraId="4F0DA989">
      <w:pPr>
        <w:pStyle w:val="7"/>
        <w:snapToGrid w:val="0"/>
        <w:spacing w:before="50" w:after="50" w:line="400" w:lineRule="exact"/>
        <w:ind w:firstLine="960" w:firstLineChars="400"/>
        <w:rPr>
          <w:rFonts w:ascii="仿宋" w:hAnsi="仿宋" w:eastAsia="仿宋" w:cs="仿宋"/>
          <w:bCs/>
          <w:color w:val="auto"/>
          <w:sz w:val="24"/>
          <w:szCs w:val="24"/>
          <w:highlight w:val="none"/>
        </w:rPr>
      </w:pPr>
    </w:p>
    <w:p w14:paraId="28924FA9">
      <w:pPr>
        <w:snapToGrid w:val="0"/>
        <w:spacing w:beforeLines="50" w:after="50" w:line="400" w:lineRule="exact"/>
        <w:jc w:val="center"/>
        <w:rPr>
          <w:rFonts w:ascii="仿宋" w:hAnsi="仿宋" w:eastAsia="仿宋" w:cs="仿宋"/>
          <w:color w:val="auto"/>
          <w:sz w:val="30"/>
          <w:szCs w:val="20"/>
          <w:highlight w:val="none"/>
        </w:rPr>
      </w:pPr>
      <w:r>
        <w:rPr>
          <w:rFonts w:hint="eastAsia" w:ascii="仿宋" w:hAnsi="仿宋" w:eastAsia="仿宋" w:cs="仿宋"/>
          <w:color w:val="auto"/>
          <w:sz w:val="24"/>
          <w:highlight w:val="none"/>
        </w:rPr>
        <w:t xml:space="preserve">                                         年  月  日</w:t>
      </w:r>
    </w:p>
    <w:p w14:paraId="4C7ECB49">
      <w:pPr>
        <w:snapToGrid w:val="0"/>
        <w:spacing w:beforeLines="50" w:after="50"/>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报价文件目录</w:t>
      </w:r>
    </w:p>
    <w:p w14:paraId="720FEEFF">
      <w:pPr>
        <w:snapToGrid w:val="0"/>
        <w:spacing w:before="50" w:afterLines="50"/>
        <w:jc w:val="left"/>
        <w:rPr>
          <w:rFonts w:ascii="仿宋" w:hAnsi="仿宋" w:eastAsia="仿宋" w:cs="仿宋"/>
          <w:b/>
          <w:color w:val="auto"/>
          <w:sz w:val="24"/>
          <w:highlight w:val="none"/>
        </w:rPr>
      </w:pPr>
      <w:r>
        <w:rPr>
          <w:rFonts w:hint="eastAsia" w:ascii="仿宋" w:hAnsi="仿宋" w:eastAsia="仿宋" w:cs="仿宋"/>
          <w:color w:val="auto"/>
          <w:sz w:val="24"/>
          <w:highlight w:val="none"/>
        </w:rPr>
        <w:t>根据招标文件规定及投标人提供的材料自行编写目录。</w:t>
      </w:r>
    </w:p>
    <w:p w14:paraId="24C8E4BB">
      <w:pPr>
        <w:snapToGrid w:val="0"/>
        <w:spacing w:beforeLines="50" w:after="50"/>
        <w:rPr>
          <w:rFonts w:ascii="仿宋" w:hAnsi="仿宋" w:eastAsia="仿宋" w:cs="仿宋"/>
          <w:b/>
          <w:color w:val="auto"/>
          <w:sz w:val="24"/>
          <w:highlight w:val="none"/>
        </w:rPr>
      </w:pPr>
    </w:p>
    <w:p w14:paraId="08F5D5AE">
      <w:pPr>
        <w:snapToGrid w:val="0"/>
        <w:spacing w:beforeLines="50" w:after="50"/>
        <w:rPr>
          <w:rFonts w:ascii="仿宋" w:hAnsi="仿宋" w:eastAsia="仿宋" w:cs="仿宋"/>
          <w:b/>
          <w:color w:val="auto"/>
          <w:sz w:val="24"/>
          <w:highlight w:val="none"/>
        </w:rPr>
      </w:pPr>
    </w:p>
    <w:p w14:paraId="4B37704D">
      <w:pPr>
        <w:snapToGrid w:val="0"/>
        <w:spacing w:beforeLines="50" w:after="50"/>
        <w:rPr>
          <w:rFonts w:ascii="仿宋" w:hAnsi="仿宋" w:eastAsia="仿宋" w:cs="仿宋"/>
          <w:b/>
          <w:color w:val="auto"/>
          <w:sz w:val="24"/>
          <w:highlight w:val="none"/>
        </w:rPr>
      </w:pPr>
    </w:p>
    <w:p w14:paraId="3D6457E8">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投标函格式：</w:t>
      </w:r>
    </w:p>
    <w:p w14:paraId="14234C33">
      <w:pPr>
        <w:snapToGrid w:val="0"/>
        <w:spacing w:beforeLines="50" w:after="50" w:line="320" w:lineRule="exact"/>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项目名称A/B分标</w:t>
      </w:r>
    </w:p>
    <w:p w14:paraId="688504AC">
      <w:pPr>
        <w:snapToGrid w:val="0"/>
        <w:spacing w:beforeLines="50" w:after="50"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 标 函</w:t>
      </w:r>
    </w:p>
    <w:p w14:paraId="4C5919ED">
      <w:pPr>
        <w:snapToGrid w:val="0"/>
        <w:spacing w:beforeLines="50" w:after="50" w:line="320" w:lineRule="exact"/>
        <w:jc w:val="center"/>
        <w:rPr>
          <w:rFonts w:ascii="仿宋" w:hAnsi="仿宋" w:eastAsia="仿宋" w:cs="仿宋"/>
          <w:b/>
          <w:color w:val="auto"/>
          <w:sz w:val="24"/>
          <w:szCs w:val="20"/>
          <w:highlight w:val="none"/>
        </w:rPr>
      </w:pPr>
    </w:p>
    <w:p w14:paraId="4A4F5879">
      <w:pPr>
        <w:snapToGrid w:val="0"/>
        <w:spacing w:line="32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05C83890">
      <w:pPr>
        <w:snapToGrid w:val="0"/>
        <w:spacing w:line="320" w:lineRule="exact"/>
        <w:ind w:firstLine="480"/>
        <w:rPr>
          <w:rFonts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（项目编号：）的招标公告，签字代表（姓名）经正式授权并代表投标人（投标人名称）提交投标文件。</w:t>
      </w:r>
    </w:p>
    <w:p w14:paraId="540CCCBB">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14:paraId="37C39C4E">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D2A472F">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2.我方在投标之前已经与贵方进行了充分的沟通，完全理解并接受招标文件的各项规定和要求，对招标文件的合理性、合法性不再有异议。</w:t>
      </w:r>
    </w:p>
    <w:p w14:paraId="0D9E9072">
      <w:pPr>
        <w:snapToGrid w:val="0"/>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3.本投标有效期自投标截止之日起至政府采购合同签订之日止。</w:t>
      </w:r>
    </w:p>
    <w:p w14:paraId="45560720">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4.如中标，本投标文件至本项目合同履行完毕止均保持有效，我方将按“招标文件”及政府采购法律、法规的规定履行合同责任和义务。</w:t>
      </w:r>
    </w:p>
    <w:p w14:paraId="65C7FD50">
      <w:pPr>
        <w:snapToGrid w:val="0"/>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5.我方同意按照贵方要求提供与投标有关的一切数据或资料。</w:t>
      </w:r>
    </w:p>
    <w:p w14:paraId="30E81D8D">
      <w:pPr>
        <w:snapToGrid w:val="0"/>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6.我方向贵方提交的所有投标文件、资料都是准确的和真实的。</w:t>
      </w:r>
    </w:p>
    <w:p w14:paraId="67884C22">
      <w:pPr>
        <w:snapToGrid w:val="0"/>
        <w:spacing w:line="3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7.以上事项如有虚假或隐瞒，我方愿意承担一切后果，并不再寻求任何旨在减轻或免除法律责任的辩解。</w:t>
      </w:r>
    </w:p>
    <w:p w14:paraId="513E6A0D">
      <w:pPr>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0"/>
          <w:highlight w:val="none"/>
        </w:rPr>
        <w:t>根据《中华人民共和国政府采购法实施条例》第五十条要求对政府采购合同进行公告，但政府采购合同中涉及国家秘密、商业秘密的内容除外。我方就对本次投标文件进行注明如下：（两项内容中必须选择一项）</w:t>
      </w:r>
    </w:p>
    <w:p w14:paraId="289D238C">
      <w:pPr>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□我方本次投标文件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szCs w:val="20"/>
          <w:highlight w:val="none"/>
        </w:rPr>
        <w:t>未</w:t>
      </w:r>
      <w:r>
        <w:rPr>
          <w:rFonts w:hint="eastAsia" w:ascii="仿宋" w:hAnsi="仿宋" w:eastAsia="仿宋" w:cs="仿宋"/>
          <w:color w:val="auto"/>
          <w:kern w:val="0"/>
          <w:sz w:val="24"/>
          <w:highlight w:val="none"/>
        </w:rPr>
        <w:t>涉及商业秘密；</w:t>
      </w:r>
    </w:p>
    <w:p w14:paraId="488F8AAC">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□我方本次投标文件</w:t>
      </w:r>
      <w:r>
        <w:rPr>
          <w:rFonts w:hint="eastAsia" w:ascii="仿宋" w:hAnsi="仿宋" w:eastAsia="仿宋" w:cs="仿宋"/>
          <w:color w:val="auto"/>
          <w:kern w:val="0"/>
          <w:sz w:val="24"/>
          <w:highlight w:val="none"/>
        </w:rPr>
        <w:t>涉及商业秘密的内容有：；</w:t>
      </w:r>
    </w:p>
    <w:p w14:paraId="004AC5F4">
      <w:pPr>
        <w:snapToGrid w:val="0"/>
        <w:spacing w:line="32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9.与本投标有关的一切正式往来信函请寄：</w:t>
      </w:r>
    </w:p>
    <w:p w14:paraId="45B51B44">
      <w:pPr>
        <w:snapToGrid w:val="0"/>
        <w:spacing w:line="32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3ACFC2FF">
      <w:pPr>
        <w:snapToGrid w:val="0"/>
        <w:spacing w:line="32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电话：传真：</w:t>
      </w:r>
    </w:p>
    <w:p w14:paraId="744AD469">
      <w:pPr>
        <w:snapToGrid w:val="0"/>
        <w:spacing w:line="32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投标人名称:</w:t>
      </w:r>
    </w:p>
    <w:p w14:paraId="2FDD6A36">
      <w:pPr>
        <w:snapToGrid w:val="0"/>
        <w:spacing w:line="320" w:lineRule="exact"/>
        <w:jc w:val="left"/>
        <w:rPr>
          <w:rFonts w:ascii="仿宋" w:hAnsi="仿宋" w:eastAsia="仿宋" w:cs="仿宋"/>
          <w:color w:val="auto"/>
          <w:sz w:val="24"/>
          <w:szCs w:val="20"/>
          <w:highlight w:val="none"/>
        </w:rPr>
      </w:pPr>
      <w:r>
        <w:rPr>
          <w:rFonts w:hint="eastAsia" w:ascii="仿宋" w:hAnsi="仿宋" w:eastAsia="仿宋" w:cs="仿宋"/>
          <w:color w:val="auto"/>
          <w:sz w:val="24"/>
          <w:highlight w:val="none"/>
        </w:rPr>
        <w:t>开户银行：   银行帐号：</w:t>
      </w:r>
    </w:p>
    <w:p w14:paraId="7E03B487">
      <w:pPr>
        <w:snapToGrid w:val="0"/>
        <w:spacing w:beforeLines="50"/>
        <w:ind w:right="480"/>
        <w:rPr>
          <w:rFonts w:ascii="仿宋" w:hAnsi="仿宋" w:eastAsia="仿宋" w:cs="仿宋"/>
          <w:color w:val="auto"/>
          <w:sz w:val="24"/>
          <w:highlight w:val="none"/>
        </w:rPr>
      </w:pPr>
    </w:p>
    <w:p w14:paraId="46B5F191">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17199461">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618B05AE">
      <w:pPr>
        <w:snapToGrid w:val="0"/>
        <w:spacing w:beforeLines="50" w:after="50"/>
        <w:jc w:val="left"/>
        <w:rPr>
          <w:rFonts w:ascii="仿宋" w:hAnsi="仿宋" w:eastAsia="仿宋" w:cs="仿宋"/>
          <w:b/>
          <w:color w:val="auto"/>
          <w:sz w:val="24"/>
          <w:highlight w:val="none"/>
        </w:rPr>
      </w:pPr>
      <w:r>
        <w:rPr>
          <w:rFonts w:hint="eastAsia" w:ascii="仿宋" w:hAnsi="仿宋" w:eastAsia="仿宋" w:cs="仿宋"/>
          <w:color w:val="auto"/>
          <w:highlight w:val="none"/>
          <w:u w:val="single"/>
        </w:rPr>
        <w:br w:type="page"/>
      </w:r>
      <w:r>
        <w:rPr>
          <w:rFonts w:hint="eastAsia" w:ascii="仿宋" w:hAnsi="仿宋" w:eastAsia="仿宋" w:cs="仿宋"/>
          <w:b/>
          <w:color w:val="auto"/>
          <w:sz w:val="24"/>
          <w:highlight w:val="none"/>
        </w:rPr>
        <w:t>4. 开标一览表（服务类格式）</w:t>
      </w:r>
    </w:p>
    <w:p w14:paraId="4F6F53EB">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开标一览表</w:t>
      </w:r>
    </w:p>
    <w:p w14:paraId="7AC1619B">
      <w:pPr>
        <w:snapToGrid w:val="0"/>
        <w:spacing w:before="50" w:after="50"/>
        <w:jc w:val="center"/>
        <w:rPr>
          <w:rFonts w:ascii="仿宋" w:hAnsi="仿宋" w:eastAsia="仿宋" w:cs="仿宋"/>
          <w:b/>
          <w:color w:val="auto"/>
          <w:sz w:val="24"/>
          <w:highlight w:val="none"/>
        </w:rPr>
      </w:pPr>
    </w:p>
    <w:p w14:paraId="6F0185E7">
      <w:pPr>
        <w:snapToGrid w:val="0"/>
        <w:spacing w:before="50" w:after="50"/>
        <w:rPr>
          <w:rFonts w:ascii="仿宋" w:hAnsi="仿宋" w:eastAsia="仿宋" w:cs="仿宋"/>
          <w:color w:val="auto"/>
          <w:sz w:val="24"/>
          <w:highlight w:val="none"/>
        </w:rPr>
      </w:pPr>
      <w:r>
        <w:rPr>
          <w:rFonts w:hint="eastAsia" w:ascii="仿宋" w:hAnsi="仿宋" w:eastAsia="仿宋" w:cs="仿宋"/>
          <w:color w:val="auto"/>
          <w:sz w:val="24"/>
          <w:highlight w:val="none"/>
        </w:rPr>
        <w:t>招标名称：   分标：</w:t>
      </w:r>
    </w:p>
    <w:p w14:paraId="75011E2B">
      <w:pPr>
        <w:snapToGrid w:val="0"/>
        <w:spacing w:before="50" w:after="50"/>
        <w:rPr>
          <w:rFonts w:ascii="仿宋" w:hAnsi="仿宋" w:eastAsia="仿宋" w:cs="仿宋"/>
          <w:color w:val="auto"/>
          <w:sz w:val="24"/>
          <w:highlight w:val="none"/>
          <w:u w:val="single"/>
        </w:rPr>
      </w:pPr>
      <w:r>
        <w:rPr>
          <w:rFonts w:hint="eastAsia" w:ascii="仿宋" w:hAnsi="仿宋" w:eastAsia="仿宋" w:cs="仿宋"/>
          <w:color w:val="auto"/>
          <w:sz w:val="24"/>
          <w:highlight w:val="none"/>
        </w:rPr>
        <w:t>招标编号：</w:t>
      </w:r>
    </w:p>
    <w:p w14:paraId="0C025A5F">
      <w:pPr>
        <w:snapToGrid w:val="0"/>
        <w:spacing w:before="50" w:after="50"/>
        <w:rPr>
          <w:rFonts w:ascii="仿宋" w:hAnsi="仿宋" w:eastAsia="仿宋" w:cs="仿宋"/>
          <w:color w:val="auto"/>
          <w:sz w:val="24"/>
          <w:highlight w:val="none"/>
        </w:rPr>
      </w:pPr>
      <w:r>
        <w:rPr>
          <w:rFonts w:hint="eastAsia" w:ascii="仿宋" w:hAnsi="仿宋" w:eastAsia="仿宋" w:cs="仿宋"/>
          <w:color w:val="auto"/>
          <w:sz w:val="24"/>
          <w:highlight w:val="none"/>
        </w:rPr>
        <w:t>投标人名称：                       单位：元</w:t>
      </w:r>
    </w:p>
    <w:tbl>
      <w:tblPr>
        <w:tblStyle w:val="20"/>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746"/>
        <w:gridCol w:w="1667"/>
        <w:gridCol w:w="1680"/>
        <w:gridCol w:w="2533"/>
        <w:gridCol w:w="990"/>
      </w:tblGrid>
      <w:tr w14:paraId="2414A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14:paraId="474D927C">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项号</w:t>
            </w:r>
          </w:p>
        </w:tc>
        <w:tc>
          <w:tcPr>
            <w:tcW w:w="1746" w:type="dxa"/>
            <w:tcBorders>
              <w:top w:val="single" w:color="auto" w:sz="4" w:space="0"/>
              <w:left w:val="single" w:color="auto" w:sz="4" w:space="0"/>
              <w:bottom w:val="single" w:color="auto" w:sz="4" w:space="0"/>
              <w:right w:val="single" w:color="auto" w:sz="4" w:space="0"/>
            </w:tcBorders>
            <w:vAlign w:val="center"/>
          </w:tcPr>
          <w:p w14:paraId="29ECB07B">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服务名称</w:t>
            </w:r>
          </w:p>
        </w:tc>
        <w:tc>
          <w:tcPr>
            <w:tcW w:w="1667" w:type="dxa"/>
            <w:tcBorders>
              <w:top w:val="single" w:color="auto" w:sz="4" w:space="0"/>
              <w:left w:val="single" w:color="auto" w:sz="4" w:space="0"/>
              <w:bottom w:val="single" w:color="auto" w:sz="4" w:space="0"/>
              <w:right w:val="single" w:color="auto" w:sz="4" w:space="0"/>
            </w:tcBorders>
            <w:vAlign w:val="center"/>
          </w:tcPr>
          <w:p w14:paraId="73375E11">
            <w:pPr>
              <w:snapToGrid w:val="0"/>
              <w:spacing w:before="50" w:after="50"/>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数量（年）</w:t>
            </w:r>
          </w:p>
        </w:tc>
        <w:tc>
          <w:tcPr>
            <w:tcW w:w="1680" w:type="dxa"/>
            <w:tcBorders>
              <w:top w:val="single" w:color="auto" w:sz="4" w:space="0"/>
              <w:left w:val="single" w:color="auto" w:sz="4" w:space="0"/>
              <w:bottom w:val="single" w:color="auto" w:sz="4" w:space="0"/>
              <w:right w:val="single" w:color="auto" w:sz="4" w:space="0"/>
            </w:tcBorders>
            <w:vAlign w:val="center"/>
          </w:tcPr>
          <w:p w14:paraId="13DC6C99">
            <w:pPr>
              <w:snapToGrid w:val="0"/>
              <w:spacing w:before="50" w:after="50"/>
              <w:jc w:val="center"/>
              <w:rPr>
                <w:rFonts w:ascii="仿宋" w:hAnsi="仿宋" w:eastAsia="仿宋" w:cs="仿宋"/>
                <w:b/>
                <w:color w:val="auto"/>
                <w:sz w:val="24"/>
                <w:highlight w:val="none"/>
              </w:rPr>
            </w:pPr>
          </w:p>
          <w:p w14:paraId="7361D5EC">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单价（元）</w:t>
            </w:r>
          </w:p>
          <w:p w14:paraId="4EC53BEF">
            <w:pPr>
              <w:snapToGrid w:val="0"/>
              <w:spacing w:before="50" w:after="50"/>
              <w:jc w:val="center"/>
              <w:rPr>
                <w:rFonts w:ascii="仿宋" w:hAnsi="仿宋" w:eastAsia="仿宋" w:cs="仿宋"/>
                <w:b/>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371A20CF">
            <w:pPr>
              <w:snapToGrid w:val="0"/>
              <w:spacing w:before="50" w:after="50"/>
              <w:jc w:val="center"/>
              <w:rPr>
                <w:rFonts w:ascii="仿宋" w:hAnsi="仿宋" w:eastAsia="仿宋" w:cs="仿宋"/>
                <w:b/>
                <w:color w:val="auto"/>
                <w:sz w:val="24"/>
                <w:highlight w:val="none"/>
              </w:rPr>
            </w:pPr>
          </w:p>
          <w:p w14:paraId="2EE393F3">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投标总报价（元）</w:t>
            </w:r>
          </w:p>
          <w:p w14:paraId="43D235FE">
            <w:pPr>
              <w:snapToGrid w:val="0"/>
              <w:spacing w:before="50" w:after="50"/>
              <w:jc w:val="center"/>
              <w:rPr>
                <w:rFonts w:ascii="仿宋" w:hAnsi="仿宋" w:eastAsia="仿宋" w:cs="仿宋"/>
                <w:b/>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2BC27DF7">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02B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14:paraId="7257D32D">
            <w:pPr>
              <w:snapToGrid w:val="0"/>
              <w:spacing w:before="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095CB3FE">
            <w:pPr>
              <w:snapToGrid w:val="0"/>
              <w:spacing w:before="50" w:after="50"/>
              <w:jc w:val="center"/>
              <w:rPr>
                <w:rFonts w:ascii="仿宋" w:hAnsi="仿宋" w:eastAsia="仿宋" w:cs="仿宋"/>
                <w:b/>
                <w:color w:val="auto"/>
                <w:sz w:val="24"/>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14:paraId="3BD09BBD">
            <w:pPr>
              <w:snapToGrid w:val="0"/>
              <w:spacing w:before="50" w:after="50"/>
              <w:jc w:val="center"/>
              <w:rPr>
                <w:rFonts w:ascii="仿宋" w:hAnsi="仿宋" w:eastAsia="仿宋" w:cs="仿宋"/>
                <w:b/>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5AF76BBC">
            <w:pPr>
              <w:snapToGrid w:val="0"/>
              <w:spacing w:before="50" w:after="50"/>
              <w:rPr>
                <w:rFonts w:ascii="仿宋" w:hAnsi="仿宋" w:eastAsia="仿宋" w:cs="仿宋"/>
                <w:color w:val="auto"/>
                <w:sz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AB7D651">
            <w:pPr>
              <w:snapToGrid w:val="0"/>
              <w:spacing w:before="50" w:after="50"/>
              <w:rPr>
                <w:rFonts w:ascii="仿宋" w:hAnsi="仿宋" w:eastAsia="仿宋" w:cs="仿宋"/>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7B28B203">
            <w:pPr>
              <w:snapToGrid w:val="0"/>
              <w:spacing w:before="50" w:after="50"/>
              <w:rPr>
                <w:rFonts w:ascii="仿宋" w:hAnsi="仿宋" w:eastAsia="仿宋" w:cs="仿宋"/>
                <w:color w:val="auto"/>
                <w:sz w:val="24"/>
                <w:highlight w:val="none"/>
              </w:rPr>
            </w:pPr>
          </w:p>
        </w:tc>
      </w:tr>
      <w:tr w14:paraId="61610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14:paraId="0E976916">
            <w:pPr>
              <w:snapToGrid w:val="0"/>
              <w:spacing w:before="50" w:after="5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每个月</w:t>
            </w:r>
            <w:r>
              <w:rPr>
                <w:rFonts w:hint="eastAsia" w:ascii="仿宋" w:hAnsi="仿宋" w:eastAsia="仿宋" w:cs="仿宋"/>
                <w:color w:val="auto"/>
                <w:sz w:val="24"/>
                <w:highlight w:val="none"/>
              </w:rPr>
              <w:t>报价金额大写：</w:t>
            </w:r>
            <w:r>
              <w:rPr>
                <w:rFonts w:hint="eastAsia" w:ascii="仿宋" w:hAnsi="仿宋" w:eastAsia="仿宋" w:cs="仿宋"/>
                <w:color w:val="auto"/>
                <w:spacing w:val="20"/>
                <w:sz w:val="24"/>
                <w:highlight w:val="none"/>
              </w:rPr>
              <w:t>人民币（￥）</w:t>
            </w:r>
          </w:p>
        </w:tc>
      </w:tr>
      <w:tr w14:paraId="0E59F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14:paraId="1395302C">
            <w:pPr>
              <w:snapToGrid w:val="0"/>
              <w:spacing w:before="50" w:after="50"/>
              <w:rPr>
                <w:rFonts w:ascii="仿宋" w:hAnsi="仿宋" w:eastAsia="仿宋" w:cs="仿宋"/>
                <w:color w:val="auto"/>
                <w:sz w:val="24"/>
                <w:highlight w:val="none"/>
              </w:rPr>
            </w:pPr>
            <w:r>
              <w:rPr>
                <w:rFonts w:hint="eastAsia" w:ascii="仿宋" w:hAnsi="仿宋" w:eastAsia="仿宋" w:cs="仿宋"/>
                <w:color w:val="auto"/>
                <w:sz w:val="24"/>
                <w:highlight w:val="none"/>
              </w:rPr>
              <w:t>一年合计报价金额大写：</w:t>
            </w:r>
            <w:r>
              <w:rPr>
                <w:rFonts w:hint="eastAsia" w:ascii="仿宋" w:hAnsi="仿宋" w:eastAsia="仿宋" w:cs="仿宋"/>
                <w:color w:val="auto"/>
                <w:spacing w:val="20"/>
                <w:sz w:val="24"/>
                <w:highlight w:val="none"/>
              </w:rPr>
              <w:t>人民币（￥）</w:t>
            </w:r>
          </w:p>
        </w:tc>
      </w:tr>
      <w:tr w14:paraId="3DCAE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14:paraId="551C02B9">
            <w:pPr>
              <w:snapToGrid w:val="0"/>
              <w:spacing w:before="50" w:after="5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年合计报价金额大写：</w:t>
            </w:r>
            <w:r>
              <w:rPr>
                <w:rFonts w:hint="eastAsia" w:ascii="仿宋" w:hAnsi="仿宋" w:eastAsia="仿宋" w:cs="仿宋"/>
                <w:color w:val="auto"/>
                <w:spacing w:val="20"/>
                <w:sz w:val="24"/>
                <w:highlight w:val="none"/>
              </w:rPr>
              <w:t>人民币（￥）</w:t>
            </w:r>
          </w:p>
        </w:tc>
      </w:tr>
      <w:tr w14:paraId="373E9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14:paraId="0C9B1665">
            <w:pPr>
              <w:snapToGrid w:val="0"/>
              <w:spacing w:before="50" w:after="50"/>
              <w:rPr>
                <w:rFonts w:ascii="仿宋" w:hAnsi="仿宋" w:eastAsia="仿宋" w:cs="仿宋"/>
                <w:color w:val="auto"/>
                <w:sz w:val="24"/>
                <w:highlight w:val="none"/>
              </w:rPr>
            </w:pPr>
            <w:r>
              <w:rPr>
                <w:rFonts w:hint="eastAsia" w:ascii="仿宋" w:hAnsi="仿宋" w:eastAsia="仿宋" w:cs="仿宋"/>
                <w:color w:val="auto"/>
                <w:sz w:val="24"/>
                <w:highlight w:val="none"/>
              </w:rPr>
              <w:t>投标报价包含办公费、设备费、管理费、税费、中标人所聘用人员的工资、福利、社会保险金、加班费、服装费，水电费，岗位配套装备等等所有经营费用。</w:t>
            </w:r>
          </w:p>
        </w:tc>
      </w:tr>
    </w:tbl>
    <w:p w14:paraId="499F6B4E">
      <w:pPr>
        <w:snapToGrid w:val="0"/>
        <w:spacing w:before="50" w:after="50"/>
        <w:jc w:val="left"/>
        <w:rPr>
          <w:rFonts w:ascii="仿宋" w:hAnsi="仿宋" w:eastAsia="仿宋" w:cs="仿宋"/>
          <w:color w:val="auto"/>
          <w:sz w:val="24"/>
          <w:highlight w:val="none"/>
        </w:rPr>
      </w:pPr>
    </w:p>
    <w:p w14:paraId="496C6C84">
      <w:pPr>
        <w:snapToGrid w:val="0"/>
        <w:spacing w:before="50" w:after="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14:paraId="2D7FB3C5">
      <w:pPr>
        <w:snapToGrid w:val="0"/>
        <w:spacing w:before="50" w:after="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1.投标人的开标一览表必须加盖投标人公章，</w:t>
      </w:r>
      <w:r>
        <w:rPr>
          <w:rFonts w:hint="eastAsia" w:ascii="仿宋" w:hAnsi="仿宋" w:eastAsia="仿宋" w:cs="仿宋"/>
          <w:b/>
          <w:color w:val="auto"/>
          <w:sz w:val="24"/>
          <w:highlight w:val="none"/>
        </w:rPr>
        <w:t>否则其投标作无效标处理</w:t>
      </w:r>
      <w:r>
        <w:rPr>
          <w:rFonts w:hint="eastAsia" w:ascii="仿宋" w:hAnsi="仿宋" w:eastAsia="仿宋" w:cs="仿宋"/>
          <w:color w:val="auto"/>
          <w:sz w:val="24"/>
          <w:highlight w:val="none"/>
        </w:rPr>
        <w:t>。</w:t>
      </w:r>
    </w:p>
    <w:p w14:paraId="31BC9138">
      <w:pPr>
        <w:snapToGrid w:val="0"/>
        <w:spacing w:before="50" w:after="50"/>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报价一经涂改，应在涂改处加盖投标人公章</w:t>
      </w:r>
      <w:r>
        <w:rPr>
          <w:rFonts w:hint="eastAsia" w:ascii="仿宋" w:hAnsi="仿宋" w:eastAsia="仿宋" w:cs="仿宋"/>
          <w:b/>
          <w:color w:val="auto"/>
          <w:sz w:val="24"/>
          <w:highlight w:val="none"/>
        </w:rPr>
        <w:t>，否则其投标作无效标处理。</w:t>
      </w:r>
    </w:p>
    <w:p w14:paraId="5944B747">
      <w:pPr>
        <w:snapToGrid w:val="0"/>
        <w:spacing w:before="50" w:after="50"/>
        <w:ind w:left="-2" w:leftChars="-1" w:right="-817" w:rightChars="-389"/>
        <w:rPr>
          <w:rFonts w:ascii="仿宋" w:hAnsi="仿宋" w:eastAsia="仿宋" w:cs="仿宋"/>
          <w:color w:val="auto"/>
          <w:sz w:val="24"/>
          <w:highlight w:val="none"/>
        </w:rPr>
      </w:pPr>
    </w:p>
    <w:p w14:paraId="34A52920">
      <w:pPr>
        <w:widowControl/>
        <w:spacing w:line="440" w:lineRule="exact"/>
        <w:ind w:firstLine="3600" w:firstLineChars="1500"/>
        <w:jc w:val="left"/>
        <w:rPr>
          <w:rFonts w:hint="eastAsia" w:ascii="仿宋_GB2312" w:hAnsi="仿宋_GB2312" w:eastAsia="仿宋_GB2312" w:cs="仿宋_GB2312"/>
          <w:color w:val="auto"/>
          <w:szCs w:val="21"/>
          <w:highlight w:val="none"/>
        </w:rPr>
      </w:pPr>
      <w:r>
        <w:rPr>
          <w:rFonts w:hint="eastAsia" w:ascii="仿宋" w:hAnsi="仿宋" w:eastAsia="仿宋" w:cs="仿宋"/>
          <w:color w:val="auto"/>
          <w:sz w:val="24"/>
          <w:highlight w:val="none"/>
        </w:rPr>
        <w:t xml:space="preserve">  </w:t>
      </w: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4998980F">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2D822D38">
      <w:pPr>
        <w:snapToGrid w:val="0"/>
        <w:spacing w:before="50" w:after="50"/>
        <w:ind w:right="-817" w:rightChars="-389"/>
        <w:rPr>
          <w:rFonts w:ascii="宋体" w:hAnsi="宋体" w:cs="宋体"/>
          <w:color w:val="auto"/>
          <w:szCs w:val="21"/>
          <w:highlight w:val="none"/>
        </w:rPr>
      </w:pPr>
    </w:p>
    <w:p w14:paraId="0D8A1D69">
      <w:pPr>
        <w:snapToGrid w:val="0"/>
        <w:spacing w:beforeLines="50" w:after="50"/>
        <w:jc w:val="center"/>
        <w:outlineLvl w:val="1"/>
        <w:rPr>
          <w:rFonts w:ascii="仿宋" w:hAnsi="仿宋" w:eastAsia="仿宋" w:cs="仿宋"/>
          <w:b/>
          <w:bCs/>
          <w:color w:val="auto"/>
          <w:sz w:val="24"/>
          <w:highlight w:val="none"/>
        </w:rPr>
      </w:pPr>
    </w:p>
    <w:p w14:paraId="3D92DFC5">
      <w:pPr>
        <w:snapToGrid w:val="0"/>
        <w:spacing w:beforeLines="50" w:after="50"/>
        <w:jc w:val="center"/>
        <w:outlineLvl w:val="1"/>
        <w:rPr>
          <w:rFonts w:ascii="仿宋" w:hAnsi="仿宋" w:eastAsia="仿宋" w:cs="仿宋"/>
          <w:b/>
          <w:bCs/>
          <w:color w:val="auto"/>
          <w:sz w:val="24"/>
          <w:highlight w:val="none"/>
        </w:rPr>
      </w:pPr>
    </w:p>
    <w:p w14:paraId="1EEAB4C7">
      <w:pPr>
        <w:pStyle w:val="19"/>
        <w:ind w:firstLine="482"/>
        <w:rPr>
          <w:rFonts w:ascii="仿宋" w:hAnsi="仿宋" w:eastAsia="仿宋" w:cs="仿宋"/>
          <w:b/>
          <w:bCs/>
          <w:color w:val="auto"/>
          <w:highlight w:val="none"/>
        </w:rPr>
      </w:pPr>
    </w:p>
    <w:p w14:paraId="28C6DECC">
      <w:pPr>
        <w:pStyle w:val="18"/>
        <w:ind w:firstLine="210"/>
        <w:rPr>
          <w:color w:val="auto"/>
          <w:highlight w:val="none"/>
        </w:rPr>
      </w:pPr>
    </w:p>
    <w:p w14:paraId="2A59C049">
      <w:pPr>
        <w:pStyle w:val="10"/>
        <w:rPr>
          <w:rFonts w:ascii="仿宋" w:hAnsi="仿宋" w:eastAsia="仿宋" w:cs="仿宋"/>
          <w:color w:val="auto"/>
          <w:highlight w:val="none"/>
        </w:rPr>
      </w:pPr>
    </w:p>
    <w:p w14:paraId="3BB96425">
      <w:pPr>
        <w:snapToGrid w:val="0"/>
        <w:spacing w:beforeLines="50" w:after="5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三、资格证明文件格式</w:t>
      </w:r>
    </w:p>
    <w:p w14:paraId="386FD3C9">
      <w:pPr>
        <w:numPr>
          <w:ilvl w:val="2"/>
          <w:numId w:val="14"/>
        </w:numPr>
        <w:snapToGrid w:val="0"/>
        <w:spacing w:beforeLines="50" w:after="50"/>
        <w:ind w:left="0" w:firstLine="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资格证明文件封面格式： </w:t>
      </w:r>
    </w:p>
    <w:p w14:paraId="32DEF391">
      <w:pPr>
        <w:snapToGrid w:val="0"/>
        <w:spacing w:beforeLines="50" w:after="50"/>
        <w:rPr>
          <w:rFonts w:ascii="仿宋" w:hAnsi="仿宋" w:eastAsia="仿宋" w:cs="仿宋"/>
          <w:color w:val="auto"/>
          <w:sz w:val="24"/>
          <w:szCs w:val="20"/>
          <w:highlight w:val="none"/>
        </w:rPr>
      </w:pPr>
    </w:p>
    <w:p w14:paraId="60E46E6D">
      <w:pPr>
        <w:snapToGrid w:val="0"/>
        <w:spacing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资格证明文件</w:t>
      </w:r>
    </w:p>
    <w:p w14:paraId="6FB30A89">
      <w:pPr>
        <w:pStyle w:val="10"/>
        <w:rPr>
          <w:rFonts w:ascii="仿宋" w:hAnsi="仿宋" w:eastAsia="仿宋" w:cs="仿宋"/>
          <w:bCs/>
          <w:color w:val="auto"/>
          <w:sz w:val="32"/>
          <w:szCs w:val="32"/>
          <w:highlight w:val="none"/>
        </w:rPr>
      </w:pPr>
    </w:p>
    <w:p w14:paraId="6F14326A">
      <w:pPr>
        <w:pStyle w:val="10"/>
        <w:rPr>
          <w:rFonts w:ascii="仿宋" w:hAnsi="仿宋" w:eastAsia="仿宋" w:cs="仿宋"/>
          <w:bCs/>
          <w:color w:val="auto"/>
          <w:sz w:val="32"/>
          <w:szCs w:val="32"/>
          <w:highlight w:val="none"/>
        </w:rPr>
      </w:pPr>
    </w:p>
    <w:p w14:paraId="19E9B631">
      <w:pPr>
        <w:pStyle w:val="10"/>
        <w:rPr>
          <w:rFonts w:ascii="仿宋" w:hAnsi="仿宋" w:eastAsia="仿宋" w:cs="仿宋"/>
          <w:bCs/>
          <w:color w:val="auto"/>
          <w:sz w:val="32"/>
          <w:szCs w:val="32"/>
          <w:highlight w:val="none"/>
        </w:rPr>
      </w:pPr>
    </w:p>
    <w:p w14:paraId="5DB5811B">
      <w:pPr>
        <w:pStyle w:val="10"/>
        <w:rPr>
          <w:rFonts w:ascii="仿宋" w:hAnsi="仿宋" w:eastAsia="仿宋" w:cs="仿宋"/>
          <w:bCs/>
          <w:color w:val="auto"/>
          <w:sz w:val="32"/>
          <w:szCs w:val="32"/>
          <w:highlight w:val="none"/>
        </w:rPr>
      </w:pPr>
    </w:p>
    <w:p w14:paraId="7AAE4491">
      <w:pPr>
        <w:snapToGrid w:val="0"/>
        <w:spacing w:beforeLines="50" w:after="50"/>
        <w:rPr>
          <w:rFonts w:ascii="仿宋" w:hAnsi="仿宋" w:eastAsia="仿宋" w:cs="仿宋"/>
          <w:bCs/>
          <w:color w:val="auto"/>
          <w:sz w:val="24"/>
          <w:szCs w:val="20"/>
          <w:highlight w:val="none"/>
        </w:rPr>
      </w:pPr>
    </w:p>
    <w:p w14:paraId="08CC6C61">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项目名称：（项目名称）A/B分标</w:t>
      </w:r>
    </w:p>
    <w:p w14:paraId="317E1979">
      <w:pPr>
        <w:snapToGrid w:val="0"/>
        <w:spacing w:beforeLines="50" w:after="50"/>
        <w:ind w:firstLine="540" w:firstLineChars="225"/>
        <w:rPr>
          <w:rFonts w:ascii="仿宋" w:hAnsi="仿宋" w:eastAsia="仿宋" w:cs="仿宋"/>
          <w:bCs/>
          <w:color w:val="auto"/>
          <w:sz w:val="24"/>
          <w:szCs w:val="20"/>
          <w:highlight w:val="none"/>
        </w:rPr>
      </w:pPr>
    </w:p>
    <w:p w14:paraId="42F53283">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7D97EBA4">
      <w:pPr>
        <w:snapToGrid w:val="0"/>
        <w:spacing w:beforeLines="50" w:after="50"/>
        <w:ind w:firstLine="540" w:firstLineChars="225"/>
        <w:rPr>
          <w:rFonts w:ascii="仿宋" w:hAnsi="仿宋" w:eastAsia="仿宋" w:cs="仿宋"/>
          <w:bCs/>
          <w:color w:val="auto"/>
          <w:sz w:val="24"/>
          <w:szCs w:val="20"/>
          <w:highlight w:val="none"/>
        </w:rPr>
      </w:pPr>
    </w:p>
    <w:p w14:paraId="14477389">
      <w:pPr>
        <w:snapToGrid w:val="0"/>
        <w:spacing w:beforeLines="50" w:after="50"/>
        <w:ind w:firstLine="540" w:firstLineChars="225"/>
        <w:rPr>
          <w:rFonts w:ascii="仿宋" w:hAnsi="仿宋" w:eastAsia="仿宋" w:cs="仿宋"/>
          <w:bCs/>
          <w:color w:val="auto"/>
          <w:sz w:val="24"/>
          <w:szCs w:val="20"/>
          <w:highlight w:val="none"/>
        </w:rPr>
      </w:pPr>
    </w:p>
    <w:p w14:paraId="2AA51DEC">
      <w:pPr>
        <w:pStyle w:val="7"/>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14:paraId="6C651FAC">
      <w:pPr>
        <w:pStyle w:val="7"/>
        <w:snapToGrid w:val="0"/>
        <w:spacing w:before="50" w:after="50"/>
        <w:ind w:firstLine="540" w:firstLineChars="225"/>
        <w:rPr>
          <w:rFonts w:ascii="仿宋" w:hAnsi="仿宋" w:eastAsia="仿宋" w:cs="仿宋"/>
          <w:bCs/>
          <w:color w:val="auto"/>
          <w:sz w:val="24"/>
          <w:szCs w:val="24"/>
          <w:highlight w:val="none"/>
        </w:rPr>
      </w:pPr>
    </w:p>
    <w:p w14:paraId="7770ACED">
      <w:pPr>
        <w:pStyle w:val="7"/>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投标人地址：</w:t>
      </w:r>
    </w:p>
    <w:p w14:paraId="1D4344B2">
      <w:pPr>
        <w:pStyle w:val="7"/>
        <w:snapToGrid w:val="0"/>
        <w:spacing w:before="50" w:after="50"/>
        <w:ind w:firstLine="960" w:firstLineChars="400"/>
        <w:rPr>
          <w:rFonts w:ascii="仿宋" w:hAnsi="仿宋" w:eastAsia="仿宋" w:cs="仿宋"/>
          <w:bCs/>
          <w:color w:val="auto"/>
          <w:sz w:val="24"/>
          <w:szCs w:val="24"/>
          <w:highlight w:val="none"/>
        </w:rPr>
      </w:pPr>
    </w:p>
    <w:p w14:paraId="050F67F8">
      <w:pPr>
        <w:snapToGrid w:val="0"/>
        <w:spacing w:beforeLines="50" w:after="50"/>
        <w:ind w:firstLine="64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64F3A58">
      <w:pPr>
        <w:snapToGrid w:val="0"/>
        <w:spacing w:beforeLines="50" w:after="50"/>
        <w:rPr>
          <w:rFonts w:ascii="仿宋" w:hAnsi="仿宋" w:eastAsia="仿宋" w:cs="仿宋"/>
          <w:color w:val="auto"/>
          <w:sz w:val="24"/>
          <w:szCs w:val="20"/>
          <w:highlight w:val="none"/>
        </w:rPr>
      </w:pPr>
    </w:p>
    <w:p w14:paraId="684AEF88">
      <w:pPr>
        <w:snapToGrid w:val="0"/>
        <w:spacing w:beforeLines="50" w:after="50"/>
        <w:rPr>
          <w:rFonts w:ascii="仿宋" w:hAnsi="仿宋" w:eastAsia="仿宋" w:cs="仿宋"/>
          <w:color w:val="auto"/>
          <w:sz w:val="24"/>
          <w:szCs w:val="20"/>
          <w:highlight w:val="none"/>
        </w:rPr>
      </w:pPr>
    </w:p>
    <w:p w14:paraId="7730EADF">
      <w:pPr>
        <w:numPr>
          <w:ilvl w:val="2"/>
          <w:numId w:val="14"/>
        </w:numPr>
        <w:snapToGrid w:val="0"/>
        <w:spacing w:beforeLines="50" w:after="50"/>
        <w:ind w:left="0" w:firstLine="0"/>
        <w:jc w:val="left"/>
        <w:rPr>
          <w:rFonts w:ascii="仿宋" w:hAnsi="仿宋" w:eastAsia="仿宋" w:cs="仿宋"/>
          <w:color w:val="auto"/>
          <w:sz w:val="24"/>
          <w:szCs w:val="20"/>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资格证明文件目录</w:t>
      </w:r>
    </w:p>
    <w:p w14:paraId="139A18E4">
      <w:pPr>
        <w:snapToGrid w:val="0"/>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根据招标文件规定及投标人提供的材料自行编写目录。</w:t>
      </w:r>
    </w:p>
    <w:p w14:paraId="5F1B9A60">
      <w:pPr>
        <w:snapToGrid w:val="0"/>
        <w:spacing w:before="50" w:afterLines="50"/>
        <w:jc w:val="left"/>
        <w:rPr>
          <w:rFonts w:ascii="仿宋" w:hAnsi="仿宋" w:eastAsia="仿宋" w:cs="仿宋"/>
          <w:color w:val="auto"/>
          <w:sz w:val="24"/>
          <w:highlight w:val="none"/>
        </w:rPr>
      </w:pPr>
    </w:p>
    <w:p w14:paraId="1F224FB6">
      <w:pPr>
        <w:pStyle w:val="9"/>
        <w:spacing w:line="480" w:lineRule="auto"/>
        <w:rPr>
          <w:rFonts w:ascii="仿宋" w:hAnsi="仿宋" w:eastAsia="仿宋" w:cs="仿宋"/>
          <w:color w:val="auto"/>
          <w:szCs w:val="21"/>
          <w:highlight w:val="none"/>
        </w:rPr>
      </w:pPr>
      <w:r>
        <w:rPr>
          <w:rFonts w:hint="eastAsia" w:ascii="仿宋" w:hAnsi="仿宋" w:eastAsia="仿宋" w:cs="仿宋"/>
          <w:color w:val="auto"/>
          <w:sz w:val="24"/>
          <w:highlight w:val="none"/>
        </w:rPr>
        <w:t>1.供应商合法的主体资格证明（如营业执照、事业单位法人证书、执业许可证、自然人身份证等）复印件（</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60629679">
      <w:pPr>
        <w:pStyle w:val="9"/>
        <w:spacing w:line="480" w:lineRule="auto"/>
        <w:rPr>
          <w:rFonts w:ascii="仿宋" w:hAnsi="仿宋" w:eastAsia="仿宋" w:cs="仿宋"/>
          <w:color w:val="auto"/>
          <w:szCs w:val="21"/>
          <w:highlight w:val="none"/>
        </w:rPr>
      </w:pPr>
      <w:r>
        <w:rPr>
          <w:rFonts w:hint="eastAsia" w:ascii="仿宋" w:hAnsi="仿宋" w:eastAsia="仿宋" w:cs="仿宋"/>
          <w:color w:val="auto"/>
          <w:sz w:val="24"/>
          <w:highlight w:val="none"/>
        </w:rPr>
        <w:t>2.供应商202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近半年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 xml:space="preserve">； </w:t>
      </w:r>
    </w:p>
    <w:p w14:paraId="06247947">
      <w:pPr>
        <w:pStyle w:val="9"/>
        <w:spacing w:line="480" w:lineRule="auto"/>
        <w:rPr>
          <w:rFonts w:ascii="仿宋" w:hAnsi="仿宋" w:eastAsia="仿宋" w:cs="仿宋"/>
          <w:color w:val="auto"/>
          <w:szCs w:val="21"/>
          <w:highlight w:val="none"/>
        </w:rPr>
      </w:pPr>
      <w:r>
        <w:rPr>
          <w:rFonts w:hint="eastAsia" w:ascii="仿宋" w:hAnsi="仿宋" w:eastAsia="仿宋" w:cs="仿宋"/>
          <w:color w:val="auto"/>
          <w:sz w:val="24"/>
          <w:highlight w:val="none"/>
        </w:rPr>
        <w:t>3. 供应商202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近半年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D480995">
      <w:pPr>
        <w:pStyle w:val="9"/>
        <w:spacing w:line="480" w:lineRule="auto"/>
        <w:rPr>
          <w:rFonts w:ascii="仿宋" w:hAnsi="仿宋" w:eastAsia="仿宋" w:cs="仿宋"/>
          <w:color w:val="auto"/>
          <w:szCs w:val="21"/>
          <w:highlight w:val="none"/>
        </w:rPr>
      </w:pPr>
      <w:r>
        <w:rPr>
          <w:rFonts w:hint="eastAsia" w:ascii="仿宋" w:hAnsi="仿宋" w:eastAsia="仿宋" w:cs="仿宋"/>
          <w:color w:val="auto"/>
          <w:sz w:val="24"/>
          <w:highlight w:val="none"/>
        </w:rPr>
        <w:t>4.供应商需提供202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 xml:space="preserve">。 </w:t>
      </w:r>
    </w:p>
    <w:p w14:paraId="7A1135FB">
      <w:pPr>
        <w:pStyle w:val="9"/>
        <w:spacing w:line="480" w:lineRule="auto"/>
        <w:rPr>
          <w:rFonts w:ascii="仿宋" w:hAnsi="仿宋" w:eastAsia="仿宋" w:cs="仿宋"/>
          <w:b/>
          <w:color w:val="auto"/>
          <w:szCs w:val="21"/>
          <w:highlight w:val="none"/>
        </w:rPr>
      </w:pPr>
      <w:r>
        <w:rPr>
          <w:rFonts w:hint="eastAsia" w:ascii="仿宋" w:hAnsi="仿宋" w:eastAsia="仿宋" w:cs="仿宋"/>
          <w:color w:val="auto"/>
          <w:sz w:val="24"/>
          <w:highlight w:val="none"/>
        </w:rPr>
        <w:t>5.投标声明（格式后附）</w:t>
      </w:r>
      <w:r>
        <w:rPr>
          <w:rFonts w:hint="eastAsia" w:ascii="仿宋" w:hAnsi="仿宋" w:eastAsia="仿宋" w:cs="仿宋"/>
          <w:b/>
          <w:color w:val="auto"/>
          <w:szCs w:val="21"/>
          <w:highlight w:val="none"/>
        </w:rPr>
        <w:t>（必须提供，否则响应文件作无效处理）</w:t>
      </w:r>
    </w:p>
    <w:p w14:paraId="05735CFC">
      <w:pPr>
        <w:pStyle w:val="9"/>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.中小企业声明函或残疾人福利性单位声明函或竞标人属于监狱企业的证明材料（本项目如为专门面向中小企业（或小型、微型企业）采购时必须提供，否则响应文件作无效处理）；</w:t>
      </w:r>
    </w:p>
    <w:p w14:paraId="3F19CBBC">
      <w:pPr>
        <w:snapToGrid w:val="0"/>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.崇左市政府采购供应商信用承诺函；（必须提供，否则响应文件按无效响应处理）</w:t>
      </w:r>
    </w:p>
    <w:p w14:paraId="1CBD0107">
      <w:pPr>
        <w:snapToGrid w:val="0"/>
        <w:spacing w:line="48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除公开招标文件规定必须提供以外，供应商认为需要提供的其他证明材料；</w:t>
      </w:r>
    </w:p>
    <w:p w14:paraId="0F1B07AB">
      <w:pPr>
        <w:numPr>
          <w:ilvl w:val="2"/>
          <w:numId w:val="14"/>
        </w:numPr>
        <w:snapToGrid w:val="0"/>
        <w:spacing w:beforeLines="50" w:after="50"/>
        <w:ind w:left="0" w:firstLine="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投标声明</w:t>
      </w:r>
    </w:p>
    <w:p w14:paraId="08A2265A">
      <w:pPr>
        <w:snapToGrid w:val="0"/>
        <w:spacing w:before="50" w:afterLines="50"/>
        <w:jc w:val="left"/>
        <w:rPr>
          <w:rFonts w:ascii="仿宋" w:hAnsi="仿宋" w:eastAsia="仿宋" w:cs="仿宋"/>
          <w:color w:val="auto"/>
          <w:highlight w:val="none"/>
        </w:rPr>
      </w:pPr>
    </w:p>
    <w:p w14:paraId="367D5DC8">
      <w:pPr>
        <w:snapToGrid w:val="0"/>
        <w:spacing w:before="50" w:afterLines="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投标声明</w:t>
      </w:r>
    </w:p>
    <w:p w14:paraId="7587212C">
      <w:pPr>
        <w:snapToGrid w:val="0"/>
        <w:spacing w:before="50" w:afterLines="50"/>
        <w:jc w:val="center"/>
        <w:rPr>
          <w:rFonts w:ascii="仿宋" w:hAnsi="仿宋" w:eastAsia="仿宋" w:cs="仿宋"/>
          <w:b/>
          <w:color w:val="auto"/>
          <w:sz w:val="28"/>
          <w:szCs w:val="28"/>
          <w:highlight w:val="none"/>
        </w:rPr>
      </w:pPr>
    </w:p>
    <w:p w14:paraId="37A43EB7">
      <w:pPr>
        <w:snapToGrid w:val="0"/>
        <w:spacing w:before="50" w:afterLines="5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7AEF1E9A">
      <w:pPr>
        <w:snapToGrid w:val="0"/>
        <w:spacing w:before="50" w:afterLines="50"/>
        <w:ind w:firstLine="405"/>
        <w:jc w:val="left"/>
        <w:rPr>
          <w:rFonts w:ascii="仿宋" w:hAnsi="仿宋" w:eastAsia="仿宋" w:cs="仿宋"/>
          <w:color w:val="auto"/>
          <w:sz w:val="24"/>
          <w:highlight w:val="none"/>
        </w:rPr>
      </w:pPr>
      <w:r>
        <w:rPr>
          <w:rFonts w:hint="eastAsia" w:ascii="仿宋" w:hAnsi="仿宋" w:eastAsia="仿宋" w:cs="仿宋"/>
          <w:color w:val="auto"/>
          <w:sz w:val="24"/>
          <w:highlight w:val="none"/>
        </w:rPr>
        <w:t>我公司参加贵单位组织</w:t>
      </w:r>
      <w:r>
        <w:rPr>
          <w:rFonts w:hint="eastAsia" w:ascii="仿宋" w:hAnsi="仿宋" w:eastAsia="仿宋" w:cs="仿宋"/>
          <w:bCs/>
          <w:color w:val="auto"/>
          <w:sz w:val="24"/>
          <w:highlight w:val="none"/>
        </w:rPr>
        <w:t xml:space="preserve">            项目A/B分标</w:t>
      </w:r>
      <w:r>
        <w:rPr>
          <w:rFonts w:hint="eastAsia" w:ascii="仿宋" w:hAnsi="仿宋" w:eastAsia="仿宋" w:cs="仿宋"/>
          <w:color w:val="auto"/>
          <w:sz w:val="24"/>
          <w:highlight w:val="none"/>
        </w:rPr>
        <w:t>（项目编号：）的政府采购活动。我公司在此郑重声明：</w:t>
      </w:r>
    </w:p>
    <w:p w14:paraId="778EA8CE">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2885A3">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8685921">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 我公司承诺符合《中华人民共和国政府采购法》第二十二条规定：</w:t>
      </w:r>
    </w:p>
    <w:p w14:paraId="7C504037">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14:paraId="5E56365C">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14:paraId="1B495630">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14:paraId="17B634EC">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14:paraId="0B457DF0">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14:paraId="44A63BA3">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14:paraId="28503D86">
      <w:pPr>
        <w:snapToGrid w:val="0"/>
        <w:spacing w:before="50" w:afterLines="5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 以上事项如有虚假或隐瞒，我方愿意承担一切后果，并不再寻求任何旨在减轻或免除法律责任的辩解。</w:t>
      </w:r>
    </w:p>
    <w:p w14:paraId="636AC5B1">
      <w:pPr>
        <w:snapToGrid w:val="0"/>
        <w:spacing w:before="50" w:afterLines="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特此承诺。</w:t>
      </w:r>
    </w:p>
    <w:p w14:paraId="396A18E5">
      <w:pPr>
        <w:widowControl/>
        <w:spacing w:line="440" w:lineRule="exact"/>
        <w:ind w:firstLine="3600" w:firstLineChars="1500"/>
        <w:jc w:val="left"/>
        <w:rPr>
          <w:rFonts w:hint="eastAsia" w:ascii="仿宋_GB2312" w:hAnsi="仿宋_GB2312" w:eastAsia="仿宋_GB2312" w:cs="仿宋_GB2312"/>
          <w:color w:val="auto"/>
          <w:szCs w:val="21"/>
          <w:highlight w:val="none"/>
        </w:rPr>
      </w:pPr>
      <w:r>
        <w:rPr>
          <w:rFonts w:hint="eastAsia" w:ascii="仿宋" w:hAnsi="仿宋" w:eastAsia="仿宋" w:cs="仿宋"/>
          <w:color w:val="auto"/>
          <w:sz w:val="24"/>
          <w:highlight w:val="none"/>
        </w:rPr>
        <w:t xml:space="preserve">                      </w:t>
      </w: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42A0B250">
      <w:pPr>
        <w:tabs>
          <w:tab w:val="left" w:pos="7560"/>
        </w:tabs>
        <w:spacing w:line="440" w:lineRule="exact"/>
        <w:ind w:firstLine="3150" w:firstLineChars="1500"/>
        <w:jc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1451278B">
      <w:pPr>
        <w:snapToGrid w:val="0"/>
        <w:spacing w:before="50" w:after="50"/>
        <w:ind w:right="-817" w:rightChars="-389"/>
        <w:rPr>
          <w:rFonts w:ascii="宋体" w:hAnsi="宋体" w:cs="宋体"/>
          <w:color w:val="auto"/>
          <w:szCs w:val="21"/>
          <w:highlight w:val="none"/>
        </w:rPr>
      </w:pPr>
    </w:p>
    <w:p w14:paraId="7624A57F">
      <w:pPr>
        <w:snapToGrid w:val="0"/>
        <w:spacing w:beforeLines="50"/>
        <w:ind w:right="480"/>
        <w:rPr>
          <w:rFonts w:ascii="仿宋" w:hAnsi="仿宋" w:eastAsia="仿宋" w:cs="仿宋"/>
          <w:color w:val="auto"/>
          <w:highlight w:val="none"/>
        </w:rPr>
      </w:pPr>
    </w:p>
    <w:p w14:paraId="60E3CEB7">
      <w:pPr>
        <w:pStyle w:val="10"/>
        <w:rPr>
          <w:rFonts w:ascii="仿宋" w:hAnsi="仿宋" w:eastAsia="仿宋" w:cs="仿宋"/>
          <w:color w:val="auto"/>
          <w:highlight w:val="none"/>
        </w:rPr>
      </w:pPr>
    </w:p>
    <w:p w14:paraId="23B6B6DC">
      <w:pPr>
        <w:snapToGrid w:val="0"/>
        <w:spacing w:before="50" w:afterLines="50"/>
        <w:jc w:val="left"/>
        <w:rPr>
          <w:rFonts w:ascii="仿宋" w:hAnsi="仿宋" w:eastAsia="仿宋" w:cs="仿宋"/>
          <w:color w:val="auto"/>
          <w:highlight w:val="none"/>
        </w:rPr>
      </w:pPr>
    </w:p>
    <w:p w14:paraId="5A208145">
      <w:pPr>
        <w:widowControl/>
        <w:spacing w:line="440" w:lineRule="exact"/>
        <w:jc w:val="center"/>
        <w:rPr>
          <w:rFonts w:hint="eastAsia" w:ascii="仿宋" w:hAnsi="仿宋" w:eastAsia="仿宋" w:cs="仿宋"/>
          <w:color w:val="auto"/>
          <w:sz w:val="24"/>
          <w:highlight w:val="none"/>
          <w:lang w:val="en-US" w:eastAsia="zh-CN"/>
        </w:rPr>
      </w:pPr>
    </w:p>
    <w:p w14:paraId="67386224">
      <w:pPr>
        <w:widowControl/>
        <w:spacing w:line="440" w:lineRule="exact"/>
        <w:jc w:val="center"/>
        <w:rPr>
          <w:color w:val="auto"/>
          <w:sz w:val="32"/>
          <w:szCs w:val="32"/>
          <w:highlight w:val="none"/>
        </w:rPr>
      </w:pPr>
      <w:r>
        <w:rPr>
          <w:rFonts w:hint="eastAsia" w:ascii="仿宋" w:hAnsi="仿宋" w:eastAsia="仿宋" w:cs="仿宋"/>
          <w:color w:val="auto"/>
          <w:sz w:val="24"/>
          <w:highlight w:val="none"/>
          <w:lang w:val="en-US" w:eastAsia="zh-CN"/>
        </w:rPr>
        <w:t>4.</w:t>
      </w:r>
      <w:r>
        <w:rPr>
          <w:rFonts w:hint="eastAsia" w:ascii="方正小标宋简体" w:hAnsi="方正小标宋简体" w:eastAsia="方正小标宋简体" w:cs="方正小标宋简体"/>
          <w:color w:val="auto"/>
          <w:kern w:val="0"/>
          <w:sz w:val="36"/>
          <w:szCs w:val="36"/>
          <w:highlight w:val="none"/>
          <w:lang w:bidi="ar"/>
        </w:rPr>
        <w:t>崇左</w:t>
      </w:r>
      <w:r>
        <w:rPr>
          <w:rFonts w:ascii="方正小标宋简体" w:hAnsi="方正小标宋简体" w:eastAsia="方正小标宋简体" w:cs="方正小标宋简体"/>
          <w:color w:val="auto"/>
          <w:kern w:val="0"/>
          <w:sz w:val="36"/>
          <w:szCs w:val="36"/>
          <w:highlight w:val="none"/>
          <w:lang w:bidi="ar"/>
        </w:rPr>
        <w:t>市政府采购供应商信用承诺函（格式）</w:t>
      </w:r>
    </w:p>
    <w:p w14:paraId="607FAACC">
      <w:pPr>
        <w:widowControl/>
        <w:spacing w:line="440" w:lineRule="exact"/>
        <w:jc w:val="left"/>
        <w:rPr>
          <w:rFonts w:hint="eastAsia" w:ascii="仿宋_GB2312" w:hAnsi="仿宋_GB2312" w:eastAsia="仿宋_GB2312" w:cs="仿宋_GB2312"/>
          <w:color w:val="auto"/>
          <w:kern w:val="0"/>
          <w:sz w:val="32"/>
          <w:szCs w:val="32"/>
          <w:highlight w:val="none"/>
          <w:lang w:bidi="ar"/>
        </w:rPr>
      </w:pPr>
    </w:p>
    <w:p w14:paraId="75F64DC5">
      <w:pPr>
        <w:widowControl/>
        <w:spacing w:line="440" w:lineRule="exac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kern w:val="0"/>
          <w:szCs w:val="21"/>
          <w:highlight w:val="none"/>
          <w:lang w:bidi="ar"/>
        </w:rPr>
        <w:t>致</w:t>
      </w:r>
      <w:r>
        <w:rPr>
          <w:rFonts w:hint="eastAsia" w:ascii="仿宋_GB2312" w:hAnsi="仿宋_GB2312" w:eastAsia="仿宋_GB2312" w:cs="仿宋_GB2312"/>
          <w:color w:val="auto"/>
          <w:kern w:val="0"/>
          <w:szCs w:val="21"/>
          <w:highlight w:val="none"/>
          <w:u w:val="single"/>
          <w:lang w:bidi="ar"/>
        </w:rPr>
        <w:t>（采购代理机构名称）</w:t>
      </w:r>
      <w:r>
        <w:rPr>
          <w:rFonts w:hint="eastAsia" w:ascii="仿宋_GB2312" w:hAnsi="仿宋_GB2312" w:eastAsia="仿宋_GB2312" w:cs="仿宋_GB2312"/>
          <w:color w:val="auto"/>
          <w:kern w:val="0"/>
          <w:szCs w:val="21"/>
          <w:highlight w:val="none"/>
          <w:lang w:bidi="ar"/>
        </w:rPr>
        <w:t>:</w:t>
      </w:r>
    </w:p>
    <w:p w14:paraId="0CE5D46D">
      <w:pPr>
        <w:widowControl/>
        <w:spacing w:line="44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kern w:val="0"/>
          <w:szCs w:val="21"/>
          <w:highlight w:val="none"/>
          <w:lang w:bidi="ar"/>
        </w:rPr>
        <w:t>我方自愿参加</w:t>
      </w:r>
      <w:r>
        <w:rPr>
          <w:rFonts w:hint="eastAsia" w:ascii="仿宋_GB2312" w:hAnsi="仿宋_GB2312" w:eastAsia="仿宋_GB2312" w:cs="仿宋_GB2312"/>
          <w:color w:val="auto"/>
          <w:kern w:val="0"/>
          <w:szCs w:val="21"/>
          <w:highlight w:val="none"/>
          <w:u w:val="single"/>
          <w:lang w:bidi="ar"/>
        </w:rPr>
        <w:t xml:space="preserve"> （项目名称） </w:t>
      </w:r>
      <w:r>
        <w:rPr>
          <w:rFonts w:hint="eastAsia" w:ascii="仿宋_GB2312" w:hAnsi="仿宋_GB2312" w:eastAsia="仿宋_GB2312" w:cs="仿宋_GB2312"/>
          <w:color w:val="auto"/>
          <w:kern w:val="0"/>
          <w:szCs w:val="21"/>
          <w:highlight w:val="none"/>
          <w:lang w:bidi="ar"/>
        </w:rPr>
        <w:t>项目</w:t>
      </w:r>
      <w:r>
        <w:rPr>
          <w:rFonts w:hint="eastAsia" w:ascii="仿宋_GB2312" w:eastAsia="仿宋_GB2312"/>
          <w:color w:val="auto"/>
          <w:spacing w:val="6"/>
          <w:szCs w:val="21"/>
          <w:highlight w:val="none"/>
        </w:rPr>
        <w:t>（项目编号：</w:t>
      </w:r>
      <w:r>
        <w:rPr>
          <w:rFonts w:hint="eastAsia" w:ascii="仿宋_GB2312" w:eastAsia="仿宋_GB2312"/>
          <w:color w:val="auto"/>
          <w:spacing w:val="6"/>
          <w:szCs w:val="21"/>
          <w:highlight w:val="none"/>
          <w:u w:val="single"/>
        </w:rPr>
        <w:t xml:space="preserve">         </w:t>
      </w:r>
      <w:r>
        <w:rPr>
          <w:rFonts w:hint="eastAsia" w:ascii="仿宋_GB2312" w:eastAsia="仿宋_GB2312"/>
          <w:color w:val="auto"/>
          <w:spacing w:val="6"/>
          <w:szCs w:val="21"/>
          <w:highlight w:val="none"/>
        </w:rPr>
        <w:t>）</w:t>
      </w:r>
      <w:r>
        <w:rPr>
          <w:rFonts w:hint="eastAsia" w:ascii="仿宋_GB2312" w:hAnsi="仿宋_GB2312" w:eastAsia="仿宋_GB2312" w:cs="仿宋_GB2312"/>
          <w:color w:val="auto"/>
          <w:kern w:val="0"/>
          <w:szCs w:val="21"/>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Cs w:val="21"/>
          <w:highlight w:val="none"/>
          <w:lang w:bidi="ar"/>
        </w:rPr>
        <w:t xml:space="preserve">： </w:t>
      </w:r>
    </w:p>
    <w:p w14:paraId="3F3DA010">
      <w:pPr>
        <w:widowControl/>
        <w:spacing w:line="440" w:lineRule="exact"/>
        <w:ind w:firstLine="420" w:firstLineChars="200"/>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1.我方</w:t>
      </w:r>
      <w:r>
        <w:rPr>
          <w:rFonts w:hint="eastAsia" w:ascii="仿宋_GB2312" w:eastAsia="仿宋_GB2312"/>
          <w:color w:val="auto"/>
          <w:spacing w:val="6"/>
          <w:szCs w:val="21"/>
          <w:highlight w:val="none"/>
        </w:rPr>
        <w:t>具有独立承担民事责任的能力或我方属于银行、保险、石油石化、电力、电信等有行业特殊情况的法人的分支机构在参加本次政府采购活动前已取得总公司的授权。</w:t>
      </w:r>
    </w:p>
    <w:p w14:paraId="4611CEBE">
      <w:pPr>
        <w:widowControl/>
        <w:spacing w:line="44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2.我方具有符合采购文件资格要求的财务状况报告。 </w:t>
      </w:r>
    </w:p>
    <w:p w14:paraId="70124366">
      <w:pPr>
        <w:widowControl/>
        <w:spacing w:line="440" w:lineRule="exact"/>
        <w:ind w:firstLine="396" w:firstLineChars="200"/>
        <w:rPr>
          <w:rFonts w:hint="eastAsia" w:ascii="仿宋_GB2312" w:hAnsi="仿宋_GB2312" w:eastAsia="仿宋_GB2312" w:cs="仿宋_GB2312"/>
          <w:color w:val="auto"/>
          <w:spacing w:val="-17"/>
          <w:szCs w:val="21"/>
          <w:highlight w:val="none"/>
        </w:rPr>
      </w:pPr>
      <w:r>
        <w:rPr>
          <w:rFonts w:hint="eastAsia" w:ascii="仿宋_GB2312" w:hAnsi="仿宋_GB2312" w:eastAsia="仿宋_GB2312" w:cs="仿宋_GB2312"/>
          <w:color w:val="auto"/>
          <w:spacing w:val="-6"/>
          <w:kern w:val="0"/>
          <w:szCs w:val="21"/>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Cs w:val="21"/>
          <w:highlight w:val="none"/>
          <w:lang w:bidi="ar"/>
        </w:rPr>
        <w:t xml:space="preserve"> </w:t>
      </w:r>
    </w:p>
    <w:p w14:paraId="54BF1D18">
      <w:pPr>
        <w:widowControl/>
        <w:spacing w:line="44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4.我方具有符合采购文件资格要求履行合同所必需的设备和专业技术能力。 </w:t>
      </w:r>
    </w:p>
    <w:p w14:paraId="4C169564">
      <w:pPr>
        <w:widowControl/>
        <w:spacing w:line="44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 xml:space="preserve">5.我方参加政府采购活动前3年内在经营活动中没有重大违法记录。 </w:t>
      </w:r>
    </w:p>
    <w:p w14:paraId="0FBC507A">
      <w:pPr>
        <w:widowControl/>
        <w:spacing w:line="440" w:lineRule="exact"/>
        <w:ind w:firstLine="420" w:firstLineChars="200"/>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我方对以上承诺内容的真实性负责。如有虚假，将依法承担相应责任。</w:t>
      </w:r>
    </w:p>
    <w:p w14:paraId="35B19657">
      <w:pPr>
        <w:widowControl/>
        <w:spacing w:line="440" w:lineRule="exact"/>
        <w:ind w:firstLine="420" w:firstLineChars="200"/>
        <w:rPr>
          <w:rFonts w:hint="eastAsia" w:ascii="仿宋_GB2312" w:hAnsi="仿宋_GB2312" w:eastAsia="仿宋_GB2312" w:cs="仿宋_GB2312"/>
          <w:color w:val="auto"/>
          <w:kern w:val="0"/>
          <w:szCs w:val="21"/>
          <w:highlight w:val="none"/>
          <w:lang w:bidi="ar"/>
        </w:rPr>
      </w:pPr>
    </w:p>
    <w:p w14:paraId="22986CAF">
      <w:pPr>
        <w:widowControl/>
        <w:spacing w:line="440" w:lineRule="exact"/>
        <w:ind w:firstLine="420" w:firstLineChars="200"/>
        <w:rPr>
          <w:rFonts w:hint="eastAsia" w:ascii="仿宋_GB2312" w:hAnsi="仿宋_GB2312" w:eastAsia="仿宋_GB2312" w:cs="仿宋_GB2312"/>
          <w:color w:val="auto"/>
          <w:kern w:val="0"/>
          <w:szCs w:val="21"/>
          <w:highlight w:val="none"/>
          <w:lang w:bidi="ar"/>
        </w:rPr>
      </w:pPr>
    </w:p>
    <w:p w14:paraId="7390D2F8">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0869DF9B">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755B268E">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531017DE">
      <w:pPr>
        <w:snapToGrid w:val="0"/>
        <w:spacing w:before="50" w:afterLines="50"/>
        <w:jc w:val="left"/>
        <w:rPr>
          <w:rFonts w:hint="default" w:ascii="仿宋" w:hAnsi="仿宋" w:eastAsia="仿宋" w:cs="仿宋"/>
          <w:color w:val="auto"/>
          <w:sz w:val="24"/>
          <w:highlight w:val="none"/>
          <w:lang w:val="en-US" w:eastAsia="zh-CN"/>
        </w:rPr>
      </w:pPr>
    </w:p>
    <w:p w14:paraId="3E82F98D">
      <w:pPr>
        <w:snapToGrid w:val="0"/>
        <w:spacing w:beforeLines="50" w:after="50"/>
        <w:outlineLvl w:val="1"/>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四、商务文件、技术文件格式</w:t>
      </w:r>
    </w:p>
    <w:p w14:paraId="2A45E5A5">
      <w:pPr>
        <w:snapToGrid w:val="0"/>
        <w:spacing w:beforeLines="50" w:after="50"/>
        <w:outlineLvl w:val="1"/>
        <w:rPr>
          <w:rFonts w:ascii="仿宋" w:hAnsi="仿宋" w:eastAsia="仿宋" w:cs="仿宋"/>
          <w:b/>
          <w:bCs/>
          <w:color w:val="auto"/>
          <w:sz w:val="24"/>
          <w:highlight w:val="none"/>
        </w:rPr>
      </w:pPr>
    </w:p>
    <w:p w14:paraId="34BFBB0D">
      <w:pPr>
        <w:snapToGrid w:val="0"/>
        <w:spacing w:beforeLines="50" w:after="5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bCs/>
          <w:color w:val="auto"/>
          <w:sz w:val="24"/>
          <w:highlight w:val="none"/>
        </w:rPr>
        <w:t>商务文件、技术文件格式</w:t>
      </w:r>
      <w:r>
        <w:rPr>
          <w:rFonts w:hint="eastAsia" w:ascii="仿宋" w:hAnsi="仿宋" w:eastAsia="仿宋" w:cs="仿宋"/>
          <w:b/>
          <w:color w:val="auto"/>
          <w:sz w:val="24"/>
          <w:highlight w:val="none"/>
        </w:rPr>
        <w:t xml:space="preserve">： </w:t>
      </w:r>
    </w:p>
    <w:p w14:paraId="14CCF414">
      <w:pPr>
        <w:snapToGrid w:val="0"/>
        <w:spacing w:beforeLines="50" w:after="50"/>
        <w:rPr>
          <w:rFonts w:ascii="仿宋" w:hAnsi="仿宋" w:eastAsia="仿宋" w:cs="仿宋"/>
          <w:color w:val="auto"/>
          <w:sz w:val="24"/>
          <w:highlight w:val="none"/>
        </w:rPr>
      </w:pPr>
    </w:p>
    <w:p w14:paraId="0C38FA23">
      <w:pPr>
        <w:snapToGrid w:val="0"/>
        <w:spacing w:beforeLines="50" w:after="50"/>
        <w:ind w:firstLine="9280" w:firstLineChars="2900"/>
        <w:rPr>
          <w:rFonts w:ascii="仿宋" w:hAnsi="仿宋" w:eastAsia="仿宋" w:cs="仿宋"/>
          <w:bCs/>
          <w:color w:val="auto"/>
          <w:sz w:val="32"/>
          <w:szCs w:val="20"/>
          <w:highlight w:val="none"/>
        </w:rPr>
      </w:pPr>
    </w:p>
    <w:p w14:paraId="71CE0453">
      <w:pPr>
        <w:snapToGrid w:val="0"/>
        <w:spacing w:beforeLines="50" w:after="50"/>
        <w:rPr>
          <w:rFonts w:ascii="仿宋" w:hAnsi="仿宋" w:eastAsia="仿宋" w:cs="仿宋"/>
          <w:color w:val="auto"/>
          <w:sz w:val="24"/>
          <w:szCs w:val="20"/>
          <w:highlight w:val="none"/>
        </w:rPr>
      </w:pPr>
    </w:p>
    <w:p w14:paraId="7B9E1D1A">
      <w:pPr>
        <w:snapToGrid w:val="0"/>
        <w:spacing w:beforeLines="50" w:after="50"/>
        <w:jc w:val="center"/>
        <w:rPr>
          <w:rFonts w:ascii="仿宋" w:hAnsi="仿宋" w:eastAsia="仿宋" w:cs="仿宋"/>
          <w:bCs/>
          <w:color w:val="auto"/>
          <w:sz w:val="24"/>
          <w:highlight w:val="none"/>
        </w:rPr>
      </w:pPr>
      <w:r>
        <w:rPr>
          <w:rFonts w:hint="eastAsia" w:ascii="仿宋" w:hAnsi="仿宋" w:eastAsia="仿宋" w:cs="仿宋"/>
          <w:bCs/>
          <w:color w:val="auto"/>
          <w:sz w:val="32"/>
          <w:szCs w:val="32"/>
          <w:highlight w:val="none"/>
        </w:rPr>
        <w:t>商务文件、技术文件</w:t>
      </w:r>
    </w:p>
    <w:p w14:paraId="773B2F9B">
      <w:pPr>
        <w:pStyle w:val="10"/>
        <w:rPr>
          <w:rFonts w:ascii="仿宋" w:hAnsi="仿宋" w:eastAsia="仿宋" w:cs="仿宋"/>
          <w:bCs/>
          <w:color w:val="auto"/>
          <w:sz w:val="32"/>
          <w:szCs w:val="32"/>
          <w:highlight w:val="none"/>
        </w:rPr>
      </w:pPr>
    </w:p>
    <w:p w14:paraId="552C7511">
      <w:pPr>
        <w:pStyle w:val="10"/>
        <w:rPr>
          <w:rFonts w:ascii="仿宋" w:hAnsi="仿宋" w:eastAsia="仿宋" w:cs="仿宋"/>
          <w:bCs/>
          <w:color w:val="auto"/>
          <w:sz w:val="32"/>
          <w:szCs w:val="32"/>
          <w:highlight w:val="none"/>
        </w:rPr>
      </w:pPr>
    </w:p>
    <w:p w14:paraId="3FE903C6">
      <w:pPr>
        <w:snapToGrid w:val="0"/>
        <w:spacing w:beforeLines="50" w:after="50"/>
        <w:rPr>
          <w:rFonts w:ascii="仿宋" w:hAnsi="仿宋" w:eastAsia="仿宋" w:cs="仿宋"/>
          <w:bCs/>
          <w:color w:val="auto"/>
          <w:sz w:val="24"/>
          <w:szCs w:val="20"/>
          <w:highlight w:val="none"/>
        </w:rPr>
      </w:pPr>
    </w:p>
    <w:p w14:paraId="1CC40EFB">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项目名称：（项目名称）A/B分标</w:t>
      </w:r>
    </w:p>
    <w:p w14:paraId="08296B51">
      <w:pPr>
        <w:snapToGrid w:val="0"/>
        <w:spacing w:beforeLines="50" w:after="50"/>
        <w:ind w:firstLine="540" w:firstLineChars="225"/>
        <w:rPr>
          <w:rFonts w:ascii="仿宋" w:hAnsi="仿宋" w:eastAsia="仿宋" w:cs="仿宋"/>
          <w:bCs/>
          <w:color w:val="auto"/>
          <w:sz w:val="24"/>
          <w:szCs w:val="20"/>
          <w:highlight w:val="none"/>
        </w:rPr>
      </w:pPr>
    </w:p>
    <w:p w14:paraId="7495147C">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38B969E7">
      <w:pPr>
        <w:snapToGrid w:val="0"/>
        <w:spacing w:beforeLines="50" w:after="50"/>
        <w:ind w:firstLine="540" w:firstLineChars="225"/>
        <w:rPr>
          <w:rFonts w:ascii="仿宋" w:hAnsi="仿宋" w:eastAsia="仿宋" w:cs="仿宋"/>
          <w:bCs/>
          <w:color w:val="auto"/>
          <w:sz w:val="24"/>
          <w:szCs w:val="20"/>
          <w:highlight w:val="none"/>
        </w:rPr>
      </w:pPr>
    </w:p>
    <w:p w14:paraId="5C0431E1">
      <w:pPr>
        <w:snapToGrid w:val="0"/>
        <w:spacing w:beforeLines="50" w:after="50"/>
        <w:rPr>
          <w:rFonts w:ascii="仿宋" w:hAnsi="仿宋" w:eastAsia="仿宋" w:cs="仿宋"/>
          <w:bCs/>
          <w:color w:val="auto"/>
          <w:sz w:val="24"/>
          <w:szCs w:val="20"/>
          <w:highlight w:val="none"/>
        </w:rPr>
      </w:pPr>
    </w:p>
    <w:p w14:paraId="78301BDC">
      <w:pPr>
        <w:pStyle w:val="7"/>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14:paraId="2B7E207F">
      <w:pPr>
        <w:pStyle w:val="7"/>
        <w:snapToGrid w:val="0"/>
        <w:spacing w:before="50" w:after="50"/>
        <w:ind w:firstLine="540" w:firstLineChars="225"/>
        <w:rPr>
          <w:rFonts w:ascii="仿宋" w:hAnsi="仿宋" w:eastAsia="仿宋" w:cs="仿宋"/>
          <w:bCs/>
          <w:color w:val="auto"/>
          <w:sz w:val="24"/>
          <w:szCs w:val="24"/>
          <w:highlight w:val="none"/>
        </w:rPr>
      </w:pPr>
    </w:p>
    <w:p w14:paraId="64C552B5">
      <w:pPr>
        <w:pStyle w:val="7"/>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投标人地址：</w:t>
      </w:r>
    </w:p>
    <w:p w14:paraId="61E84F87">
      <w:pPr>
        <w:pStyle w:val="7"/>
        <w:snapToGrid w:val="0"/>
        <w:spacing w:before="50" w:after="50"/>
        <w:ind w:firstLine="960" w:firstLineChars="400"/>
        <w:rPr>
          <w:rFonts w:ascii="仿宋" w:hAnsi="仿宋" w:eastAsia="仿宋" w:cs="仿宋"/>
          <w:bCs/>
          <w:color w:val="auto"/>
          <w:sz w:val="24"/>
          <w:szCs w:val="24"/>
          <w:highlight w:val="none"/>
        </w:rPr>
      </w:pPr>
    </w:p>
    <w:p w14:paraId="2AF61BB7">
      <w:pPr>
        <w:snapToGrid w:val="0"/>
        <w:spacing w:beforeLines="50" w:after="50"/>
        <w:ind w:firstLine="64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FEB897F">
      <w:pPr>
        <w:snapToGrid w:val="0"/>
        <w:spacing w:beforeLines="50" w:after="50"/>
        <w:rPr>
          <w:rFonts w:ascii="仿宋" w:hAnsi="仿宋" w:eastAsia="仿宋" w:cs="仿宋"/>
          <w:color w:val="auto"/>
          <w:sz w:val="24"/>
          <w:szCs w:val="20"/>
          <w:highlight w:val="none"/>
        </w:rPr>
      </w:pPr>
    </w:p>
    <w:p w14:paraId="1CFA855E">
      <w:pPr>
        <w:snapToGrid w:val="0"/>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2.商务/技术文件目录</w:t>
      </w:r>
    </w:p>
    <w:p w14:paraId="4C2D6A35">
      <w:pPr>
        <w:snapToGrid w:val="0"/>
        <w:jc w:val="left"/>
        <w:rPr>
          <w:rFonts w:ascii="仿宋" w:hAnsi="仿宋" w:eastAsia="仿宋" w:cs="仿宋"/>
          <w:color w:val="auto"/>
          <w:sz w:val="24"/>
          <w:szCs w:val="20"/>
          <w:highlight w:val="none"/>
        </w:rPr>
      </w:pPr>
    </w:p>
    <w:p w14:paraId="2A195E4A">
      <w:pPr>
        <w:snapToGrid w:val="0"/>
        <w:spacing w:before="50" w:afterLines="50"/>
        <w:jc w:val="left"/>
        <w:rPr>
          <w:rFonts w:ascii="仿宋" w:hAnsi="仿宋" w:eastAsia="仿宋" w:cs="仿宋"/>
          <w:b/>
          <w:bCs/>
          <w:color w:val="auto"/>
          <w:sz w:val="24"/>
          <w:highlight w:val="none"/>
        </w:rPr>
      </w:pPr>
      <w:r>
        <w:rPr>
          <w:rFonts w:hint="eastAsia" w:ascii="仿宋" w:hAnsi="仿宋" w:eastAsia="仿宋" w:cs="仿宋"/>
          <w:color w:val="auto"/>
          <w:szCs w:val="21"/>
          <w:highlight w:val="none"/>
        </w:rPr>
        <w:t>根据招标文件规定及投标人提供的材料自行编写目录。</w:t>
      </w:r>
    </w:p>
    <w:p w14:paraId="0DEFF4A3">
      <w:pPr>
        <w:snapToGrid w:val="0"/>
        <w:spacing w:before="50" w:afterLines="50"/>
        <w:jc w:val="left"/>
        <w:rPr>
          <w:rFonts w:ascii="仿宋" w:hAnsi="仿宋" w:eastAsia="仿宋" w:cs="仿宋"/>
          <w:color w:val="auto"/>
          <w:highlight w:val="none"/>
        </w:rPr>
      </w:pPr>
    </w:p>
    <w:p w14:paraId="1A303101">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（1）服务采购需求条款偏离表（格式后附）；</w:t>
      </w:r>
      <w:r>
        <w:rPr>
          <w:rFonts w:hint="eastAsia" w:ascii="仿宋" w:hAnsi="仿宋" w:eastAsia="仿宋" w:cs="仿宋"/>
          <w:b/>
          <w:color w:val="auto"/>
          <w:sz w:val="24"/>
          <w:highlight w:val="none"/>
        </w:rPr>
        <w:t>（必须提供，否则作无效投标处理）</w:t>
      </w:r>
    </w:p>
    <w:p w14:paraId="5DC72B92">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（2）投标保证金提交凭证；</w:t>
      </w:r>
      <w:r>
        <w:rPr>
          <w:rFonts w:hint="eastAsia" w:ascii="仿宋" w:hAnsi="仿宋" w:eastAsia="仿宋" w:cs="仿宋"/>
          <w:b/>
          <w:color w:val="auto"/>
          <w:sz w:val="24"/>
          <w:highlight w:val="none"/>
        </w:rPr>
        <w:t>（必须提供，否则作无效投标处理）</w:t>
      </w:r>
    </w:p>
    <w:p w14:paraId="7722588F">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（3）法定代表人(负责人或自然人)身份证明及法定代表人(负责人或自然人)有效身份证正反面复印件（格式后附）；</w:t>
      </w:r>
      <w:r>
        <w:rPr>
          <w:rFonts w:hint="eastAsia" w:ascii="仿宋" w:hAnsi="仿宋" w:eastAsia="仿宋" w:cs="仿宋"/>
          <w:b/>
          <w:color w:val="auto"/>
          <w:sz w:val="24"/>
          <w:highlight w:val="none"/>
        </w:rPr>
        <w:t>（必须提供，否则作无效投标处理）</w:t>
      </w:r>
    </w:p>
    <w:p w14:paraId="0265BCF1">
      <w:pPr>
        <w:snapToGrid w:val="0"/>
        <w:spacing w:beforeLines="50" w:after="5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（4）法定代表人(负责人或自然人)授权委托书及委托代理人有效身份证正反面复印件（格式后附）；</w:t>
      </w:r>
      <w:r>
        <w:rPr>
          <w:rFonts w:hint="eastAsia" w:ascii="仿宋" w:hAnsi="仿宋" w:eastAsia="仿宋" w:cs="仿宋"/>
          <w:b/>
          <w:color w:val="auto"/>
          <w:sz w:val="24"/>
          <w:highlight w:val="none"/>
        </w:rPr>
        <w:t>（委托时必须提供，否则作无效投标处理）</w:t>
      </w:r>
    </w:p>
    <w:p w14:paraId="13FDF1AE">
      <w:pPr>
        <w:pStyle w:val="10"/>
        <w:ind w:left="0"/>
        <w:rPr>
          <w:rFonts w:ascii="仿宋" w:hAnsi="仿宋" w:eastAsia="仿宋" w:cs="仿宋"/>
          <w:color w:val="auto"/>
          <w:highlight w:val="none"/>
        </w:rPr>
      </w:pPr>
      <w:r>
        <w:rPr>
          <w:rFonts w:hint="eastAsia" w:ascii="仿宋" w:hAnsi="仿宋" w:eastAsia="仿宋" w:cs="仿宋"/>
          <w:color w:val="auto"/>
          <w:highlight w:val="none"/>
        </w:rPr>
        <w:t>（5）供应商参加本项目无围标串标行为的承诺函；</w:t>
      </w:r>
      <w:r>
        <w:rPr>
          <w:rFonts w:hint="eastAsia" w:ascii="仿宋" w:hAnsi="仿宋" w:eastAsia="仿宋" w:cs="仿宋"/>
          <w:b/>
          <w:color w:val="auto"/>
          <w:highlight w:val="none"/>
        </w:rPr>
        <w:t>（必须提供，否则作无效投标处理）</w:t>
      </w:r>
    </w:p>
    <w:p w14:paraId="09F90B22">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（6）投标单位基本情况简介（按投标人自身情况自行填写，格式自拟）；</w:t>
      </w:r>
    </w:p>
    <w:p w14:paraId="761D6798">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（7）除招标文件规定必须提供以外，投标人认为需要提供的其他证明材料（格式自拟）。（投标人根据本招标文件第二章采购需求及第四章评标办法及评分标准提供有关证明材料）；</w:t>
      </w:r>
    </w:p>
    <w:p w14:paraId="1F75A7E9">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（8）项目实施人员一览表；</w:t>
      </w:r>
    </w:p>
    <w:p w14:paraId="36405A6A">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（9）项目投入设备一览表格式；</w:t>
      </w:r>
    </w:p>
    <w:p w14:paraId="00EFEB33">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（10）项目实施服务方案（格式自拟）（含企业管理制度、服务方案、服务保障及应急方案等）；（根据第二章服务采购需求及第四章评标办法及评分标准的要求结合投标人自身情况自行填写，格式自拟）；</w:t>
      </w:r>
    </w:p>
    <w:p w14:paraId="18908A92">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（11）类似业绩（按第四章评分办法中相应要求提供材料）；</w:t>
      </w:r>
    </w:p>
    <w:p w14:paraId="4FDECE46">
      <w:pPr>
        <w:snapToGrid w:val="0"/>
        <w:spacing w:beforeLines="50" w:after="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（12）投标人认为有必要提供的其它材料</w:t>
      </w:r>
    </w:p>
    <w:p w14:paraId="2B8FC98C">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4"/>
          <w:highlight w:val="none"/>
        </w:rPr>
        <w:t>3.法定代表人身份证明</w:t>
      </w:r>
    </w:p>
    <w:p w14:paraId="5D5563EB">
      <w:pPr>
        <w:spacing w:beforeLines="100" w:afterLines="50"/>
        <w:ind w:left="540"/>
        <w:jc w:val="center"/>
        <w:rPr>
          <w:rFonts w:ascii="仿宋" w:hAnsi="仿宋" w:eastAsia="仿宋" w:cs="仿宋"/>
          <w:b/>
          <w:color w:val="auto"/>
          <w:sz w:val="32"/>
          <w:szCs w:val="32"/>
          <w:highlight w:val="none"/>
        </w:rPr>
      </w:pPr>
    </w:p>
    <w:p w14:paraId="4E76875B">
      <w:pPr>
        <w:spacing w:beforeLines="100" w:afterLines="50"/>
        <w:ind w:left="540"/>
        <w:jc w:val="center"/>
        <w:rPr>
          <w:rFonts w:ascii="仿宋" w:hAnsi="仿宋" w:eastAsia="仿宋" w:cs="仿宋"/>
          <w:color w:val="auto"/>
          <w:sz w:val="24"/>
          <w:highlight w:val="none"/>
        </w:rPr>
      </w:pPr>
      <w:r>
        <w:rPr>
          <w:rFonts w:hint="eastAsia" w:ascii="仿宋" w:hAnsi="仿宋" w:eastAsia="仿宋" w:cs="仿宋"/>
          <w:b/>
          <w:color w:val="auto"/>
          <w:sz w:val="24"/>
          <w:highlight w:val="none"/>
        </w:rPr>
        <w:t>法定代表人身份证明</w:t>
      </w:r>
    </w:p>
    <w:p w14:paraId="1CD8C855">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投 标 人：</w:t>
      </w:r>
    </w:p>
    <w:p w14:paraId="264BEF71">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地    址：</w:t>
      </w:r>
    </w:p>
    <w:p w14:paraId="3D98A7CE">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成立时间：年月日</w:t>
      </w:r>
    </w:p>
    <w:p w14:paraId="61E394E7">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经营期限：</w:t>
      </w:r>
    </w:p>
    <w:p w14:paraId="7533B964">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姓    名：性      别：</w:t>
      </w:r>
    </w:p>
    <w:p w14:paraId="01628144">
      <w:pPr>
        <w:spacing w:line="500" w:lineRule="exact"/>
        <w:ind w:left="540"/>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龄：职      务：</w:t>
      </w:r>
    </w:p>
    <w:p w14:paraId="6D0A23F0">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3CF8C2F8">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系（投标人名称）的法定代表人（负责人或自然人）。</w:t>
      </w:r>
    </w:p>
    <w:p w14:paraId="32066982">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8F6AD98">
      <w:pPr>
        <w:spacing w:line="500" w:lineRule="exact"/>
        <w:ind w:left="540"/>
        <w:rPr>
          <w:rFonts w:ascii="仿宋" w:hAnsi="仿宋" w:eastAsia="仿宋" w:cs="仿宋"/>
          <w:color w:val="auto"/>
          <w:sz w:val="24"/>
          <w:highlight w:val="none"/>
        </w:rPr>
      </w:pPr>
    </w:p>
    <w:p w14:paraId="54E5E593">
      <w:pPr>
        <w:spacing w:line="500" w:lineRule="exact"/>
        <w:ind w:left="540"/>
        <w:rPr>
          <w:rFonts w:ascii="仿宋" w:hAnsi="仿宋" w:eastAsia="仿宋" w:cs="仿宋"/>
          <w:color w:val="auto"/>
          <w:sz w:val="24"/>
          <w:highlight w:val="none"/>
        </w:rPr>
      </w:pPr>
    </w:p>
    <w:p w14:paraId="253E0832">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附件：法定代表人（负责人或自然人）有效身份证正反面复印件</w:t>
      </w:r>
    </w:p>
    <w:p w14:paraId="661CAC5B">
      <w:pPr>
        <w:spacing w:line="500" w:lineRule="exact"/>
        <w:ind w:left="540"/>
        <w:rPr>
          <w:rFonts w:ascii="仿宋" w:hAnsi="仿宋" w:eastAsia="仿宋" w:cs="仿宋"/>
          <w:color w:val="auto"/>
          <w:sz w:val="24"/>
          <w:highlight w:val="none"/>
        </w:rPr>
      </w:pPr>
    </w:p>
    <w:p w14:paraId="15269772">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3114BE4E">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677E4B55">
      <w:pPr>
        <w:snapToGrid w:val="0"/>
        <w:spacing w:beforeLines="50" w:after="50"/>
        <w:jc w:val="center"/>
        <w:rPr>
          <w:rFonts w:ascii="仿宋" w:hAnsi="仿宋" w:eastAsia="仿宋" w:cs="仿宋"/>
          <w:b/>
          <w:color w:val="auto"/>
          <w:sz w:val="24"/>
          <w:highlight w:val="none"/>
        </w:rPr>
      </w:pPr>
    </w:p>
    <w:p w14:paraId="396628D1">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color w:val="auto"/>
          <w:sz w:val="24"/>
          <w:highlight w:val="none"/>
        </w:rPr>
        <w:t>注：自然人投标的无需提供</w:t>
      </w:r>
    </w:p>
    <w:p w14:paraId="663B3062">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4.法定代表人授权委托书格式</w:t>
      </w:r>
    </w:p>
    <w:p w14:paraId="751D0FB9">
      <w:pPr>
        <w:snapToGrid w:val="0"/>
        <w:spacing w:beforeLines="50" w:after="50"/>
        <w:jc w:val="center"/>
        <w:rPr>
          <w:rFonts w:ascii="仿宋" w:hAnsi="仿宋" w:eastAsia="仿宋" w:cs="仿宋"/>
          <w:b/>
          <w:color w:val="auto"/>
          <w:sz w:val="44"/>
          <w:szCs w:val="44"/>
          <w:highlight w:val="none"/>
        </w:rPr>
      </w:pPr>
    </w:p>
    <w:p w14:paraId="5D27D1A5">
      <w:pPr>
        <w:snapToGrid w:val="0"/>
        <w:spacing w:beforeLines="50" w:after="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法定代表人授权委托书（如有委托时）</w:t>
      </w:r>
    </w:p>
    <w:p w14:paraId="1BC85997">
      <w:pPr>
        <w:snapToGrid w:val="0"/>
        <w:spacing w:beforeLines="50" w:after="50"/>
        <w:jc w:val="center"/>
        <w:rPr>
          <w:rFonts w:ascii="仿宋" w:hAnsi="仿宋" w:eastAsia="仿宋" w:cs="仿宋"/>
          <w:b/>
          <w:color w:val="auto"/>
          <w:sz w:val="24"/>
          <w:highlight w:val="none"/>
        </w:rPr>
      </w:pPr>
    </w:p>
    <w:p w14:paraId="0CB1A7CE">
      <w:pPr>
        <w:snapToGrid w:val="0"/>
        <w:spacing w:beforeLines="50" w:after="50"/>
        <w:rPr>
          <w:rFonts w:ascii="仿宋" w:hAnsi="仿宋" w:eastAsia="仿宋" w:cs="仿宋"/>
          <w:b/>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4856AC54">
      <w:pPr>
        <w:snapToGrid w:val="0"/>
        <w:spacing w:beforeLines="50" w:after="50"/>
        <w:ind w:firstLine="566" w:firstLineChars="236"/>
        <w:rPr>
          <w:rFonts w:ascii="仿宋" w:hAnsi="仿宋" w:eastAsia="仿宋" w:cs="仿宋"/>
          <w:color w:val="auto"/>
          <w:sz w:val="24"/>
          <w:highlight w:val="none"/>
        </w:rPr>
      </w:pPr>
      <w:r>
        <w:rPr>
          <w:rFonts w:hint="eastAsia" w:ascii="仿宋" w:hAnsi="仿宋" w:eastAsia="仿宋" w:cs="仿宋"/>
          <w:color w:val="auto"/>
          <w:sz w:val="24"/>
          <w:highlight w:val="none"/>
        </w:rPr>
        <w:t>我（姓名）系（投标人名称）的法定代表人（负责人或自然人），现授权委托本单位在职职工 （姓名）以我方的名义参加</w:t>
      </w:r>
      <w:r>
        <w:rPr>
          <w:rFonts w:hint="eastAsia" w:ascii="仿宋" w:hAnsi="仿宋" w:eastAsia="仿宋" w:cs="仿宋"/>
          <w:bCs/>
          <w:color w:val="auto"/>
          <w:sz w:val="24"/>
          <w:highlight w:val="none"/>
        </w:rPr>
        <w:t xml:space="preserve">             项目A/B分标（）</w:t>
      </w:r>
      <w:r>
        <w:rPr>
          <w:rFonts w:hint="eastAsia" w:ascii="仿宋" w:hAnsi="仿宋" w:eastAsia="仿宋" w:cs="仿宋"/>
          <w:color w:val="auto"/>
          <w:sz w:val="24"/>
          <w:highlight w:val="none"/>
        </w:rPr>
        <w:t>的投标活动，并代表我方全权办理针对上述项目的投标、开标、评标、签约等具体事务和签署相关文件。</w:t>
      </w:r>
    </w:p>
    <w:p w14:paraId="105E0F52">
      <w:pPr>
        <w:snapToGrid w:val="0"/>
        <w:spacing w:beforeLines="50" w:after="50"/>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00F9F8D1">
      <w:pPr>
        <w:snapToGrid w:val="0"/>
        <w:spacing w:beforeLines="50" w:after="50"/>
        <w:ind w:firstLine="480"/>
        <w:rPr>
          <w:rFonts w:ascii="仿宋" w:hAnsi="仿宋" w:eastAsia="仿宋" w:cs="仿宋"/>
          <w:color w:val="auto"/>
          <w:sz w:val="24"/>
          <w:highlight w:val="none"/>
        </w:rPr>
      </w:pPr>
      <w:r>
        <w:rPr>
          <w:rFonts w:hint="eastAsia" w:ascii="仿宋" w:hAnsi="仿宋" w:eastAsia="仿宋" w:cs="仿宋"/>
          <w:color w:val="auto"/>
          <w:sz w:val="24"/>
          <w:highlight w:val="none"/>
          <w:u w:val="single"/>
        </w:rPr>
        <w:t>在撤销授权的书面通知以前，本授权书一直有效。</w:t>
      </w:r>
      <w:r>
        <w:rPr>
          <w:rFonts w:hint="eastAsia" w:ascii="仿宋" w:hAnsi="仿宋" w:eastAsia="仿宋" w:cs="仿宋"/>
          <w:color w:val="auto"/>
          <w:sz w:val="24"/>
          <w:highlight w:val="none"/>
        </w:rPr>
        <w:t>委托代理人在授权书有效期内签署的所有文件不因授权的撤销而失效。</w:t>
      </w:r>
    </w:p>
    <w:p w14:paraId="3EC77FC4">
      <w:pPr>
        <w:snapToGrid w:val="0"/>
        <w:spacing w:beforeLines="50" w:after="50"/>
        <w:ind w:firstLine="48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50ADA74E">
      <w:pPr>
        <w:snapToGrid w:val="0"/>
        <w:spacing w:beforeLines="50" w:after="50"/>
        <w:ind w:firstLine="48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62DBA516">
      <w:pPr>
        <w:snapToGrid w:val="0"/>
        <w:spacing w:beforeLines="50" w:after="50"/>
        <w:rPr>
          <w:rFonts w:ascii="仿宋" w:hAnsi="仿宋" w:eastAsia="仿宋" w:cs="仿宋"/>
          <w:color w:val="auto"/>
          <w:sz w:val="24"/>
          <w:highlight w:val="none"/>
        </w:rPr>
      </w:pPr>
    </w:p>
    <w:p w14:paraId="19C4C3CA">
      <w:pPr>
        <w:snapToGrid w:val="0"/>
        <w:spacing w:beforeLines="50" w:after="5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        法定代表人（负责人或自然人）签字：</w:t>
      </w:r>
    </w:p>
    <w:p w14:paraId="6DC58C11">
      <w:pPr>
        <w:snapToGrid w:val="0"/>
        <w:spacing w:beforeLines="50" w:after="50"/>
        <w:rPr>
          <w:rFonts w:ascii="仿宋" w:hAnsi="仿宋" w:eastAsia="仿宋" w:cs="仿宋"/>
          <w:color w:val="auto"/>
          <w:sz w:val="24"/>
          <w:highlight w:val="none"/>
        </w:rPr>
      </w:pPr>
      <w:r>
        <w:rPr>
          <w:rFonts w:hint="eastAsia" w:ascii="仿宋" w:hAnsi="仿宋" w:eastAsia="仿宋" w:cs="仿宋"/>
          <w:color w:val="auto"/>
          <w:sz w:val="24"/>
          <w:highlight w:val="none"/>
        </w:rPr>
        <w:t>所在部门职务：                      职务：</w:t>
      </w:r>
    </w:p>
    <w:p w14:paraId="1D466C19">
      <w:pPr>
        <w:snapToGrid w:val="0"/>
        <w:spacing w:beforeLines="50" w:after="50"/>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p>
    <w:p w14:paraId="727CB25E">
      <w:pPr>
        <w:widowControl/>
        <w:spacing w:line="440" w:lineRule="exact"/>
        <w:ind w:firstLine="3600" w:firstLineChars="1500"/>
        <w:jc w:val="left"/>
        <w:rPr>
          <w:rFonts w:hint="eastAsia" w:ascii="仿宋_GB2312" w:hAnsi="仿宋_GB2312" w:eastAsia="仿宋_GB2312" w:cs="仿宋_GB2312"/>
          <w:color w:val="auto"/>
          <w:szCs w:val="21"/>
          <w:highlight w:val="none"/>
        </w:rPr>
      </w:pPr>
      <w:r>
        <w:rPr>
          <w:rFonts w:hint="eastAsia" w:ascii="仿宋" w:hAnsi="仿宋" w:eastAsia="仿宋" w:cs="仿宋"/>
          <w:color w:val="auto"/>
          <w:sz w:val="24"/>
          <w:highlight w:val="none"/>
        </w:rPr>
        <w:t xml:space="preserve">                          </w:t>
      </w: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1C365596">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5E83553E">
      <w:pPr>
        <w:snapToGrid w:val="0"/>
        <w:spacing w:before="50" w:after="50"/>
        <w:ind w:right="-817" w:rightChars="-389"/>
        <w:rPr>
          <w:rFonts w:ascii="宋体" w:hAnsi="宋体" w:cs="宋体"/>
          <w:color w:val="auto"/>
          <w:szCs w:val="21"/>
          <w:highlight w:val="none"/>
        </w:rPr>
      </w:pPr>
    </w:p>
    <w:p w14:paraId="1E6977D4">
      <w:pPr>
        <w:snapToGrid w:val="0"/>
        <w:spacing w:beforeLines="50" w:after="50"/>
        <w:jc w:val="center"/>
        <w:rPr>
          <w:rFonts w:ascii="仿宋" w:hAnsi="仿宋" w:eastAsia="仿宋" w:cs="仿宋"/>
          <w:color w:val="auto"/>
          <w:sz w:val="24"/>
          <w:highlight w:val="none"/>
        </w:rPr>
      </w:pPr>
    </w:p>
    <w:p w14:paraId="35B01731">
      <w:pPr>
        <w:snapToGrid w:val="0"/>
        <w:spacing w:beforeLines="50" w:after="50"/>
        <w:jc w:val="center"/>
        <w:rPr>
          <w:rFonts w:ascii="仿宋" w:hAnsi="仿宋" w:eastAsia="仿宋" w:cs="仿宋"/>
          <w:color w:val="auto"/>
          <w:sz w:val="24"/>
          <w:highlight w:val="none"/>
        </w:rPr>
      </w:pPr>
    </w:p>
    <w:p w14:paraId="695539BB">
      <w:pPr>
        <w:snapToGrid w:val="0"/>
        <w:spacing w:beforeLines="50" w:after="50"/>
        <w:rPr>
          <w:rFonts w:ascii="仿宋" w:hAnsi="仿宋" w:eastAsia="仿宋" w:cs="仿宋"/>
          <w:color w:val="auto"/>
          <w:sz w:val="24"/>
          <w:highlight w:val="none"/>
        </w:rPr>
      </w:pPr>
    </w:p>
    <w:p w14:paraId="343ECCA3">
      <w:pPr>
        <w:snapToGrid w:val="0"/>
        <w:spacing w:before="50" w:afterLines="50"/>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4FFAED52">
      <w:pPr>
        <w:snapToGrid w:val="0"/>
        <w:spacing w:before="50" w:afterLines="50"/>
        <w:jc w:val="left"/>
        <w:rPr>
          <w:rFonts w:ascii="仿宋" w:hAnsi="仿宋" w:eastAsia="仿宋" w:cs="仿宋"/>
          <w:color w:val="auto"/>
          <w:sz w:val="24"/>
          <w:highlight w:val="none"/>
        </w:rPr>
      </w:pPr>
      <w:r>
        <w:rPr>
          <w:rFonts w:hint="eastAsia" w:ascii="仿宋" w:hAnsi="仿宋" w:eastAsia="仿宋" w:cs="仿宋"/>
          <w:color w:val="auto"/>
          <w:sz w:val="24"/>
          <w:highlight w:val="none"/>
        </w:rPr>
        <w:t>1.法定代表人（负责人或自然人）和委托代理人必须在授权委托书上亲笔签名，不得使用印章、签名章或其他电子制版签名代替；</w:t>
      </w:r>
    </w:p>
    <w:p w14:paraId="4C949D20">
      <w:pPr>
        <w:snapToGrid w:val="0"/>
        <w:spacing w:before="50" w:afterLines="50"/>
        <w:jc w:val="left"/>
        <w:rPr>
          <w:rFonts w:ascii="仿宋" w:hAnsi="仿宋" w:eastAsia="仿宋" w:cs="仿宋"/>
          <w:color w:val="auto"/>
          <w:sz w:val="24"/>
          <w:highlight w:val="none"/>
        </w:rPr>
      </w:pPr>
      <w:r>
        <w:rPr>
          <w:rFonts w:hint="eastAsia" w:ascii="仿宋" w:hAnsi="仿宋" w:eastAsia="仿宋" w:cs="仿宋"/>
          <w:color w:val="auto"/>
          <w:sz w:val="24"/>
          <w:highlight w:val="none"/>
        </w:rPr>
        <w:t>2.以联合体形式投标的，本授权委托书应由联合体牵头人的法定代表人（负责人或自然人）按上述规定签署。</w:t>
      </w:r>
    </w:p>
    <w:p w14:paraId="7AE980E9">
      <w:pPr>
        <w:pStyle w:val="10"/>
        <w:rPr>
          <w:rFonts w:ascii="仿宋" w:hAnsi="仿宋" w:eastAsia="仿宋" w:cs="仿宋"/>
          <w:color w:val="auto"/>
          <w:highlight w:val="none"/>
        </w:rPr>
      </w:pPr>
    </w:p>
    <w:p w14:paraId="3BE81770">
      <w:pPr>
        <w:pStyle w:val="10"/>
        <w:rPr>
          <w:rFonts w:ascii="仿宋" w:hAnsi="仿宋" w:eastAsia="仿宋" w:cs="仿宋"/>
          <w:color w:val="auto"/>
          <w:highlight w:val="none"/>
        </w:rPr>
      </w:pPr>
    </w:p>
    <w:p w14:paraId="75D3BDD6">
      <w:pPr>
        <w:pStyle w:val="10"/>
        <w:rPr>
          <w:rFonts w:ascii="仿宋" w:hAnsi="仿宋" w:eastAsia="仿宋" w:cs="仿宋"/>
          <w:color w:val="auto"/>
          <w:highlight w:val="none"/>
        </w:rPr>
      </w:pPr>
    </w:p>
    <w:p w14:paraId="3EA12A86">
      <w:pPr>
        <w:pStyle w:val="10"/>
        <w:rPr>
          <w:rFonts w:ascii="仿宋" w:hAnsi="仿宋" w:eastAsia="仿宋" w:cs="仿宋"/>
          <w:color w:val="auto"/>
          <w:highlight w:val="none"/>
        </w:rPr>
      </w:pPr>
    </w:p>
    <w:p w14:paraId="5B2799A9">
      <w:pPr>
        <w:pStyle w:val="10"/>
        <w:rPr>
          <w:rFonts w:ascii="仿宋" w:hAnsi="仿宋" w:eastAsia="仿宋" w:cs="仿宋"/>
          <w:color w:val="auto"/>
          <w:highlight w:val="none"/>
        </w:rPr>
      </w:pPr>
    </w:p>
    <w:p w14:paraId="32B33E79">
      <w:pPr>
        <w:pStyle w:val="10"/>
        <w:rPr>
          <w:rFonts w:ascii="仿宋" w:hAnsi="仿宋" w:eastAsia="仿宋" w:cs="仿宋"/>
          <w:color w:val="auto"/>
          <w:highlight w:val="none"/>
        </w:rPr>
      </w:pPr>
    </w:p>
    <w:p w14:paraId="6D800A0C">
      <w:pPr>
        <w:pStyle w:val="19"/>
        <w:ind w:firstLine="480"/>
        <w:rPr>
          <w:color w:val="auto"/>
          <w:highlight w:val="none"/>
        </w:rPr>
      </w:pPr>
    </w:p>
    <w:p w14:paraId="4764D243">
      <w:pPr>
        <w:snapToGrid w:val="0"/>
        <w:spacing w:beforeLines="50" w:after="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5.供应商参加本项目无围标串标行为的承诺函；</w:t>
      </w:r>
    </w:p>
    <w:p w14:paraId="0DCD3CBC">
      <w:pPr>
        <w:snapToGrid w:val="0"/>
        <w:spacing w:beforeLines="50" w:after="50"/>
        <w:ind w:left="420"/>
        <w:jc w:val="center"/>
        <w:rPr>
          <w:rFonts w:ascii="仿宋" w:hAnsi="仿宋" w:eastAsia="仿宋" w:cs="仿宋"/>
          <w:b/>
          <w:color w:val="auto"/>
          <w:sz w:val="28"/>
          <w:szCs w:val="28"/>
          <w:highlight w:val="none"/>
        </w:rPr>
      </w:pPr>
    </w:p>
    <w:p w14:paraId="0053809F">
      <w:pPr>
        <w:snapToGrid w:val="0"/>
        <w:spacing w:beforeLines="50" w:after="50"/>
        <w:ind w:left="42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供应商参加本项目无围标串标行为的承诺函</w:t>
      </w:r>
    </w:p>
    <w:p w14:paraId="538B4BAA">
      <w:pPr>
        <w:snapToGrid w:val="0"/>
        <w:spacing w:beforeLines="50" w:after="50"/>
        <w:ind w:left="420"/>
        <w:jc w:val="center"/>
        <w:rPr>
          <w:rFonts w:ascii="仿宋" w:hAnsi="仿宋" w:eastAsia="仿宋" w:cs="仿宋"/>
          <w:b/>
          <w:color w:val="auto"/>
          <w:sz w:val="24"/>
          <w:highlight w:val="none"/>
        </w:rPr>
      </w:pPr>
    </w:p>
    <w:p w14:paraId="1F0C1831">
      <w:pPr>
        <w:snapToGrid w:val="0"/>
        <w:spacing w:beforeLines="50" w:after="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一、我公司承诺无下列相互串通投标的情形：</w:t>
      </w:r>
    </w:p>
    <w:p w14:paraId="1AD57A80">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1.不同投标人的投标文件由同一单位或者个人编制；或不同投标人报名的IP地址一致的；</w:t>
      </w:r>
    </w:p>
    <w:p w14:paraId="77DD1887">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14:paraId="0B3D1B58">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3.不同的投标人的投标文件载明的项目管理员为同一个人；</w:t>
      </w:r>
    </w:p>
    <w:p w14:paraId="24321E6E">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4.不同投标人的投标文件异常一致或投标报价呈规律性差异；</w:t>
      </w:r>
    </w:p>
    <w:p w14:paraId="2F276091">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14:paraId="5C7E04D0">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6.不同投标人的投标保证金从同一单位或者个人账户转出。</w:t>
      </w:r>
    </w:p>
    <w:p w14:paraId="58634120">
      <w:pPr>
        <w:snapToGrid w:val="0"/>
        <w:spacing w:beforeLines="50" w:after="50"/>
        <w:jc w:val="left"/>
        <w:rPr>
          <w:rFonts w:ascii="仿宋" w:hAnsi="仿宋" w:eastAsia="仿宋" w:cs="仿宋"/>
          <w:color w:val="auto"/>
          <w:sz w:val="24"/>
          <w:highlight w:val="none"/>
        </w:rPr>
      </w:pPr>
      <w:r>
        <w:rPr>
          <w:rFonts w:hint="eastAsia" w:ascii="仿宋" w:hAnsi="仿宋" w:eastAsia="仿宋" w:cs="仿宋"/>
          <w:b/>
          <w:color w:val="auto"/>
          <w:sz w:val="24"/>
          <w:highlight w:val="none"/>
        </w:rPr>
        <w:t>二、我公司承诺无下列恶意串通的情形：</w:t>
      </w:r>
    </w:p>
    <w:p w14:paraId="3E2B4F70">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1.供应商直接或者间接从采购人或者采购代理机构处获得其他供应商的相关信息并修改其投标文件或者响应文件；</w:t>
      </w:r>
    </w:p>
    <w:p w14:paraId="5717992C">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2.供应商按照采购人或者采购代理机构的授意撤换、修改投标文件或者响应文件；</w:t>
      </w:r>
    </w:p>
    <w:p w14:paraId="711EB225">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3.供应商之间协商报价、技术方案等投标文件或者响应文件的实质性内容；</w:t>
      </w:r>
    </w:p>
    <w:p w14:paraId="6C42E9CA">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0846834D">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5.供应商之间事先约定一致抬高或者压低投标报价,或者在招标项目中事先约定轮流以高价位或者低价位中标,或者事先约定由某一特定供应商中标,然后再参加投标；</w:t>
      </w:r>
    </w:p>
    <w:p w14:paraId="1891DAF6">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6.供应商之间商定部分供应商放弃参加政府采购活动或者放弃中标；</w:t>
      </w:r>
    </w:p>
    <w:p w14:paraId="20E784AA">
      <w:pPr>
        <w:snapToGrid w:val="0"/>
        <w:spacing w:beforeLines="50" w:after="50"/>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7.供应商与采购人或者采购代理机构之间、供应商相互之间，为谋求特定供应商中标或者排斥其他供应商的其他串通行为。</w:t>
      </w:r>
    </w:p>
    <w:p w14:paraId="1DFA664D">
      <w:pPr>
        <w:snapToGrid w:val="0"/>
        <w:spacing w:beforeLines="50" w:after="50"/>
        <w:ind w:firstLine="470" w:firstLineChars="196"/>
        <w:jc w:val="left"/>
        <w:rPr>
          <w:rFonts w:ascii="仿宋" w:hAnsi="仿宋" w:eastAsia="仿宋" w:cs="仿宋"/>
          <w:color w:val="auto"/>
          <w:sz w:val="24"/>
          <w:highlight w:val="none"/>
        </w:rPr>
      </w:pPr>
    </w:p>
    <w:p w14:paraId="06A23AB1">
      <w:pPr>
        <w:snapToGrid w:val="0"/>
        <w:spacing w:beforeLines="50" w:after="50"/>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以上情形一经核查属实，我方愿意承担一切后果，并不再寻求任何旨在减轻或免除法律责任的辩解。</w:t>
      </w:r>
    </w:p>
    <w:p w14:paraId="2023ADFB">
      <w:pPr>
        <w:pStyle w:val="12"/>
        <w:snapToGrid w:val="0"/>
        <w:spacing w:before="295" w:after="295" w:line="320" w:lineRule="exact"/>
        <w:ind w:firstLine="6840" w:firstLineChars="2850"/>
        <w:rPr>
          <w:rFonts w:ascii="仿宋" w:hAnsi="仿宋" w:eastAsia="仿宋" w:cs="仿宋"/>
          <w:color w:val="auto"/>
          <w:sz w:val="24"/>
          <w:szCs w:val="24"/>
          <w:highlight w:val="none"/>
        </w:rPr>
      </w:pPr>
    </w:p>
    <w:p w14:paraId="23E7CA44">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1AD68FF4">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17A1ED18">
      <w:pPr>
        <w:pStyle w:val="10"/>
        <w:rPr>
          <w:rFonts w:ascii="仿宋" w:hAnsi="仿宋" w:eastAsia="仿宋" w:cs="仿宋"/>
          <w:color w:val="auto"/>
          <w:highlight w:val="none"/>
        </w:rPr>
        <w:sectPr>
          <w:pgSz w:w="11906" w:h="16838"/>
          <w:pgMar w:top="1247" w:right="1247" w:bottom="1559" w:left="1247" w:header="851" w:footer="992" w:gutter="0"/>
          <w:pgNumType w:fmt="decimal"/>
          <w:cols w:space="0" w:num="1"/>
          <w:titlePg/>
          <w:rtlGutter w:val="0"/>
          <w:docGrid w:linePitch="312" w:charSpace="0"/>
        </w:sectPr>
      </w:pPr>
    </w:p>
    <w:p w14:paraId="1976F597">
      <w:pPr>
        <w:snapToGrid w:val="0"/>
        <w:spacing w:beforeLines="50" w:after="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6.投标人类似的业绩证明文件</w:t>
      </w:r>
    </w:p>
    <w:p w14:paraId="5A5F1269">
      <w:pPr>
        <w:pStyle w:val="16"/>
        <w:snapToGrid w:val="0"/>
        <w:ind w:left="480" w:hanging="480"/>
        <w:rPr>
          <w:rFonts w:ascii="仿宋" w:hAnsi="仿宋" w:eastAsia="仿宋" w:cs="仿宋"/>
          <w:color w:val="auto"/>
          <w:sz w:val="24"/>
          <w:highlight w:val="none"/>
        </w:rPr>
      </w:pPr>
    </w:p>
    <w:p w14:paraId="3F1F13FB">
      <w:pPr>
        <w:pStyle w:val="16"/>
        <w:snapToGrid w:val="0"/>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投标人同类项目情况一览表格式：（投标人同类项目附中标（成交）通知书及合同复印件并加盖投标人单位公章）</w:t>
      </w:r>
    </w:p>
    <w:tbl>
      <w:tblPr>
        <w:tblStyle w:val="20"/>
        <w:tblW w:w="105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1"/>
        <w:gridCol w:w="2240"/>
        <w:gridCol w:w="1300"/>
        <w:gridCol w:w="1940"/>
        <w:gridCol w:w="1500"/>
        <w:gridCol w:w="1380"/>
      </w:tblGrid>
      <w:tr w14:paraId="4176D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51" w:type="dxa"/>
            <w:vMerge w:val="restart"/>
            <w:tcBorders>
              <w:top w:val="single" w:color="auto" w:sz="4" w:space="0"/>
              <w:left w:val="single" w:color="auto" w:sz="4" w:space="0"/>
              <w:bottom w:val="single" w:color="auto" w:sz="4" w:space="0"/>
              <w:right w:val="single" w:color="auto" w:sz="4" w:space="0"/>
            </w:tcBorders>
            <w:vAlign w:val="center"/>
          </w:tcPr>
          <w:p w14:paraId="159E6B68">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56D68F86">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14:paraId="3670902A">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w:t>
            </w:r>
          </w:p>
          <w:p w14:paraId="6A3D5C37">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金额</w:t>
            </w:r>
          </w:p>
          <w:p w14:paraId="07860792">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3440" w:type="dxa"/>
            <w:gridSpan w:val="2"/>
            <w:tcBorders>
              <w:top w:val="single" w:color="auto" w:sz="4" w:space="0"/>
              <w:left w:val="single" w:color="auto" w:sz="4" w:space="0"/>
              <w:bottom w:val="single" w:color="auto" w:sz="4" w:space="0"/>
              <w:right w:val="single" w:color="auto" w:sz="4" w:space="0"/>
            </w:tcBorders>
            <w:vAlign w:val="center"/>
          </w:tcPr>
          <w:p w14:paraId="51CC2955">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附件在投标文件中页码</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47BCD8BD">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采购人联系人及</w:t>
            </w:r>
          </w:p>
          <w:p w14:paraId="58ED9080">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50766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51" w:type="dxa"/>
            <w:vMerge w:val="continue"/>
            <w:tcBorders>
              <w:top w:val="single" w:color="auto" w:sz="4" w:space="0"/>
              <w:left w:val="single" w:color="auto" w:sz="4" w:space="0"/>
              <w:bottom w:val="single" w:color="auto" w:sz="4" w:space="0"/>
              <w:right w:val="single" w:color="auto" w:sz="4" w:space="0"/>
            </w:tcBorders>
            <w:vAlign w:val="center"/>
          </w:tcPr>
          <w:p w14:paraId="5F2343C2">
            <w:pPr>
              <w:widowControl/>
              <w:jc w:val="left"/>
              <w:rPr>
                <w:rFonts w:ascii="仿宋" w:hAnsi="仿宋" w:eastAsia="仿宋" w:cs="仿宋"/>
                <w:color w:val="auto"/>
                <w:sz w:val="24"/>
                <w:highlight w:val="none"/>
              </w:rPr>
            </w:pP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313C472F">
            <w:pPr>
              <w:widowControl/>
              <w:jc w:val="left"/>
              <w:rPr>
                <w:rFonts w:ascii="仿宋" w:hAnsi="仿宋" w:eastAsia="仿宋" w:cs="仿宋"/>
                <w:color w:val="auto"/>
                <w:sz w:val="24"/>
                <w:highlight w:val="none"/>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3067ED40">
            <w:pPr>
              <w:widowControl/>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14:paraId="1F0323F7">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1500" w:type="dxa"/>
            <w:tcBorders>
              <w:top w:val="single" w:color="auto" w:sz="4" w:space="0"/>
              <w:left w:val="single" w:color="auto" w:sz="4" w:space="0"/>
              <w:bottom w:val="single" w:color="auto" w:sz="4" w:space="0"/>
              <w:right w:val="single" w:color="auto" w:sz="4" w:space="0"/>
            </w:tcBorders>
            <w:vAlign w:val="center"/>
          </w:tcPr>
          <w:p w14:paraId="2CBBF8B7">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中标通知书</w:t>
            </w:r>
          </w:p>
          <w:p w14:paraId="1F7E24F5">
            <w:pPr>
              <w:snapToGrid w:val="0"/>
              <w:spacing w:line="240" w:lineRule="exact"/>
              <w:jc w:val="center"/>
              <w:rPr>
                <w:rFonts w:ascii="仿宋" w:hAnsi="仿宋" w:eastAsia="仿宋" w:cs="仿宋"/>
                <w:color w:val="auto"/>
                <w:sz w:val="24"/>
                <w:highlight w:val="none"/>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33BC65E8">
            <w:pPr>
              <w:widowControl/>
              <w:jc w:val="left"/>
              <w:rPr>
                <w:rFonts w:ascii="仿宋" w:hAnsi="仿宋" w:eastAsia="仿宋" w:cs="仿宋"/>
                <w:color w:val="auto"/>
                <w:sz w:val="24"/>
                <w:highlight w:val="none"/>
              </w:rPr>
            </w:pPr>
          </w:p>
        </w:tc>
      </w:tr>
      <w:tr w14:paraId="23FF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51" w:type="dxa"/>
            <w:tcBorders>
              <w:top w:val="single" w:color="auto" w:sz="4" w:space="0"/>
              <w:left w:val="single" w:color="auto" w:sz="4" w:space="0"/>
              <w:bottom w:val="single" w:color="auto" w:sz="4" w:space="0"/>
              <w:right w:val="single" w:color="auto" w:sz="4" w:space="0"/>
            </w:tcBorders>
          </w:tcPr>
          <w:p w14:paraId="29EC9391">
            <w:pPr>
              <w:snapToGrid w:val="0"/>
              <w:spacing w:line="240" w:lineRule="exact"/>
              <w:jc w:val="left"/>
              <w:rPr>
                <w:rFonts w:ascii="仿宋" w:hAnsi="仿宋" w:eastAsia="仿宋" w:cs="仿宋"/>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2E485504">
            <w:pPr>
              <w:snapToGrid w:val="0"/>
              <w:spacing w:line="240" w:lineRule="exact"/>
              <w:jc w:val="left"/>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57171A58">
            <w:pPr>
              <w:snapToGrid w:val="0"/>
              <w:spacing w:line="240" w:lineRule="exact"/>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tcPr>
          <w:p w14:paraId="4FC75912">
            <w:pPr>
              <w:snapToGrid w:val="0"/>
              <w:spacing w:line="240" w:lineRule="exact"/>
              <w:jc w:val="left"/>
              <w:rPr>
                <w:rFonts w:ascii="仿宋" w:hAnsi="仿宋" w:eastAsia="仿宋" w:cs="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tcPr>
          <w:p w14:paraId="5773B302">
            <w:pPr>
              <w:snapToGrid w:val="0"/>
              <w:spacing w:line="240" w:lineRule="exact"/>
              <w:jc w:val="left"/>
              <w:rPr>
                <w:rFonts w:ascii="仿宋" w:hAnsi="仿宋" w:eastAsia="仿宋" w:cs="仿宋"/>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tcPr>
          <w:p w14:paraId="6992DA2F">
            <w:pPr>
              <w:snapToGrid w:val="0"/>
              <w:spacing w:line="240" w:lineRule="exact"/>
              <w:jc w:val="left"/>
              <w:rPr>
                <w:rFonts w:ascii="仿宋" w:hAnsi="仿宋" w:eastAsia="仿宋" w:cs="仿宋"/>
                <w:color w:val="auto"/>
                <w:sz w:val="24"/>
                <w:highlight w:val="none"/>
              </w:rPr>
            </w:pPr>
          </w:p>
        </w:tc>
      </w:tr>
      <w:tr w14:paraId="1C2FC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51" w:type="dxa"/>
            <w:tcBorders>
              <w:top w:val="single" w:color="auto" w:sz="4" w:space="0"/>
              <w:left w:val="single" w:color="auto" w:sz="4" w:space="0"/>
              <w:bottom w:val="single" w:color="auto" w:sz="4" w:space="0"/>
              <w:right w:val="single" w:color="auto" w:sz="4" w:space="0"/>
            </w:tcBorders>
          </w:tcPr>
          <w:p w14:paraId="324F2A1E">
            <w:pPr>
              <w:snapToGrid w:val="0"/>
              <w:spacing w:before="50" w:afterLines="50" w:line="400" w:lineRule="exact"/>
              <w:jc w:val="left"/>
              <w:rPr>
                <w:rFonts w:ascii="仿宋" w:hAnsi="仿宋" w:eastAsia="仿宋" w:cs="仿宋"/>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66FA94D5">
            <w:pPr>
              <w:snapToGrid w:val="0"/>
              <w:spacing w:before="50" w:afterLines="50" w:line="400" w:lineRule="exact"/>
              <w:jc w:val="left"/>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593093CE">
            <w:pPr>
              <w:snapToGrid w:val="0"/>
              <w:spacing w:before="50" w:afterLines="50" w:line="400" w:lineRule="exact"/>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tcPr>
          <w:p w14:paraId="79074CB6">
            <w:pPr>
              <w:snapToGrid w:val="0"/>
              <w:spacing w:before="50" w:afterLines="50" w:line="400" w:lineRule="exact"/>
              <w:jc w:val="left"/>
              <w:rPr>
                <w:rFonts w:ascii="仿宋" w:hAnsi="仿宋" w:eastAsia="仿宋" w:cs="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tcPr>
          <w:p w14:paraId="4E4B0815">
            <w:pPr>
              <w:snapToGrid w:val="0"/>
              <w:spacing w:before="50" w:afterLines="50" w:line="400" w:lineRule="exact"/>
              <w:jc w:val="left"/>
              <w:rPr>
                <w:rFonts w:ascii="仿宋" w:hAnsi="仿宋" w:eastAsia="仿宋" w:cs="仿宋"/>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tcPr>
          <w:p w14:paraId="082FC2A0">
            <w:pPr>
              <w:snapToGrid w:val="0"/>
              <w:spacing w:before="50" w:afterLines="50" w:line="400" w:lineRule="exact"/>
              <w:jc w:val="left"/>
              <w:rPr>
                <w:rFonts w:ascii="仿宋" w:hAnsi="仿宋" w:eastAsia="仿宋" w:cs="仿宋"/>
                <w:color w:val="auto"/>
                <w:sz w:val="24"/>
                <w:highlight w:val="none"/>
              </w:rPr>
            </w:pPr>
          </w:p>
        </w:tc>
      </w:tr>
      <w:tr w14:paraId="4C244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51" w:type="dxa"/>
            <w:tcBorders>
              <w:top w:val="single" w:color="auto" w:sz="4" w:space="0"/>
              <w:left w:val="single" w:color="auto" w:sz="4" w:space="0"/>
              <w:bottom w:val="single" w:color="auto" w:sz="4" w:space="0"/>
              <w:right w:val="single" w:color="auto" w:sz="4" w:space="0"/>
            </w:tcBorders>
          </w:tcPr>
          <w:p w14:paraId="786CD27A">
            <w:pPr>
              <w:snapToGrid w:val="0"/>
              <w:spacing w:before="50" w:afterLines="50" w:line="400" w:lineRule="exact"/>
              <w:jc w:val="left"/>
              <w:rPr>
                <w:rFonts w:ascii="仿宋" w:hAnsi="仿宋" w:eastAsia="仿宋" w:cs="仿宋"/>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3BED9C2A">
            <w:pPr>
              <w:snapToGrid w:val="0"/>
              <w:spacing w:before="50" w:afterLines="50" w:line="400" w:lineRule="exact"/>
              <w:jc w:val="left"/>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1F3C293F">
            <w:pPr>
              <w:snapToGrid w:val="0"/>
              <w:spacing w:before="50" w:afterLines="50" w:line="400" w:lineRule="exact"/>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tcPr>
          <w:p w14:paraId="7644C072">
            <w:pPr>
              <w:snapToGrid w:val="0"/>
              <w:spacing w:before="50" w:afterLines="50" w:line="400" w:lineRule="exact"/>
              <w:jc w:val="left"/>
              <w:rPr>
                <w:rFonts w:ascii="仿宋" w:hAnsi="仿宋" w:eastAsia="仿宋" w:cs="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tcPr>
          <w:p w14:paraId="4D4F7B89">
            <w:pPr>
              <w:snapToGrid w:val="0"/>
              <w:spacing w:before="50" w:afterLines="50" w:line="400" w:lineRule="exact"/>
              <w:jc w:val="left"/>
              <w:rPr>
                <w:rFonts w:ascii="仿宋" w:hAnsi="仿宋" w:eastAsia="仿宋" w:cs="仿宋"/>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tcPr>
          <w:p w14:paraId="30FC65C3">
            <w:pPr>
              <w:snapToGrid w:val="0"/>
              <w:spacing w:before="50" w:afterLines="50" w:line="400" w:lineRule="exact"/>
              <w:jc w:val="left"/>
              <w:rPr>
                <w:rFonts w:ascii="仿宋" w:hAnsi="仿宋" w:eastAsia="仿宋" w:cs="仿宋"/>
                <w:color w:val="auto"/>
                <w:sz w:val="24"/>
                <w:highlight w:val="none"/>
              </w:rPr>
            </w:pPr>
          </w:p>
        </w:tc>
      </w:tr>
      <w:tr w14:paraId="38F0A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51" w:type="dxa"/>
            <w:tcBorders>
              <w:top w:val="single" w:color="auto" w:sz="4" w:space="0"/>
              <w:left w:val="single" w:color="auto" w:sz="4" w:space="0"/>
              <w:bottom w:val="single" w:color="auto" w:sz="4" w:space="0"/>
              <w:right w:val="single" w:color="auto" w:sz="4" w:space="0"/>
            </w:tcBorders>
          </w:tcPr>
          <w:p w14:paraId="795A8EAA">
            <w:pPr>
              <w:snapToGrid w:val="0"/>
              <w:spacing w:before="50" w:afterLines="50" w:line="400" w:lineRule="exact"/>
              <w:jc w:val="left"/>
              <w:rPr>
                <w:rFonts w:ascii="仿宋" w:hAnsi="仿宋" w:eastAsia="仿宋" w:cs="仿宋"/>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7C0B0EB0">
            <w:pPr>
              <w:snapToGrid w:val="0"/>
              <w:spacing w:before="50" w:afterLines="50" w:line="400" w:lineRule="exact"/>
              <w:jc w:val="left"/>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6A31D45C">
            <w:pPr>
              <w:snapToGrid w:val="0"/>
              <w:spacing w:before="50" w:afterLines="50" w:line="400" w:lineRule="exact"/>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tcPr>
          <w:p w14:paraId="5BE1B777">
            <w:pPr>
              <w:snapToGrid w:val="0"/>
              <w:spacing w:before="50" w:afterLines="50" w:line="400" w:lineRule="exact"/>
              <w:jc w:val="left"/>
              <w:rPr>
                <w:rFonts w:ascii="仿宋" w:hAnsi="仿宋" w:eastAsia="仿宋" w:cs="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tcPr>
          <w:p w14:paraId="6F805635">
            <w:pPr>
              <w:snapToGrid w:val="0"/>
              <w:spacing w:before="50" w:afterLines="50" w:line="400" w:lineRule="exact"/>
              <w:jc w:val="left"/>
              <w:rPr>
                <w:rFonts w:ascii="仿宋" w:hAnsi="仿宋" w:eastAsia="仿宋" w:cs="仿宋"/>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tcPr>
          <w:p w14:paraId="2026104E">
            <w:pPr>
              <w:snapToGrid w:val="0"/>
              <w:spacing w:before="50" w:afterLines="50" w:line="400" w:lineRule="exact"/>
              <w:jc w:val="left"/>
              <w:rPr>
                <w:rFonts w:ascii="仿宋" w:hAnsi="仿宋" w:eastAsia="仿宋" w:cs="仿宋"/>
                <w:color w:val="auto"/>
                <w:sz w:val="24"/>
                <w:highlight w:val="none"/>
              </w:rPr>
            </w:pPr>
          </w:p>
        </w:tc>
      </w:tr>
      <w:tr w14:paraId="4A731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51" w:type="dxa"/>
            <w:tcBorders>
              <w:top w:val="single" w:color="auto" w:sz="4" w:space="0"/>
              <w:left w:val="single" w:color="auto" w:sz="4" w:space="0"/>
              <w:bottom w:val="single" w:color="auto" w:sz="4" w:space="0"/>
              <w:right w:val="single" w:color="auto" w:sz="4" w:space="0"/>
            </w:tcBorders>
          </w:tcPr>
          <w:p w14:paraId="2A95C634">
            <w:pPr>
              <w:snapToGrid w:val="0"/>
              <w:spacing w:before="50" w:afterLines="50" w:line="400" w:lineRule="exact"/>
              <w:jc w:val="left"/>
              <w:rPr>
                <w:rFonts w:ascii="仿宋" w:hAnsi="仿宋" w:eastAsia="仿宋" w:cs="仿宋"/>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tcPr>
          <w:p w14:paraId="3A9468B2">
            <w:pPr>
              <w:snapToGrid w:val="0"/>
              <w:spacing w:before="50" w:afterLines="50" w:line="400" w:lineRule="exact"/>
              <w:jc w:val="left"/>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69B32CAD">
            <w:pPr>
              <w:snapToGrid w:val="0"/>
              <w:spacing w:before="50" w:afterLines="50" w:line="400" w:lineRule="exact"/>
              <w:jc w:val="left"/>
              <w:rPr>
                <w:rFonts w:ascii="仿宋" w:hAnsi="仿宋" w:eastAsia="仿宋" w:cs="仿宋"/>
                <w:color w:val="auto"/>
                <w:sz w:val="24"/>
                <w:highlight w:val="none"/>
              </w:rPr>
            </w:pPr>
          </w:p>
        </w:tc>
        <w:tc>
          <w:tcPr>
            <w:tcW w:w="1940" w:type="dxa"/>
            <w:tcBorders>
              <w:top w:val="single" w:color="auto" w:sz="4" w:space="0"/>
              <w:left w:val="single" w:color="auto" w:sz="4" w:space="0"/>
              <w:bottom w:val="single" w:color="auto" w:sz="4" w:space="0"/>
              <w:right w:val="single" w:color="auto" w:sz="4" w:space="0"/>
            </w:tcBorders>
          </w:tcPr>
          <w:p w14:paraId="3372EBDE">
            <w:pPr>
              <w:snapToGrid w:val="0"/>
              <w:spacing w:before="50" w:afterLines="50" w:line="400" w:lineRule="exact"/>
              <w:jc w:val="left"/>
              <w:rPr>
                <w:rFonts w:ascii="仿宋" w:hAnsi="仿宋" w:eastAsia="仿宋" w:cs="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tcPr>
          <w:p w14:paraId="1C8C434D">
            <w:pPr>
              <w:snapToGrid w:val="0"/>
              <w:spacing w:before="50" w:afterLines="50" w:line="400" w:lineRule="exact"/>
              <w:jc w:val="left"/>
              <w:rPr>
                <w:rFonts w:ascii="仿宋" w:hAnsi="仿宋" w:eastAsia="仿宋" w:cs="仿宋"/>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tcPr>
          <w:p w14:paraId="1B27BB16">
            <w:pPr>
              <w:snapToGrid w:val="0"/>
              <w:spacing w:before="50" w:afterLines="50" w:line="400" w:lineRule="exact"/>
              <w:jc w:val="left"/>
              <w:rPr>
                <w:rFonts w:ascii="仿宋" w:hAnsi="仿宋" w:eastAsia="仿宋" w:cs="仿宋"/>
                <w:color w:val="auto"/>
                <w:sz w:val="24"/>
                <w:highlight w:val="none"/>
              </w:rPr>
            </w:pPr>
          </w:p>
        </w:tc>
      </w:tr>
    </w:tbl>
    <w:p w14:paraId="4FE1F813">
      <w:pPr>
        <w:pStyle w:val="8"/>
        <w:snapToGrid w:val="0"/>
        <w:rPr>
          <w:rFonts w:ascii="仿宋" w:hAnsi="仿宋" w:eastAsia="仿宋" w:cs="仿宋"/>
          <w:color w:val="auto"/>
          <w:sz w:val="24"/>
          <w:szCs w:val="24"/>
          <w:highlight w:val="none"/>
        </w:rPr>
      </w:pPr>
    </w:p>
    <w:p w14:paraId="3AB04B19">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0D8150B4">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72EF5670">
      <w:pPr>
        <w:snapToGrid w:val="0"/>
        <w:spacing w:before="50"/>
        <w:ind w:firstLine="480" w:firstLineChars="200"/>
        <w:jc w:val="left"/>
        <w:rPr>
          <w:rFonts w:ascii="仿宋" w:hAnsi="仿宋" w:eastAsia="仿宋" w:cs="仿宋"/>
          <w:color w:val="auto"/>
          <w:sz w:val="24"/>
          <w:szCs w:val="20"/>
          <w:highlight w:val="none"/>
        </w:rPr>
      </w:pPr>
    </w:p>
    <w:p w14:paraId="57DD7547">
      <w:pPr>
        <w:snapToGrid w:val="0"/>
        <w:spacing w:before="50"/>
        <w:jc w:val="left"/>
        <w:rPr>
          <w:rFonts w:ascii="仿宋" w:hAnsi="仿宋" w:eastAsia="仿宋" w:cs="仿宋"/>
          <w:color w:val="auto"/>
          <w:sz w:val="24"/>
          <w:highlight w:val="none"/>
        </w:rPr>
      </w:pPr>
    </w:p>
    <w:p w14:paraId="21CEE636">
      <w:pPr>
        <w:snapToGrid w:val="0"/>
        <w:spacing w:before="50"/>
        <w:jc w:val="left"/>
        <w:rPr>
          <w:rFonts w:ascii="仿宋" w:hAnsi="仿宋" w:eastAsia="仿宋" w:cs="仿宋"/>
          <w:color w:val="auto"/>
          <w:sz w:val="24"/>
          <w:highlight w:val="none"/>
        </w:rPr>
        <w:sectPr>
          <w:pgSz w:w="11906" w:h="16838"/>
          <w:pgMar w:top="1247" w:right="1247" w:bottom="1559" w:left="1247" w:header="851" w:footer="992" w:gutter="0"/>
          <w:pgNumType w:fmt="decimal"/>
          <w:cols w:space="0" w:num="1"/>
          <w:titlePg/>
          <w:rtlGutter w:val="0"/>
          <w:docGrid w:linePitch="312" w:charSpace="0"/>
        </w:sectPr>
      </w:pPr>
    </w:p>
    <w:p w14:paraId="73A496B0">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7.服务采购需求条款偏离表格式(注：按项目需求表具体内容响应)</w:t>
      </w:r>
    </w:p>
    <w:p w14:paraId="11BB4AEA">
      <w:pPr>
        <w:snapToGrid w:val="0"/>
        <w:spacing w:before="50"/>
        <w:jc w:val="left"/>
        <w:rPr>
          <w:rFonts w:ascii="仿宋" w:hAnsi="仿宋" w:eastAsia="仿宋" w:cs="仿宋"/>
          <w:color w:val="auto"/>
          <w:sz w:val="24"/>
          <w:highlight w:val="none"/>
        </w:rPr>
      </w:pPr>
    </w:p>
    <w:p w14:paraId="287A12E5">
      <w:pPr>
        <w:snapToGrid w:val="0"/>
        <w:spacing w:before="50"/>
        <w:jc w:val="left"/>
        <w:rPr>
          <w:rFonts w:ascii="仿宋" w:hAnsi="仿宋" w:eastAsia="仿宋" w:cs="仿宋"/>
          <w:color w:val="auto"/>
          <w:sz w:val="24"/>
          <w:highlight w:val="none"/>
          <w:u w:val="single"/>
        </w:rPr>
      </w:pPr>
    </w:p>
    <w:tbl>
      <w:tblPr>
        <w:tblStyle w:val="20"/>
        <w:tblW w:w="9109"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2281"/>
        <w:gridCol w:w="2594"/>
        <w:gridCol w:w="1485"/>
        <w:gridCol w:w="2010"/>
      </w:tblGrid>
      <w:tr w14:paraId="16895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39" w:type="dxa"/>
            <w:tcBorders>
              <w:top w:val="single" w:color="auto" w:sz="4" w:space="0"/>
              <w:left w:val="single" w:color="auto" w:sz="4" w:space="0"/>
              <w:bottom w:val="single" w:color="auto" w:sz="4" w:space="0"/>
              <w:right w:val="single" w:color="auto" w:sz="4" w:space="0"/>
            </w:tcBorders>
          </w:tcPr>
          <w:p w14:paraId="4B5F022C">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序号 </w:t>
            </w:r>
          </w:p>
        </w:tc>
        <w:tc>
          <w:tcPr>
            <w:tcW w:w="2281" w:type="dxa"/>
            <w:tcBorders>
              <w:top w:val="single" w:color="auto" w:sz="4" w:space="0"/>
              <w:left w:val="single" w:color="auto" w:sz="4" w:space="0"/>
              <w:bottom w:val="single" w:color="auto" w:sz="4" w:space="0"/>
              <w:right w:val="single" w:color="auto" w:sz="4" w:space="0"/>
            </w:tcBorders>
          </w:tcPr>
          <w:p w14:paraId="34E0AAD1">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594" w:type="dxa"/>
            <w:tcBorders>
              <w:top w:val="single" w:color="auto" w:sz="4" w:space="0"/>
              <w:left w:val="single" w:color="auto" w:sz="4" w:space="0"/>
              <w:bottom w:val="single" w:color="auto" w:sz="4" w:space="0"/>
              <w:right w:val="single" w:color="auto" w:sz="4" w:space="0"/>
            </w:tcBorders>
          </w:tcPr>
          <w:p w14:paraId="5D7DB003">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招标文件服务采购需求条款要求</w:t>
            </w:r>
          </w:p>
        </w:tc>
        <w:tc>
          <w:tcPr>
            <w:tcW w:w="1485" w:type="dxa"/>
            <w:tcBorders>
              <w:top w:val="single" w:color="auto" w:sz="4" w:space="0"/>
              <w:left w:val="single" w:color="auto" w:sz="4" w:space="0"/>
              <w:bottom w:val="single" w:color="auto" w:sz="4" w:space="0"/>
              <w:right w:val="single" w:color="auto" w:sz="4" w:space="0"/>
            </w:tcBorders>
          </w:tcPr>
          <w:p w14:paraId="4A2A653C">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w:t>
            </w:r>
          </w:p>
          <w:p w14:paraId="4FAFB90A">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2010" w:type="dxa"/>
            <w:tcBorders>
              <w:top w:val="single" w:color="auto" w:sz="4" w:space="0"/>
              <w:left w:val="single" w:color="auto" w:sz="4" w:space="0"/>
              <w:bottom w:val="single" w:color="auto" w:sz="4" w:space="0"/>
              <w:right w:val="single" w:color="auto" w:sz="4" w:space="0"/>
            </w:tcBorders>
          </w:tcPr>
          <w:p w14:paraId="696570CC">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投标人的承诺或说明</w:t>
            </w:r>
          </w:p>
        </w:tc>
      </w:tr>
      <w:tr w14:paraId="757D8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9" w:type="dxa"/>
            <w:tcBorders>
              <w:top w:val="single" w:color="auto" w:sz="4" w:space="0"/>
              <w:left w:val="single" w:color="auto" w:sz="4" w:space="0"/>
              <w:bottom w:val="single" w:color="auto" w:sz="4" w:space="0"/>
              <w:right w:val="single" w:color="auto" w:sz="4" w:space="0"/>
            </w:tcBorders>
            <w:vAlign w:val="center"/>
          </w:tcPr>
          <w:p w14:paraId="6E00CA4C">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281" w:type="dxa"/>
            <w:tcBorders>
              <w:top w:val="single" w:color="auto" w:sz="4" w:space="0"/>
              <w:left w:val="single" w:color="auto" w:sz="4" w:space="0"/>
              <w:bottom w:val="single" w:color="auto" w:sz="4" w:space="0"/>
              <w:right w:val="single" w:color="auto" w:sz="4" w:space="0"/>
            </w:tcBorders>
            <w:vAlign w:val="center"/>
          </w:tcPr>
          <w:p w14:paraId="266CE42D">
            <w:pPr>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服务年限</w:t>
            </w:r>
          </w:p>
        </w:tc>
        <w:tc>
          <w:tcPr>
            <w:tcW w:w="2594" w:type="dxa"/>
            <w:tcBorders>
              <w:top w:val="single" w:color="auto" w:sz="4" w:space="0"/>
              <w:left w:val="single" w:color="auto" w:sz="4" w:space="0"/>
              <w:bottom w:val="single" w:color="auto" w:sz="4" w:space="0"/>
              <w:right w:val="single" w:color="auto" w:sz="4" w:space="0"/>
            </w:tcBorders>
          </w:tcPr>
          <w:p w14:paraId="5E5BDB6F">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3BA54B0C">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2889FB43">
            <w:pPr>
              <w:snapToGrid w:val="0"/>
              <w:spacing w:beforeLines="50"/>
              <w:jc w:val="center"/>
              <w:rPr>
                <w:rFonts w:ascii="仿宋" w:hAnsi="仿宋" w:eastAsia="仿宋" w:cs="仿宋"/>
                <w:color w:val="auto"/>
                <w:sz w:val="24"/>
                <w:highlight w:val="none"/>
              </w:rPr>
            </w:pPr>
          </w:p>
        </w:tc>
      </w:tr>
      <w:tr w14:paraId="57EF0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14:paraId="1E979E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281" w:type="dxa"/>
            <w:tcBorders>
              <w:top w:val="single" w:color="auto" w:sz="4" w:space="0"/>
              <w:left w:val="single" w:color="auto" w:sz="4" w:space="0"/>
              <w:bottom w:val="single" w:color="auto" w:sz="4" w:space="0"/>
              <w:right w:val="single" w:color="auto" w:sz="4" w:space="0"/>
            </w:tcBorders>
            <w:vAlign w:val="center"/>
          </w:tcPr>
          <w:p w14:paraId="24AED495">
            <w:pPr>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标段划分范围、</w:t>
            </w:r>
            <w:r>
              <w:rPr>
                <w:rFonts w:hint="eastAsia" w:ascii="仿宋" w:hAnsi="仿宋" w:eastAsia="仿宋" w:cs="仿宋"/>
                <w:color w:val="auto"/>
                <w:sz w:val="24"/>
                <w:highlight w:val="none"/>
              </w:rPr>
              <w:t>保洁</w:t>
            </w:r>
            <w:r>
              <w:rPr>
                <w:rFonts w:hint="eastAsia" w:ascii="仿宋" w:hAnsi="仿宋" w:eastAsia="仿宋" w:cs="仿宋"/>
                <w:bCs/>
                <w:color w:val="auto"/>
                <w:sz w:val="24"/>
                <w:highlight w:val="none"/>
              </w:rPr>
              <w:t>工作范围及内容</w:t>
            </w:r>
          </w:p>
        </w:tc>
        <w:tc>
          <w:tcPr>
            <w:tcW w:w="2594" w:type="dxa"/>
            <w:tcBorders>
              <w:top w:val="single" w:color="auto" w:sz="4" w:space="0"/>
              <w:left w:val="single" w:color="auto" w:sz="4" w:space="0"/>
              <w:bottom w:val="single" w:color="auto" w:sz="4" w:space="0"/>
              <w:right w:val="single" w:color="auto" w:sz="4" w:space="0"/>
            </w:tcBorders>
          </w:tcPr>
          <w:p w14:paraId="00A4F406">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214E8450">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6BC4EB7A">
            <w:pPr>
              <w:snapToGrid w:val="0"/>
              <w:spacing w:beforeLines="50"/>
              <w:jc w:val="center"/>
              <w:rPr>
                <w:rFonts w:ascii="仿宋" w:hAnsi="仿宋" w:eastAsia="仿宋" w:cs="仿宋"/>
                <w:color w:val="auto"/>
                <w:sz w:val="24"/>
                <w:highlight w:val="none"/>
              </w:rPr>
            </w:pPr>
          </w:p>
        </w:tc>
      </w:tr>
      <w:tr w14:paraId="400CA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14:paraId="42E743D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281" w:type="dxa"/>
            <w:tcBorders>
              <w:top w:val="single" w:color="auto" w:sz="4" w:space="0"/>
              <w:left w:val="single" w:color="auto" w:sz="4" w:space="0"/>
              <w:bottom w:val="single" w:color="auto" w:sz="4" w:space="0"/>
              <w:right w:val="single" w:color="auto" w:sz="4" w:space="0"/>
            </w:tcBorders>
            <w:vAlign w:val="center"/>
          </w:tcPr>
          <w:p w14:paraId="6EF5499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环卫设施需求</w:t>
            </w:r>
          </w:p>
        </w:tc>
        <w:tc>
          <w:tcPr>
            <w:tcW w:w="2594" w:type="dxa"/>
            <w:tcBorders>
              <w:top w:val="single" w:color="auto" w:sz="4" w:space="0"/>
              <w:left w:val="single" w:color="auto" w:sz="4" w:space="0"/>
              <w:bottom w:val="single" w:color="auto" w:sz="4" w:space="0"/>
              <w:right w:val="single" w:color="auto" w:sz="4" w:space="0"/>
            </w:tcBorders>
          </w:tcPr>
          <w:p w14:paraId="00887BF6">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58394468">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218F523A">
            <w:pPr>
              <w:snapToGrid w:val="0"/>
              <w:spacing w:beforeLines="50"/>
              <w:jc w:val="center"/>
              <w:rPr>
                <w:rFonts w:ascii="仿宋" w:hAnsi="仿宋" w:eastAsia="仿宋" w:cs="仿宋"/>
                <w:color w:val="auto"/>
                <w:sz w:val="24"/>
                <w:highlight w:val="none"/>
              </w:rPr>
            </w:pPr>
          </w:p>
        </w:tc>
      </w:tr>
      <w:tr w14:paraId="28D4E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14:paraId="0E9AB8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281" w:type="dxa"/>
            <w:tcBorders>
              <w:top w:val="single" w:color="auto" w:sz="4" w:space="0"/>
              <w:left w:val="single" w:color="auto" w:sz="4" w:space="0"/>
              <w:bottom w:val="single" w:color="auto" w:sz="4" w:space="0"/>
              <w:right w:val="single" w:color="auto" w:sz="4" w:space="0"/>
            </w:tcBorders>
            <w:vAlign w:val="center"/>
          </w:tcPr>
          <w:p w14:paraId="61FF47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作业要求及标准</w:t>
            </w:r>
          </w:p>
        </w:tc>
        <w:tc>
          <w:tcPr>
            <w:tcW w:w="2594" w:type="dxa"/>
            <w:tcBorders>
              <w:top w:val="single" w:color="auto" w:sz="4" w:space="0"/>
              <w:left w:val="single" w:color="auto" w:sz="4" w:space="0"/>
              <w:bottom w:val="single" w:color="auto" w:sz="4" w:space="0"/>
              <w:right w:val="single" w:color="auto" w:sz="4" w:space="0"/>
            </w:tcBorders>
          </w:tcPr>
          <w:p w14:paraId="1DDA8F80">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77F3C0C6">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0230ADCC">
            <w:pPr>
              <w:snapToGrid w:val="0"/>
              <w:spacing w:beforeLines="50"/>
              <w:jc w:val="center"/>
              <w:rPr>
                <w:rFonts w:ascii="仿宋" w:hAnsi="仿宋" w:eastAsia="仿宋" w:cs="仿宋"/>
                <w:color w:val="auto"/>
                <w:sz w:val="24"/>
                <w:highlight w:val="none"/>
              </w:rPr>
            </w:pPr>
          </w:p>
        </w:tc>
      </w:tr>
      <w:tr w14:paraId="2B01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14:paraId="1A7F055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281" w:type="dxa"/>
            <w:tcBorders>
              <w:top w:val="single" w:color="auto" w:sz="4" w:space="0"/>
              <w:left w:val="single" w:color="auto" w:sz="4" w:space="0"/>
              <w:bottom w:val="single" w:color="auto" w:sz="4" w:space="0"/>
              <w:right w:val="single" w:color="auto" w:sz="4" w:space="0"/>
            </w:tcBorders>
            <w:vAlign w:val="center"/>
          </w:tcPr>
          <w:p w14:paraId="43F2C305">
            <w:pPr>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其他要求</w:t>
            </w:r>
          </w:p>
        </w:tc>
        <w:tc>
          <w:tcPr>
            <w:tcW w:w="2594" w:type="dxa"/>
            <w:tcBorders>
              <w:top w:val="single" w:color="auto" w:sz="4" w:space="0"/>
              <w:left w:val="single" w:color="auto" w:sz="4" w:space="0"/>
              <w:bottom w:val="single" w:color="auto" w:sz="4" w:space="0"/>
              <w:right w:val="single" w:color="auto" w:sz="4" w:space="0"/>
            </w:tcBorders>
          </w:tcPr>
          <w:p w14:paraId="0981C768">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4D954332">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117C8819">
            <w:pPr>
              <w:snapToGrid w:val="0"/>
              <w:spacing w:beforeLines="50"/>
              <w:jc w:val="center"/>
              <w:rPr>
                <w:rFonts w:ascii="仿宋" w:hAnsi="仿宋" w:eastAsia="仿宋" w:cs="仿宋"/>
                <w:color w:val="auto"/>
                <w:sz w:val="24"/>
                <w:highlight w:val="none"/>
              </w:rPr>
            </w:pPr>
          </w:p>
        </w:tc>
      </w:tr>
      <w:tr w14:paraId="36EB0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14:paraId="226E59E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281" w:type="dxa"/>
            <w:tcBorders>
              <w:top w:val="single" w:color="auto" w:sz="4" w:space="0"/>
              <w:left w:val="single" w:color="auto" w:sz="4" w:space="0"/>
              <w:bottom w:val="single" w:color="auto" w:sz="4" w:space="0"/>
              <w:right w:val="single" w:color="auto" w:sz="4" w:space="0"/>
            </w:tcBorders>
            <w:vAlign w:val="center"/>
          </w:tcPr>
          <w:p w14:paraId="6AAC88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594" w:type="dxa"/>
            <w:tcBorders>
              <w:top w:val="single" w:color="auto" w:sz="4" w:space="0"/>
              <w:left w:val="single" w:color="auto" w:sz="4" w:space="0"/>
              <w:bottom w:val="single" w:color="auto" w:sz="4" w:space="0"/>
              <w:right w:val="single" w:color="auto" w:sz="4" w:space="0"/>
            </w:tcBorders>
          </w:tcPr>
          <w:p w14:paraId="2B8FF5D8">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14:paraId="6A14D2E5">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7D8A6A55">
            <w:pPr>
              <w:snapToGrid w:val="0"/>
              <w:spacing w:beforeLines="50"/>
              <w:jc w:val="center"/>
              <w:rPr>
                <w:rFonts w:ascii="仿宋" w:hAnsi="仿宋" w:eastAsia="仿宋" w:cs="仿宋"/>
                <w:color w:val="auto"/>
                <w:sz w:val="24"/>
                <w:highlight w:val="none"/>
              </w:rPr>
            </w:pPr>
          </w:p>
        </w:tc>
      </w:tr>
      <w:tr w14:paraId="4B103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59B3F065">
            <w:pPr>
              <w:snapToGrid w:val="0"/>
              <w:spacing w:beforeLines="50"/>
              <w:jc w:val="center"/>
              <w:rPr>
                <w:rFonts w:ascii="仿宋" w:hAnsi="仿宋" w:eastAsia="仿宋" w:cs="仿宋"/>
                <w:color w:val="auto"/>
                <w:sz w:val="24"/>
                <w:highlight w:val="none"/>
              </w:rPr>
            </w:pPr>
          </w:p>
        </w:tc>
        <w:tc>
          <w:tcPr>
            <w:tcW w:w="2281" w:type="dxa"/>
            <w:tcBorders>
              <w:top w:val="single" w:color="auto" w:sz="4" w:space="0"/>
              <w:left w:val="single" w:color="auto" w:sz="4" w:space="0"/>
              <w:bottom w:val="single" w:color="auto" w:sz="4" w:space="0"/>
              <w:right w:val="single" w:color="auto" w:sz="4" w:space="0"/>
            </w:tcBorders>
          </w:tcPr>
          <w:p w14:paraId="3C716756">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594" w:type="dxa"/>
            <w:tcBorders>
              <w:top w:val="single" w:color="auto" w:sz="4" w:space="0"/>
              <w:left w:val="single" w:color="auto" w:sz="4" w:space="0"/>
              <w:bottom w:val="single" w:color="auto" w:sz="4" w:space="0"/>
              <w:right w:val="single" w:color="auto" w:sz="4" w:space="0"/>
            </w:tcBorders>
          </w:tcPr>
          <w:p w14:paraId="06BA1C3E">
            <w:pPr>
              <w:snapToGrid w:val="0"/>
              <w:spacing w:beforeLines="50"/>
              <w:jc w:val="center"/>
              <w:rPr>
                <w:rFonts w:ascii="仿宋" w:hAnsi="仿宋" w:eastAsia="仿宋" w:cs="仿宋"/>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tcPr>
          <w:p w14:paraId="49A86B64">
            <w:pPr>
              <w:snapToGrid w:val="0"/>
              <w:spacing w:beforeLines="50"/>
              <w:jc w:val="center"/>
              <w:rPr>
                <w:rFonts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tcPr>
          <w:p w14:paraId="33FEF4EE">
            <w:pPr>
              <w:snapToGrid w:val="0"/>
              <w:spacing w:beforeLines="50"/>
              <w:jc w:val="center"/>
              <w:rPr>
                <w:rFonts w:ascii="仿宋" w:hAnsi="仿宋" w:eastAsia="仿宋" w:cs="仿宋"/>
                <w:color w:val="auto"/>
                <w:sz w:val="24"/>
                <w:highlight w:val="none"/>
              </w:rPr>
            </w:pPr>
          </w:p>
        </w:tc>
      </w:tr>
    </w:tbl>
    <w:p w14:paraId="10581CFE">
      <w:pPr>
        <w:snapToGrid w:val="0"/>
        <w:spacing w:before="50" w:after="50"/>
        <w:rPr>
          <w:rFonts w:ascii="仿宋" w:hAnsi="仿宋" w:eastAsia="仿宋" w:cs="仿宋"/>
          <w:color w:val="auto"/>
          <w:spacing w:val="20"/>
          <w:sz w:val="24"/>
          <w:highlight w:val="none"/>
        </w:rPr>
      </w:pPr>
    </w:p>
    <w:p w14:paraId="4C6DA52F">
      <w:pPr>
        <w:snapToGrid w:val="0"/>
        <w:spacing w:before="50" w:after="50"/>
        <w:rPr>
          <w:rFonts w:ascii="仿宋" w:hAnsi="仿宋" w:eastAsia="仿宋" w:cs="仿宋"/>
          <w:color w:val="auto"/>
          <w:sz w:val="24"/>
          <w:highlight w:val="none"/>
        </w:rPr>
      </w:pPr>
    </w:p>
    <w:p w14:paraId="1B018DDA">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62D81FDF">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5F2F0FED">
      <w:pPr>
        <w:snapToGrid w:val="0"/>
        <w:spacing w:beforeLines="50" w:after="50"/>
        <w:ind w:left="142"/>
        <w:jc w:val="left"/>
        <w:rPr>
          <w:rFonts w:ascii="仿宋" w:hAnsi="仿宋" w:eastAsia="仿宋" w:cs="仿宋"/>
          <w:b/>
          <w:color w:val="auto"/>
          <w:sz w:val="28"/>
          <w:szCs w:val="28"/>
          <w:highlight w:val="none"/>
        </w:rPr>
      </w:pPr>
    </w:p>
    <w:p w14:paraId="6E81CC9C">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8. 项目实施人员一览表格式</w:t>
      </w:r>
    </w:p>
    <w:p w14:paraId="75E5358D">
      <w:pPr>
        <w:snapToGrid w:val="0"/>
        <w:spacing w:beforeLines="50" w:after="50"/>
        <w:ind w:left="14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项目实施人员（拟投入人员及其技术资格）一览表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7A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C20EA5">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vAlign w:val="center"/>
          </w:tcPr>
          <w:p w14:paraId="06CCF086">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vAlign w:val="center"/>
          </w:tcPr>
          <w:p w14:paraId="1B98272D">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专业技术资格（如有）</w:t>
            </w:r>
          </w:p>
        </w:tc>
        <w:tc>
          <w:tcPr>
            <w:tcW w:w="1420" w:type="dxa"/>
            <w:vAlign w:val="center"/>
          </w:tcPr>
          <w:p w14:paraId="694149F1">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证书编号（如有）</w:t>
            </w:r>
          </w:p>
        </w:tc>
        <w:tc>
          <w:tcPr>
            <w:tcW w:w="1698" w:type="dxa"/>
            <w:vAlign w:val="center"/>
          </w:tcPr>
          <w:p w14:paraId="7AF2565B">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6009DF28">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vAlign w:val="center"/>
          </w:tcPr>
          <w:p w14:paraId="23DE2EA7">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14:paraId="583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C76AD2">
            <w:pPr>
              <w:snapToGrid w:val="0"/>
              <w:spacing w:before="50" w:afterLines="50"/>
              <w:jc w:val="center"/>
              <w:rPr>
                <w:rFonts w:ascii="仿宋" w:hAnsi="仿宋" w:eastAsia="仿宋" w:cs="仿宋"/>
                <w:color w:val="auto"/>
                <w:sz w:val="24"/>
                <w:szCs w:val="20"/>
                <w:highlight w:val="none"/>
              </w:rPr>
            </w:pPr>
          </w:p>
        </w:tc>
        <w:tc>
          <w:tcPr>
            <w:tcW w:w="709" w:type="dxa"/>
            <w:vAlign w:val="center"/>
          </w:tcPr>
          <w:p w14:paraId="6AD763B0">
            <w:pPr>
              <w:snapToGrid w:val="0"/>
              <w:spacing w:before="50" w:afterLines="50"/>
              <w:jc w:val="center"/>
              <w:rPr>
                <w:rFonts w:ascii="仿宋" w:hAnsi="仿宋" w:eastAsia="仿宋" w:cs="仿宋"/>
                <w:color w:val="auto"/>
                <w:sz w:val="24"/>
                <w:szCs w:val="20"/>
                <w:highlight w:val="none"/>
              </w:rPr>
            </w:pPr>
          </w:p>
        </w:tc>
        <w:tc>
          <w:tcPr>
            <w:tcW w:w="1701" w:type="dxa"/>
            <w:vAlign w:val="center"/>
          </w:tcPr>
          <w:p w14:paraId="5C13C51D">
            <w:pPr>
              <w:snapToGrid w:val="0"/>
              <w:spacing w:before="50" w:afterLines="50"/>
              <w:jc w:val="center"/>
              <w:rPr>
                <w:rFonts w:ascii="仿宋" w:hAnsi="仿宋" w:eastAsia="仿宋" w:cs="仿宋"/>
                <w:color w:val="auto"/>
                <w:sz w:val="24"/>
                <w:szCs w:val="20"/>
                <w:highlight w:val="none"/>
              </w:rPr>
            </w:pPr>
          </w:p>
        </w:tc>
        <w:tc>
          <w:tcPr>
            <w:tcW w:w="1420" w:type="dxa"/>
            <w:vAlign w:val="center"/>
          </w:tcPr>
          <w:p w14:paraId="6B8DCD0A">
            <w:pPr>
              <w:snapToGrid w:val="0"/>
              <w:spacing w:before="50" w:afterLines="50"/>
              <w:jc w:val="center"/>
              <w:rPr>
                <w:rFonts w:ascii="仿宋" w:hAnsi="仿宋" w:eastAsia="仿宋" w:cs="仿宋"/>
                <w:color w:val="auto"/>
                <w:sz w:val="24"/>
                <w:szCs w:val="20"/>
                <w:highlight w:val="none"/>
              </w:rPr>
            </w:pPr>
          </w:p>
        </w:tc>
        <w:tc>
          <w:tcPr>
            <w:tcW w:w="1698" w:type="dxa"/>
            <w:vAlign w:val="center"/>
          </w:tcPr>
          <w:p w14:paraId="20455F57">
            <w:pPr>
              <w:snapToGrid w:val="0"/>
              <w:spacing w:before="50" w:afterLines="50"/>
              <w:jc w:val="center"/>
              <w:rPr>
                <w:rFonts w:ascii="仿宋" w:hAnsi="仿宋" w:eastAsia="仿宋" w:cs="仿宋"/>
                <w:color w:val="auto"/>
                <w:sz w:val="24"/>
                <w:szCs w:val="20"/>
                <w:highlight w:val="none"/>
              </w:rPr>
            </w:pPr>
          </w:p>
        </w:tc>
        <w:tc>
          <w:tcPr>
            <w:tcW w:w="1843" w:type="dxa"/>
            <w:vAlign w:val="center"/>
          </w:tcPr>
          <w:p w14:paraId="7D54F7CE">
            <w:pPr>
              <w:snapToGrid w:val="0"/>
              <w:spacing w:before="50" w:afterLines="50"/>
              <w:jc w:val="center"/>
              <w:rPr>
                <w:rFonts w:ascii="仿宋" w:hAnsi="仿宋" w:eastAsia="仿宋" w:cs="仿宋"/>
                <w:color w:val="auto"/>
                <w:sz w:val="24"/>
                <w:szCs w:val="20"/>
                <w:highlight w:val="none"/>
              </w:rPr>
            </w:pPr>
          </w:p>
        </w:tc>
      </w:tr>
      <w:tr w14:paraId="3011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F391DF">
            <w:pPr>
              <w:snapToGrid w:val="0"/>
              <w:spacing w:before="50" w:afterLines="50"/>
              <w:jc w:val="center"/>
              <w:rPr>
                <w:rFonts w:ascii="仿宋" w:hAnsi="仿宋" w:eastAsia="仿宋" w:cs="仿宋"/>
                <w:color w:val="auto"/>
                <w:sz w:val="24"/>
                <w:szCs w:val="20"/>
                <w:highlight w:val="none"/>
              </w:rPr>
            </w:pPr>
          </w:p>
        </w:tc>
        <w:tc>
          <w:tcPr>
            <w:tcW w:w="709" w:type="dxa"/>
            <w:vAlign w:val="center"/>
          </w:tcPr>
          <w:p w14:paraId="6F0BE14F">
            <w:pPr>
              <w:snapToGrid w:val="0"/>
              <w:spacing w:before="50" w:afterLines="50"/>
              <w:jc w:val="center"/>
              <w:rPr>
                <w:rFonts w:ascii="仿宋" w:hAnsi="仿宋" w:eastAsia="仿宋" w:cs="仿宋"/>
                <w:color w:val="auto"/>
                <w:sz w:val="24"/>
                <w:szCs w:val="20"/>
                <w:highlight w:val="none"/>
              </w:rPr>
            </w:pPr>
          </w:p>
        </w:tc>
        <w:tc>
          <w:tcPr>
            <w:tcW w:w="1701" w:type="dxa"/>
            <w:vAlign w:val="center"/>
          </w:tcPr>
          <w:p w14:paraId="390A357C">
            <w:pPr>
              <w:snapToGrid w:val="0"/>
              <w:spacing w:before="50" w:afterLines="50"/>
              <w:jc w:val="center"/>
              <w:rPr>
                <w:rFonts w:ascii="仿宋" w:hAnsi="仿宋" w:eastAsia="仿宋" w:cs="仿宋"/>
                <w:color w:val="auto"/>
                <w:sz w:val="24"/>
                <w:szCs w:val="20"/>
                <w:highlight w:val="none"/>
              </w:rPr>
            </w:pPr>
          </w:p>
        </w:tc>
        <w:tc>
          <w:tcPr>
            <w:tcW w:w="1420" w:type="dxa"/>
            <w:vAlign w:val="center"/>
          </w:tcPr>
          <w:p w14:paraId="7072CD1A">
            <w:pPr>
              <w:snapToGrid w:val="0"/>
              <w:spacing w:before="50" w:afterLines="50"/>
              <w:jc w:val="center"/>
              <w:rPr>
                <w:rFonts w:ascii="仿宋" w:hAnsi="仿宋" w:eastAsia="仿宋" w:cs="仿宋"/>
                <w:color w:val="auto"/>
                <w:sz w:val="24"/>
                <w:szCs w:val="20"/>
                <w:highlight w:val="none"/>
              </w:rPr>
            </w:pPr>
          </w:p>
        </w:tc>
        <w:tc>
          <w:tcPr>
            <w:tcW w:w="1698" w:type="dxa"/>
            <w:vAlign w:val="center"/>
          </w:tcPr>
          <w:p w14:paraId="7543A7E7">
            <w:pPr>
              <w:snapToGrid w:val="0"/>
              <w:spacing w:before="50" w:afterLines="50"/>
              <w:jc w:val="center"/>
              <w:rPr>
                <w:rFonts w:ascii="仿宋" w:hAnsi="仿宋" w:eastAsia="仿宋" w:cs="仿宋"/>
                <w:color w:val="auto"/>
                <w:sz w:val="24"/>
                <w:szCs w:val="20"/>
                <w:highlight w:val="none"/>
              </w:rPr>
            </w:pPr>
          </w:p>
        </w:tc>
        <w:tc>
          <w:tcPr>
            <w:tcW w:w="1843" w:type="dxa"/>
            <w:vAlign w:val="center"/>
          </w:tcPr>
          <w:p w14:paraId="35980A4B">
            <w:pPr>
              <w:snapToGrid w:val="0"/>
              <w:spacing w:before="50" w:afterLines="50"/>
              <w:jc w:val="center"/>
              <w:rPr>
                <w:rFonts w:ascii="仿宋" w:hAnsi="仿宋" w:eastAsia="仿宋" w:cs="仿宋"/>
                <w:color w:val="auto"/>
                <w:sz w:val="24"/>
                <w:szCs w:val="20"/>
                <w:highlight w:val="none"/>
              </w:rPr>
            </w:pPr>
          </w:p>
        </w:tc>
      </w:tr>
      <w:tr w14:paraId="6CA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41320A">
            <w:pPr>
              <w:snapToGrid w:val="0"/>
              <w:spacing w:before="50" w:afterLines="50"/>
              <w:jc w:val="center"/>
              <w:rPr>
                <w:rFonts w:ascii="仿宋" w:hAnsi="仿宋" w:eastAsia="仿宋" w:cs="仿宋"/>
                <w:color w:val="auto"/>
                <w:sz w:val="24"/>
                <w:szCs w:val="20"/>
                <w:highlight w:val="none"/>
              </w:rPr>
            </w:pPr>
          </w:p>
        </w:tc>
        <w:tc>
          <w:tcPr>
            <w:tcW w:w="709" w:type="dxa"/>
            <w:vAlign w:val="center"/>
          </w:tcPr>
          <w:p w14:paraId="2B6887D2">
            <w:pPr>
              <w:snapToGrid w:val="0"/>
              <w:spacing w:before="50" w:afterLines="50"/>
              <w:jc w:val="center"/>
              <w:rPr>
                <w:rFonts w:ascii="仿宋" w:hAnsi="仿宋" w:eastAsia="仿宋" w:cs="仿宋"/>
                <w:color w:val="auto"/>
                <w:sz w:val="24"/>
                <w:szCs w:val="20"/>
                <w:highlight w:val="none"/>
              </w:rPr>
            </w:pPr>
          </w:p>
        </w:tc>
        <w:tc>
          <w:tcPr>
            <w:tcW w:w="1701" w:type="dxa"/>
            <w:vAlign w:val="center"/>
          </w:tcPr>
          <w:p w14:paraId="2129D2A8">
            <w:pPr>
              <w:snapToGrid w:val="0"/>
              <w:spacing w:before="50" w:afterLines="50"/>
              <w:jc w:val="center"/>
              <w:rPr>
                <w:rFonts w:ascii="仿宋" w:hAnsi="仿宋" w:eastAsia="仿宋" w:cs="仿宋"/>
                <w:color w:val="auto"/>
                <w:sz w:val="24"/>
                <w:szCs w:val="20"/>
                <w:highlight w:val="none"/>
              </w:rPr>
            </w:pPr>
          </w:p>
        </w:tc>
        <w:tc>
          <w:tcPr>
            <w:tcW w:w="1420" w:type="dxa"/>
            <w:vAlign w:val="center"/>
          </w:tcPr>
          <w:p w14:paraId="04D3D5E9">
            <w:pPr>
              <w:snapToGrid w:val="0"/>
              <w:spacing w:before="50" w:afterLines="50"/>
              <w:jc w:val="center"/>
              <w:rPr>
                <w:rFonts w:ascii="仿宋" w:hAnsi="仿宋" w:eastAsia="仿宋" w:cs="仿宋"/>
                <w:color w:val="auto"/>
                <w:sz w:val="24"/>
                <w:szCs w:val="20"/>
                <w:highlight w:val="none"/>
              </w:rPr>
            </w:pPr>
          </w:p>
        </w:tc>
        <w:tc>
          <w:tcPr>
            <w:tcW w:w="1698" w:type="dxa"/>
            <w:vAlign w:val="center"/>
          </w:tcPr>
          <w:p w14:paraId="551BC459">
            <w:pPr>
              <w:snapToGrid w:val="0"/>
              <w:spacing w:before="50" w:afterLines="50"/>
              <w:jc w:val="center"/>
              <w:rPr>
                <w:rFonts w:ascii="仿宋" w:hAnsi="仿宋" w:eastAsia="仿宋" w:cs="仿宋"/>
                <w:color w:val="auto"/>
                <w:sz w:val="24"/>
                <w:szCs w:val="20"/>
                <w:highlight w:val="none"/>
              </w:rPr>
            </w:pPr>
          </w:p>
        </w:tc>
        <w:tc>
          <w:tcPr>
            <w:tcW w:w="1843" w:type="dxa"/>
            <w:vAlign w:val="center"/>
          </w:tcPr>
          <w:p w14:paraId="2A8C9C45">
            <w:pPr>
              <w:snapToGrid w:val="0"/>
              <w:spacing w:before="50" w:afterLines="50"/>
              <w:jc w:val="center"/>
              <w:rPr>
                <w:rFonts w:ascii="仿宋" w:hAnsi="仿宋" w:eastAsia="仿宋" w:cs="仿宋"/>
                <w:color w:val="auto"/>
                <w:sz w:val="24"/>
                <w:szCs w:val="20"/>
                <w:highlight w:val="none"/>
              </w:rPr>
            </w:pPr>
          </w:p>
        </w:tc>
      </w:tr>
    </w:tbl>
    <w:p w14:paraId="1ED78722">
      <w:pPr>
        <w:snapToGrid w:val="0"/>
        <w:spacing w:before="50" w:afterLines="50"/>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注：在填写时，如本表格不适合投标单位的实际情况，可根据本表格式自行制表填写。</w:t>
      </w:r>
    </w:p>
    <w:p w14:paraId="1386562A">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22639DC6">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4FBB0485">
      <w:pPr>
        <w:snapToGrid w:val="0"/>
        <w:spacing w:before="50" w:afterLines="50"/>
        <w:jc w:val="left"/>
        <w:rPr>
          <w:rFonts w:ascii="仿宋" w:hAnsi="仿宋" w:eastAsia="仿宋" w:cs="仿宋"/>
          <w:color w:val="auto"/>
          <w:sz w:val="24"/>
          <w:szCs w:val="20"/>
          <w:highlight w:val="none"/>
        </w:rPr>
      </w:pPr>
    </w:p>
    <w:p w14:paraId="5B8D2819">
      <w:pPr>
        <w:snapToGrid w:val="0"/>
        <w:spacing w:before="50" w:afterLines="50"/>
        <w:jc w:val="left"/>
        <w:rPr>
          <w:rFonts w:ascii="仿宋" w:hAnsi="仿宋" w:eastAsia="仿宋" w:cs="仿宋"/>
          <w:color w:val="auto"/>
          <w:sz w:val="24"/>
          <w:szCs w:val="20"/>
          <w:highlight w:val="none"/>
        </w:rPr>
      </w:pPr>
    </w:p>
    <w:p w14:paraId="53687CAB">
      <w:pPr>
        <w:pStyle w:val="10"/>
        <w:rPr>
          <w:rFonts w:ascii="仿宋" w:hAnsi="仿宋" w:eastAsia="仿宋" w:cs="仿宋"/>
          <w:color w:val="auto"/>
          <w:highlight w:val="none"/>
        </w:rPr>
      </w:pPr>
    </w:p>
    <w:p w14:paraId="0C616EFF">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9. 项目投入设备一览表格式</w:t>
      </w:r>
    </w:p>
    <w:p w14:paraId="21045471">
      <w:pPr>
        <w:snapToGrid w:val="0"/>
        <w:spacing w:beforeLines="50" w:after="50"/>
        <w:ind w:left="14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项目投入设备一览表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3"/>
        <w:gridCol w:w="1732"/>
        <w:gridCol w:w="2291"/>
        <w:gridCol w:w="1364"/>
      </w:tblGrid>
      <w:tr w14:paraId="21B5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03909D">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序号</w:t>
            </w:r>
          </w:p>
        </w:tc>
        <w:tc>
          <w:tcPr>
            <w:tcW w:w="1973" w:type="dxa"/>
            <w:vAlign w:val="center"/>
          </w:tcPr>
          <w:p w14:paraId="1841F45C">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设备名称</w:t>
            </w:r>
          </w:p>
        </w:tc>
        <w:tc>
          <w:tcPr>
            <w:tcW w:w="1732" w:type="dxa"/>
            <w:vAlign w:val="center"/>
          </w:tcPr>
          <w:p w14:paraId="15B924B9">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数量</w:t>
            </w:r>
          </w:p>
        </w:tc>
        <w:tc>
          <w:tcPr>
            <w:tcW w:w="2291" w:type="dxa"/>
            <w:vAlign w:val="center"/>
          </w:tcPr>
          <w:p w14:paraId="2062BAEF">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主要技术参数</w:t>
            </w:r>
          </w:p>
        </w:tc>
        <w:tc>
          <w:tcPr>
            <w:tcW w:w="1364" w:type="dxa"/>
            <w:vAlign w:val="center"/>
          </w:tcPr>
          <w:p w14:paraId="5173C26B">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备注</w:t>
            </w:r>
          </w:p>
        </w:tc>
      </w:tr>
      <w:tr w14:paraId="03F7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C1BC1F">
            <w:pPr>
              <w:snapToGrid w:val="0"/>
              <w:spacing w:before="50" w:afterLines="50"/>
              <w:jc w:val="center"/>
              <w:rPr>
                <w:rFonts w:ascii="仿宋" w:hAnsi="仿宋" w:eastAsia="仿宋" w:cs="仿宋"/>
                <w:color w:val="auto"/>
                <w:sz w:val="24"/>
                <w:szCs w:val="20"/>
                <w:highlight w:val="none"/>
              </w:rPr>
            </w:pPr>
          </w:p>
        </w:tc>
        <w:tc>
          <w:tcPr>
            <w:tcW w:w="1973" w:type="dxa"/>
            <w:vAlign w:val="center"/>
          </w:tcPr>
          <w:p w14:paraId="29932116">
            <w:pPr>
              <w:snapToGrid w:val="0"/>
              <w:spacing w:before="50" w:afterLines="50"/>
              <w:jc w:val="center"/>
              <w:rPr>
                <w:rFonts w:ascii="仿宋" w:hAnsi="仿宋" w:eastAsia="仿宋" w:cs="仿宋"/>
                <w:color w:val="auto"/>
                <w:sz w:val="24"/>
                <w:szCs w:val="20"/>
                <w:highlight w:val="none"/>
              </w:rPr>
            </w:pPr>
          </w:p>
        </w:tc>
        <w:tc>
          <w:tcPr>
            <w:tcW w:w="1732" w:type="dxa"/>
            <w:vAlign w:val="center"/>
          </w:tcPr>
          <w:p w14:paraId="6B5289C5">
            <w:pPr>
              <w:snapToGrid w:val="0"/>
              <w:spacing w:before="50" w:afterLines="50"/>
              <w:jc w:val="center"/>
              <w:rPr>
                <w:rFonts w:ascii="仿宋" w:hAnsi="仿宋" w:eastAsia="仿宋" w:cs="仿宋"/>
                <w:color w:val="auto"/>
                <w:sz w:val="24"/>
                <w:szCs w:val="20"/>
                <w:highlight w:val="none"/>
              </w:rPr>
            </w:pPr>
          </w:p>
        </w:tc>
        <w:tc>
          <w:tcPr>
            <w:tcW w:w="2291" w:type="dxa"/>
            <w:vAlign w:val="center"/>
          </w:tcPr>
          <w:p w14:paraId="2FF1EBD5">
            <w:pPr>
              <w:snapToGrid w:val="0"/>
              <w:spacing w:before="50" w:afterLines="50"/>
              <w:jc w:val="center"/>
              <w:rPr>
                <w:rFonts w:ascii="仿宋" w:hAnsi="仿宋" w:eastAsia="仿宋" w:cs="仿宋"/>
                <w:color w:val="auto"/>
                <w:sz w:val="24"/>
                <w:szCs w:val="20"/>
                <w:highlight w:val="none"/>
              </w:rPr>
            </w:pPr>
          </w:p>
        </w:tc>
        <w:tc>
          <w:tcPr>
            <w:tcW w:w="1364" w:type="dxa"/>
            <w:vAlign w:val="center"/>
          </w:tcPr>
          <w:p w14:paraId="68CCCCB2">
            <w:pPr>
              <w:snapToGrid w:val="0"/>
              <w:spacing w:before="50" w:afterLines="50"/>
              <w:jc w:val="center"/>
              <w:rPr>
                <w:rFonts w:ascii="仿宋" w:hAnsi="仿宋" w:eastAsia="仿宋" w:cs="仿宋"/>
                <w:color w:val="auto"/>
                <w:sz w:val="24"/>
                <w:szCs w:val="20"/>
                <w:highlight w:val="none"/>
              </w:rPr>
            </w:pPr>
          </w:p>
        </w:tc>
      </w:tr>
      <w:tr w14:paraId="52B4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77E52B">
            <w:pPr>
              <w:snapToGrid w:val="0"/>
              <w:spacing w:before="50" w:afterLines="50"/>
              <w:jc w:val="center"/>
              <w:rPr>
                <w:rFonts w:ascii="仿宋" w:hAnsi="仿宋" w:eastAsia="仿宋" w:cs="仿宋"/>
                <w:color w:val="auto"/>
                <w:sz w:val="24"/>
                <w:szCs w:val="20"/>
                <w:highlight w:val="none"/>
              </w:rPr>
            </w:pPr>
          </w:p>
        </w:tc>
        <w:tc>
          <w:tcPr>
            <w:tcW w:w="1973" w:type="dxa"/>
            <w:vAlign w:val="center"/>
          </w:tcPr>
          <w:p w14:paraId="0152D80A">
            <w:pPr>
              <w:snapToGrid w:val="0"/>
              <w:spacing w:before="50" w:afterLines="50"/>
              <w:jc w:val="center"/>
              <w:rPr>
                <w:rFonts w:ascii="仿宋" w:hAnsi="仿宋" w:eastAsia="仿宋" w:cs="仿宋"/>
                <w:color w:val="auto"/>
                <w:sz w:val="24"/>
                <w:szCs w:val="20"/>
                <w:highlight w:val="none"/>
              </w:rPr>
            </w:pPr>
          </w:p>
        </w:tc>
        <w:tc>
          <w:tcPr>
            <w:tcW w:w="1732" w:type="dxa"/>
            <w:vAlign w:val="center"/>
          </w:tcPr>
          <w:p w14:paraId="170BD5BD">
            <w:pPr>
              <w:snapToGrid w:val="0"/>
              <w:spacing w:before="50" w:afterLines="50"/>
              <w:jc w:val="center"/>
              <w:rPr>
                <w:rFonts w:ascii="仿宋" w:hAnsi="仿宋" w:eastAsia="仿宋" w:cs="仿宋"/>
                <w:color w:val="auto"/>
                <w:sz w:val="24"/>
                <w:szCs w:val="20"/>
                <w:highlight w:val="none"/>
              </w:rPr>
            </w:pPr>
          </w:p>
        </w:tc>
        <w:tc>
          <w:tcPr>
            <w:tcW w:w="2291" w:type="dxa"/>
            <w:vAlign w:val="center"/>
          </w:tcPr>
          <w:p w14:paraId="52A5BD69">
            <w:pPr>
              <w:snapToGrid w:val="0"/>
              <w:spacing w:before="50" w:afterLines="50"/>
              <w:jc w:val="center"/>
              <w:rPr>
                <w:rFonts w:ascii="仿宋" w:hAnsi="仿宋" w:eastAsia="仿宋" w:cs="仿宋"/>
                <w:color w:val="auto"/>
                <w:sz w:val="24"/>
                <w:szCs w:val="20"/>
                <w:highlight w:val="none"/>
              </w:rPr>
            </w:pPr>
          </w:p>
        </w:tc>
        <w:tc>
          <w:tcPr>
            <w:tcW w:w="1364" w:type="dxa"/>
            <w:vAlign w:val="center"/>
          </w:tcPr>
          <w:p w14:paraId="1598D3B4">
            <w:pPr>
              <w:snapToGrid w:val="0"/>
              <w:spacing w:before="50" w:afterLines="50"/>
              <w:jc w:val="center"/>
              <w:rPr>
                <w:rFonts w:ascii="仿宋" w:hAnsi="仿宋" w:eastAsia="仿宋" w:cs="仿宋"/>
                <w:color w:val="auto"/>
                <w:sz w:val="24"/>
                <w:szCs w:val="20"/>
                <w:highlight w:val="none"/>
              </w:rPr>
            </w:pPr>
          </w:p>
        </w:tc>
      </w:tr>
      <w:tr w14:paraId="3715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10F901">
            <w:pPr>
              <w:snapToGrid w:val="0"/>
              <w:spacing w:before="50" w:afterLines="50"/>
              <w:jc w:val="center"/>
              <w:rPr>
                <w:rFonts w:ascii="仿宋" w:hAnsi="仿宋" w:eastAsia="仿宋" w:cs="仿宋"/>
                <w:color w:val="auto"/>
                <w:sz w:val="24"/>
                <w:szCs w:val="20"/>
                <w:highlight w:val="none"/>
              </w:rPr>
            </w:pPr>
          </w:p>
        </w:tc>
        <w:tc>
          <w:tcPr>
            <w:tcW w:w="1973" w:type="dxa"/>
            <w:vAlign w:val="center"/>
          </w:tcPr>
          <w:p w14:paraId="2CB1E203">
            <w:pPr>
              <w:snapToGrid w:val="0"/>
              <w:spacing w:before="50" w:afterLines="50"/>
              <w:jc w:val="center"/>
              <w:rPr>
                <w:rFonts w:ascii="仿宋" w:hAnsi="仿宋" w:eastAsia="仿宋" w:cs="仿宋"/>
                <w:color w:val="auto"/>
                <w:sz w:val="24"/>
                <w:szCs w:val="20"/>
                <w:highlight w:val="none"/>
              </w:rPr>
            </w:pPr>
          </w:p>
        </w:tc>
        <w:tc>
          <w:tcPr>
            <w:tcW w:w="1732" w:type="dxa"/>
            <w:vAlign w:val="center"/>
          </w:tcPr>
          <w:p w14:paraId="2F5AE92D">
            <w:pPr>
              <w:snapToGrid w:val="0"/>
              <w:spacing w:before="50" w:afterLines="50"/>
              <w:jc w:val="center"/>
              <w:rPr>
                <w:rFonts w:ascii="仿宋" w:hAnsi="仿宋" w:eastAsia="仿宋" w:cs="仿宋"/>
                <w:color w:val="auto"/>
                <w:sz w:val="24"/>
                <w:szCs w:val="20"/>
                <w:highlight w:val="none"/>
              </w:rPr>
            </w:pPr>
          </w:p>
        </w:tc>
        <w:tc>
          <w:tcPr>
            <w:tcW w:w="2291" w:type="dxa"/>
            <w:vAlign w:val="center"/>
          </w:tcPr>
          <w:p w14:paraId="08908C2D">
            <w:pPr>
              <w:snapToGrid w:val="0"/>
              <w:spacing w:before="50" w:afterLines="50"/>
              <w:jc w:val="center"/>
              <w:rPr>
                <w:rFonts w:ascii="仿宋" w:hAnsi="仿宋" w:eastAsia="仿宋" w:cs="仿宋"/>
                <w:color w:val="auto"/>
                <w:sz w:val="24"/>
                <w:szCs w:val="20"/>
                <w:highlight w:val="none"/>
              </w:rPr>
            </w:pPr>
          </w:p>
        </w:tc>
        <w:tc>
          <w:tcPr>
            <w:tcW w:w="1364" w:type="dxa"/>
            <w:vAlign w:val="center"/>
          </w:tcPr>
          <w:p w14:paraId="636AD854">
            <w:pPr>
              <w:snapToGrid w:val="0"/>
              <w:spacing w:before="50" w:afterLines="50"/>
              <w:jc w:val="center"/>
              <w:rPr>
                <w:rFonts w:ascii="仿宋" w:hAnsi="仿宋" w:eastAsia="仿宋" w:cs="仿宋"/>
                <w:color w:val="auto"/>
                <w:sz w:val="24"/>
                <w:szCs w:val="20"/>
                <w:highlight w:val="none"/>
              </w:rPr>
            </w:pPr>
          </w:p>
        </w:tc>
      </w:tr>
    </w:tbl>
    <w:p w14:paraId="44EF4B4A">
      <w:pPr>
        <w:snapToGrid w:val="0"/>
        <w:spacing w:before="50" w:afterLines="50"/>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注：在填写时，如本表格不适合投标单位的实际情况，可根据本表格式自行制表填写。</w:t>
      </w:r>
    </w:p>
    <w:p w14:paraId="74A43B75">
      <w:pPr>
        <w:widowControl/>
        <w:spacing w:line="440" w:lineRule="exact"/>
        <w:ind w:firstLine="3150" w:firstLineChars="15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供应商名称</w:t>
      </w:r>
      <w:r>
        <w:rPr>
          <w:rFonts w:hint="eastAsia" w:ascii="仿宋_GB2312" w:hAnsi="仿宋" w:eastAsia="仿宋_GB2312" w:cs="仿宋_GB2312"/>
          <w:color w:val="auto"/>
          <w:kern w:val="0"/>
          <w:szCs w:val="21"/>
          <w:highlight w:val="none"/>
        </w:rPr>
        <w:t>（电子签章）</w:t>
      </w:r>
      <w:r>
        <w:rPr>
          <w:rFonts w:hint="eastAsia" w:ascii="仿宋_GB2312" w:hAnsi="仿宋_GB2312" w:eastAsia="仿宋_GB2312" w:cs="仿宋_GB2312"/>
          <w:color w:val="auto"/>
          <w:kern w:val="0"/>
          <w:szCs w:val="21"/>
          <w:highlight w:val="none"/>
          <w:lang w:bidi="ar"/>
        </w:rPr>
        <w:t xml:space="preserve">： </w:t>
      </w:r>
    </w:p>
    <w:p w14:paraId="2CEF02F8">
      <w:pPr>
        <w:tabs>
          <w:tab w:val="left" w:pos="7560"/>
        </w:tabs>
        <w:spacing w:line="440" w:lineRule="exact"/>
        <w:ind w:firstLine="3150" w:firstLineChars="1500"/>
        <w:jc w:val="left"/>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日期：</w:t>
      </w:r>
    </w:p>
    <w:p w14:paraId="02B6A3AD">
      <w:pPr>
        <w:snapToGrid w:val="0"/>
        <w:ind w:left="420"/>
        <w:jc w:val="left"/>
        <w:rPr>
          <w:rFonts w:ascii="仿宋" w:hAnsi="仿宋" w:eastAsia="仿宋" w:cs="仿宋"/>
          <w:color w:val="auto"/>
          <w:szCs w:val="21"/>
          <w:highlight w:val="none"/>
        </w:rPr>
      </w:pPr>
    </w:p>
    <w:p w14:paraId="41C209B7">
      <w:pPr>
        <w:pStyle w:val="10"/>
        <w:rPr>
          <w:rFonts w:ascii="仿宋" w:hAnsi="仿宋" w:eastAsia="仿宋" w:cs="仿宋"/>
          <w:color w:val="auto"/>
          <w:highlight w:val="none"/>
        </w:rPr>
      </w:pPr>
    </w:p>
    <w:p w14:paraId="6E4803C1">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10.项目实施服务方案（格式自拟）</w:t>
      </w:r>
    </w:p>
    <w:p w14:paraId="6A1BEC3B">
      <w:pPr>
        <w:snapToGrid w:val="0"/>
        <w:spacing w:beforeLines="50" w:after="50"/>
        <w:ind w:left="142"/>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（含</w:t>
      </w:r>
      <w:r>
        <w:rPr>
          <w:rFonts w:hint="eastAsia" w:ascii="仿宋" w:hAnsi="仿宋" w:eastAsia="仿宋" w:cs="仿宋"/>
          <w:b/>
          <w:color w:val="auto"/>
          <w:kern w:val="0"/>
          <w:szCs w:val="21"/>
          <w:highlight w:val="none"/>
        </w:rPr>
        <w:t>企业管理制度</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服务方案</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服务保障及应急方案等</w:t>
      </w:r>
      <w:r>
        <w:rPr>
          <w:rFonts w:hint="eastAsia" w:ascii="仿宋" w:hAnsi="仿宋" w:eastAsia="仿宋" w:cs="仿宋"/>
          <w:b/>
          <w:color w:val="auto"/>
          <w:szCs w:val="21"/>
          <w:highlight w:val="none"/>
        </w:rPr>
        <w:t>）</w:t>
      </w:r>
    </w:p>
    <w:p w14:paraId="5B1602F8">
      <w:pPr>
        <w:pStyle w:val="10"/>
        <w:rPr>
          <w:rFonts w:ascii="仿宋" w:hAnsi="仿宋" w:eastAsia="仿宋" w:cs="仿宋"/>
          <w:b/>
          <w:color w:val="auto"/>
          <w:highlight w:val="none"/>
        </w:rPr>
      </w:pPr>
    </w:p>
    <w:p w14:paraId="7CA8DC62">
      <w:pPr>
        <w:pStyle w:val="10"/>
        <w:rPr>
          <w:rFonts w:ascii="仿宋" w:hAnsi="仿宋" w:eastAsia="仿宋" w:cs="仿宋"/>
          <w:b/>
          <w:color w:val="auto"/>
          <w:highlight w:val="none"/>
        </w:rPr>
      </w:pPr>
    </w:p>
    <w:p w14:paraId="34306800">
      <w:pPr>
        <w:pStyle w:val="10"/>
        <w:rPr>
          <w:rFonts w:ascii="仿宋" w:hAnsi="仿宋" w:eastAsia="仿宋" w:cs="仿宋"/>
          <w:b/>
          <w:color w:val="auto"/>
          <w:highlight w:val="none"/>
        </w:rPr>
      </w:pPr>
    </w:p>
    <w:p w14:paraId="1CD7C07F">
      <w:pPr>
        <w:pStyle w:val="10"/>
        <w:rPr>
          <w:rFonts w:ascii="仿宋" w:hAnsi="仿宋" w:eastAsia="仿宋" w:cs="仿宋"/>
          <w:b/>
          <w:color w:val="auto"/>
          <w:highlight w:val="none"/>
        </w:rPr>
      </w:pPr>
    </w:p>
    <w:p w14:paraId="1EB84B44">
      <w:pPr>
        <w:pStyle w:val="19"/>
        <w:ind w:firstLine="482"/>
        <w:rPr>
          <w:rFonts w:ascii="仿宋" w:hAnsi="仿宋" w:eastAsia="仿宋" w:cs="仿宋"/>
          <w:b/>
          <w:color w:val="auto"/>
          <w:highlight w:val="none"/>
        </w:rPr>
      </w:pPr>
    </w:p>
    <w:p w14:paraId="24AF4792">
      <w:pPr>
        <w:pStyle w:val="18"/>
        <w:ind w:firstLine="211"/>
        <w:rPr>
          <w:rFonts w:ascii="仿宋" w:hAnsi="仿宋" w:eastAsia="仿宋" w:cs="仿宋"/>
          <w:b/>
          <w:color w:val="auto"/>
          <w:highlight w:val="none"/>
        </w:rPr>
      </w:pPr>
    </w:p>
    <w:p w14:paraId="211787D2">
      <w:pPr>
        <w:pStyle w:val="18"/>
        <w:ind w:firstLine="211"/>
        <w:rPr>
          <w:rFonts w:ascii="仿宋" w:hAnsi="仿宋" w:eastAsia="仿宋" w:cs="仿宋"/>
          <w:b/>
          <w:color w:val="auto"/>
          <w:highlight w:val="none"/>
        </w:rPr>
      </w:pPr>
    </w:p>
    <w:p w14:paraId="74E1FCAB">
      <w:pPr>
        <w:snapToGrid w:val="0"/>
        <w:spacing w:beforeLines="50" w:after="5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五、其他文书、文件格式</w:t>
      </w:r>
    </w:p>
    <w:p w14:paraId="3FD77AE7">
      <w:pPr>
        <w:spacing w:beforeLines="50" w:afterLines="50" w:line="400" w:lineRule="exact"/>
        <w:rPr>
          <w:rFonts w:ascii="仿宋" w:hAnsi="仿宋" w:eastAsia="仿宋" w:cs="仿宋"/>
          <w:color w:val="auto"/>
          <w:sz w:val="24"/>
          <w:highlight w:val="none"/>
        </w:rPr>
      </w:pPr>
    </w:p>
    <w:p w14:paraId="1F957E0A">
      <w:pPr>
        <w:spacing w:line="520" w:lineRule="exact"/>
        <w:ind w:left="-10" w:firstLine="523" w:firstLineChars="217"/>
        <w:jc w:val="left"/>
        <w:rPr>
          <w:color w:val="auto"/>
          <w:highlight w:val="none"/>
        </w:rPr>
      </w:pPr>
      <w:r>
        <w:rPr>
          <w:rFonts w:hint="eastAsia" w:ascii="宋体" w:hAnsi="宋体"/>
          <w:b/>
          <w:color w:val="auto"/>
          <w:sz w:val="24"/>
          <w:highlight w:val="none"/>
        </w:rPr>
        <w:t>格式：</w:t>
      </w:r>
    </w:p>
    <w:p w14:paraId="695D401D">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中小企业声明函</w:t>
      </w:r>
    </w:p>
    <w:p w14:paraId="441ABB5F">
      <w:pPr>
        <w:spacing w:line="520" w:lineRule="exact"/>
        <w:rPr>
          <w:rFonts w:ascii="仿宋_GB2312" w:hAnsi="仿宋_GB2312" w:eastAsia="仿宋_GB2312" w:cs="仿宋_GB2312"/>
          <w:color w:val="auto"/>
          <w:sz w:val="32"/>
          <w:szCs w:val="32"/>
          <w:highlight w:val="none"/>
        </w:rPr>
      </w:pPr>
    </w:p>
    <w:p w14:paraId="41B4FB13">
      <w:pPr>
        <w:autoSpaceDE w:val="0"/>
        <w:autoSpaceDN w:val="0"/>
        <w:adjustRightInd w:val="0"/>
        <w:jc w:val="center"/>
        <w:rPr>
          <w:rFonts w:ascii="宋体" w:hAnsi="宋体" w:cs="宋体"/>
          <w:color w:val="auto"/>
          <w:kern w:val="0"/>
          <w:szCs w:val="21"/>
          <w:highlight w:val="none"/>
        </w:rPr>
      </w:pPr>
    </w:p>
    <w:p w14:paraId="63EC154B">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hint="eastAsia" w:ascii="宋体" w:hAnsi="宋体" w:cs="仿宋"/>
          <w:color w:val="auto"/>
          <w:kern w:val="0"/>
          <w:szCs w:val="21"/>
          <w:highlight w:val="none"/>
        </w:rPr>
        <w:t>本公司（联合体）郑重声明，根据《政府采购促进中小企业发展管理办法》（财库</w:t>
      </w:r>
      <w:r>
        <w:rPr>
          <w:rFonts w:hint="eastAsia" w:ascii="宋体" w:hAnsi="宋体" w:cs="宋体"/>
          <w:color w:val="auto"/>
          <w:kern w:val="0"/>
          <w:szCs w:val="21"/>
          <w:highlight w:val="none"/>
        </w:rPr>
        <w:t>﹝</w:t>
      </w:r>
      <w:r>
        <w:rPr>
          <w:rFonts w:ascii="宋体" w:hAnsi="宋体" w:cs="仿宋"/>
          <w:color w:val="auto"/>
          <w:kern w:val="0"/>
          <w:szCs w:val="21"/>
          <w:highlight w:val="none"/>
        </w:rPr>
        <w:t>2020</w:t>
      </w:r>
      <w:r>
        <w:rPr>
          <w:rFonts w:hint="eastAsia" w:ascii="宋体" w:hAnsi="宋体" w:cs="宋体"/>
          <w:color w:val="auto"/>
          <w:kern w:val="0"/>
          <w:szCs w:val="21"/>
          <w:highlight w:val="none"/>
        </w:rPr>
        <w:t>﹞</w:t>
      </w:r>
      <w:r>
        <w:rPr>
          <w:rFonts w:ascii="宋体" w:hAnsi="宋体" w:cs="仿宋"/>
          <w:color w:val="auto"/>
          <w:kern w:val="0"/>
          <w:szCs w:val="21"/>
          <w:highlight w:val="none"/>
        </w:rPr>
        <w:t xml:space="preserve">46 </w:t>
      </w:r>
      <w:r>
        <w:rPr>
          <w:rFonts w:hint="eastAsia" w:ascii="宋体" w:hAnsi="宋体" w:cs="仿宋"/>
          <w:color w:val="auto"/>
          <w:kern w:val="0"/>
          <w:szCs w:val="21"/>
          <w:highlight w:val="none"/>
        </w:rPr>
        <w:t>号）的规定，本公司（联合体）参加</w:t>
      </w:r>
      <w:r>
        <w:rPr>
          <w:rFonts w:hint="eastAsia" w:ascii="宋体" w:hAnsi="宋体" w:cs="仿宋"/>
          <w:color w:val="auto"/>
          <w:kern w:val="0"/>
          <w:szCs w:val="21"/>
          <w:highlight w:val="none"/>
          <w:u w:val="single"/>
        </w:rPr>
        <w:t>（单位名称）</w:t>
      </w:r>
      <w:r>
        <w:rPr>
          <w:rFonts w:hint="eastAsia" w:ascii="宋体" w:hAnsi="宋体" w:cs="仿宋"/>
          <w:color w:val="auto"/>
          <w:kern w:val="0"/>
          <w:szCs w:val="21"/>
          <w:highlight w:val="none"/>
        </w:rPr>
        <w:t>的</w:t>
      </w:r>
      <w:r>
        <w:rPr>
          <w:rFonts w:hint="eastAsia" w:ascii="宋体" w:hAnsi="宋体" w:cs="仿宋"/>
          <w:color w:val="auto"/>
          <w:kern w:val="0"/>
          <w:szCs w:val="21"/>
          <w:highlight w:val="none"/>
          <w:u w:val="single"/>
        </w:rPr>
        <w:t>（项目名称）</w:t>
      </w:r>
      <w:r>
        <w:rPr>
          <w:rFonts w:hint="eastAsia" w:ascii="宋体" w:hAnsi="宋体" w:cs="仿宋"/>
          <w:color w:val="auto"/>
          <w:kern w:val="0"/>
          <w:szCs w:val="21"/>
          <w:highlight w:val="none"/>
        </w:rPr>
        <w:t>采购活动，提供的服务全部由符合政策要求的中小企业承接。相关企业（含联合体中的中小企业、签订分包意向协议的中小企业）的具体情况如下：</w:t>
      </w:r>
    </w:p>
    <w:p w14:paraId="718CFC59">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ascii="宋体" w:hAnsi="宋体" w:cs="仿宋"/>
          <w:color w:val="auto"/>
          <w:kern w:val="0"/>
          <w:szCs w:val="21"/>
          <w:highlight w:val="none"/>
        </w:rPr>
        <w:t xml:space="preserve">1. </w:t>
      </w:r>
      <w:r>
        <w:rPr>
          <w:rFonts w:hint="eastAsia" w:ascii="宋体" w:hAnsi="宋体" w:cs="仿宋"/>
          <w:color w:val="auto"/>
          <w:kern w:val="0"/>
          <w:szCs w:val="21"/>
          <w:highlight w:val="none"/>
          <w:u w:val="single"/>
        </w:rPr>
        <w:t>（标的名称）</w:t>
      </w:r>
      <w:r>
        <w:rPr>
          <w:rFonts w:hint="eastAsia" w:ascii="宋体" w:hAnsi="宋体" w:cs="仿宋"/>
          <w:color w:val="auto"/>
          <w:kern w:val="0"/>
          <w:szCs w:val="21"/>
          <w:highlight w:val="none"/>
        </w:rPr>
        <w:t>，属于</w:t>
      </w:r>
      <w:r>
        <w:rPr>
          <w:rFonts w:hint="eastAsia" w:ascii="宋体" w:hAnsi="宋体" w:cs="仿宋"/>
          <w:color w:val="auto"/>
          <w:kern w:val="0"/>
          <w:szCs w:val="21"/>
          <w:highlight w:val="none"/>
          <w:u w:val="single"/>
        </w:rPr>
        <w:t>（ 磋商文件中明确的所属行业）</w:t>
      </w:r>
      <w:r>
        <w:rPr>
          <w:rFonts w:hint="eastAsia" w:ascii="宋体" w:hAnsi="宋体" w:cs="仿宋"/>
          <w:color w:val="auto"/>
          <w:kern w:val="0"/>
          <w:szCs w:val="21"/>
          <w:highlight w:val="none"/>
        </w:rPr>
        <w:t>；承接单位为</w:t>
      </w:r>
      <w:r>
        <w:rPr>
          <w:rFonts w:hint="eastAsia" w:ascii="宋体" w:hAnsi="宋体" w:cs="仿宋"/>
          <w:color w:val="auto"/>
          <w:kern w:val="0"/>
          <w:szCs w:val="21"/>
          <w:highlight w:val="none"/>
          <w:u w:val="single"/>
        </w:rPr>
        <w:t>（企业名称）</w:t>
      </w:r>
      <w:r>
        <w:rPr>
          <w:rFonts w:hint="eastAsia" w:ascii="宋体" w:hAnsi="宋体" w:cs="仿宋"/>
          <w:color w:val="auto"/>
          <w:kern w:val="0"/>
          <w:szCs w:val="21"/>
          <w:highlight w:val="none"/>
        </w:rPr>
        <w:t>，从业人员人，营业收入为万元，资产总额为万元，属于</w:t>
      </w:r>
      <w:r>
        <w:rPr>
          <w:rFonts w:hint="eastAsia" w:ascii="宋体" w:hAnsi="宋体" w:cs="仿宋"/>
          <w:color w:val="auto"/>
          <w:kern w:val="0"/>
          <w:szCs w:val="21"/>
          <w:highlight w:val="none"/>
          <w:u w:val="single"/>
        </w:rPr>
        <w:t>（中型企业、小型企业、微型企业）</w:t>
      </w:r>
      <w:r>
        <w:rPr>
          <w:rFonts w:hint="eastAsia" w:ascii="宋体" w:hAnsi="宋体" w:cs="仿宋"/>
          <w:color w:val="auto"/>
          <w:kern w:val="0"/>
          <w:szCs w:val="21"/>
          <w:highlight w:val="none"/>
        </w:rPr>
        <w:t>；</w:t>
      </w:r>
    </w:p>
    <w:p w14:paraId="2AD1D5CD">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ascii="宋体" w:hAnsi="宋体" w:cs="仿宋"/>
          <w:color w:val="auto"/>
          <w:kern w:val="0"/>
          <w:szCs w:val="21"/>
          <w:highlight w:val="none"/>
        </w:rPr>
        <w:t xml:space="preserve">2. </w:t>
      </w:r>
      <w:r>
        <w:rPr>
          <w:rFonts w:hint="eastAsia" w:ascii="宋体" w:hAnsi="宋体" w:cs="仿宋"/>
          <w:color w:val="auto"/>
          <w:kern w:val="0"/>
          <w:szCs w:val="21"/>
          <w:highlight w:val="none"/>
          <w:u w:val="single"/>
        </w:rPr>
        <w:t>（标的名称）</w:t>
      </w:r>
      <w:r>
        <w:rPr>
          <w:rFonts w:hint="eastAsia" w:ascii="宋体" w:hAnsi="宋体" w:cs="仿宋"/>
          <w:color w:val="auto"/>
          <w:kern w:val="0"/>
          <w:szCs w:val="21"/>
          <w:highlight w:val="none"/>
        </w:rPr>
        <w:t>，属于</w:t>
      </w:r>
      <w:r>
        <w:rPr>
          <w:rFonts w:hint="eastAsia" w:ascii="宋体" w:hAnsi="宋体" w:cs="仿宋"/>
          <w:color w:val="auto"/>
          <w:kern w:val="0"/>
          <w:szCs w:val="21"/>
          <w:highlight w:val="none"/>
          <w:u w:val="single"/>
        </w:rPr>
        <w:t>（ 磋商文件中明确的所属行业）</w:t>
      </w:r>
      <w:r>
        <w:rPr>
          <w:rFonts w:hint="eastAsia" w:ascii="宋体" w:hAnsi="宋体" w:cs="仿宋"/>
          <w:color w:val="auto"/>
          <w:kern w:val="0"/>
          <w:szCs w:val="21"/>
          <w:highlight w:val="none"/>
        </w:rPr>
        <w:t>；承接单位为</w:t>
      </w:r>
      <w:r>
        <w:rPr>
          <w:rFonts w:hint="eastAsia" w:ascii="宋体" w:hAnsi="宋体" w:cs="仿宋"/>
          <w:color w:val="auto"/>
          <w:kern w:val="0"/>
          <w:szCs w:val="21"/>
          <w:highlight w:val="none"/>
          <w:u w:val="single"/>
        </w:rPr>
        <w:t>（企业名称）</w:t>
      </w:r>
      <w:r>
        <w:rPr>
          <w:rFonts w:hint="eastAsia" w:ascii="宋体" w:hAnsi="宋体" w:cs="仿宋"/>
          <w:color w:val="auto"/>
          <w:kern w:val="0"/>
          <w:szCs w:val="21"/>
          <w:highlight w:val="none"/>
        </w:rPr>
        <w:t>，从业人员人，营业收入为万元，资产总额为万元，属于</w:t>
      </w:r>
      <w:r>
        <w:rPr>
          <w:rFonts w:hint="eastAsia" w:ascii="宋体" w:hAnsi="宋体" w:cs="仿宋"/>
          <w:color w:val="auto"/>
          <w:kern w:val="0"/>
          <w:szCs w:val="21"/>
          <w:highlight w:val="none"/>
          <w:u w:val="single"/>
        </w:rPr>
        <w:t>（中型企业、小型企业、微型企业）</w:t>
      </w:r>
      <w:r>
        <w:rPr>
          <w:rFonts w:hint="eastAsia" w:ascii="宋体" w:hAnsi="宋体" w:cs="仿宋"/>
          <w:color w:val="auto"/>
          <w:kern w:val="0"/>
          <w:szCs w:val="21"/>
          <w:highlight w:val="none"/>
        </w:rPr>
        <w:t>；</w:t>
      </w:r>
    </w:p>
    <w:p w14:paraId="4396772E">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hint="eastAsia" w:ascii="宋体" w:hAnsi="宋体" w:cs="仿宋"/>
          <w:color w:val="auto"/>
          <w:kern w:val="0"/>
          <w:szCs w:val="21"/>
          <w:highlight w:val="none"/>
        </w:rPr>
        <w:t>……</w:t>
      </w:r>
    </w:p>
    <w:p w14:paraId="68F16067">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hint="eastAsia" w:ascii="宋体" w:hAnsi="宋体" w:cs="仿宋"/>
          <w:color w:val="auto"/>
          <w:kern w:val="0"/>
          <w:szCs w:val="21"/>
          <w:highlight w:val="none"/>
        </w:rPr>
        <w:t>以上企业，不属于大企业的分支机构，不存在控股股东为大企业的情形，也不存在与大企业的负责人为同一人的情形。</w:t>
      </w:r>
    </w:p>
    <w:p w14:paraId="38AFF5AA">
      <w:pPr>
        <w:autoSpaceDE w:val="0"/>
        <w:autoSpaceDN w:val="0"/>
        <w:adjustRightInd w:val="0"/>
        <w:spacing w:line="360" w:lineRule="auto"/>
        <w:ind w:firstLine="424" w:firstLineChars="202"/>
        <w:jc w:val="left"/>
        <w:rPr>
          <w:rFonts w:ascii="宋体" w:hAnsi="宋体" w:cs="仿宋"/>
          <w:color w:val="auto"/>
          <w:kern w:val="0"/>
          <w:szCs w:val="21"/>
          <w:highlight w:val="none"/>
        </w:rPr>
      </w:pPr>
      <w:r>
        <w:rPr>
          <w:rFonts w:hint="eastAsia" w:ascii="宋体" w:hAnsi="宋体" w:cs="仿宋"/>
          <w:color w:val="auto"/>
          <w:kern w:val="0"/>
          <w:szCs w:val="21"/>
          <w:highlight w:val="none"/>
        </w:rPr>
        <w:t>本企业对上述声明内容的真实性负责。如有虚假，将依法承担相应责任。</w:t>
      </w:r>
    </w:p>
    <w:p w14:paraId="1F8BAB71">
      <w:pPr>
        <w:autoSpaceDE w:val="0"/>
        <w:autoSpaceDN w:val="0"/>
        <w:adjustRightInd w:val="0"/>
        <w:spacing w:line="360" w:lineRule="auto"/>
        <w:ind w:firstLine="424" w:firstLineChars="202"/>
        <w:jc w:val="left"/>
        <w:rPr>
          <w:rFonts w:ascii="宋体" w:hAnsi="宋体" w:cs="仿宋"/>
          <w:color w:val="auto"/>
          <w:kern w:val="0"/>
          <w:szCs w:val="21"/>
          <w:highlight w:val="none"/>
        </w:rPr>
      </w:pPr>
    </w:p>
    <w:p w14:paraId="22008722">
      <w:pPr>
        <w:autoSpaceDE w:val="0"/>
        <w:autoSpaceDN w:val="0"/>
        <w:adjustRightInd w:val="0"/>
        <w:spacing w:line="360" w:lineRule="auto"/>
        <w:ind w:firstLine="3990" w:firstLineChars="1900"/>
        <w:jc w:val="left"/>
        <w:rPr>
          <w:rFonts w:ascii="宋体" w:hAnsi="宋体" w:cs="仿宋"/>
          <w:color w:val="auto"/>
          <w:kern w:val="0"/>
          <w:szCs w:val="21"/>
          <w:highlight w:val="none"/>
        </w:rPr>
      </w:pPr>
      <w:r>
        <w:rPr>
          <w:rFonts w:hint="eastAsia" w:ascii="宋体" w:hAnsi="宋体" w:cs="仿宋"/>
          <w:color w:val="auto"/>
          <w:kern w:val="0"/>
          <w:szCs w:val="21"/>
          <w:highlight w:val="none"/>
        </w:rPr>
        <w:t>企业名称（盖章）：</w:t>
      </w:r>
    </w:p>
    <w:p w14:paraId="06776419">
      <w:pPr>
        <w:autoSpaceDE w:val="0"/>
        <w:autoSpaceDN w:val="0"/>
        <w:adjustRightInd w:val="0"/>
        <w:spacing w:line="360" w:lineRule="auto"/>
        <w:ind w:firstLine="4410" w:firstLineChars="2100"/>
        <w:jc w:val="left"/>
        <w:rPr>
          <w:color w:val="auto"/>
          <w:kern w:val="0"/>
          <w:sz w:val="20"/>
          <w:szCs w:val="20"/>
          <w:highlight w:val="none"/>
        </w:rPr>
      </w:pPr>
      <w:r>
        <w:rPr>
          <w:rFonts w:hint="eastAsia" w:ascii="宋体" w:hAnsi="宋体" w:cs="仿宋"/>
          <w:color w:val="auto"/>
          <w:kern w:val="0"/>
          <w:szCs w:val="21"/>
          <w:highlight w:val="none"/>
        </w:rPr>
        <w:t>日期：</w:t>
      </w:r>
    </w:p>
    <w:p w14:paraId="40F28B2B">
      <w:pPr>
        <w:snapToGrid w:val="0"/>
        <w:spacing w:line="380" w:lineRule="exact"/>
        <w:jc w:val="left"/>
        <w:rPr>
          <w:rFonts w:hAnsi="宋体"/>
          <w:b/>
          <w:color w:val="auto"/>
          <w:kern w:val="0"/>
          <w:sz w:val="28"/>
          <w:szCs w:val="28"/>
          <w:highlight w:val="none"/>
        </w:rPr>
      </w:pPr>
      <w:r>
        <w:rPr>
          <w:rFonts w:hint="eastAsia" w:ascii="宋体" w:hAnsi="宋体" w:cs="宋体"/>
          <w:b/>
          <w:bCs/>
          <w:color w:val="auto"/>
          <w:kern w:val="0"/>
          <w:szCs w:val="21"/>
          <w:highlight w:val="none"/>
        </w:rPr>
        <w:t>填写说明：</w:t>
      </w:r>
      <w:r>
        <w:rPr>
          <w:rFonts w:ascii="宋体" w:hAnsi="宋体" w:cs="宋体"/>
          <w:b/>
          <w:bCs/>
          <w:color w:val="auto"/>
          <w:kern w:val="0"/>
          <w:szCs w:val="21"/>
          <w:highlight w:val="none"/>
        </w:rPr>
        <w:t>1.</w:t>
      </w:r>
      <w:r>
        <w:rPr>
          <w:rFonts w:hint="eastAsia" w:ascii="宋体" w:hAnsi="宋体" w:cs="宋体"/>
          <w:b/>
          <w:bCs/>
          <w:color w:val="auto"/>
          <w:kern w:val="0"/>
          <w:szCs w:val="21"/>
          <w:highlight w:val="none"/>
        </w:rPr>
        <w:t>采购文件中明确的所属行业名称是根据国家统计局关于印发《统计上大中小微型企业划分办法（</w:t>
      </w:r>
      <w:r>
        <w:rPr>
          <w:rFonts w:ascii="宋体" w:hAnsi="宋体" w:cs="宋体"/>
          <w:b/>
          <w:bCs/>
          <w:color w:val="auto"/>
          <w:kern w:val="0"/>
          <w:szCs w:val="21"/>
          <w:highlight w:val="none"/>
        </w:rPr>
        <w:t>2017</w:t>
      </w:r>
      <w:r>
        <w:rPr>
          <w:rFonts w:hint="eastAsia" w:ascii="宋体" w:hAnsi="宋体" w:cs="宋体"/>
          <w:b/>
          <w:bCs/>
          <w:color w:val="auto"/>
          <w:kern w:val="0"/>
          <w:szCs w:val="21"/>
          <w:highlight w:val="none"/>
        </w:rPr>
        <w:t>）》的通知、工商总局关于进一步做好小微企业名录建设有关工作的意见（工商个字〔</w:t>
      </w:r>
      <w:r>
        <w:rPr>
          <w:rFonts w:ascii="宋体" w:hAnsi="宋体" w:cs="宋体"/>
          <w:b/>
          <w:bCs/>
          <w:color w:val="auto"/>
          <w:kern w:val="0"/>
          <w:szCs w:val="21"/>
          <w:highlight w:val="none"/>
        </w:rPr>
        <w:t>2015</w:t>
      </w:r>
      <w:r>
        <w:rPr>
          <w:rFonts w:hint="eastAsia" w:ascii="宋体" w:hAnsi="宋体" w:cs="宋体"/>
          <w:b/>
          <w:bCs/>
          <w:color w:val="auto"/>
          <w:kern w:val="0"/>
          <w:szCs w:val="21"/>
          <w:highlight w:val="none"/>
        </w:rPr>
        <w:t>〕</w:t>
      </w:r>
      <w:r>
        <w:rPr>
          <w:rFonts w:ascii="宋体" w:hAnsi="宋体" w:cs="宋体"/>
          <w:b/>
          <w:bCs/>
          <w:color w:val="auto"/>
          <w:kern w:val="0"/>
          <w:szCs w:val="21"/>
          <w:highlight w:val="none"/>
        </w:rPr>
        <w:t>172</w:t>
      </w:r>
      <w:r>
        <w:rPr>
          <w:rFonts w:hint="eastAsia" w:ascii="宋体" w:hAnsi="宋体" w:cs="宋体"/>
          <w:b/>
          <w:bCs/>
          <w:color w:val="auto"/>
          <w:kern w:val="0"/>
          <w:szCs w:val="21"/>
          <w:highlight w:val="none"/>
        </w:rPr>
        <w:t>号）。</w:t>
      </w:r>
      <w:r>
        <w:rPr>
          <w:rFonts w:ascii="宋体" w:hAnsi="宋体" w:cs="宋体"/>
          <w:b/>
          <w:bCs/>
          <w:color w:val="auto"/>
          <w:kern w:val="0"/>
          <w:szCs w:val="21"/>
          <w:highlight w:val="none"/>
        </w:rPr>
        <w:t xml:space="preserve">2. </w:t>
      </w:r>
      <w:r>
        <w:rPr>
          <w:rFonts w:hint="eastAsia" w:ascii="宋体" w:hAnsi="宋体" w:cs="宋体"/>
          <w:b/>
          <w:bCs/>
          <w:color w:val="auto"/>
          <w:kern w:val="0"/>
          <w:highlight w:val="none"/>
        </w:rPr>
        <w:t>中小企业在政府采购活动过程中，请根据自己的真实情况出具《中小企业声明函》。依法享受中小企业优惠政策的，采购人或采购代理机构在公告成交结果时，同时公示其信息，接受社会监督。供应商提供的《中小企业声明函》与事实不符的，依照《政府采购法》第七十七条第一款的规定追究法律责任。</w:t>
      </w:r>
      <w:r>
        <w:rPr>
          <w:rFonts w:hAnsi="宋体"/>
          <w:b/>
          <w:color w:val="auto"/>
          <w:kern w:val="0"/>
          <w:sz w:val="28"/>
          <w:szCs w:val="28"/>
          <w:highlight w:val="none"/>
        </w:rPr>
        <w:br w:type="page"/>
      </w:r>
    </w:p>
    <w:p w14:paraId="66A62E0F">
      <w:pPr>
        <w:widowControl/>
        <w:ind w:firstLine="420"/>
        <w:jc w:val="left"/>
        <w:rPr>
          <w:rFonts w:hAnsi="宋体"/>
          <w:b/>
          <w:color w:val="auto"/>
          <w:kern w:val="0"/>
          <w:sz w:val="28"/>
          <w:szCs w:val="28"/>
          <w:highlight w:val="none"/>
        </w:rPr>
      </w:pPr>
      <w:r>
        <w:rPr>
          <w:rFonts w:hint="eastAsia" w:hAnsi="宋体"/>
          <w:b/>
          <w:color w:val="auto"/>
          <w:kern w:val="0"/>
          <w:sz w:val="24"/>
          <w:szCs w:val="20"/>
          <w:highlight w:val="none"/>
        </w:rPr>
        <w:t>格式：</w:t>
      </w:r>
    </w:p>
    <w:p w14:paraId="2EA7AD0B">
      <w:pPr>
        <w:spacing w:line="500" w:lineRule="exact"/>
        <w:jc w:val="center"/>
        <w:rPr>
          <w:rFonts w:hAnsi="宋体"/>
          <w:b/>
          <w:color w:val="auto"/>
          <w:sz w:val="28"/>
          <w:szCs w:val="28"/>
          <w:highlight w:val="none"/>
        </w:rPr>
      </w:pPr>
      <w:r>
        <w:rPr>
          <w:rFonts w:hint="eastAsia" w:hAnsi="宋体"/>
          <w:b/>
          <w:color w:val="auto"/>
          <w:sz w:val="28"/>
          <w:szCs w:val="28"/>
          <w:highlight w:val="none"/>
        </w:rPr>
        <w:t>残疾人福利性单位声明函</w:t>
      </w:r>
    </w:p>
    <w:p w14:paraId="5C7C825D">
      <w:pPr>
        <w:spacing w:line="500" w:lineRule="exact"/>
        <w:ind w:firstLine="600" w:firstLineChars="250"/>
        <w:rPr>
          <w:rFonts w:ascii="宋体" w:hAnsi="宋体"/>
          <w:color w:val="auto"/>
          <w:sz w:val="24"/>
          <w:highlight w:val="none"/>
        </w:rPr>
      </w:pPr>
    </w:p>
    <w:p w14:paraId="10387F11">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 xml:space="preserve"> 141</w:t>
      </w:r>
      <w:r>
        <w:rPr>
          <w:rFonts w:hint="eastAsia" w:ascii="宋体" w:hAnsi="宋体"/>
          <w:color w:val="auto"/>
          <w:spacing w:val="6"/>
          <w:szCs w:val="21"/>
          <w:highlight w:val="none"/>
        </w:rPr>
        <w:t>号）的规定，本单位为</w:t>
      </w:r>
      <w:r>
        <w:rPr>
          <w:rFonts w:ascii="宋体" w:hAnsi="宋体"/>
          <w:color w:val="auto"/>
          <w:spacing w:val="6"/>
          <w:szCs w:val="21"/>
          <w:highlight w:val="none"/>
          <w:u w:val="single"/>
        </w:rPr>
        <w:t>(</w:t>
      </w:r>
      <w:r>
        <w:rPr>
          <w:rFonts w:hint="eastAsia" w:ascii="宋体" w:hAnsi="宋体"/>
          <w:color w:val="auto"/>
          <w:spacing w:val="6"/>
          <w:szCs w:val="21"/>
          <w:highlight w:val="none"/>
          <w:u w:val="single"/>
        </w:rPr>
        <w:t>符合</w:t>
      </w:r>
      <w:r>
        <w:rPr>
          <w:rFonts w:ascii="宋体" w:hAnsi="宋体"/>
          <w:color w:val="auto"/>
          <w:spacing w:val="6"/>
          <w:szCs w:val="21"/>
          <w:highlight w:val="none"/>
          <w:u w:val="single"/>
        </w:rPr>
        <w:t>/</w:t>
      </w:r>
      <w:r>
        <w:rPr>
          <w:rFonts w:hint="eastAsia" w:ascii="宋体" w:hAnsi="宋体"/>
          <w:color w:val="auto"/>
          <w:spacing w:val="6"/>
          <w:szCs w:val="21"/>
          <w:highlight w:val="none"/>
          <w:u w:val="single"/>
        </w:rPr>
        <w:t>不符合</w:t>
      </w:r>
      <w:r>
        <w:rPr>
          <w:rFonts w:ascii="宋体" w:hAnsi="宋体"/>
          <w:color w:val="auto"/>
          <w:spacing w:val="6"/>
          <w:szCs w:val="21"/>
          <w:highlight w:val="none"/>
          <w:u w:val="single"/>
        </w:rPr>
        <w:t>)</w:t>
      </w:r>
      <w:r>
        <w:rPr>
          <w:rFonts w:hint="eastAsia" w:ascii="宋体" w:hAnsi="宋体"/>
          <w:color w:val="auto"/>
          <w:spacing w:val="6"/>
          <w:szCs w:val="21"/>
          <w:highlight w:val="none"/>
        </w:rPr>
        <w:t>条件的残疾人福利性单位，且本单位参加</w:t>
      </w:r>
      <w:r>
        <w:rPr>
          <w:rFonts w:hint="eastAsia" w:ascii="宋体" w:hAnsi="宋体"/>
          <w:color w:val="auto"/>
          <w:szCs w:val="21"/>
          <w:highlight w:val="none"/>
          <w:u w:val="single"/>
        </w:rPr>
        <w:t>（采购人名称）</w:t>
      </w:r>
      <w:r>
        <w:rPr>
          <w:rFonts w:hint="eastAsia" w:ascii="宋体" w:hAnsi="宋体"/>
          <w:color w:val="auto"/>
          <w:spacing w:val="6"/>
          <w:szCs w:val="21"/>
          <w:highlight w:val="none"/>
        </w:rPr>
        <w:t>单位的</w:t>
      </w:r>
      <w:r>
        <w:rPr>
          <w:rFonts w:hint="eastAsia" w:ascii="宋体" w:hAnsi="宋体"/>
          <w:color w:val="auto"/>
          <w:szCs w:val="21"/>
          <w:highlight w:val="none"/>
          <w:u w:val="single"/>
        </w:rPr>
        <w:t>（项目名称）</w:t>
      </w:r>
      <w:r>
        <w:rPr>
          <w:rFonts w:hint="eastAsia" w:ascii="宋体" w:hAnsi="宋体"/>
          <w:color w:val="auto"/>
          <w:spacing w:val="6"/>
          <w:szCs w:val="21"/>
          <w:highlight w:val="none"/>
        </w:rPr>
        <w:t>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14:paraId="5239D761">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4B9D1544">
      <w:pPr>
        <w:spacing w:line="588" w:lineRule="exact"/>
        <w:ind w:firstLine="444" w:firstLineChars="200"/>
        <w:rPr>
          <w:rFonts w:ascii="宋体" w:hAnsi="宋体"/>
          <w:color w:val="auto"/>
          <w:spacing w:val="6"/>
          <w:szCs w:val="21"/>
          <w:highlight w:val="none"/>
        </w:rPr>
      </w:pPr>
    </w:p>
    <w:p w14:paraId="1F2F7484">
      <w:pPr>
        <w:spacing w:line="588" w:lineRule="exact"/>
        <w:ind w:firstLine="444" w:firstLineChars="200"/>
        <w:rPr>
          <w:rFonts w:ascii="宋体" w:hAnsi="宋体"/>
          <w:color w:val="auto"/>
          <w:spacing w:val="6"/>
          <w:szCs w:val="21"/>
          <w:highlight w:val="none"/>
        </w:rPr>
      </w:pPr>
    </w:p>
    <w:p w14:paraId="68931222">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单位名称（盖章）：</w:t>
      </w:r>
    </w:p>
    <w:p w14:paraId="2BE76EDA">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日期：</w:t>
      </w:r>
    </w:p>
    <w:p w14:paraId="49235CED">
      <w:pPr>
        <w:snapToGrid w:val="0"/>
        <w:spacing w:beforeLines="50" w:after="50"/>
        <w:jc w:val="left"/>
        <w:rPr>
          <w:rFonts w:ascii="仿宋" w:hAnsi="仿宋" w:eastAsia="仿宋" w:cs="仿宋"/>
          <w:color w:val="auto"/>
          <w:sz w:val="24"/>
          <w:highlight w:val="none"/>
        </w:rPr>
      </w:pPr>
    </w:p>
    <w:p w14:paraId="5D299470">
      <w:pPr>
        <w:rPr>
          <w:rFonts w:ascii="仿宋" w:hAnsi="仿宋" w:eastAsia="仿宋" w:cs="仿宋"/>
          <w:color w:val="auto"/>
          <w:sz w:val="24"/>
          <w:highlight w:val="none"/>
        </w:rPr>
      </w:pPr>
    </w:p>
    <w:p w14:paraId="2889239D">
      <w:pPr>
        <w:rPr>
          <w:rFonts w:ascii="仿宋" w:hAnsi="仿宋" w:eastAsia="仿宋" w:cs="仿宋"/>
          <w:color w:val="auto"/>
          <w:sz w:val="24"/>
          <w:highlight w:val="none"/>
        </w:rPr>
      </w:pPr>
    </w:p>
    <w:p w14:paraId="48329F57">
      <w:pPr>
        <w:rPr>
          <w:rFonts w:ascii="仿宋" w:hAnsi="仿宋" w:eastAsia="仿宋" w:cs="仿宋"/>
          <w:color w:val="auto"/>
          <w:highlight w:val="none"/>
        </w:rPr>
      </w:pPr>
    </w:p>
    <w:bookmarkEnd w:id="28"/>
    <w:bookmarkEnd w:id="29"/>
    <w:bookmarkEnd w:id="30"/>
    <w:p w14:paraId="48E10C26">
      <w:pPr>
        <w:rPr>
          <w:rFonts w:ascii="仿宋" w:hAnsi="仿宋" w:eastAsia="仿宋" w:cs="仿宋"/>
          <w:color w:val="auto"/>
          <w:highlight w:val="none"/>
        </w:rPr>
      </w:pPr>
    </w:p>
    <w:p w14:paraId="0C2C6B8B">
      <w:pPr>
        <w:rPr>
          <w:rFonts w:ascii="仿宋" w:hAnsi="仿宋" w:eastAsia="仿宋" w:cs="仿宋"/>
          <w:color w:val="auto"/>
          <w:highlight w:val="none"/>
        </w:rPr>
      </w:pPr>
    </w:p>
    <w:p w14:paraId="4A397B67">
      <w:pPr>
        <w:rPr>
          <w:rFonts w:ascii="仿宋" w:hAnsi="仿宋" w:eastAsia="仿宋" w:cs="仿宋"/>
          <w:color w:val="auto"/>
          <w:highlight w:val="none"/>
        </w:rPr>
      </w:pPr>
    </w:p>
    <w:p w14:paraId="4FFA4D96">
      <w:pPr>
        <w:rPr>
          <w:rFonts w:ascii="仿宋" w:hAnsi="仿宋" w:eastAsia="仿宋" w:cs="仿宋"/>
          <w:color w:val="auto"/>
          <w:highlight w:val="none"/>
        </w:rPr>
      </w:pPr>
    </w:p>
    <w:p w14:paraId="071E4766">
      <w:pPr>
        <w:rPr>
          <w:rFonts w:ascii="仿宋" w:hAnsi="仿宋" w:eastAsia="仿宋" w:cs="仿宋"/>
          <w:color w:val="auto"/>
          <w:highlight w:val="none"/>
        </w:rPr>
      </w:pPr>
    </w:p>
    <w:p w14:paraId="0CC34E18">
      <w:pPr>
        <w:rPr>
          <w:rFonts w:ascii="仿宋" w:hAnsi="仿宋" w:eastAsia="仿宋" w:cs="仿宋"/>
          <w:color w:val="auto"/>
          <w:highlight w:val="none"/>
        </w:rPr>
      </w:pPr>
    </w:p>
    <w:p w14:paraId="535392BB">
      <w:pPr>
        <w:rPr>
          <w:rFonts w:ascii="仿宋" w:hAnsi="仿宋" w:eastAsia="仿宋" w:cs="仿宋"/>
          <w:color w:val="auto"/>
          <w:highlight w:val="none"/>
        </w:rPr>
      </w:pPr>
    </w:p>
    <w:p w14:paraId="2F21008D">
      <w:pPr>
        <w:rPr>
          <w:rFonts w:ascii="仿宋" w:hAnsi="仿宋" w:eastAsia="仿宋" w:cs="仿宋"/>
          <w:color w:val="auto"/>
          <w:highlight w:val="none"/>
        </w:rPr>
      </w:pPr>
    </w:p>
    <w:p w14:paraId="7AF8FBCD">
      <w:pPr>
        <w:rPr>
          <w:rFonts w:ascii="仿宋" w:hAnsi="仿宋" w:eastAsia="仿宋" w:cs="仿宋"/>
          <w:color w:val="auto"/>
          <w:highlight w:val="none"/>
        </w:rPr>
      </w:pPr>
    </w:p>
    <w:p w14:paraId="72E3E127">
      <w:pPr>
        <w:rPr>
          <w:rFonts w:ascii="仿宋" w:hAnsi="仿宋" w:eastAsia="仿宋" w:cs="仿宋"/>
          <w:color w:val="auto"/>
          <w:highlight w:val="none"/>
        </w:rPr>
      </w:pPr>
    </w:p>
    <w:p w14:paraId="31A1C372">
      <w:pPr>
        <w:rPr>
          <w:rFonts w:ascii="仿宋" w:hAnsi="仿宋" w:eastAsia="仿宋" w:cs="仿宋"/>
          <w:color w:val="auto"/>
          <w:highlight w:val="none"/>
        </w:rPr>
      </w:pPr>
    </w:p>
    <w:p w14:paraId="38A0E407">
      <w:pPr>
        <w:rPr>
          <w:rFonts w:ascii="仿宋" w:hAnsi="仿宋" w:eastAsia="仿宋" w:cs="仿宋"/>
          <w:color w:val="auto"/>
          <w:highlight w:val="none"/>
        </w:rPr>
      </w:pPr>
    </w:p>
    <w:p w14:paraId="6B7ED1DA">
      <w:pPr>
        <w:rPr>
          <w:rFonts w:ascii="仿宋" w:hAnsi="仿宋" w:eastAsia="仿宋" w:cs="仿宋"/>
          <w:color w:val="auto"/>
          <w:highlight w:val="none"/>
        </w:rPr>
      </w:pPr>
    </w:p>
    <w:p w14:paraId="61FA72FD">
      <w:pPr>
        <w:rPr>
          <w:rFonts w:ascii="仿宋" w:hAnsi="仿宋" w:eastAsia="仿宋" w:cs="仿宋"/>
          <w:color w:val="auto"/>
          <w:highlight w:val="none"/>
        </w:rPr>
      </w:pPr>
    </w:p>
    <w:p w14:paraId="26EBE9F5">
      <w:pPr>
        <w:rPr>
          <w:rFonts w:ascii="仿宋" w:hAnsi="仿宋" w:eastAsia="仿宋" w:cs="仿宋"/>
          <w:color w:val="auto"/>
          <w:highlight w:val="none"/>
        </w:rPr>
      </w:pPr>
    </w:p>
    <w:p w14:paraId="188B7758">
      <w:pPr>
        <w:rPr>
          <w:rFonts w:ascii="仿宋" w:hAnsi="仿宋" w:eastAsia="仿宋" w:cs="仿宋"/>
          <w:color w:val="auto"/>
          <w:highlight w:val="none"/>
        </w:rPr>
      </w:pPr>
    </w:p>
    <w:p w14:paraId="0FF7BEF3">
      <w:pPr>
        <w:rPr>
          <w:rFonts w:ascii="仿宋" w:hAnsi="仿宋" w:eastAsia="仿宋" w:cs="仿宋"/>
          <w:color w:val="auto"/>
          <w:highlight w:val="none"/>
        </w:rPr>
      </w:pPr>
    </w:p>
    <w:p w14:paraId="7640B58A">
      <w:pPr>
        <w:rPr>
          <w:rFonts w:ascii="仿宋" w:hAnsi="仿宋" w:eastAsia="仿宋" w:cs="仿宋"/>
          <w:color w:val="auto"/>
          <w:highlight w:val="none"/>
        </w:rPr>
      </w:pPr>
    </w:p>
    <w:p w14:paraId="29BE3EA6">
      <w:pPr>
        <w:rPr>
          <w:rFonts w:ascii="仿宋" w:hAnsi="仿宋" w:eastAsia="仿宋" w:cs="仿宋"/>
          <w:color w:val="auto"/>
          <w:highlight w:val="none"/>
        </w:rPr>
      </w:pPr>
    </w:p>
    <w:p w14:paraId="078EC57F">
      <w:pPr>
        <w:rPr>
          <w:rFonts w:ascii="仿宋" w:hAnsi="仿宋" w:eastAsia="仿宋" w:cs="仿宋"/>
          <w:color w:val="auto"/>
          <w:highlight w:val="none"/>
        </w:rPr>
      </w:pPr>
    </w:p>
    <w:p w14:paraId="76012B3E">
      <w:pPr>
        <w:widowControl/>
        <w:spacing w:line="72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其它：</w:t>
      </w:r>
    </w:p>
    <w:p w14:paraId="15A4C0C4">
      <w:pPr>
        <w:widowControl/>
        <w:spacing w:line="720" w:lineRule="exact"/>
        <w:jc w:val="left"/>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eastAsia="zh-CN"/>
        </w:rPr>
        <w:t>根据《崇左市财政局关于进一步做好线上“政采贷”融资业务工作的通知》( 崇财采(2023)10号) ,供应商可凭成交通知书、政府采购合同，通过中征应收账款融资服务平台向银行在线申请“政采贷”融资。(具体详见后附件中“政采贷”相关信息)。</w:t>
      </w:r>
    </w:p>
    <w:p w14:paraId="619067A9">
      <w:pPr>
        <w:widowControl/>
        <w:spacing w:line="72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14:paraId="5128C2B8">
      <w:pPr>
        <w:suppressAutoHyphens/>
        <w:rPr>
          <w:rFonts w:ascii="Calibri" w:hAnsi="Calibri"/>
          <w:color w:val="auto"/>
          <w:highlight w:val="none"/>
        </w:rPr>
      </w:pPr>
    </w:p>
    <w:p w14:paraId="1CCFEE61">
      <w:pPr>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崇左市线上“政采贷”政策告知函</w:t>
      </w:r>
    </w:p>
    <w:p w14:paraId="48B4BCD5">
      <w:pPr>
        <w:spacing w:line="580" w:lineRule="exact"/>
        <w:ind w:firstLine="640" w:firstLineChars="200"/>
        <w:rPr>
          <w:rFonts w:ascii="宋体" w:hAnsi="宋体" w:eastAsia="华文仿宋"/>
          <w:color w:val="auto"/>
          <w:sz w:val="32"/>
          <w:szCs w:val="32"/>
          <w:highlight w:val="none"/>
        </w:rPr>
      </w:pPr>
    </w:p>
    <w:p w14:paraId="738469C8">
      <w:pPr>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51EE8D48">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14:paraId="66379F93">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FA44E51">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仿宋_GB2312" w:hAnsi="仿宋_GB2312" w:eastAsia="仿宋_GB2312" w:cs="仿宋_GB2312"/>
          <w:color w:val="auto"/>
          <w:sz w:val="32"/>
          <w:highlight w:val="none"/>
          <w:u w:val="single"/>
        </w:rPr>
        <w:t>https://www.crcrfsp.com/</w:t>
      </w:r>
      <w:r>
        <w:rPr>
          <w:rFonts w:hint="eastAsia" w:ascii="仿宋_GB2312" w:hAnsi="仿宋_GB2312" w:eastAsia="仿宋_GB2312" w:cs="仿宋_GB2312"/>
          <w:color w:val="auto"/>
          <w:sz w:val="32"/>
          <w:highlight w:val="none"/>
          <w:u w:val="single"/>
        </w:rPr>
        <w:fldChar w:fldCharType="end"/>
      </w:r>
      <w:r>
        <w:rPr>
          <w:rFonts w:hint="eastAsia" w:ascii="仿宋_GB2312" w:hAnsi="仿宋_GB2312" w:eastAsia="仿宋_GB2312" w:cs="仿宋_GB2312"/>
          <w:color w:val="auto"/>
          <w:sz w:val="32"/>
          <w:szCs w:val="32"/>
          <w:highlight w:val="none"/>
        </w:rPr>
        <w:t>，客服电话：400-009-0001）。</w:t>
      </w:r>
    </w:p>
    <w:p w14:paraId="5B3917D5">
      <w:pPr>
        <w:suppressAutoHyphens/>
        <w:rPr>
          <w:rFonts w:ascii="仿宋_GB2312" w:hAnsi="仿宋_GB2312" w:eastAsia="仿宋_GB2312" w:cs="仿宋_GB2312"/>
          <w:color w:val="auto"/>
          <w:szCs w:val="32"/>
          <w:highlight w:val="none"/>
        </w:rPr>
      </w:pPr>
    </w:p>
    <w:p w14:paraId="4BDE8786">
      <w:pPr>
        <w:rPr>
          <w:rFonts w:ascii="仿宋_GB2312" w:hAnsi="仿宋_GB2312" w:eastAsia="华文仿宋" w:cs="仿宋_GB2312"/>
          <w:color w:val="auto"/>
          <w:sz w:val="32"/>
          <w:szCs w:val="32"/>
          <w:highlight w:val="none"/>
        </w:rPr>
      </w:pPr>
    </w:p>
    <w:p w14:paraId="64A213D6">
      <w:pPr>
        <w:widowControl/>
        <w:jc w:val="left"/>
        <w:rPr>
          <w:rFonts w:ascii="黑体" w:hAnsi="黑体" w:eastAsia="黑体" w:cs="黑体"/>
          <w:color w:val="auto"/>
          <w:sz w:val="32"/>
          <w:szCs w:val="32"/>
          <w:highlight w:val="none"/>
        </w:rPr>
      </w:pPr>
      <w:r>
        <w:rPr>
          <w:rFonts w:ascii="黑体" w:hAnsi="黑体" w:eastAsia="黑体" w:cs="黑体"/>
          <w:color w:val="auto"/>
          <w:sz w:val="32"/>
          <w:szCs w:val="32"/>
          <w:highlight w:val="none"/>
        </w:rPr>
        <w:br w:type="page"/>
      </w:r>
    </w:p>
    <w:p w14:paraId="62408417">
      <w:pPr>
        <w:spacing w:line="54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14:paraId="198731AD">
      <w:pPr>
        <w:suppressAutoHyphens/>
        <w:rPr>
          <w:rFonts w:ascii="Calibri" w:hAnsi="Calibri"/>
          <w:color w:val="auto"/>
          <w:highlight w:val="none"/>
        </w:rPr>
      </w:pPr>
    </w:p>
    <w:p w14:paraId="541DD8C5">
      <w:pPr>
        <w:spacing w:line="600" w:lineRule="exact"/>
        <w:jc w:val="center"/>
        <w:rPr>
          <w:rFonts w:ascii="黑体" w:hAnsi="黑体" w:eastAsia="黑体" w:cs="黑体"/>
          <w:color w:val="auto"/>
          <w:sz w:val="44"/>
          <w:szCs w:val="44"/>
          <w:highlight w:val="none"/>
        </w:rPr>
      </w:pPr>
      <w:r>
        <w:rPr>
          <w:rFonts w:hint="eastAsia" w:ascii="方正小标宋_GBK" w:hAnsi="宋体" w:eastAsia="方正小标宋_GBK"/>
          <w:color w:val="auto"/>
          <w:sz w:val="44"/>
          <w:szCs w:val="44"/>
          <w:highlight w:val="none"/>
        </w:rPr>
        <w:t>崇左市线上“政采贷”业务流程图</w:t>
      </w:r>
    </w:p>
    <w:p w14:paraId="00E3C357">
      <w:pPr>
        <w:rPr>
          <w:rFonts w:ascii="宋体" w:hAnsi="宋体" w:eastAsia="华文仿宋"/>
          <w:color w:val="auto"/>
          <w:sz w:val="32"/>
          <w:szCs w:val="32"/>
          <w:highlight w:val="none"/>
        </w:rPr>
      </w:pPr>
      <w:r>
        <w:rPr>
          <w:rFonts w:hint="eastAsia" w:ascii="宋体" w:hAnsi="宋体" w:eastAsia="仿宋_GB2312"/>
          <w:color w:val="auto"/>
          <w:sz w:val="32"/>
          <w:szCs w:val="32"/>
          <w:highlight w:val="none"/>
        </w:rPr>
        <w:drawing>
          <wp:inline distT="0" distB="0" distL="0" distR="0">
            <wp:extent cx="4930140" cy="7002780"/>
            <wp:effectExtent l="0" t="0" r="7620" b="7620"/>
            <wp:docPr id="7"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流程图1011"/>
                    <pic:cNvPicPr>
                      <a:picLocks noChangeAspect="1" noChangeArrowheads="1"/>
                    </pic:cNvPicPr>
                  </pic:nvPicPr>
                  <pic:blipFill>
                    <a:blip r:embed="rId15"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670E9515">
      <w:pPr>
        <w:widowControl/>
        <w:ind w:firstLine="640" w:firstLineChars="200"/>
        <w:rPr>
          <w:rFonts w:ascii="宋体" w:hAnsi="宋体" w:eastAsia="华文仿宋"/>
          <w:color w:val="auto"/>
          <w:sz w:val="32"/>
          <w:szCs w:val="32"/>
          <w:highlight w:val="none"/>
        </w:rPr>
      </w:pPr>
    </w:p>
    <w:p w14:paraId="0F3418FB">
      <w:pPr>
        <w:widowControl/>
        <w:jc w:val="left"/>
        <w:rPr>
          <w:rFonts w:ascii="黑体" w:hAnsi="黑体" w:eastAsia="黑体" w:cs="黑体"/>
          <w:color w:val="auto"/>
          <w:sz w:val="32"/>
          <w:szCs w:val="32"/>
          <w:highlight w:val="none"/>
          <w:lang w:val="zh-CN"/>
        </w:rPr>
      </w:pPr>
      <w:r>
        <w:rPr>
          <w:rFonts w:ascii="黑体" w:hAnsi="黑体" w:eastAsia="黑体" w:cs="黑体"/>
          <w:color w:val="auto"/>
          <w:sz w:val="32"/>
          <w:szCs w:val="32"/>
          <w:highlight w:val="none"/>
          <w:lang w:val="zh-CN"/>
        </w:rPr>
        <w:br w:type="page"/>
      </w:r>
    </w:p>
    <w:p w14:paraId="67B1325C">
      <w:pPr>
        <w:widowControl/>
        <w:spacing w:line="72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4</w:t>
      </w:r>
    </w:p>
    <w:p w14:paraId="58D52C2D">
      <w:pPr>
        <w:suppressAutoHyphens/>
        <w:rPr>
          <w:rFonts w:ascii="Calibri" w:hAnsi="Calibri"/>
          <w:color w:val="auto"/>
          <w:highlight w:val="none"/>
        </w:rPr>
      </w:pPr>
    </w:p>
    <w:p w14:paraId="005C1A04">
      <w:pPr>
        <w:suppressAutoHyphens/>
        <w:ind w:left="424" w:leftChars="202"/>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20"/>
        <w:tblW w:w="8314" w:type="dxa"/>
        <w:jc w:val="center"/>
        <w:tblLayout w:type="fixed"/>
        <w:tblCellMar>
          <w:top w:w="0" w:type="dxa"/>
          <w:left w:w="108" w:type="dxa"/>
          <w:bottom w:w="0" w:type="dxa"/>
          <w:right w:w="108" w:type="dxa"/>
        </w:tblCellMar>
      </w:tblPr>
      <w:tblGrid>
        <w:gridCol w:w="2674"/>
        <w:gridCol w:w="3515"/>
        <w:gridCol w:w="2125"/>
      </w:tblGrid>
      <w:tr w14:paraId="77892B7E">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6D91752E">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38499792">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795C4DF">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业务咨询电话</w:t>
            </w:r>
          </w:p>
        </w:tc>
      </w:tr>
      <w:tr w14:paraId="6331052D">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D341913">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崇左市本级及江州区</w:t>
            </w:r>
          </w:p>
        </w:tc>
      </w:tr>
      <w:tr w14:paraId="0D67101B">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34F3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9AAC6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7F37613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38EA65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43651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4C352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4B6C1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51BAAB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CCB4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5F8A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EE0C1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0E29DB6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524E2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455B8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16EAF30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10411A5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97F11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888B9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EDF240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2A20CBD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4C52D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46C991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4F03F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1607E76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FC3A5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C3CFE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E5230E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276E851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1F628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E848FF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7A88EF5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456F3A4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069BC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CC8D6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5672F8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180A716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F2E78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BF2B7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291DB7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271E1F2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7C9A0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0F52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A56B6A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3A923CE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5AA2C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A2F8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89728B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05A1463A">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48AE28">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1D161E6C">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0CDAB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F38F2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3716F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60B5D4F3">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CCAA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0433A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33DDA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44134C1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2C3C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1B8CA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10765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32543B2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EE275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868FE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3FFD726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2FA37F7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B4675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BB2F3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443308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189EB1B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614C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F57B4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046AA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5C63F5A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73787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EED18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696904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4D0C465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E084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6331B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CB2FF0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3339351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0E65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EFACA1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0598BE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2D936ADD">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E7521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CBF346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2B76924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05C3D289">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636465">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79D7B9C4">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4770187">
            <w:pPr>
              <w:widowControl/>
              <w:jc w:val="center"/>
              <w:textAlignment w:val="center"/>
              <w:rPr>
                <w:rFonts w:ascii="宋体" w:hAnsi="宋体" w:cs="宋体"/>
                <w:color w:val="auto"/>
                <w:szCs w:val="21"/>
                <w:highlight w:val="none"/>
              </w:rPr>
            </w:pPr>
          </w:p>
        </w:tc>
      </w:tr>
      <w:tr w14:paraId="1833A752">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34705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0FC94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EB938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46D9528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69674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A68E3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20748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28DB0FB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664C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E7DED9E">
            <w:pPr>
              <w:widowControl/>
              <w:spacing w:after="90" w:line="23" w:lineRule="atLeast"/>
              <w:jc w:val="left"/>
              <w:rPr>
                <w:rFonts w:ascii="宋体" w:hAnsi="宋体" w:cs="宋体"/>
                <w:color w:val="auto"/>
                <w:szCs w:val="21"/>
                <w:highlight w:val="none"/>
              </w:rPr>
            </w:pPr>
            <w:r>
              <w:rPr>
                <w:rFonts w:hint="eastAsia" w:ascii="宋体" w:hAnsi="宋体" w:cs="宋体"/>
                <w:color w:val="auto"/>
                <w:kern w:val="0"/>
                <w:szCs w:val="21"/>
                <w:highlight w:val="none"/>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7A9EC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5100489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E08D7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ECF941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C5F99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3E507784">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39459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A886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5E938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0B9287A3">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411EF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5E701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548A38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6EFFDBFF">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5A3173">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r>
      <w:tr w14:paraId="5960554D">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51D856">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F8EB3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D8B19F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0771-3628078</w:t>
            </w:r>
          </w:p>
        </w:tc>
      </w:tr>
      <w:tr w14:paraId="47779613">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78DF5">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34480">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92076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w:t>
            </w:r>
            <w:r>
              <w:rPr>
                <w:rFonts w:hint="eastAsia" w:ascii="宋体" w:hAnsi="宋体" w:cs="宋体"/>
                <w:color w:val="auto"/>
                <w:szCs w:val="21"/>
                <w:highlight w:val="none"/>
              </w:rPr>
              <w:t>7917015</w:t>
            </w:r>
          </w:p>
        </w:tc>
      </w:tr>
      <w:tr w14:paraId="4E25346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20D06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8809F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C005E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0771-3689766</w:t>
            </w:r>
          </w:p>
        </w:tc>
      </w:tr>
      <w:tr w14:paraId="500DF01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C79DB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6FA377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16C52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0771-3623887</w:t>
            </w:r>
          </w:p>
        </w:tc>
      </w:tr>
      <w:tr w14:paraId="7C3C8F5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FC2973">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9C0BA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ACCDB2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0771-3621996</w:t>
            </w:r>
          </w:p>
        </w:tc>
      </w:tr>
      <w:tr w14:paraId="0192A0E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0A425">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CC90A7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9C9E5EB">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0771-3628366</w:t>
            </w:r>
          </w:p>
        </w:tc>
      </w:tr>
      <w:tr w14:paraId="35D5BB3D">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E8BD1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3A0067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0B36B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0771-3698002</w:t>
            </w:r>
          </w:p>
        </w:tc>
      </w:tr>
      <w:tr w14:paraId="662F8C2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3B161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B247F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65E0F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0771-3626199</w:t>
            </w:r>
          </w:p>
        </w:tc>
      </w:tr>
      <w:tr w14:paraId="3B0F1991">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BC311">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07BBB3D">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0324849">
            <w:pPr>
              <w:widowControl/>
              <w:jc w:val="center"/>
              <w:textAlignment w:val="center"/>
              <w:rPr>
                <w:rFonts w:ascii="宋体" w:hAnsi="宋体" w:cs="宋体"/>
                <w:color w:val="auto"/>
                <w:szCs w:val="21"/>
                <w:highlight w:val="none"/>
              </w:rPr>
            </w:pPr>
          </w:p>
        </w:tc>
      </w:tr>
      <w:tr w14:paraId="741E844B">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F52F0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22DCC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C8A26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3394BA87">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8730B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FB911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C34FF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128E6FE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66F8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4E479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33A63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6089FBBD">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45D5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DAC0B9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F94409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6D27143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DCA0C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3C65E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2A693A5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0A8A8B2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710EB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945D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5BF281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72AF15C3">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40C9F">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A22C2EA">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03D81FB">
            <w:pPr>
              <w:widowControl/>
              <w:jc w:val="center"/>
              <w:textAlignment w:val="center"/>
              <w:rPr>
                <w:rFonts w:ascii="宋体" w:hAnsi="宋体" w:cs="宋体"/>
                <w:color w:val="auto"/>
                <w:szCs w:val="21"/>
                <w:highlight w:val="none"/>
              </w:rPr>
            </w:pPr>
          </w:p>
        </w:tc>
      </w:tr>
      <w:tr w14:paraId="6EEC208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12A1C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7A921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3E1B1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074C7B9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0C1BD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921B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20884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2CAD0CD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32223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BD05CC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9D838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14C56544">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A5E70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5DA0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7D5595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101FA9B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F73CE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08D3E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2F7532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7076DAE7">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0DD7876">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25E8D0F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4BB29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C561C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9D89E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1B6369C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38791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1014D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6E21B6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1B4B3EB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F9F0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3635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F5263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 0771-8536852</w:t>
            </w:r>
          </w:p>
        </w:tc>
      </w:tr>
      <w:tr w14:paraId="2C34A97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FF78D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A453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422B9F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61A39DC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099AB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27F1A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4D60B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05FCA3E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292B7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B1045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087C1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189EBEA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EBEE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139F0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D8ADB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3F73A50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28B16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54AA9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0BBB58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46AEE61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64F39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76668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AE33C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5B0BC055">
      <w:pPr>
        <w:jc w:val="left"/>
        <w:rPr>
          <w:rFonts w:ascii="宋体" w:hAnsi="宋体" w:cs="宋体"/>
          <w:color w:val="auto"/>
          <w:szCs w:val="21"/>
          <w:highlight w:val="none"/>
        </w:rPr>
      </w:pPr>
    </w:p>
    <w:p w14:paraId="5ABF9117">
      <w:pPr>
        <w:rPr>
          <w:rFonts w:ascii="仿宋" w:hAnsi="仿宋" w:eastAsia="仿宋" w:cs="仿宋"/>
          <w:color w:val="auto"/>
          <w:highlight w:val="none"/>
        </w:rPr>
      </w:pPr>
    </w:p>
    <w:sectPr>
      <w:headerReference r:id="rId11" w:type="first"/>
      <w:footerReference r:id="rId13" w:type="first"/>
      <w:headerReference r:id="rId9" w:type="default"/>
      <w:footerReference r:id="rId12" w:type="default"/>
      <w:headerReference r:id="rId10" w:type="even"/>
      <w:pgSz w:w="11906" w:h="16838"/>
      <w:pgMar w:top="1247" w:right="1247" w:bottom="1559"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4F22">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366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2088C">
    <w:pPr>
      <w:pStyle w:val="14"/>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2D8C">
    <w:pPr>
      <w:pStyle w:val="14"/>
      <w:tabs>
        <w:tab w:val="clear" w:pos="4153"/>
      </w:tabs>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A96C73">
                          <w:pPr>
                            <w:pStyle w:val="1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AA96C73">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0B66">
    <w:pPr>
      <w:pStyle w:val="14"/>
      <w:ind w:right="360"/>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90E9FB">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590E9F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5A0D">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D4555">
                          <w:pPr>
                            <w:pStyle w:val="14"/>
                            <w:jc w:val="center"/>
                          </w:pPr>
                          <w:r>
                            <w:fldChar w:fldCharType="begin"/>
                          </w:r>
                          <w:r>
                            <w:instrText xml:space="preserve">PAGE   \* MERGEFORMAT</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ACD4555">
                    <w:pPr>
                      <w:pStyle w:val="14"/>
                      <w:jc w:val="center"/>
                    </w:pPr>
                    <w:r>
                      <w:fldChar w:fldCharType="begin"/>
                    </w:r>
                    <w:r>
                      <w:instrText xml:space="preserve">PAGE   \* MERGEFORMAT</w:instrText>
                    </w:r>
                    <w:r>
                      <w:fldChar w:fldCharType="separate"/>
                    </w:r>
                    <w:r>
                      <w:t>91</w:t>
                    </w:r>
                    <w:r>
                      <w:fldChar w:fldCharType="end"/>
                    </w:r>
                  </w:p>
                </w:txbxContent>
              </v:textbox>
            </v:shape>
          </w:pict>
        </mc:Fallback>
      </mc:AlternateContent>
    </w:r>
  </w:p>
  <w:p w14:paraId="6AC41C1F">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51ED">
    <w:pPr>
      <w:pStyle w:val="14"/>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F97EAB">
                          <w:pPr>
                            <w:pStyle w:val="14"/>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7AF97EAB">
                    <w:pPr>
                      <w:pStyle w:val="1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900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000D">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8C37">
    <w:pPr>
      <w:pStyle w:val="15"/>
    </w:pPr>
    <w:r>
      <w:pict>
        <v:shape id="PowerPlusWaterMarkObject4619986" o:spid="_x0000_s2051" o:spt="136" type="#_x0000_t136" style="position:absolute;left:0pt;height:135.85pt;width:543.5pt;mso-position-horizontal:center;mso-position-horizontal-relative:margin;mso-position-vertical:center;mso-position-vertical-relative:margin;rotation:20643840f;z-index:-251656192;mso-width-relative:page;mso-height-relative:page;" fillcolor="#AEAAAA" filled="t" stroked="f" coordsize="21600,21600" o:allowincell="f">
          <v:path/>
          <v:fill on="t" opacity="32768f" focussize="0,0"/>
          <v:stroke on="f"/>
          <v:imagedata o:title=""/>
          <o:lock v:ext="edit"/>
          <v:textpath on="t" fitshape="t" fitpath="t" trim="t" xscale="f" string="科文招标" style="font-family:楷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BA9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E889"/>
    <w:multiLevelType w:val="singleLevel"/>
    <w:tmpl w:val="80E3E889"/>
    <w:lvl w:ilvl="0" w:tentative="0">
      <w:start w:val="1"/>
      <w:numFmt w:val="decimal"/>
      <w:lvlText w:val="%1."/>
      <w:lvlJc w:val="left"/>
      <w:pPr>
        <w:tabs>
          <w:tab w:val="left" w:pos="312"/>
        </w:tabs>
      </w:pPr>
    </w:lvl>
  </w:abstractNum>
  <w:abstractNum w:abstractNumId="1">
    <w:nsid w:val="8444D1BE"/>
    <w:multiLevelType w:val="singleLevel"/>
    <w:tmpl w:val="8444D1BE"/>
    <w:lvl w:ilvl="0" w:tentative="0">
      <w:start w:val="6"/>
      <w:numFmt w:val="chineseCounting"/>
      <w:suff w:val="space"/>
      <w:lvlText w:val="第%1章"/>
      <w:lvlJc w:val="left"/>
      <w:rPr>
        <w:rFonts w:hint="eastAsia"/>
      </w:rPr>
    </w:lvl>
  </w:abstractNum>
  <w:abstractNum w:abstractNumId="2">
    <w:nsid w:val="9ECDDACE"/>
    <w:multiLevelType w:val="singleLevel"/>
    <w:tmpl w:val="9ECDDACE"/>
    <w:lvl w:ilvl="0" w:tentative="0">
      <w:start w:val="1"/>
      <w:numFmt w:val="decimal"/>
      <w:suff w:val="nothing"/>
      <w:lvlText w:val="（%1）"/>
      <w:lvlJc w:val="left"/>
    </w:lvl>
  </w:abstractNum>
  <w:abstractNum w:abstractNumId="3">
    <w:nsid w:val="B5AACF58"/>
    <w:multiLevelType w:val="singleLevel"/>
    <w:tmpl w:val="B5AACF58"/>
    <w:lvl w:ilvl="0" w:tentative="0">
      <w:start w:val="1"/>
      <w:numFmt w:val="decimal"/>
      <w:suff w:val="nothing"/>
      <w:lvlText w:val="%1、"/>
      <w:lvlJc w:val="left"/>
    </w:lvl>
  </w:abstractNum>
  <w:abstractNum w:abstractNumId="4">
    <w:nsid w:val="0CD7037F"/>
    <w:multiLevelType w:val="multilevel"/>
    <w:tmpl w:val="0CD7037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12A72D41"/>
    <w:multiLevelType w:val="singleLevel"/>
    <w:tmpl w:val="12A72D41"/>
    <w:lvl w:ilvl="0" w:tentative="0">
      <w:start w:val="1"/>
      <w:numFmt w:val="chineseCounting"/>
      <w:suff w:val="nothing"/>
      <w:lvlText w:val="（%1）"/>
      <w:lvlJc w:val="left"/>
      <w:pPr>
        <w:ind w:left="-420" w:firstLine="420"/>
      </w:pPr>
      <w:rPr>
        <w:rFonts w:hint="eastAsia"/>
        <w:b w:val="0"/>
        <w:bCs w:val="0"/>
      </w:r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51A857D8"/>
    <w:multiLevelType w:val="singleLevel"/>
    <w:tmpl w:val="51A857D8"/>
    <w:lvl w:ilvl="0" w:tentative="0">
      <w:start w:val="2"/>
      <w:numFmt w:val="chineseCounting"/>
      <w:suff w:val="nothing"/>
      <w:lvlText w:val="（%1）"/>
      <w:lvlJc w:val="left"/>
      <w:rPr>
        <w:rFonts w:hint="eastAsia" w:ascii="仿宋" w:hAnsi="仿宋" w:eastAsia="仿宋" w:cs="仿宋"/>
        <w:sz w:val="24"/>
        <w:szCs w:val="24"/>
      </w:rPr>
    </w:lvl>
  </w:abstractNum>
  <w:abstractNum w:abstractNumId="8">
    <w:nsid w:val="5747B793"/>
    <w:multiLevelType w:val="singleLevel"/>
    <w:tmpl w:val="5747B793"/>
    <w:lvl w:ilvl="0" w:tentative="0">
      <w:start w:val="1"/>
      <w:numFmt w:val="decimal"/>
      <w:suff w:val="nothing"/>
      <w:lvlText w:val="%1、"/>
      <w:lvlJc w:val="left"/>
    </w:lvl>
  </w:abstractNum>
  <w:abstractNum w:abstractNumId="9">
    <w:nsid w:val="58FC9C0B"/>
    <w:multiLevelType w:val="singleLevel"/>
    <w:tmpl w:val="58FC9C0B"/>
    <w:lvl w:ilvl="0" w:tentative="0">
      <w:start w:val="4"/>
      <w:numFmt w:val="chineseCounting"/>
      <w:suff w:val="space"/>
      <w:lvlText w:val="第%1章"/>
      <w:lvlJc w:val="left"/>
      <w:rPr>
        <w:rFonts w:hint="eastAsia"/>
      </w:rPr>
    </w:lvl>
  </w:abstractNum>
  <w:abstractNum w:abstractNumId="10">
    <w:nsid w:val="5915EB62"/>
    <w:multiLevelType w:val="singleLevel"/>
    <w:tmpl w:val="5915EB62"/>
    <w:lvl w:ilvl="0" w:tentative="0">
      <w:start w:val="1"/>
      <w:numFmt w:val="chineseCounting"/>
      <w:suff w:val="space"/>
      <w:lvlText w:val="第%1章"/>
      <w:lvlJc w:val="left"/>
      <w:rPr>
        <w:rFonts w:hint="eastAsia"/>
      </w:rPr>
    </w:lvl>
  </w:abstractNum>
  <w:abstractNum w:abstractNumId="11">
    <w:nsid w:val="595B0C31"/>
    <w:multiLevelType w:val="singleLevel"/>
    <w:tmpl w:val="595B0C31"/>
    <w:lvl w:ilvl="0" w:tentative="0">
      <w:start w:val="2"/>
      <w:numFmt w:val="chineseCounting"/>
      <w:suff w:val="nothing"/>
      <w:lvlText w:val="（%1）"/>
      <w:lvlJc w:val="left"/>
      <w:rPr>
        <w:rFonts w:hint="eastAsia" w:ascii="仿宋" w:hAnsi="仿宋" w:eastAsia="仿宋" w:cs="仿宋"/>
        <w:sz w:val="24"/>
        <w:szCs w:val="24"/>
      </w:rPr>
    </w:lvl>
  </w:abstractNum>
  <w:abstractNum w:abstractNumId="12">
    <w:nsid w:val="72351C6D"/>
    <w:multiLevelType w:val="multilevel"/>
    <w:tmpl w:val="72351C6D"/>
    <w:lvl w:ilvl="0" w:tentative="0">
      <w:start w:val="1"/>
      <w:numFmt w:val="japaneseCounting"/>
      <w:lvlText w:val="第%1章"/>
      <w:lvlJc w:val="left"/>
      <w:pPr>
        <w:tabs>
          <w:tab w:val="left" w:pos="1560"/>
        </w:tabs>
        <w:ind w:left="1560" w:hanging="10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10"/>
  </w:num>
  <w:num w:numId="3">
    <w:abstractNumId w:val="0"/>
  </w:num>
  <w:num w:numId="4">
    <w:abstractNumId w:val="2"/>
  </w:num>
  <w:num w:numId="5">
    <w:abstractNumId w:val="11"/>
  </w:num>
  <w:num w:numId="6">
    <w:abstractNumId w:val="4"/>
  </w:num>
  <w:num w:numId="7">
    <w:abstractNumId w:val="7"/>
  </w:num>
  <w:num w:numId="8">
    <w:abstractNumId w:val="9"/>
  </w:num>
  <w:num w:numId="9">
    <w:abstractNumId w:val="12"/>
  </w:num>
  <w:num w:numId="10">
    <w:abstractNumId w:val="5"/>
  </w:num>
  <w:num w:numId="11">
    <w:abstractNumId w:val="3"/>
  </w:num>
  <w:num w:numId="12">
    <w:abstractNumId w:val="8"/>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TA0N2RkNzc2ZWU3NjlkNWQ3NDBjMDU3ZWI2MTAifQ=="/>
  </w:docVars>
  <w:rsids>
    <w:rsidRoot w:val="5BDE5CD8"/>
    <w:rsid w:val="0000616B"/>
    <w:rsid w:val="0005260C"/>
    <w:rsid w:val="000F1C5A"/>
    <w:rsid w:val="001129EF"/>
    <w:rsid w:val="00160CB5"/>
    <w:rsid w:val="00180496"/>
    <w:rsid w:val="001A1DB3"/>
    <w:rsid w:val="00240FC9"/>
    <w:rsid w:val="002714D4"/>
    <w:rsid w:val="002C731C"/>
    <w:rsid w:val="003E00D8"/>
    <w:rsid w:val="003E354B"/>
    <w:rsid w:val="00401D1A"/>
    <w:rsid w:val="00514BFA"/>
    <w:rsid w:val="00570EC6"/>
    <w:rsid w:val="0068073E"/>
    <w:rsid w:val="00694E99"/>
    <w:rsid w:val="006F17C9"/>
    <w:rsid w:val="00742A1B"/>
    <w:rsid w:val="00742B98"/>
    <w:rsid w:val="00751F7F"/>
    <w:rsid w:val="00793F09"/>
    <w:rsid w:val="007A370B"/>
    <w:rsid w:val="00803C07"/>
    <w:rsid w:val="008B40AE"/>
    <w:rsid w:val="009641A3"/>
    <w:rsid w:val="009773CB"/>
    <w:rsid w:val="009B0EDE"/>
    <w:rsid w:val="00A05E6C"/>
    <w:rsid w:val="00A116BA"/>
    <w:rsid w:val="00A7063D"/>
    <w:rsid w:val="00A80514"/>
    <w:rsid w:val="00AA4D9C"/>
    <w:rsid w:val="00AE080E"/>
    <w:rsid w:val="00AE21AE"/>
    <w:rsid w:val="00B063B1"/>
    <w:rsid w:val="00B1341D"/>
    <w:rsid w:val="00B519B3"/>
    <w:rsid w:val="00B7458C"/>
    <w:rsid w:val="00C22782"/>
    <w:rsid w:val="00C5272A"/>
    <w:rsid w:val="00C54EEB"/>
    <w:rsid w:val="00E527C8"/>
    <w:rsid w:val="00E6453A"/>
    <w:rsid w:val="00E738B3"/>
    <w:rsid w:val="00E83D4C"/>
    <w:rsid w:val="00F83643"/>
    <w:rsid w:val="015E6884"/>
    <w:rsid w:val="01A45C0A"/>
    <w:rsid w:val="01E36B91"/>
    <w:rsid w:val="01F870D7"/>
    <w:rsid w:val="03115F08"/>
    <w:rsid w:val="03280EF8"/>
    <w:rsid w:val="03603329"/>
    <w:rsid w:val="03AC4F84"/>
    <w:rsid w:val="042A3C5F"/>
    <w:rsid w:val="04453D21"/>
    <w:rsid w:val="04D4367F"/>
    <w:rsid w:val="052C2BEE"/>
    <w:rsid w:val="05F94DCD"/>
    <w:rsid w:val="06F368FB"/>
    <w:rsid w:val="07261BF2"/>
    <w:rsid w:val="07280C98"/>
    <w:rsid w:val="07811ACD"/>
    <w:rsid w:val="08167EB9"/>
    <w:rsid w:val="088F5575"/>
    <w:rsid w:val="090F765B"/>
    <w:rsid w:val="096802A0"/>
    <w:rsid w:val="0A1B669F"/>
    <w:rsid w:val="0AD03FB4"/>
    <w:rsid w:val="0B2D622C"/>
    <w:rsid w:val="0B6B051B"/>
    <w:rsid w:val="0C1C35C4"/>
    <w:rsid w:val="0C6E02C3"/>
    <w:rsid w:val="0D5B011C"/>
    <w:rsid w:val="0DA87BBE"/>
    <w:rsid w:val="0E7B6CC7"/>
    <w:rsid w:val="0F0C71BA"/>
    <w:rsid w:val="0F9A3BA9"/>
    <w:rsid w:val="11D0732A"/>
    <w:rsid w:val="12505AE5"/>
    <w:rsid w:val="12767ED2"/>
    <w:rsid w:val="14132526"/>
    <w:rsid w:val="144D65A6"/>
    <w:rsid w:val="147541B9"/>
    <w:rsid w:val="15FB1A12"/>
    <w:rsid w:val="16D1005D"/>
    <w:rsid w:val="16F94C2D"/>
    <w:rsid w:val="170E6686"/>
    <w:rsid w:val="174E19E8"/>
    <w:rsid w:val="180F137B"/>
    <w:rsid w:val="18742221"/>
    <w:rsid w:val="18C82B09"/>
    <w:rsid w:val="19017DC9"/>
    <w:rsid w:val="191F6F95"/>
    <w:rsid w:val="1A9D6217"/>
    <w:rsid w:val="1AB84DFF"/>
    <w:rsid w:val="1ACA5726"/>
    <w:rsid w:val="1AF04BC5"/>
    <w:rsid w:val="1B1044D5"/>
    <w:rsid w:val="1B3160E7"/>
    <w:rsid w:val="1B8E5E5C"/>
    <w:rsid w:val="1BCF0653"/>
    <w:rsid w:val="1BD477A5"/>
    <w:rsid w:val="1C5648D0"/>
    <w:rsid w:val="1CDC1416"/>
    <w:rsid w:val="1D951428"/>
    <w:rsid w:val="1DE57A40"/>
    <w:rsid w:val="1E357176"/>
    <w:rsid w:val="1FFC4EF1"/>
    <w:rsid w:val="200F54C2"/>
    <w:rsid w:val="201202AB"/>
    <w:rsid w:val="20534041"/>
    <w:rsid w:val="22B61E1D"/>
    <w:rsid w:val="22DC3957"/>
    <w:rsid w:val="23AE5E28"/>
    <w:rsid w:val="24107A5A"/>
    <w:rsid w:val="24191514"/>
    <w:rsid w:val="24E0742D"/>
    <w:rsid w:val="258813AE"/>
    <w:rsid w:val="25951FC5"/>
    <w:rsid w:val="25BC6F5B"/>
    <w:rsid w:val="26485289"/>
    <w:rsid w:val="26B7240F"/>
    <w:rsid w:val="27205563"/>
    <w:rsid w:val="279432A6"/>
    <w:rsid w:val="27CB43C4"/>
    <w:rsid w:val="28BE5B5D"/>
    <w:rsid w:val="28C055AB"/>
    <w:rsid w:val="28E30DD3"/>
    <w:rsid w:val="294E0E09"/>
    <w:rsid w:val="2AB34BE0"/>
    <w:rsid w:val="2B0A10AB"/>
    <w:rsid w:val="2B4E5C1C"/>
    <w:rsid w:val="2C966601"/>
    <w:rsid w:val="2D19172E"/>
    <w:rsid w:val="2D91425D"/>
    <w:rsid w:val="2DE01AB7"/>
    <w:rsid w:val="2E534F8C"/>
    <w:rsid w:val="2F37233F"/>
    <w:rsid w:val="2F546A4D"/>
    <w:rsid w:val="2F874C33"/>
    <w:rsid w:val="2FBE39BE"/>
    <w:rsid w:val="315E11A3"/>
    <w:rsid w:val="31FA5DD4"/>
    <w:rsid w:val="326571C3"/>
    <w:rsid w:val="327A0EC0"/>
    <w:rsid w:val="345C0152"/>
    <w:rsid w:val="351A6386"/>
    <w:rsid w:val="35DF4A23"/>
    <w:rsid w:val="367B6FB5"/>
    <w:rsid w:val="37040D59"/>
    <w:rsid w:val="37B174E8"/>
    <w:rsid w:val="37DF5CDA"/>
    <w:rsid w:val="37E91E73"/>
    <w:rsid w:val="380D2D03"/>
    <w:rsid w:val="388859B9"/>
    <w:rsid w:val="39B527DE"/>
    <w:rsid w:val="39D07CE3"/>
    <w:rsid w:val="3A1E0383"/>
    <w:rsid w:val="3B652D89"/>
    <w:rsid w:val="3C3C618E"/>
    <w:rsid w:val="3C503D94"/>
    <w:rsid w:val="3D386165"/>
    <w:rsid w:val="3E3D0FF4"/>
    <w:rsid w:val="3F676329"/>
    <w:rsid w:val="3FE35B23"/>
    <w:rsid w:val="401B7DF1"/>
    <w:rsid w:val="408F69F4"/>
    <w:rsid w:val="415D0EA9"/>
    <w:rsid w:val="419E1DAA"/>
    <w:rsid w:val="423821FE"/>
    <w:rsid w:val="425A2175"/>
    <w:rsid w:val="42784CF1"/>
    <w:rsid w:val="429B74FA"/>
    <w:rsid w:val="438A4CDB"/>
    <w:rsid w:val="43F13DEC"/>
    <w:rsid w:val="44332C7D"/>
    <w:rsid w:val="44991570"/>
    <w:rsid w:val="450B629B"/>
    <w:rsid w:val="45992FB4"/>
    <w:rsid w:val="45AF3CA8"/>
    <w:rsid w:val="464B38B2"/>
    <w:rsid w:val="47716D85"/>
    <w:rsid w:val="47A578FE"/>
    <w:rsid w:val="486E77B6"/>
    <w:rsid w:val="48C15FC8"/>
    <w:rsid w:val="48FA020D"/>
    <w:rsid w:val="49443951"/>
    <w:rsid w:val="49B93C25"/>
    <w:rsid w:val="4A52417C"/>
    <w:rsid w:val="4E265601"/>
    <w:rsid w:val="4E996235"/>
    <w:rsid w:val="4EDB288F"/>
    <w:rsid w:val="4F7E69FF"/>
    <w:rsid w:val="4FC13833"/>
    <w:rsid w:val="4FC21359"/>
    <w:rsid w:val="4FEE03A0"/>
    <w:rsid w:val="4FFA6D45"/>
    <w:rsid w:val="505A313E"/>
    <w:rsid w:val="525E7A5F"/>
    <w:rsid w:val="54956068"/>
    <w:rsid w:val="551A1E22"/>
    <w:rsid w:val="559E63C4"/>
    <w:rsid w:val="56A36D71"/>
    <w:rsid w:val="56D0726A"/>
    <w:rsid w:val="56F33FB4"/>
    <w:rsid w:val="56F664B8"/>
    <w:rsid w:val="57DB745C"/>
    <w:rsid w:val="58B8211D"/>
    <w:rsid w:val="59AC10B0"/>
    <w:rsid w:val="59CF1242"/>
    <w:rsid w:val="5AE14D89"/>
    <w:rsid w:val="5B5A1BF0"/>
    <w:rsid w:val="5BDE5CD8"/>
    <w:rsid w:val="5D007AF7"/>
    <w:rsid w:val="5D641CA2"/>
    <w:rsid w:val="5D883BE2"/>
    <w:rsid w:val="5DCD3EB3"/>
    <w:rsid w:val="5E170E87"/>
    <w:rsid w:val="5F1E34AC"/>
    <w:rsid w:val="5FD43B77"/>
    <w:rsid w:val="5FDC0215"/>
    <w:rsid w:val="60DB22E9"/>
    <w:rsid w:val="61443C20"/>
    <w:rsid w:val="615E2D25"/>
    <w:rsid w:val="6183478E"/>
    <w:rsid w:val="619A2136"/>
    <w:rsid w:val="61EB0BE3"/>
    <w:rsid w:val="61EE1C5C"/>
    <w:rsid w:val="62612C54"/>
    <w:rsid w:val="626D3407"/>
    <w:rsid w:val="6410048D"/>
    <w:rsid w:val="64942E6C"/>
    <w:rsid w:val="65C57672"/>
    <w:rsid w:val="670A5668"/>
    <w:rsid w:val="671E1113"/>
    <w:rsid w:val="67287B0D"/>
    <w:rsid w:val="6732696D"/>
    <w:rsid w:val="6739419F"/>
    <w:rsid w:val="6779245D"/>
    <w:rsid w:val="68437083"/>
    <w:rsid w:val="693A7F09"/>
    <w:rsid w:val="6A7259FE"/>
    <w:rsid w:val="6BD5389D"/>
    <w:rsid w:val="6C237085"/>
    <w:rsid w:val="6C2C5E8B"/>
    <w:rsid w:val="6CB87914"/>
    <w:rsid w:val="6D2D20B0"/>
    <w:rsid w:val="6D546D91"/>
    <w:rsid w:val="6DB227EA"/>
    <w:rsid w:val="6DF1283E"/>
    <w:rsid w:val="6E7C4C25"/>
    <w:rsid w:val="6F9D51FA"/>
    <w:rsid w:val="70146E4D"/>
    <w:rsid w:val="70265F41"/>
    <w:rsid w:val="70AC404F"/>
    <w:rsid w:val="711C12C9"/>
    <w:rsid w:val="717B788E"/>
    <w:rsid w:val="72097D64"/>
    <w:rsid w:val="72DF47CE"/>
    <w:rsid w:val="73090EC9"/>
    <w:rsid w:val="738B18DE"/>
    <w:rsid w:val="73E83F70"/>
    <w:rsid w:val="743326A2"/>
    <w:rsid w:val="748C6ECA"/>
    <w:rsid w:val="753268AD"/>
    <w:rsid w:val="75862CA5"/>
    <w:rsid w:val="75CF354A"/>
    <w:rsid w:val="763545D6"/>
    <w:rsid w:val="764D0115"/>
    <w:rsid w:val="768F16E6"/>
    <w:rsid w:val="76FA74A7"/>
    <w:rsid w:val="77A60AE3"/>
    <w:rsid w:val="77C16217"/>
    <w:rsid w:val="78284F36"/>
    <w:rsid w:val="786D3CA8"/>
    <w:rsid w:val="787E5EB6"/>
    <w:rsid w:val="7CC95F74"/>
    <w:rsid w:val="7D87580C"/>
    <w:rsid w:val="7DB859C6"/>
    <w:rsid w:val="7E40793A"/>
    <w:rsid w:val="7E533BCF"/>
    <w:rsid w:val="7EB42DF2"/>
    <w:rsid w:val="7EE66483"/>
    <w:rsid w:val="7F833DB1"/>
    <w:rsid w:val="7FA2406C"/>
    <w:rsid w:val="7FA93EFB"/>
    <w:rsid w:val="7FEE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qFormat/>
    <w:uiPriority w:val="9"/>
    <w:pPr>
      <w:outlineLvl w:val="0"/>
    </w:pPr>
    <w:rPr>
      <w:sz w:val="28"/>
    </w:rPr>
  </w:style>
  <w:style w:type="paragraph" w:styleId="4">
    <w:name w:val="heading 2"/>
    <w:basedOn w:val="1"/>
    <w:next w:val="1"/>
    <w:link w:val="41"/>
    <w:unhideWhenUsed/>
    <w:qFormat/>
    <w:uiPriority w:val="9"/>
    <w:pPr>
      <w:keepNext/>
      <w:keepLines/>
      <w:spacing w:before="260" w:after="260" w:line="360" w:lineRule="auto"/>
      <w:outlineLvl w:val="1"/>
    </w:pPr>
    <w:rPr>
      <w:rFonts w:asciiTheme="majorHAnsi" w:hAnsiTheme="majorHAnsi" w:eastAsiaTheme="majorEastAsia" w:cstheme="majorBidi"/>
      <w:b/>
      <w:bCs/>
      <w:sz w:val="24"/>
      <w:szCs w:val="32"/>
    </w:rPr>
  </w:style>
  <w:style w:type="paragraph" w:styleId="2">
    <w:name w:val="heading 3"/>
    <w:basedOn w:val="1"/>
    <w:next w:val="1"/>
    <w:unhideWhenUsed/>
    <w:qFormat/>
    <w:uiPriority w:val="9"/>
    <w:pPr>
      <w:keepNext/>
      <w:keepLines/>
      <w:spacing w:before="260" w:after="260" w:line="360" w:lineRule="auto"/>
      <w:ind w:firstLine="200" w:firstLineChars="200"/>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qFormat/>
    <w:uiPriority w:val="99"/>
    <w:pPr>
      <w:jc w:val="left"/>
    </w:pPr>
  </w:style>
  <w:style w:type="paragraph" w:styleId="10">
    <w:name w:val="Body Text"/>
    <w:basedOn w:val="1"/>
    <w:qFormat/>
    <w:uiPriority w:val="1"/>
    <w:pPr>
      <w:ind w:left="118"/>
      <w:jc w:val="left"/>
    </w:pPr>
    <w:rPr>
      <w:rFonts w:ascii="宋体" w:hAnsi="宋体"/>
      <w:kern w:val="0"/>
      <w:sz w:val="24"/>
      <w:lang w:eastAsia="en-US"/>
    </w:rPr>
  </w:style>
  <w:style w:type="paragraph" w:styleId="11">
    <w:name w:val="Body Text Indent"/>
    <w:basedOn w:val="1"/>
    <w:qFormat/>
    <w:uiPriority w:val="0"/>
    <w:pPr>
      <w:spacing w:after="120"/>
      <w:ind w:left="420" w:leftChars="200"/>
    </w:pPr>
  </w:style>
  <w:style w:type="paragraph" w:styleId="12">
    <w:name w:val="Plain Text"/>
    <w:basedOn w:val="1"/>
    <w:qFormat/>
    <w:uiPriority w:val="99"/>
    <w:rPr>
      <w:rFonts w:ascii="宋体" w:hAnsi="Courier New"/>
      <w:szCs w:val="20"/>
    </w:rPr>
  </w:style>
  <w:style w:type="paragraph" w:styleId="13">
    <w:name w:val="Date"/>
    <w:basedOn w:val="1"/>
    <w:next w:val="1"/>
    <w:qFormat/>
    <w:uiPriority w:val="0"/>
    <w:pPr>
      <w:ind w:left="100" w:leftChars="2500"/>
    </w:pPr>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lang w:val="zh-CN"/>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List"/>
    <w:basedOn w:val="1"/>
    <w:qFormat/>
    <w:uiPriority w:val="0"/>
    <w:pPr>
      <w:ind w:left="200" w:hanging="200" w:hangingChars="200"/>
    </w:pPr>
    <w:rPr>
      <w:sz w:val="28"/>
    </w:rPr>
  </w:style>
  <w:style w:type="paragraph" w:styleId="17">
    <w:name w:val="Normal (Web)"/>
    <w:basedOn w:val="1"/>
    <w:qFormat/>
    <w:uiPriority w:val="0"/>
    <w:pPr>
      <w:jc w:val="left"/>
    </w:pPr>
    <w:rPr>
      <w:kern w:val="0"/>
      <w:sz w:val="24"/>
    </w:rPr>
  </w:style>
  <w:style w:type="paragraph" w:styleId="18">
    <w:name w:val="Body Text First Indent"/>
    <w:basedOn w:val="10"/>
    <w:qFormat/>
    <w:uiPriority w:val="0"/>
    <w:pPr>
      <w:spacing w:after="120"/>
      <w:ind w:firstLine="420" w:firstLineChars="100"/>
    </w:pPr>
    <w:rPr>
      <w:sz w:val="21"/>
    </w:rPr>
  </w:style>
  <w:style w:type="paragraph" w:styleId="19">
    <w:name w:val="Body Text First Indent 2"/>
    <w:basedOn w:val="10"/>
    <w:next w:val="18"/>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20"/>
    <w:rPr>
      <w:i/>
      <w:iCs/>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首行缩进"/>
    <w:basedOn w:val="1"/>
    <w:qFormat/>
    <w:uiPriority w:val="0"/>
    <w:pPr>
      <w:ind w:firstLine="480" w:firstLineChars="200"/>
    </w:pPr>
  </w:style>
  <w:style w:type="paragraph" w:customStyle="1" w:styleId="37">
    <w:name w:val="1"/>
    <w:basedOn w:val="1"/>
    <w:next w:val="12"/>
    <w:qFormat/>
    <w:uiPriority w:val="0"/>
    <w:rPr>
      <w:rFonts w:ascii="宋体" w:hAnsi="Courier New"/>
      <w:szCs w:val="20"/>
    </w:rPr>
  </w:style>
  <w:style w:type="character" w:customStyle="1" w:styleId="38">
    <w:name w:val="font51"/>
    <w:basedOn w:val="22"/>
    <w:qFormat/>
    <w:uiPriority w:val="0"/>
    <w:rPr>
      <w:rFonts w:hint="eastAsia" w:ascii="仿宋" w:hAnsi="仿宋" w:eastAsia="仿宋" w:cs="仿宋"/>
      <w:color w:val="000000"/>
      <w:sz w:val="21"/>
      <w:szCs w:val="21"/>
      <w:u w:val="none"/>
    </w:rPr>
  </w:style>
  <w:style w:type="character" w:customStyle="1" w:styleId="39">
    <w:name w:val="font91"/>
    <w:basedOn w:val="22"/>
    <w:qFormat/>
    <w:uiPriority w:val="0"/>
    <w:rPr>
      <w:rFonts w:ascii="宋体" w:hAnsi="宋体" w:eastAsia="宋体" w:cs="宋体"/>
      <w:color w:val="000000"/>
      <w:sz w:val="21"/>
      <w:szCs w:val="21"/>
      <w:u w:val="none"/>
    </w:rPr>
  </w:style>
  <w:style w:type="character" w:customStyle="1" w:styleId="40">
    <w:name w:val="font71"/>
    <w:basedOn w:val="22"/>
    <w:qFormat/>
    <w:uiPriority w:val="0"/>
    <w:rPr>
      <w:rFonts w:hint="eastAsia" w:ascii="仿宋" w:hAnsi="仿宋" w:eastAsia="仿宋" w:cs="仿宋"/>
      <w:color w:val="FF0000"/>
      <w:sz w:val="21"/>
      <w:szCs w:val="21"/>
      <w:u w:val="none"/>
    </w:rPr>
  </w:style>
  <w:style w:type="character" w:customStyle="1" w:styleId="41">
    <w:name w:val="标题 2 Char"/>
    <w:basedOn w:val="22"/>
    <w:link w:val="4"/>
    <w:qFormat/>
    <w:uiPriority w:val="0"/>
    <w:rPr>
      <w:rFonts w:asciiTheme="majorHAnsi" w:hAnsiTheme="majorHAnsi" w:eastAsiaTheme="majorEastAsia" w:cstheme="majorBidi"/>
      <w:b/>
      <w:bCs/>
      <w:sz w:val="24"/>
      <w:szCs w:val="32"/>
    </w:rPr>
  </w:style>
  <w:style w:type="character" w:customStyle="1" w:styleId="42">
    <w:name w:val="font41"/>
    <w:basedOn w:val="22"/>
    <w:qFormat/>
    <w:uiPriority w:val="0"/>
    <w:rPr>
      <w:rFonts w:hint="eastAsia" w:ascii="仿宋" w:hAnsi="仿宋" w:eastAsia="仿宋" w:cs="仿宋"/>
      <w:color w:val="000000"/>
      <w:sz w:val="20"/>
      <w:szCs w:val="20"/>
      <w:u w:val="none"/>
    </w:rPr>
  </w:style>
  <w:style w:type="character" w:customStyle="1" w:styleId="43">
    <w:name w:val="font101"/>
    <w:basedOn w:val="22"/>
    <w:qFormat/>
    <w:uiPriority w:val="0"/>
    <w:rPr>
      <w:rFonts w:ascii="宋体" w:hAnsi="宋体" w:eastAsia="宋体" w:cs="宋体"/>
      <w:color w:val="000000"/>
      <w:sz w:val="20"/>
      <w:szCs w:val="20"/>
      <w:u w:val="none"/>
    </w:rPr>
  </w:style>
  <w:style w:type="paragraph" w:customStyle="1" w:styleId="44">
    <w:name w:val="Table Paragraph"/>
    <w:basedOn w:val="1"/>
    <w:qFormat/>
    <w:uiPriority w:val="1"/>
    <w:pPr>
      <w:jc w:val="left"/>
    </w:pPr>
    <w:rPr>
      <w:kern w:val="0"/>
      <w:sz w:val="22"/>
      <w:lang w:eastAsia="en-US"/>
    </w:rPr>
  </w:style>
  <w:style w:type="character" w:customStyle="1" w:styleId="45">
    <w:name w:val="layui-layer-tabnow"/>
    <w:basedOn w:val="22"/>
    <w:qFormat/>
    <w:uiPriority w:val="0"/>
    <w:rPr>
      <w:bdr w:val="single" w:color="CCCCCC" w:sz="6" w:space="0"/>
      <w:shd w:val="clear" w:color="auto" w:fill="FFFFFF"/>
    </w:rPr>
  </w:style>
  <w:style w:type="character" w:customStyle="1" w:styleId="46">
    <w:name w:val="first-chil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53353</Words>
  <Characters>59212</Characters>
  <Lines>422</Lines>
  <Paragraphs>118</Paragraphs>
  <TotalTime>40</TotalTime>
  <ScaleCrop>false</ScaleCrop>
  <LinksUpToDate>false</LinksUpToDate>
  <CharactersWithSpaces>60544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2021-10-11T01:03:00Z</dcterms:created>
  <dc:creator>ZX.L</dc:creator>
  <cp:lastModifiedBy>微信用户</cp:lastModifiedBy>
  <cp:lastPrinted>2022-01-28T09:49:00Z</cp:lastPrinted>
  <dcterms:modified xsi:type="dcterms:W3CDTF">2025-05-21T02:16:36Z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143E729145434A69A86FB3F92E1D8D36_13</vt:lpwstr>
  </property>
  <property fmtid="{D5CDD505-2E9C-101B-9397-08002B2CF9AE}" pid="4" name="KSOTemplateDocerSaveRecord">
    <vt:lpwstr>eyJoZGlkIjoiNjRiNDA3ZDIwYmQyZDBhZDE1MDQ2ODk0Y2IwYWI5OTIiLCJ1c2VySWQiOiIxMzU2MTI2MzQ5In0=</vt:lpwstr>
  </property>
</Properties>
</file>