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36162">
      <w:pPr>
        <w:pStyle w:val="18"/>
        <w:spacing w:line="20" w:lineRule="exact"/>
        <w:ind w:left="630"/>
        <w:jc w:val="center"/>
        <w:rPr>
          <w:color w:val="auto"/>
          <w:sz w:val="44"/>
          <w:szCs w:val="44"/>
        </w:rPr>
      </w:pPr>
    </w:p>
    <w:p w14:paraId="6AF6112A">
      <w:pPr>
        <w:bidi w:val="0"/>
        <w:jc w:val="center"/>
        <w:rPr>
          <w:rFonts w:hint="eastAsia"/>
          <w:b/>
          <w:bCs/>
          <w:color w:val="auto"/>
          <w:sz w:val="44"/>
          <w:szCs w:val="44"/>
          <w:lang w:eastAsia="zh-CN"/>
        </w:rPr>
      </w:pPr>
      <w:bookmarkStart w:id="0" w:name="OLE_LINK23"/>
    </w:p>
    <w:p w14:paraId="36BA87B1">
      <w:pPr>
        <w:pStyle w:val="24"/>
        <w:tabs>
          <w:tab w:val="left" w:pos="0"/>
          <w:tab w:val="left" w:pos="7560"/>
        </w:tabs>
        <w:jc w:val="center"/>
        <w:rPr>
          <w:rFonts w:hint="eastAsia" w:ascii="华文新魏" w:hAnsi="华文新魏" w:eastAsia="华文新魏" w:cs="华文新魏"/>
          <w:b/>
          <w:bCs/>
          <w:color w:val="auto"/>
          <w:sz w:val="52"/>
          <w:szCs w:val="52"/>
          <w:lang w:eastAsia="zh-CN"/>
        </w:rPr>
      </w:pPr>
      <w:r>
        <w:rPr>
          <w:rFonts w:hint="eastAsia" w:ascii="华文新魏" w:hAnsi="华文新魏" w:eastAsia="华文新魏" w:cs="华文新魏"/>
          <w:b/>
          <w:bCs/>
          <w:color w:val="auto"/>
          <w:sz w:val="52"/>
          <w:szCs w:val="52"/>
          <w:lang w:eastAsia="zh-CN"/>
        </w:rPr>
        <w:t>广西鑫磐工程项目管理有限责任公司</w:t>
      </w:r>
    </w:p>
    <w:p w14:paraId="26AEBA36">
      <w:pPr>
        <w:pStyle w:val="5"/>
        <w:rPr>
          <w:rFonts w:hint="eastAsia"/>
          <w:color w:val="auto"/>
          <w:lang w:eastAsia="zh-CN"/>
        </w:rPr>
      </w:pPr>
    </w:p>
    <w:p w14:paraId="2E451949">
      <w:pPr>
        <w:pStyle w:val="24"/>
        <w:tabs>
          <w:tab w:val="left" w:pos="0"/>
          <w:tab w:val="left" w:pos="7560"/>
        </w:tabs>
        <w:jc w:val="center"/>
        <w:rPr>
          <w:rFonts w:hAnsi="宋体"/>
          <w:b/>
          <w:color w:val="auto"/>
          <w:sz w:val="30"/>
          <w:szCs w:val="30"/>
        </w:rPr>
      </w:pPr>
      <w:r>
        <w:rPr>
          <w:rFonts w:hint="eastAsia" w:ascii="华文新魏" w:hAnsi="华文新魏" w:eastAsia="华文新魏" w:cs="华文新魏"/>
          <w:b/>
          <w:bCs/>
          <w:color w:val="auto"/>
          <w:sz w:val="72"/>
          <w:szCs w:val="72"/>
        </w:rPr>
        <w:t>竞争性磋商</w:t>
      </w:r>
      <w:r>
        <w:rPr>
          <w:rFonts w:hint="eastAsia" w:ascii="华文新魏" w:hAnsi="华文新魏" w:eastAsia="华文新魏" w:cs="华文新魏"/>
          <w:b/>
          <w:color w:val="auto"/>
          <w:sz w:val="72"/>
          <w:szCs w:val="72"/>
        </w:rPr>
        <w:t>采购文件</w:t>
      </w:r>
      <w:bookmarkEnd w:id="0"/>
    </w:p>
    <w:p w14:paraId="780C90E1">
      <w:pPr>
        <w:pStyle w:val="24"/>
        <w:ind w:firstLine="1687" w:firstLineChars="700"/>
        <w:rPr>
          <w:rFonts w:hAnsi="宋体"/>
          <w:b/>
          <w:color w:val="auto"/>
          <w:sz w:val="24"/>
          <w:szCs w:val="24"/>
        </w:rPr>
      </w:pPr>
    </w:p>
    <w:p w14:paraId="2F9C9238">
      <w:pPr>
        <w:pStyle w:val="24"/>
        <w:ind w:firstLine="1687" w:firstLineChars="700"/>
        <w:rPr>
          <w:rFonts w:hAnsi="宋体"/>
          <w:b/>
          <w:color w:val="auto"/>
          <w:sz w:val="24"/>
          <w:szCs w:val="24"/>
        </w:rPr>
      </w:pPr>
    </w:p>
    <w:p w14:paraId="402E7CC8">
      <w:pPr>
        <w:pStyle w:val="24"/>
        <w:ind w:firstLine="1687" w:firstLineChars="700"/>
        <w:rPr>
          <w:rFonts w:hAnsi="宋体"/>
          <w:b/>
          <w:color w:val="auto"/>
          <w:sz w:val="24"/>
          <w:szCs w:val="24"/>
        </w:rPr>
      </w:pPr>
    </w:p>
    <w:p w14:paraId="2D34F311">
      <w:pPr>
        <w:bidi w:val="0"/>
        <w:spacing w:line="360" w:lineRule="auto"/>
        <w:jc w:val="center"/>
        <w:rPr>
          <w:rFonts w:hint="eastAsia" w:ascii="Times New Roman" w:hAnsi="Times New Roman" w:eastAsia="宋体" w:cs="Times New Roman"/>
          <w:b/>
          <w:bCs/>
          <w:color w:val="auto"/>
          <w:sz w:val="32"/>
          <w:szCs w:val="32"/>
          <w:lang w:val="en-US" w:eastAsia="zh-CN"/>
        </w:rPr>
      </w:pPr>
      <w:r>
        <w:rPr>
          <w:rFonts w:hint="eastAsia" w:ascii="Times New Roman" w:hAnsi="Times New Roman" w:eastAsia="宋体" w:cs="Times New Roman"/>
          <w:b/>
          <w:bCs/>
          <w:color w:val="auto"/>
          <w:sz w:val="32"/>
          <w:szCs w:val="32"/>
          <w:lang w:val="en-US" w:eastAsia="zh-CN"/>
        </w:rPr>
        <w:t>项目名称：龙州县职业教育中心教学楼（1）维修改造工程</w:t>
      </w:r>
    </w:p>
    <w:p w14:paraId="2F789B9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360" w:rightChars="0"/>
        <w:jc w:val="center"/>
        <w:rPr>
          <w:rFonts w:hint="eastAsia" w:ascii="宋体" w:hAnsi="宋体" w:cs="宋体"/>
          <w:b/>
          <w:bCs/>
          <w:color w:val="auto"/>
          <w:sz w:val="30"/>
          <w:szCs w:val="30"/>
          <w:lang w:val="zh-CN" w:eastAsia="zh-CN"/>
        </w:rPr>
      </w:pPr>
      <w:r>
        <w:rPr>
          <w:rFonts w:hint="eastAsia" w:ascii="Times New Roman" w:hAnsi="Times New Roman" w:eastAsia="宋体" w:cs="Times New Roman"/>
          <w:b/>
          <w:bCs/>
          <w:color w:val="auto"/>
          <w:sz w:val="32"/>
          <w:szCs w:val="32"/>
          <w:lang w:val="en-US" w:eastAsia="zh-CN"/>
        </w:rPr>
        <w:t>项目编号：</w:t>
      </w:r>
      <w:bookmarkStart w:id="1" w:name="OLE_LINK2"/>
      <w:r>
        <w:rPr>
          <w:rFonts w:hint="eastAsia" w:ascii="宋体" w:hAnsi="宋体" w:cs="宋体"/>
          <w:b/>
          <w:bCs/>
          <w:color w:val="auto"/>
          <w:sz w:val="30"/>
          <w:szCs w:val="30"/>
          <w:lang w:val="zh-CN" w:eastAsia="zh-CN"/>
        </w:rPr>
        <w:t>CZZC2025-C2-230120-GXXP</w:t>
      </w:r>
    </w:p>
    <w:p w14:paraId="58A0F40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360" w:rightChars="0"/>
        <w:jc w:val="left"/>
        <w:rPr>
          <w:rFonts w:hint="default" w:ascii="宋体" w:hAnsi="宋体" w:eastAsia="宋体" w:cs="宋体"/>
          <w:color w:val="auto"/>
          <w:sz w:val="30"/>
          <w:szCs w:val="30"/>
          <w:lang w:val="en-US"/>
        </w:rPr>
      </w:pPr>
    </w:p>
    <w:bookmarkEnd w:id="1"/>
    <w:p w14:paraId="40C4BE17">
      <w:pPr>
        <w:pStyle w:val="24"/>
        <w:jc w:val="center"/>
        <w:rPr>
          <w:rFonts w:hAnsi="宋体"/>
          <w:color w:val="auto"/>
          <w:sz w:val="30"/>
          <w:szCs w:val="30"/>
        </w:rPr>
      </w:pPr>
    </w:p>
    <w:p w14:paraId="46DD7248">
      <w:pPr>
        <w:pStyle w:val="24"/>
        <w:jc w:val="center"/>
        <w:rPr>
          <w:rFonts w:hAnsi="宋体"/>
          <w:color w:val="auto"/>
          <w:sz w:val="30"/>
          <w:szCs w:val="30"/>
        </w:rPr>
      </w:pPr>
    </w:p>
    <w:p w14:paraId="2934C625">
      <w:pPr>
        <w:pStyle w:val="24"/>
        <w:jc w:val="center"/>
        <w:rPr>
          <w:rFonts w:hAnsi="宋体"/>
          <w:color w:val="auto"/>
          <w:sz w:val="30"/>
          <w:szCs w:val="30"/>
        </w:rPr>
      </w:pPr>
    </w:p>
    <w:p w14:paraId="623E8A3F">
      <w:pPr>
        <w:pStyle w:val="24"/>
        <w:jc w:val="both"/>
        <w:rPr>
          <w:rFonts w:hAnsi="宋体"/>
          <w:color w:val="auto"/>
          <w:sz w:val="30"/>
          <w:szCs w:val="30"/>
        </w:rPr>
      </w:pPr>
    </w:p>
    <w:p w14:paraId="3751B9E8">
      <w:pPr>
        <w:spacing w:line="600" w:lineRule="exact"/>
        <w:ind w:firstLine="2189" w:firstLineChars="400"/>
        <w:jc w:val="both"/>
        <w:rPr>
          <w:rFonts w:hint="eastAsia"/>
          <w:b/>
          <w:color w:val="auto"/>
          <w:spacing w:val="113"/>
          <w:sz w:val="32"/>
          <w:szCs w:val="32"/>
        </w:rPr>
      </w:pPr>
    </w:p>
    <w:p w14:paraId="2AEC9E04">
      <w:pPr>
        <w:keepNext w:val="0"/>
        <w:keepLines w:val="0"/>
        <w:pageBreakBefore w:val="0"/>
        <w:widowControl w:val="0"/>
        <w:kinsoku/>
        <w:wordWrap/>
        <w:overflowPunct/>
        <w:topLinePunct w:val="0"/>
        <w:autoSpaceDE/>
        <w:autoSpaceDN/>
        <w:bidi w:val="0"/>
        <w:adjustRightInd/>
        <w:snapToGrid/>
        <w:spacing w:line="700" w:lineRule="exact"/>
        <w:ind w:firstLine="1095" w:firstLineChars="200"/>
        <w:jc w:val="both"/>
        <w:textAlignment w:val="auto"/>
        <w:rPr>
          <w:rFonts w:hint="eastAsia"/>
          <w:b/>
          <w:color w:val="auto"/>
          <w:sz w:val="32"/>
          <w:szCs w:val="32"/>
          <w:lang w:val="zh-CN"/>
        </w:rPr>
      </w:pPr>
      <w:r>
        <w:rPr>
          <w:rFonts w:hint="eastAsia"/>
          <w:b/>
          <w:color w:val="auto"/>
          <w:spacing w:val="113"/>
          <w:sz w:val="32"/>
          <w:szCs w:val="32"/>
        </w:rPr>
        <w:t>采购单位</w:t>
      </w:r>
      <w:r>
        <w:rPr>
          <w:rFonts w:hint="eastAsia"/>
          <w:b/>
          <w:color w:val="auto"/>
          <w:sz w:val="32"/>
          <w:szCs w:val="32"/>
        </w:rPr>
        <w:t>：</w:t>
      </w:r>
      <w:r>
        <w:rPr>
          <w:rFonts w:hint="eastAsia"/>
          <w:b/>
          <w:color w:val="auto"/>
          <w:sz w:val="32"/>
          <w:szCs w:val="32"/>
          <w:lang w:val="zh-CN"/>
        </w:rPr>
        <w:t>龙州县教育局</w:t>
      </w:r>
    </w:p>
    <w:p w14:paraId="698CBB21">
      <w:pPr>
        <w:keepNext w:val="0"/>
        <w:keepLines w:val="0"/>
        <w:pageBreakBefore w:val="0"/>
        <w:widowControl w:val="0"/>
        <w:kinsoku/>
        <w:wordWrap/>
        <w:overflowPunct/>
        <w:topLinePunct w:val="0"/>
        <w:autoSpaceDE/>
        <w:autoSpaceDN/>
        <w:bidi w:val="0"/>
        <w:adjustRightInd/>
        <w:snapToGrid/>
        <w:spacing w:line="700" w:lineRule="exact"/>
        <w:ind w:firstLine="964" w:firstLineChars="300"/>
        <w:jc w:val="both"/>
        <w:textAlignment w:val="auto"/>
        <w:rPr>
          <w:rFonts w:hint="eastAsia"/>
          <w:b/>
          <w:color w:val="auto"/>
          <w:sz w:val="32"/>
          <w:szCs w:val="32"/>
          <w:lang w:eastAsia="zh-CN"/>
        </w:rPr>
      </w:pPr>
      <w:r>
        <w:rPr>
          <w:rFonts w:hint="eastAsia"/>
          <w:b/>
          <w:color w:val="auto"/>
          <w:sz w:val="32"/>
          <w:szCs w:val="32"/>
        </w:rPr>
        <w:t>采购代理机构：</w:t>
      </w:r>
      <w:r>
        <w:rPr>
          <w:rFonts w:hint="eastAsia"/>
          <w:b/>
          <w:color w:val="auto"/>
          <w:sz w:val="32"/>
          <w:szCs w:val="32"/>
          <w:lang w:eastAsia="zh-CN"/>
        </w:rPr>
        <w:t>广西鑫磐工程项目管理有限责任公司</w:t>
      </w:r>
    </w:p>
    <w:p w14:paraId="7007A413">
      <w:pPr>
        <w:keepNext w:val="0"/>
        <w:keepLines w:val="0"/>
        <w:pageBreakBefore w:val="0"/>
        <w:widowControl w:val="0"/>
        <w:kinsoku/>
        <w:wordWrap/>
        <w:overflowPunct/>
        <w:topLinePunct w:val="0"/>
        <w:autoSpaceDE/>
        <w:autoSpaceDN/>
        <w:bidi w:val="0"/>
        <w:adjustRightInd/>
        <w:snapToGrid/>
        <w:spacing w:line="700" w:lineRule="exact"/>
        <w:ind w:firstLine="964" w:firstLineChars="300"/>
        <w:jc w:val="both"/>
        <w:textAlignment w:val="auto"/>
        <w:rPr>
          <w:rFonts w:hint="eastAsia"/>
          <w:b/>
          <w:color w:val="auto"/>
          <w:sz w:val="32"/>
          <w:szCs w:val="32"/>
          <w:lang w:eastAsia="zh-CN"/>
        </w:rPr>
      </w:pPr>
    </w:p>
    <w:p w14:paraId="2958897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b/>
          <w:color w:val="auto"/>
          <w:spacing w:val="57"/>
          <w:sz w:val="30"/>
          <w:szCs w:val="30"/>
        </w:rPr>
      </w:pPr>
      <w:r>
        <w:rPr>
          <w:b/>
          <w:color w:val="auto"/>
          <w:spacing w:val="57"/>
          <w:sz w:val="30"/>
          <w:szCs w:val="30"/>
        </w:rPr>
        <w:t>20</w:t>
      </w:r>
      <w:r>
        <w:rPr>
          <w:rFonts w:hint="eastAsia"/>
          <w:b/>
          <w:color w:val="auto"/>
          <w:spacing w:val="57"/>
          <w:sz w:val="30"/>
          <w:szCs w:val="30"/>
        </w:rPr>
        <w:t>2</w:t>
      </w:r>
      <w:r>
        <w:rPr>
          <w:rFonts w:hint="eastAsia"/>
          <w:b/>
          <w:color w:val="auto"/>
          <w:spacing w:val="57"/>
          <w:sz w:val="30"/>
          <w:szCs w:val="30"/>
          <w:lang w:val="en-US" w:eastAsia="zh-CN"/>
        </w:rPr>
        <w:t>5</w:t>
      </w:r>
      <w:r>
        <w:rPr>
          <w:rFonts w:hint="eastAsia"/>
          <w:b/>
          <w:color w:val="auto"/>
          <w:spacing w:val="57"/>
          <w:sz w:val="30"/>
          <w:szCs w:val="30"/>
        </w:rPr>
        <w:t>年</w:t>
      </w:r>
      <w:r>
        <w:rPr>
          <w:rFonts w:hint="eastAsia"/>
          <w:b/>
          <w:color w:val="auto"/>
          <w:spacing w:val="57"/>
          <w:sz w:val="30"/>
          <w:szCs w:val="30"/>
          <w:lang w:val="en-US" w:eastAsia="zh-CN"/>
        </w:rPr>
        <w:t>12</w:t>
      </w:r>
      <w:r>
        <w:rPr>
          <w:rFonts w:hint="eastAsia"/>
          <w:b/>
          <w:color w:val="auto"/>
          <w:spacing w:val="57"/>
          <w:sz w:val="30"/>
          <w:szCs w:val="30"/>
        </w:rPr>
        <w:t>月</w:t>
      </w:r>
    </w:p>
    <w:p w14:paraId="658A601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b/>
          <w:color w:val="auto"/>
          <w:spacing w:val="57"/>
          <w:sz w:val="30"/>
          <w:szCs w:val="30"/>
        </w:rPr>
      </w:pPr>
    </w:p>
    <w:p w14:paraId="50176540">
      <w:pPr>
        <w:spacing w:line="1200" w:lineRule="exact"/>
        <w:jc w:val="center"/>
        <w:rPr>
          <w:rFonts w:hint="eastAsia" w:hAnsi="宋体"/>
          <w:b/>
          <w:color w:val="auto"/>
          <w:sz w:val="44"/>
        </w:rPr>
        <w:sectPr>
          <w:pgSz w:w="11906" w:h="16838"/>
          <w:pgMar w:top="1304" w:right="1344" w:bottom="1134" w:left="1304" w:header="851" w:footer="992" w:gutter="0"/>
          <w:cols w:space="720" w:num="1"/>
          <w:docGrid w:linePitch="312" w:charSpace="0"/>
        </w:sectPr>
      </w:pPr>
    </w:p>
    <w:p w14:paraId="3435A073">
      <w:pPr>
        <w:spacing w:line="1200" w:lineRule="exact"/>
        <w:jc w:val="center"/>
        <w:rPr>
          <w:rFonts w:hAnsi="宋体"/>
          <w:b/>
          <w:color w:val="auto"/>
          <w:sz w:val="44"/>
        </w:rPr>
      </w:pPr>
      <w:r>
        <w:rPr>
          <w:rFonts w:hint="eastAsia" w:hAnsi="宋体"/>
          <w:b/>
          <w:color w:val="auto"/>
          <w:sz w:val="44"/>
        </w:rPr>
        <w:t>目  录</w:t>
      </w:r>
    </w:p>
    <w:p w14:paraId="67E66EB1">
      <w:pPr>
        <w:spacing w:line="460" w:lineRule="exact"/>
        <w:jc w:val="center"/>
        <w:rPr>
          <w:rFonts w:ascii="宋体" w:hAnsi="宋体"/>
          <w:b/>
          <w:color w:val="auto"/>
          <w:sz w:val="30"/>
          <w:szCs w:val="30"/>
        </w:rPr>
      </w:pPr>
    </w:p>
    <w:p w14:paraId="0537D1EA">
      <w:pPr>
        <w:pStyle w:val="37"/>
        <w:keepNext w:val="0"/>
        <w:keepLines w:val="0"/>
        <w:pageBreakBefore w:val="0"/>
        <w:widowControl w:val="0"/>
        <w:tabs>
          <w:tab w:val="right" w:leader="dot" w:pos="9460"/>
        </w:tabs>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TOC \o "1-3" \h \z \u</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HYPERLINK \l _Toc13387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第一章 竞争性磋商公告</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_Toc13387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2</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fldChar w:fldCharType="end"/>
      </w:r>
    </w:p>
    <w:p w14:paraId="7FD69EF5">
      <w:pPr>
        <w:pStyle w:val="37"/>
        <w:keepNext w:val="0"/>
        <w:keepLines w:val="0"/>
        <w:pageBreakBefore w:val="0"/>
        <w:widowControl w:val="0"/>
        <w:tabs>
          <w:tab w:val="right" w:leader="dot" w:pos="9460"/>
        </w:tabs>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HYPERLINK \l _Toc29992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第二章  供应商须知及前附表</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_Toc29992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6</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fldChar w:fldCharType="end"/>
      </w:r>
    </w:p>
    <w:p w14:paraId="59CCDE7C">
      <w:pPr>
        <w:pStyle w:val="31"/>
        <w:keepNext w:val="0"/>
        <w:keepLines w:val="0"/>
        <w:pageBreakBefore w:val="0"/>
        <w:widowControl w:val="0"/>
        <w:tabs>
          <w:tab w:val="right" w:leader="dot" w:pos="9460"/>
          <w:tab w:val="clear" w:pos="840"/>
          <w:tab w:val="clear" w:pos="9628"/>
        </w:tabs>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HYPERLINK \l _Toc1817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第三章</w:t>
      </w:r>
      <w:r>
        <w:rPr>
          <w:rFonts w:hint="eastAsia" w:ascii="宋体" w:hAnsi="宋体" w:eastAsia="宋体" w:cs="宋体"/>
          <w:color w:val="auto"/>
          <w:sz w:val="30"/>
          <w:szCs w:val="30"/>
          <w:lang w:val="en-US" w:eastAsia="zh-CN"/>
        </w:rPr>
        <w:t xml:space="preserve"> </w:t>
      </w:r>
      <w:r>
        <w:rPr>
          <w:rFonts w:hint="eastAsia" w:ascii="宋体" w:hAnsi="宋体" w:eastAsia="宋体" w:cs="宋体"/>
          <w:color w:val="auto"/>
          <w:sz w:val="30"/>
          <w:szCs w:val="30"/>
        </w:rPr>
        <w:t>评标办法</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_Toc1817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22</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fldChar w:fldCharType="end"/>
      </w:r>
    </w:p>
    <w:p w14:paraId="282F1BFA">
      <w:pPr>
        <w:pStyle w:val="31"/>
        <w:keepNext w:val="0"/>
        <w:keepLines w:val="0"/>
        <w:pageBreakBefore w:val="0"/>
        <w:widowControl w:val="0"/>
        <w:tabs>
          <w:tab w:val="right" w:leader="dot" w:pos="9460"/>
          <w:tab w:val="clear" w:pos="840"/>
          <w:tab w:val="clear" w:pos="9628"/>
        </w:tabs>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HYPERLINK \l _Toc18266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lang w:val="en-US" w:eastAsia="zh-CN"/>
        </w:rPr>
        <w:t xml:space="preserve">第四章 </w:t>
      </w:r>
      <w:r>
        <w:rPr>
          <w:rFonts w:hint="eastAsia" w:ascii="宋体" w:hAnsi="宋体" w:eastAsia="宋体" w:cs="宋体"/>
          <w:color w:val="auto"/>
          <w:sz w:val="30"/>
          <w:szCs w:val="30"/>
        </w:rPr>
        <w:t>合同条款及格式</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_Toc18266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26</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fldChar w:fldCharType="end"/>
      </w:r>
    </w:p>
    <w:p w14:paraId="52711AED">
      <w:pPr>
        <w:pStyle w:val="31"/>
        <w:keepNext w:val="0"/>
        <w:keepLines w:val="0"/>
        <w:pageBreakBefore w:val="0"/>
        <w:widowControl w:val="0"/>
        <w:tabs>
          <w:tab w:val="right" w:leader="dot" w:pos="9460"/>
          <w:tab w:val="clear" w:pos="840"/>
          <w:tab w:val="clear" w:pos="9628"/>
        </w:tabs>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HYPERLINK \l _Toc25107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第</w:t>
      </w:r>
      <w:r>
        <w:rPr>
          <w:rFonts w:hint="eastAsia" w:ascii="宋体" w:hAnsi="宋体" w:eastAsia="宋体" w:cs="宋体"/>
          <w:color w:val="auto"/>
          <w:sz w:val="30"/>
          <w:szCs w:val="30"/>
          <w:lang w:val="en-US" w:eastAsia="zh-CN"/>
        </w:rPr>
        <w:t>五</w:t>
      </w:r>
      <w:r>
        <w:rPr>
          <w:rFonts w:hint="eastAsia" w:ascii="宋体" w:hAnsi="宋体" w:eastAsia="宋体" w:cs="宋体"/>
          <w:color w:val="auto"/>
          <w:sz w:val="30"/>
          <w:szCs w:val="30"/>
        </w:rPr>
        <w:t>章  图纸</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_Toc25107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61</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fldChar w:fldCharType="end"/>
      </w:r>
    </w:p>
    <w:p w14:paraId="229C4666">
      <w:pPr>
        <w:pStyle w:val="31"/>
        <w:keepNext w:val="0"/>
        <w:keepLines w:val="0"/>
        <w:pageBreakBefore w:val="0"/>
        <w:widowControl w:val="0"/>
        <w:tabs>
          <w:tab w:val="right" w:leader="dot" w:pos="9460"/>
          <w:tab w:val="clear" w:pos="840"/>
          <w:tab w:val="clear" w:pos="9628"/>
        </w:tabs>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HYPERLINK \l _Toc23421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第</w:t>
      </w:r>
      <w:r>
        <w:rPr>
          <w:rFonts w:hint="eastAsia" w:ascii="宋体" w:hAnsi="宋体" w:eastAsia="宋体" w:cs="宋体"/>
          <w:color w:val="auto"/>
          <w:sz w:val="30"/>
          <w:szCs w:val="30"/>
          <w:lang w:val="en-US" w:eastAsia="zh-CN"/>
        </w:rPr>
        <w:t>六</w:t>
      </w:r>
      <w:r>
        <w:rPr>
          <w:rFonts w:hint="eastAsia" w:ascii="宋体" w:hAnsi="宋体" w:eastAsia="宋体" w:cs="宋体"/>
          <w:color w:val="auto"/>
          <w:sz w:val="30"/>
          <w:szCs w:val="30"/>
        </w:rPr>
        <w:t>章  技术规范</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_Toc23421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61</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fldChar w:fldCharType="end"/>
      </w:r>
    </w:p>
    <w:p w14:paraId="160F7093">
      <w:pPr>
        <w:pStyle w:val="31"/>
        <w:keepNext w:val="0"/>
        <w:keepLines w:val="0"/>
        <w:pageBreakBefore w:val="0"/>
        <w:widowControl w:val="0"/>
        <w:tabs>
          <w:tab w:val="right" w:leader="dot" w:pos="9460"/>
          <w:tab w:val="clear" w:pos="840"/>
          <w:tab w:val="clear" w:pos="9628"/>
        </w:tabs>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HYPERLINK \l _Toc24361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第</w:t>
      </w:r>
      <w:r>
        <w:rPr>
          <w:rFonts w:hint="eastAsia" w:ascii="宋体" w:hAnsi="宋体" w:eastAsia="宋体" w:cs="宋体"/>
          <w:color w:val="auto"/>
          <w:sz w:val="30"/>
          <w:szCs w:val="30"/>
          <w:lang w:val="en-US" w:eastAsia="zh-CN"/>
        </w:rPr>
        <w:t>七</w:t>
      </w:r>
      <w:r>
        <w:rPr>
          <w:rFonts w:hint="eastAsia" w:ascii="宋体" w:hAnsi="宋体" w:eastAsia="宋体" w:cs="宋体"/>
          <w:color w:val="auto"/>
          <w:sz w:val="30"/>
          <w:szCs w:val="30"/>
        </w:rPr>
        <w:t>章</w:t>
      </w:r>
      <w:r>
        <w:rPr>
          <w:rFonts w:hint="eastAsia" w:ascii="宋体" w:hAnsi="宋体" w:eastAsia="宋体" w:cs="宋体"/>
          <w:color w:val="auto"/>
          <w:sz w:val="30"/>
          <w:szCs w:val="30"/>
          <w:lang w:val="en-US" w:eastAsia="zh-CN"/>
        </w:rPr>
        <w:t xml:space="preserve"> </w:t>
      </w:r>
      <w:r>
        <w:rPr>
          <w:rFonts w:hint="eastAsia" w:ascii="宋体" w:hAnsi="宋体" w:eastAsia="宋体" w:cs="宋体"/>
          <w:color w:val="auto"/>
          <w:sz w:val="30"/>
          <w:szCs w:val="30"/>
        </w:rPr>
        <w:t>工程量清单</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_Toc24361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61</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fldChar w:fldCharType="end"/>
      </w:r>
    </w:p>
    <w:p w14:paraId="357CFDB3">
      <w:pPr>
        <w:pStyle w:val="31"/>
        <w:keepNext w:val="0"/>
        <w:keepLines w:val="0"/>
        <w:pageBreakBefore w:val="0"/>
        <w:widowControl w:val="0"/>
        <w:tabs>
          <w:tab w:val="right" w:leader="dot" w:pos="9460"/>
          <w:tab w:val="clear" w:pos="840"/>
          <w:tab w:val="clear" w:pos="9628"/>
        </w:tabs>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HYPERLINK \l _Toc3996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第</w:t>
      </w:r>
      <w:r>
        <w:rPr>
          <w:rFonts w:hint="eastAsia" w:ascii="宋体" w:hAnsi="宋体" w:eastAsia="宋体" w:cs="宋体"/>
          <w:color w:val="auto"/>
          <w:sz w:val="30"/>
          <w:szCs w:val="30"/>
          <w:lang w:val="en-US" w:eastAsia="zh-CN"/>
        </w:rPr>
        <w:t>八</w:t>
      </w:r>
      <w:r>
        <w:rPr>
          <w:rFonts w:hint="eastAsia" w:ascii="宋体" w:hAnsi="宋体" w:eastAsia="宋体" w:cs="宋体"/>
          <w:color w:val="auto"/>
          <w:sz w:val="30"/>
          <w:szCs w:val="30"/>
        </w:rPr>
        <w:t>章  响应文件格式</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_Toc3996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64</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fldChar w:fldCharType="end"/>
      </w:r>
    </w:p>
    <w:p w14:paraId="61DD4CF2">
      <w:pPr>
        <w:pStyle w:val="3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fldChar w:fldCharType="end"/>
      </w:r>
    </w:p>
    <w:p w14:paraId="17A6ED2F">
      <w:pPr>
        <w:pStyle w:val="3"/>
        <w:spacing w:after="0" w:line="460" w:lineRule="exact"/>
        <w:jc w:val="center"/>
        <w:rPr>
          <w:rFonts w:ascii="宋体" w:hAnsi="宋体" w:eastAsia="宋体"/>
          <w:color w:val="auto"/>
          <w:szCs w:val="24"/>
        </w:rPr>
      </w:pPr>
      <w:r>
        <w:rPr>
          <w:rFonts w:hAnsi="宋体"/>
          <w:color w:val="auto"/>
          <w:sz w:val="30"/>
          <w:szCs w:val="30"/>
        </w:rPr>
        <w:br w:type="page"/>
      </w:r>
      <w:bookmarkStart w:id="2" w:name="_Toc13387"/>
      <w:r>
        <w:rPr>
          <w:rFonts w:hint="eastAsia" w:ascii="宋体" w:hAnsi="宋体" w:eastAsia="宋体"/>
          <w:color w:val="auto"/>
          <w:sz w:val="36"/>
          <w:szCs w:val="24"/>
        </w:rPr>
        <w:t>第一章 竞争性磋商公告</w:t>
      </w:r>
      <w:bookmarkEnd w:id="2"/>
    </w:p>
    <w:p w14:paraId="2CCB2371">
      <w:pPr>
        <w:rPr>
          <w:color w:val="auto"/>
        </w:rPr>
      </w:pPr>
    </w:p>
    <w:p w14:paraId="0862ED9A">
      <w:pPr>
        <w:pStyle w:val="253"/>
        <w:keepNext w:val="0"/>
        <w:keepLines w:val="0"/>
        <w:pageBreakBefore w:val="0"/>
        <w:kinsoku/>
        <w:wordWrap/>
        <w:overflowPunct/>
        <w:topLinePunct w:val="0"/>
        <w:autoSpaceDE/>
        <w:autoSpaceDN/>
        <w:bidi w:val="0"/>
        <w:adjustRightInd/>
        <w:snapToGrid/>
        <w:spacing w:line="360" w:lineRule="auto"/>
        <w:jc w:val="center"/>
        <w:textAlignment w:val="auto"/>
        <w:rPr>
          <w:rFonts w:hAnsi="宋体"/>
          <w:b/>
          <w:bCs w:val="0"/>
          <w:color w:val="auto"/>
          <w:sz w:val="24"/>
          <w:szCs w:val="24"/>
          <w:highlight w:val="none"/>
        </w:rPr>
      </w:pPr>
      <w:r>
        <w:rPr>
          <w:rFonts w:hint="eastAsia" w:hAnsi="宋体"/>
          <w:b/>
          <w:bCs w:val="0"/>
          <w:color w:val="auto"/>
          <w:sz w:val="24"/>
          <w:szCs w:val="24"/>
          <w:highlight w:val="none"/>
          <w:lang w:val="zh-CN" w:eastAsia="zh-CN"/>
        </w:rPr>
        <w:t>龙州县职业教育中心教学楼（1）维修改造工程</w:t>
      </w:r>
      <w:r>
        <w:rPr>
          <w:rFonts w:hint="eastAsia" w:hAnsi="宋体"/>
          <w:b/>
          <w:bCs w:val="0"/>
          <w:color w:val="auto"/>
          <w:sz w:val="24"/>
          <w:szCs w:val="24"/>
          <w:highlight w:val="none"/>
        </w:rPr>
        <w:t>（项目编号：</w:t>
      </w:r>
      <w:r>
        <w:rPr>
          <w:rFonts w:hint="eastAsia" w:hAnsi="宋体" w:cs="宋体"/>
          <w:b/>
          <w:bCs w:val="0"/>
          <w:color w:val="auto"/>
          <w:sz w:val="24"/>
          <w:szCs w:val="24"/>
          <w:highlight w:val="none"/>
          <w:lang w:val="en-US" w:eastAsia="zh-CN"/>
        </w:rPr>
        <w:t>CZZC2025-C2-230120-GXXP</w:t>
      </w:r>
      <w:r>
        <w:rPr>
          <w:rFonts w:hint="eastAsia" w:hAnsi="宋体"/>
          <w:b/>
          <w:bCs w:val="0"/>
          <w:color w:val="auto"/>
          <w:sz w:val="24"/>
          <w:szCs w:val="24"/>
          <w:highlight w:val="none"/>
        </w:rPr>
        <w:t>）竞争性磋商公告</w:t>
      </w:r>
    </w:p>
    <w:p w14:paraId="606604DC">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auto"/>
        <w:ind w:left="0" w:leftChars="0" w:firstLine="442" w:firstLineChars="200"/>
        <w:textAlignment w:val="auto"/>
        <w:rPr>
          <w:rFonts w:ascii="宋体" w:hAnsi="宋体"/>
          <w:color w:val="auto"/>
          <w:sz w:val="22"/>
          <w:szCs w:val="22"/>
          <w:highlight w:val="none"/>
        </w:rPr>
      </w:pPr>
      <w:r>
        <w:rPr>
          <w:rFonts w:hint="eastAsia" w:ascii="宋体" w:hAnsi="宋体"/>
          <w:b/>
          <w:bCs/>
          <w:color w:val="auto"/>
          <w:sz w:val="22"/>
          <w:szCs w:val="22"/>
          <w:highlight w:val="none"/>
        </w:rPr>
        <w:t>项目概况</w:t>
      </w:r>
    </w:p>
    <w:p w14:paraId="3D9699BE">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auto"/>
        <w:ind w:left="0" w:leftChars="0" w:firstLine="420" w:firstLineChars="200"/>
        <w:textAlignment w:val="auto"/>
        <w:rPr>
          <w:rFonts w:ascii="宋体" w:hAnsi="宋体"/>
          <w:b/>
          <w:color w:val="auto"/>
          <w:sz w:val="20"/>
          <w:szCs w:val="20"/>
          <w:highlight w:val="none"/>
        </w:rPr>
      </w:pPr>
      <w:r>
        <w:rPr>
          <w:rFonts w:hint="eastAsia" w:ascii="宋体" w:hAnsi="宋体"/>
          <w:color w:val="auto"/>
          <w:szCs w:val="21"/>
          <w:highlight w:val="none"/>
          <w:u w:val="single"/>
          <w:lang w:val="zh-CN" w:eastAsia="zh-CN"/>
        </w:rPr>
        <w:t>龙州县职业教育中心教学楼（1）维修改造工程</w:t>
      </w:r>
      <w:r>
        <w:rPr>
          <w:rFonts w:hint="eastAsia" w:ascii="宋体" w:hAnsi="宋体"/>
          <w:color w:val="auto"/>
          <w:szCs w:val="21"/>
          <w:highlight w:val="none"/>
        </w:rPr>
        <w:t>的潜在供应商须登录政采云平台（www.zcygov.cn）在“供应商入驻”完成帐号注册后，登录政采云平台“项目采购——获取采购文件”模块自行下载竞争性</w:t>
      </w:r>
      <w:r>
        <w:rPr>
          <w:rFonts w:hint="eastAsia"/>
          <w:color w:val="auto"/>
          <w:szCs w:val="21"/>
          <w:highlight w:val="none"/>
        </w:rPr>
        <w:t>磋商</w:t>
      </w:r>
      <w:r>
        <w:rPr>
          <w:rFonts w:hint="eastAsia" w:ascii="宋体" w:hAnsi="宋体"/>
          <w:color w:val="auto"/>
          <w:szCs w:val="21"/>
          <w:highlight w:val="none"/>
        </w:rPr>
        <w:t>文件，并于</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年</w:t>
      </w:r>
      <w:r>
        <w:rPr>
          <w:rFonts w:hint="eastAsia" w:ascii="宋体" w:hAnsi="宋体"/>
          <w:color w:val="auto"/>
          <w:szCs w:val="21"/>
          <w:highlight w:val="none"/>
          <w:u w:val="single"/>
          <w:lang w:val="en-US" w:eastAsia="zh-CN"/>
        </w:rPr>
        <w:t>12</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12</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09</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分</w:t>
      </w:r>
      <w:r>
        <w:rPr>
          <w:rFonts w:hint="eastAsia" w:ascii="宋体" w:hAnsi="宋体"/>
          <w:color w:val="auto"/>
          <w:szCs w:val="21"/>
          <w:highlight w:val="none"/>
        </w:rPr>
        <w:t>（北京时间）前提交响应文件。</w:t>
      </w:r>
    </w:p>
    <w:p w14:paraId="42C985E8">
      <w:pPr>
        <w:pStyle w:val="4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20"/>
        <w:jc w:val="both"/>
        <w:textAlignment w:val="auto"/>
        <w:rPr>
          <w:rFonts w:cs="宋体"/>
          <w:color w:val="auto"/>
          <w:sz w:val="21"/>
          <w:szCs w:val="21"/>
          <w:highlight w:val="none"/>
          <w:lang w:bidi="zh-CN"/>
        </w:rPr>
      </w:pPr>
      <w:r>
        <w:rPr>
          <w:rFonts w:hint="eastAsia" w:cs="宋体"/>
          <w:b/>
          <w:bCs/>
          <w:color w:val="auto"/>
          <w:sz w:val="21"/>
          <w:szCs w:val="21"/>
          <w:highlight w:val="none"/>
          <w:lang w:bidi="zh-CN"/>
        </w:rPr>
        <w:t>一、项目基本情况</w:t>
      </w:r>
    </w:p>
    <w:p w14:paraId="5CAA780A">
      <w:pPr>
        <w:pStyle w:val="4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20"/>
        <w:jc w:val="both"/>
        <w:textAlignment w:val="auto"/>
        <w:rPr>
          <w:rFonts w:hint="eastAsia" w:eastAsia="宋体" w:cs="宋体"/>
          <w:color w:val="auto"/>
          <w:sz w:val="21"/>
          <w:szCs w:val="21"/>
          <w:highlight w:val="none"/>
          <w:lang w:eastAsia="zh-CN" w:bidi="zh-CN"/>
        </w:rPr>
      </w:pPr>
      <w:r>
        <w:rPr>
          <w:rFonts w:hint="eastAsia" w:cs="宋体"/>
          <w:color w:val="auto"/>
          <w:sz w:val="21"/>
          <w:szCs w:val="21"/>
          <w:highlight w:val="none"/>
          <w:lang w:bidi="zh-CN"/>
        </w:rPr>
        <w:t>项目编号：CZZC2025-C2-230120-GXXP</w:t>
      </w:r>
    </w:p>
    <w:p w14:paraId="52909A6D">
      <w:pPr>
        <w:pStyle w:val="4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20"/>
        <w:jc w:val="both"/>
        <w:textAlignment w:val="auto"/>
        <w:rPr>
          <w:rFonts w:hint="eastAsia" w:cs="宋体"/>
          <w:color w:val="auto"/>
          <w:sz w:val="21"/>
          <w:szCs w:val="21"/>
          <w:highlight w:val="none"/>
          <w:lang w:val="zh-CN" w:bidi="zh-CN"/>
        </w:rPr>
      </w:pPr>
      <w:r>
        <w:rPr>
          <w:rFonts w:hint="eastAsia" w:cs="宋体"/>
          <w:color w:val="auto"/>
          <w:sz w:val="21"/>
          <w:szCs w:val="21"/>
          <w:highlight w:val="none"/>
          <w:lang w:bidi="zh-CN"/>
        </w:rPr>
        <w:t>项目名称：</w:t>
      </w:r>
      <w:r>
        <w:rPr>
          <w:rFonts w:hint="eastAsia" w:cs="宋体"/>
          <w:color w:val="auto"/>
          <w:sz w:val="21"/>
          <w:szCs w:val="21"/>
          <w:highlight w:val="none"/>
          <w:lang w:val="zh-CN" w:eastAsia="zh-CN" w:bidi="zh-CN"/>
        </w:rPr>
        <w:t>龙州县职业教育中心教学楼（1）维修改造工程</w:t>
      </w:r>
    </w:p>
    <w:p w14:paraId="400F5FD6">
      <w:pPr>
        <w:pStyle w:val="4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20"/>
        <w:jc w:val="both"/>
        <w:textAlignment w:val="auto"/>
        <w:rPr>
          <w:rFonts w:hint="eastAsia" w:cs="宋体"/>
          <w:color w:val="auto"/>
          <w:sz w:val="21"/>
          <w:szCs w:val="21"/>
          <w:highlight w:val="none"/>
          <w:lang w:bidi="zh-CN"/>
        </w:rPr>
      </w:pPr>
      <w:r>
        <w:rPr>
          <w:rFonts w:hint="eastAsia" w:cs="宋体"/>
          <w:color w:val="auto"/>
          <w:sz w:val="21"/>
          <w:szCs w:val="21"/>
          <w:highlight w:val="none"/>
          <w:lang w:bidi="zh-CN"/>
        </w:rPr>
        <w:t xml:space="preserve">采购方式：竞争性磋商 </w:t>
      </w:r>
    </w:p>
    <w:p w14:paraId="7DB75AD8">
      <w:pPr>
        <w:pStyle w:val="4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20"/>
        <w:jc w:val="both"/>
        <w:textAlignment w:val="auto"/>
        <w:rPr>
          <w:rFonts w:hint="eastAsia" w:cs="宋体"/>
          <w:color w:val="auto"/>
          <w:sz w:val="21"/>
          <w:szCs w:val="21"/>
          <w:highlight w:val="none"/>
          <w:lang w:bidi="zh-CN"/>
        </w:rPr>
      </w:pPr>
      <w:r>
        <w:rPr>
          <w:rFonts w:hint="eastAsia" w:cs="宋体"/>
          <w:color w:val="auto"/>
          <w:sz w:val="21"/>
          <w:szCs w:val="21"/>
          <w:highlight w:val="none"/>
          <w:lang w:bidi="zh-CN"/>
        </w:rPr>
        <w:t>采购预算价：</w:t>
      </w:r>
      <w:r>
        <w:rPr>
          <w:rFonts w:hint="eastAsia" w:cs="宋体"/>
          <w:color w:val="auto"/>
          <w:sz w:val="21"/>
          <w:szCs w:val="21"/>
          <w:highlight w:val="none"/>
          <w:lang w:val="en-US" w:bidi="zh-CN"/>
        </w:rPr>
        <w:t>¥</w:t>
      </w:r>
      <w:r>
        <w:rPr>
          <w:rFonts w:hint="eastAsia" w:cs="宋体"/>
          <w:color w:val="auto"/>
          <w:sz w:val="21"/>
          <w:szCs w:val="21"/>
          <w:highlight w:val="none"/>
          <w:lang w:val="en-US" w:eastAsia="zh-CN" w:bidi="zh-CN"/>
        </w:rPr>
        <w:t>735535.00</w:t>
      </w:r>
      <w:r>
        <w:rPr>
          <w:rFonts w:hint="eastAsia" w:cs="宋体"/>
          <w:color w:val="auto"/>
          <w:sz w:val="21"/>
          <w:szCs w:val="21"/>
          <w:highlight w:val="none"/>
          <w:lang w:bidi="zh-CN"/>
        </w:rPr>
        <w:t>元</w:t>
      </w:r>
    </w:p>
    <w:p w14:paraId="692B3D65">
      <w:pPr>
        <w:pStyle w:val="41"/>
        <w:spacing w:before="0" w:beforeAutospacing="0" w:after="0" w:afterAutospacing="0" w:line="360" w:lineRule="auto"/>
        <w:ind w:firstLine="420"/>
        <w:jc w:val="both"/>
        <w:rPr>
          <w:rFonts w:hint="eastAsia" w:cs="宋体"/>
          <w:color w:val="auto"/>
          <w:sz w:val="21"/>
          <w:szCs w:val="21"/>
          <w:highlight w:val="none"/>
          <w:lang w:bidi="zh-CN"/>
        </w:rPr>
      </w:pPr>
      <w:r>
        <w:rPr>
          <w:rFonts w:hint="eastAsia" w:cs="宋体"/>
          <w:color w:val="auto"/>
          <w:sz w:val="21"/>
          <w:szCs w:val="21"/>
          <w:highlight w:val="none"/>
          <w:lang w:bidi="zh-CN"/>
        </w:rPr>
        <w:t>采购内容：</w:t>
      </w:r>
      <w:r>
        <w:rPr>
          <w:rFonts w:hint="eastAsia" w:cs="宋体"/>
          <w:color w:val="auto"/>
          <w:sz w:val="21"/>
          <w:szCs w:val="21"/>
          <w:highlight w:val="none"/>
          <w:lang w:eastAsia="zh-CN" w:bidi="zh-CN"/>
        </w:rPr>
        <w:t>主要建设内容教学楼（1）卫生间改造、墙面粉刷、铺地砖等</w:t>
      </w:r>
      <w:r>
        <w:rPr>
          <w:rFonts w:hint="eastAsia" w:cs="宋体"/>
          <w:color w:val="auto"/>
          <w:sz w:val="21"/>
          <w:szCs w:val="21"/>
          <w:highlight w:val="none"/>
          <w:lang w:bidi="zh-CN"/>
        </w:rPr>
        <w:t>施工</w:t>
      </w:r>
      <w:r>
        <w:rPr>
          <w:rFonts w:hint="eastAsia" w:ascii="宋体" w:hAnsi="宋体" w:eastAsia="宋体" w:cs="宋体"/>
          <w:color w:val="auto"/>
          <w:sz w:val="21"/>
          <w:szCs w:val="21"/>
          <w:highlight w:val="none"/>
          <w:lang w:bidi="zh-CN"/>
        </w:rPr>
        <w:t>内容，</w:t>
      </w:r>
      <w:r>
        <w:rPr>
          <w:rFonts w:hint="eastAsia" w:ascii="宋体" w:hAnsi="宋体" w:eastAsia="宋体" w:cs="宋体"/>
          <w:color w:val="auto"/>
          <w:sz w:val="21"/>
          <w:szCs w:val="21"/>
          <w:highlight w:val="none"/>
          <w:lang w:val="en-US" w:eastAsia="zh-CN" w:bidi="zh-CN"/>
        </w:rPr>
        <w:t>具体施工内容详见经评审的工程量清单和施工图纸。</w:t>
      </w:r>
    </w:p>
    <w:p w14:paraId="07E488CA">
      <w:pPr>
        <w:pStyle w:val="41"/>
        <w:spacing w:before="0" w:beforeAutospacing="0" w:after="0" w:afterAutospacing="0" w:line="360" w:lineRule="auto"/>
        <w:ind w:firstLine="420"/>
        <w:jc w:val="both"/>
        <w:rPr>
          <w:rFonts w:hint="eastAsia" w:cs="宋体"/>
          <w:color w:val="auto"/>
          <w:sz w:val="21"/>
          <w:szCs w:val="21"/>
          <w:highlight w:val="none"/>
          <w:lang w:bidi="zh-CN"/>
        </w:rPr>
      </w:pPr>
      <w:r>
        <w:rPr>
          <w:rFonts w:hint="eastAsia" w:cs="宋体"/>
          <w:color w:val="auto"/>
          <w:sz w:val="21"/>
          <w:szCs w:val="21"/>
          <w:highlight w:val="none"/>
          <w:lang w:bidi="zh-CN"/>
        </w:rPr>
        <w:t>合同履约期限：工期</w:t>
      </w:r>
      <w:r>
        <w:rPr>
          <w:rFonts w:hint="eastAsia" w:cs="宋体"/>
          <w:color w:val="auto"/>
          <w:sz w:val="21"/>
          <w:szCs w:val="21"/>
          <w:highlight w:val="none"/>
          <w:lang w:val="en-US" w:bidi="zh-CN"/>
        </w:rPr>
        <w:t>60</w:t>
      </w:r>
      <w:r>
        <w:rPr>
          <w:rFonts w:hint="eastAsia" w:cs="宋体"/>
          <w:color w:val="auto"/>
          <w:sz w:val="21"/>
          <w:szCs w:val="21"/>
          <w:highlight w:val="none"/>
          <w:lang w:bidi="zh-CN"/>
        </w:rPr>
        <w:t>日历天。</w:t>
      </w:r>
    </w:p>
    <w:p w14:paraId="40CFCB14">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二、申请人的资格要求</w:t>
      </w:r>
    </w:p>
    <w:p w14:paraId="4FD988C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267100AC">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.落实政府采购政策需满足的资格要求：本项目属于专门面向</w:t>
      </w:r>
      <w:r>
        <w:rPr>
          <w:rFonts w:hint="eastAsia" w:ascii="宋体" w:hAnsi="宋体"/>
          <w:color w:val="auto"/>
          <w:szCs w:val="21"/>
          <w:highlight w:val="none"/>
          <w:lang w:eastAsia="zh-CN"/>
        </w:rPr>
        <w:t>中小微</w:t>
      </w:r>
      <w:r>
        <w:rPr>
          <w:rFonts w:hint="eastAsia" w:ascii="宋体" w:hAnsi="宋体"/>
          <w:color w:val="auto"/>
          <w:szCs w:val="21"/>
          <w:highlight w:val="none"/>
        </w:rPr>
        <w:t>企业采购的项目；</w:t>
      </w:r>
    </w:p>
    <w:p w14:paraId="61420F4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w:t>
      </w:r>
    </w:p>
    <w:p w14:paraId="14DBD5C0">
      <w:pPr>
        <w:wordWrap w:val="0"/>
        <w:spacing w:line="360" w:lineRule="auto"/>
        <w:ind w:firstLine="420" w:firstLineChars="200"/>
        <w:rPr>
          <w:rFonts w:ascii="宋体" w:hAnsi="宋体"/>
          <w:color w:val="auto"/>
          <w:szCs w:val="21"/>
          <w:highlight w:val="none"/>
        </w:rPr>
      </w:pPr>
      <w:bookmarkStart w:id="3" w:name="_Hlk87627428"/>
      <w:r>
        <w:rPr>
          <w:rFonts w:hint="eastAsia" w:ascii="宋体" w:hAnsi="宋体"/>
          <w:color w:val="auto"/>
          <w:szCs w:val="21"/>
          <w:highlight w:val="none"/>
        </w:rPr>
        <w:t>（1）</w:t>
      </w:r>
      <w:bookmarkStart w:id="4" w:name="OLE_LINK6"/>
      <w:r>
        <w:rPr>
          <w:color w:val="auto"/>
          <w:highlight w:val="none"/>
        </w:rPr>
        <w:t>本次招标要求投标人须</w:t>
      </w:r>
      <w:r>
        <w:rPr>
          <w:rFonts w:hint="eastAsia"/>
          <w:color w:val="auto"/>
          <w:highlight w:val="none"/>
        </w:rPr>
        <w:t>具备</w:t>
      </w:r>
      <w:r>
        <w:rPr>
          <w:rFonts w:hint="eastAsia"/>
          <w:color w:val="auto"/>
          <w:highlight w:val="none"/>
          <w:lang w:eastAsia="zh-CN"/>
        </w:rPr>
        <w:t>建筑</w:t>
      </w:r>
      <w:r>
        <w:rPr>
          <w:rFonts w:hint="eastAsia"/>
          <w:color w:val="auto"/>
          <w:highlight w:val="none"/>
        </w:rPr>
        <w:t>工程施工总承包</w:t>
      </w:r>
      <w:r>
        <w:rPr>
          <w:rFonts w:hint="eastAsia" w:ascii="宋体" w:hAnsi="宋体" w:cs="宋体"/>
          <w:color w:val="auto"/>
          <w:highlight w:val="none"/>
        </w:rPr>
        <w:t>（含三级）以上资质</w:t>
      </w:r>
      <w:r>
        <w:rPr>
          <w:rFonts w:hint="eastAsia"/>
          <w:color w:val="auto"/>
          <w:highlight w:val="none"/>
        </w:rPr>
        <w:t>；</w:t>
      </w:r>
      <w:r>
        <w:rPr>
          <w:color w:val="auto"/>
          <w:highlight w:val="none"/>
        </w:rPr>
        <w:t>并在人员、设备、资金等方面具</w:t>
      </w:r>
      <w:r>
        <w:rPr>
          <w:rFonts w:hint="eastAsia"/>
          <w:color w:val="auto"/>
          <w:highlight w:val="none"/>
        </w:rPr>
        <w:t>备相</w:t>
      </w:r>
      <w:r>
        <w:rPr>
          <w:color w:val="auto"/>
          <w:highlight w:val="none"/>
        </w:rPr>
        <w:t>应的施工能力</w:t>
      </w:r>
      <w:bookmarkEnd w:id="4"/>
      <w:r>
        <w:rPr>
          <w:color w:val="auto"/>
          <w:highlight w:val="none"/>
        </w:rPr>
        <w:t>。其中，投标人拟派项目经理须</w:t>
      </w:r>
      <w:r>
        <w:rPr>
          <w:rFonts w:hint="eastAsia"/>
          <w:color w:val="auto"/>
          <w:highlight w:val="none"/>
        </w:rPr>
        <w:t>具备</w:t>
      </w:r>
      <w:r>
        <w:rPr>
          <w:rFonts w:hint="eastAsia"/>
          <w:color w:val="auto"/>
          <w:highlight w:val="none"/>
          <w:lang w:eastAsia="zh-CN"/>
        </w:rPr>
        <w:t>建筑</w:t>
      </w:r>
      <w:r>
        <w:rPr>
          <w:rFonts w:hint="eastAsia"/>
          <w:color w:val="auto"/>
          <w:highlight w:val="none"/>
        </w:rPr>
        <w:t>工程专业二级（含以上）注册建造师执业资格</w:t>
      </w:r>
      <w:r>
        <w:rPr>
          <w:color w:val="auto"/>
          <w:highlight w:val="none"/>
        </w:rPr>
        <w:t>，具备有效的安全生产考核合格证书（B类）</w:t>
      </w:r>
      <w:r>
        <w:rPr>
          <w:rFonts w:hint="eastAsia"/>
          <w:color w:val="auto"/>
          <w:highlight w:val="none"/>
        </w:rPr>
        <w:t>。</w:t>
      </w:r>
    </w:p>
    <w:bookmarkEnd w:id="3"/>
    <w:p w14:paraId="7D2F4A39">
      <w:pPr>
        <w:widowControl/>
        <w:shd w:val="clear" w:color="auto" w:fill="FFFFFF"/>
        <w:snapToGrid w:val="0"/>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rPr>
        <w:t>（2）</w:t>
      </w:r>
      <w:r>
        <w:rPr>
          <w:rFonts w:hint="eastAsia" w:ascii="宋体" w:hAnsi="宋体"/>
          <w:color w:val="auto"/>
          <w:szCs w:val="21"/>
          <w:highlight w:val="none"/>
          <w:lang w:val="zh-CN"/>
        </w:rPr>
        <w:t>不接受未按本竞争性磋商公告要求获取采购文件的供应商竞标。</w:t>
      </w:r>
    </w:p>
    <w:p w14:paraId="35095CBC">
      <w:pPr>
        <w:widowControl/>
        <w:shd w:val="clear" w:color="auto" w:fill="FFFFFF"/>
        <w:snapToGrid w:val="0"/>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w:t>
      </w:r>
      <w:r>
        <w:rPr>
          <w:rFonts w:hint="eastAsia" w:ascii="宋体" w:hAnsi="宋体"/>
          <w:color w:val="auto"/>
          <w:szCs w:val="21"/>
          <w:highlight w:val="none"/>
          <w:lang w:val="en-US" w:eastAsia="zh-CN"/>
        </w:rPr>
        <w:t>3</w:t>
      </w:r>
      <w:r>
        <w:rPr>
          <w:rFonts w:hint="eastAsia" w:ascii="宋体" w:hAnsi="宋体"/>
          <w:color w:val="auto"/>
          <w:szCs w:val="21"/>
          <w:highlight w:val="none"/>
          <w:lang w:val="zh-CN"/>
        </w:rPr>
        <w:t>）本项目不接受联合体竞标,不允许转包和分包。</w:t>
      </w:r>
    </w:p>
    <w:p w14:paraId="307EF2E5">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三、获取采购文件</w:t>
      </w:r>
    </w:p>
    <w:p w14:paraId="5605E827">
      <w:pPr>
        <w:pStyle w:val="41"/>
        <w:spacing w:before="75" w:beforeAutospacing="0" w:after="75" w:afterAutospacing="0" w:line="360" w:lineRule="auto"/>
        <w:ind w:firstLine="420"/>
        <w:jc w:val="both"/>
        <w:rPr>
          <w:color w:val="auto"/>
          <w:kern w:val="2"/>
          <w:sz w:val="21"/>
          <w:szCs w:val="21"/>
          <w:highlight w:val="none"/>
          <w:lang w:val="zh-CN"/>
        </w:rPr>
      </w:pPr>
      <w:r>
        <w:rPr>
          <w:rFonts w:hint="eastAsia"/>
          <w:color w:val="auto"/>
          <w:kern w:val="2"/>
          <w:sz w:val="21"/>
          <w:szCs w:val="21"/>
          <w:highlight w:val="none"/>
          <w:lang w:val="zh-CN"/>
        </w:rPr>
        <w:t>时间：</w:t>
      </w:r>
      <w:r>
        <w:rPr>
          <w:rFonts w:hint="eastAsia"/>
          <w:color w:val="auto"/>
          <w:kern w:val="2"/>
          <w:sz w:val="21"/>
          <w:szCs w:val="21"/>
          <w:highlight w:val="none"/>
          <w:lang w:val="en-US" w:eastAsia="zh-CN"/>
        </w:rPr>
        <w:t>2025年11月  日</w:t>
      </w:r>
      <w:r>
        <w:rPr>
          <w:rFonts w:hint="eastAsia"/>
          <w:color w:val="auto"/>
          <w:kern w:val="2"/>
          <w:sz w:val="21"/>
          <w:szCs w:val="21"/>
          <w:highlight w:val="none"/>
        </w:rPr>
        <w:t>起</w:t>
      </w:r>
      <w:r>
        <w:rPr>
          <w:rFonts w:hint="eastAsia"/>
          <w:color w:val="auto"/>
          <w:kern w:val="2"/>
          <w:sz w:val="21"/>
          <w:szCs w:val="21"/>
          <w:highlight w:val="none"/>
          <w:lang w:val="zh-CN"/>
        </w:rPr>
        <w:t>至202</w:t>
      </w:r>
      <w:r>
        <w:rPr>
          <w:rFonts w:hint="eastAsia"/>
          <w:color w:val="auto"/>
          <w:kern w:val="2"/>
          <w:sz w:val="21"/>
          <w:szCs w:val="21"/>
          <w:highlight w:val="none"/>
          <w:lang w:val="en-US" w:eastAsia="zh-CN"/>
        </w:rPr>
        <w:t>5</w:t>
      </w:r>
      <w:r>
        <w:rPr>
          <w:rFonts w:hint="eastAsia"/>
          <w:color w:val="auto"/>
          <w:kern w:val="2"/>
          <w:sz w:val="21"/>
          <w:szCs w:val="21"/>
          <w:highlight w:val="none"/>
          <w:lang w:val="zh-CN"/>
        </w:rPr>
        <w:t>年</w:t>
      </w:r>
      <w:r>
        <w:rPr>
          <w:rFonts w:hint="eastAsia"/>
          <w:color w:val="auto"/>
          <w:kern w:val="2"/>
          <w:sz w:val="21"/>
          <w:szCs w:val="21"/>
          <w:highlight w:val="none"/>
          <w:lang w:val="en-US" w:eastAsia="zh-CN"/>
        </w:rPr>
        <w:t>11</w:t>
      </w:r>
      <w:r>
        <w:rPr>
          <w:rFonts w:hint="eastAsia"/>
          <w:color w:val="auto"/>
          <w:kern w:val="2"/>
          <w:sz w:val="21"/>
          <w:szCs w:val="21"/>
          <w:highlight w:val="none"/>
          <w:lang w:val="zh-CN"/>
        </w:rPr>
        <w:t>月</w:t>
      </w:r>
      <w:r>
        <w:rPr>
          <w:rFonts w:hint="eastAsia"/>
          <w:color w:val="auto"/>
          <w:kern w:val="2"/>
          <w:sz w:val="21"/>
          <w:szCs w:val="21"/>
          <w:highlight w:val="none"/>
          <w:lang w:val="en-US" w:eastAsia="zh-CN"/>
        </w:rPr>
        <w:t xml:space="preserve">  </w:t>
      </w:r>
      <w:r>
        <w:rPr>
          <w:rFonts w:hint="eastAsia"/>
          <w:color w:val="auto"/>
          <w:kern w:val="2"/>
          <w:sz w:val="21"/>
          <w:szCs w:val="21"/>
          <w:highlight w:val="none"/>
          <w:lang w:val="zh-CN"/>
        </w:rPr>
        <w:t>日止（工作日），每天上午8:00至12:00，下午</w:t>
      </w:r>
      <w:r>
        <w:rPr>
          <w:rFonts w:hint="eastAsia"/>
          <w:color w:val="auto"/>
          <w:kern w:val="2"/>
          <w:sz w:val="21"/>
          <w:szCs w:val="21"/>
          <w:highlight w:val="none"/>
          <w:lang w:val="en-US" w:eastAsia="zh-CN"/>
        </w:rPr>
        <w:t>14</w:t>
      </w:r>
      <w:r>
        <w:rPr>
          <w:rFonts w:hint="eastAsia"/>
          <w:color w:val="auto"/>
          <w:kern w:val="2"/>
          <w:sz w:val="21"/>
          <w:szCs w:val="21"/>
          <w:highlight w:val="none"/>
          <w:lang w:val="zh-CN"/>
        </w:rPr>
        <w:t>:00至</w:t>
      </w:r>
      <w:r>
        <w:rPr>
          <w:rFonts w:hint="eastAsia"/>
          <w:color w:val="auto"/>
          <w:kern w:val="2"/>
          <w:sz w:val="21"/>
          <w:szCs w:val="21"/>
          <w:highlight w:val="none"/>
          <w:lang w:val="en-US" w:eastAsia="zh-CN"/>
        </w:rPr>
        <w:t>24</w:t>
      </w:r>
      <w:r>
        <w:rPr>
          <w:rFonts w:hint="eastAsia"/>
          <w:color w:val="auto"/>
          <w:kern w:val="2"/>
          <w:sz w:val="21"/>
          <w:szCs w:val="21"/>
          <w:highlight w:val="none"/>
          <w:lang w:val="zh-CN"/>
        </w:rPr>
        <w:t>:</w:t>
      </w:r>
      <w:r>
        <w:rPr>
          <w:rFonts w:hint="eastAsia"/>
          <w:color w:val="auto"/>
          <w:kern w:val="2"/>
          <w:sz w:val="21"/>
          <w:szCs w:val="21"/>
          <w:highlight w:val="none"/>
          <w:lang w:val="en-US" w:eastAsia="zh-CN"/>
        </w:rPr>
        <w:t>0</w:t>
      </w:r>
      <w:r>
        <w:rPr>
          <w:rFonts w:hint="eastAsia"/>
          <w:color w:val="auto"/>
          <w:kern w:val="2"/>
          <w:sz w:val="21"/>
          <w:szCs w:val="21"/>
          <w:highlight w:val="none"/>
          <w:lang w:val="zh-CN"/>
        </w:rPr>
        <w:t>0（北京时间，法定节假日除外）</w:t>
      </w:r>
    </w:p>
    <w:p w14:paraId="05D2985E">
      <w:pPr>
        <w:pStyle w:val="41"/>
        <w:spacing w:before="75" w:beforeAutospacing="0" w:after="75" w:afterAutospacing="0" w:line="360" w:lineRule="auto"/>
        <w:ind w:firstLine="420"/>
        <w:jc w:val="both"/>
        <w:rPr>
          <w:color w:val="auto"/>
          <w:kern w:val="2"/>
          <w:sz w:val="21"/>
          <w:szCs w:val="21"/>
          <w:highlight w:val="none"/>
          <w:lang w:val="zh-CN"/>
        </w:rPr>
      </w:pPr>
      <w:r>
        <w:rPr>
          <w:rFonts w:hint="eastAsia"/>
          <w:color w:val="auto"/>
          <w:kern w:val="2"/>
          <w:sz w:val="21"/>
          <w:szCs w:val="21"/>
          <w:highlight w:val="none"/>
          <w:lang w:val="zh-CN"/>
        </w:rPr>
        <w:t>2.获取方式：实行供应商实名制在线免费获取竞争性磋商文件。</w:t>
      </w:r>
    </w:p>
    <w:p w14:paraId="75FB2296">
      <w:pPr>
        <w:pStyle w:val="41"/>
        <w:spacing w:before="75" w:beforeAutospacing="0" w:after="75" w:afterAutospacing="0" w:line="360" w:lineRule="auto"/>
        <w:ind w:firstLine="420"/>
        <w:jc w:val="both"/>
        <w:rPr>
          <w:color w:val="auto"/>
          <w:kern w:val="2"/>
          <w:sz w:val="21"/>
          <w:szCs w:val="21"/>
          <w:highlight w:val="none"/>
          <w:lang w:val="zh-CN"/>
        </w:rPr>
      </w:pPr>
      <w:r>
        <w:rPr>
          <w:rFonts w:hint="eastAsia"/>
          <w:color w:val="auto"/>
          <w:kern w:val="2"/>
          <w:sz w:val="21"/>
          <w:szCs w:val="21"/>
          <w:highlight w:val="none"/>
          <w:lang w:val="zh-CN"/>
        </w:rPr>
        <w:t>注：（1)供应商须登录政采云平台（www.zcygov.cn）在“供应商入驻”完成帐号注册后，登录政采云平台“项目采购——获取采购文件”模块自行下载竞争性磋商文件。</w:t>
      </w:r>
    </w:p>
    <w:p w14:paraId="47186B08">
      <w:pPr>
        <w:pStyle w:val="41"/>
        <w:spacing w:before="75" w:beforeAutospacing="0" w:after="75" w:afterAutospacing="0" w:line="360" w:lineRule="auto"/>
        <w:ind w:firstLine="420"/>
        <w:jc w:val="both"/>
        <w:rPr>
          <w:color w:val="auto"/>
          <w:kern w:val="2"/>
          <w:sz w:val="21"/>
          <w:szCs w:val="21"/>
          <w:highlight w:val="none"/>
          <w:lang w:val="zh-CN"/>
        </w:rPr>
      </w:pPr>
      <w:r>
        <w:rPr>
          <w:rFonts w:hint="eastAsia"/>
          <w:color w:val="auto"/>
          <w:kern w:val="2"/>
          <w:sz w:val="21"/>
          <w:szCs w:val="21"/>
          <w:highlight w:val="none"/>
          <w:lang w:val="zh-CN"/>
        </w:rPr>
        <w:t>(2)已获取竞争性磋商文件的供应商不等于符合本项目的供应商资格条件。</w:t>
      </w:r>
    </w:p>
    <w:p w14:paraId="5B8A5C88">
      <w:pPr>
        <w:pStyle w:val="41"/>
        <w:spacing w:before="75" w:beforeAutospacing="0" w:after="75" w:afterAutospacing="0" w:line="360" w:lineRule="auto"/>
        <w:ind w:firstLine="420"/>
        <w:jc w:val="both"/>
        <w:rPr>
          <w:color w:val="auto"/>
          <w:kern w:val="2"/>
          <w:sz w:val="21"/>
          <w:szCs w:val="21"/>
          <w:highlight w:val="none"/>
        </w:rPr>
      </w:pPr>
      <w:r>
        <w:rPr>
          <w:rFonts w:hint="eastAsia"/>
          <w:color w:val="auto"/>
          <w:kern w:val="2"/>
          <w:sz w:val="21"/>
          <w:szCs w:val="21"/>
          <w:highlight w:val="none"/>
          <w:lang w:val="zh-CN"/>
        </w:rPr>
        <w:t>(3)如在政采云平台操作过程中遇到问题或者需要技术支持，请致电政采云客服热线：400-881-7190。</w:t>
      </w:r>
    </w:p>
    <w:p w14:paraId="00D7C5A7">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提示</w:t>
      </w:r>
      <w:r>
        <w:rPr>
          <w:rFonts w:ascii="宋体" w:hAnsi="宋体" w:cs="宋体"/>
          <w:color w:val="auto"/>
          <w:kern w:val="0"/>
          <w:szCs w:val="21"/>
          <w:highlight w:val="none"/>
        </w:rPr>
        <w:t>：</w:t>
      </w:r>
    </w:p>
    <w:p w14:paraId="7F56B7C3">
      <w:pPr>
        <w:widowControl/>
        <w:numPr>
          <w:ilvl w:val="0"/>
          <w:numId w:val="2"/>
        </w:num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供应商在“政采云平台”“获取采购文件”时填写的联系人手机号应当为磋商代表的手机号。</w:t>
      </w:r>
    </w:p>
    <w:p w14:paraId="71AFA48D">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olor w:val="auto"/>
          <w:szCs w:val="21"/>
          <w:highlight w:val="none"/>
        </w:rPr>
        <w:t>2.</w:t>
      </w:r>
      <w:r>
        <w:rPr>
          <w:rFonts w:hint="eastAsia" w:ascii="宋体" w:hAnsi="宋体" w:cs="宋体"/>
          <w:color w:val="auto"/>
          <w:kern w:val="0"/>
          <w:szCs w:val="21"/>
          <w:highlight w:val="none"/>
        </w:rPr>
        <w:t>供应商</w:t>
      </w:r>
      <w:r>
        <w:rPr>
          <w:rFonts w:ascii="宋体" w:hAnsi="宋体" w:cs="宋体"/>
          <w:color w:val="auto"/>
          <w:kern w:val="0"/>
          <w:szCs w:val="21"/>
          <w:highlight w:val="none"/>
        </w:rPr>
        <w:t>只有在“政采云平台”完成获取</w:t>
      </w:r>
      <w:r>
        <w:rPr>
          <w:rFonts w:hint="eastAsia" w:ascii="宋体" w:hAnsi="宋体" w:cs="宋体"/>
          <w:color w:val="auto"/>
          <w:kern w:val="0"/>
          <w:szCs w:val="21"/>
          <w:highlight w:val="none"/>
        </w:rPr>
        <w:t>磋商</w:t>
      </w:r>
      <w:r>
        <w:rPr>
          <w:rFonts w:ascii="宋体" w:hAnsi="宋体" w:cs="宋体"/>
          <w:color w:val="auto"/>
          <w:kern w:val="0"/>
          <w:szCs w:val="21"/>
          <w:highlight w:val="none"/>
        </w:rPr>
        <w:t>文件申请并下载了</w:t>
      </w:r>
      <w:r>
        <w:rPr>
          <w:rFonts w:hint="eastAsia" w:ascii="宋体" w:hAnsi="宋体" w:cs="宋体"/>
          <w:color w:val="auto"/>
          <w:kern w:val="0"/>
          <w:szCs w:val="21"/>
          <w:highlight w:val="none"/>
        </w:rPr>
        <w:t>磋商</w:t>
      </w:r>
      <w:r>
        <w:rPr>
          <w:rFonts w:ascii="宋体" w:hAnsi="宋体" w:cs="宋体"/>
          <w:color w:val="auto"/>
          <w:kern w:val="0"/>
          <w:szCs w:val="21"/>
          <w:highlight w:val="none"/>
        </w:rPr>
        <w:t>文件后才视作依法获取</w:t>
      </w:r>
      <w:r>
        <w:rPr>
          <w:rFonts w:hint="eastAsia" w:ascii="宋体" w:hAnsi="宋体" w:cs="宋体"/>
          <w:color w:val="auto"/>
          <w:kern w:val="0"/>
          <w:szCs w:val="21"/>
          <w:highlight w:val="none"/>
        </w:rPr>
        <w:t>磋商</w:t>
      </w:r>
      <w:r>
        <w:rPr>
          <w:rFonts w:ascii="宋体" w:hAnsi="宋体" w:cs="宋体"/>
          <w:color w:val="auto"/>
          <w:kern w:val="0"/>
          <w:szCs w:val="21"/>
          <w:highlight w:val="none"/>
        </w:rPr>
        <w:t>文件（法律法规所指的</w:t>
      </w:r>
      <w:r>
        <w:rPr>
          <w:rFonts w:hint="eastAsia" w:ascii="宋体" w:hAnsi="宋体" w:cs="宋体"/>
          <w:color w:val="auto"/>
          <w:kern w:val="0"/>
          <w:szCs w:val="21"/>
          <w:highlight w:val="none"/>
        </w:rPr>
        <w:t>供应商</w:t>
      </w:r>
      <w:r>
        <w:rPr>
          <w:rFonts w:ascii="宋体" w:hAnsi="宋体" w:cs="宋体"/>
          <w:color w:val="auto"/>
          <w:kern w:val="0"/>
          <w:szCs w:val="21"/>
          <w:highlight w:val="none"/>
        </w:rPr>
        <w:t>获取</w:t>
      </w:r>
      <w:r>
        <w:rPr>
          <w:rFonts w:hint="eastAsia" w:ascii="宋体" w:hAnsi="宋体" w:cs="宋体"/>
          <w:color w:val="auto"/>
          <w:kern w:val="0"/>
          <w:szCs w:val="21"/>
          <w:highlight w:val="none"/>
        </w:rPr>
        <w:t>磋商</w:t>
      </w:r>
      <w:r>
        <w:rPr>
          <w:rFonts w:ascii="宋体" w:hAnsi="宋体" w:cs="宋体"/>
          <w:color w:val="auto"/>
          <w:kern w:val="0"/>
          <w:szCs w:val="21"/>
          <w:highlight w:val="none"/>
        </w:rPr>
        <w:t>文件时间以</w:t>
      </w:r>
      <w:r>
        <w:rPr>
          <w:rFonts w:hint="eastAsia" w:ascii="宋体" w:hAnsi="宋体" w:cs="宋体"/>
          <w:color w:val="auto"/>
          <w:kern w:val="0"/>
          <w:szCs w:val="21"/>
          <w:highlight w:val="none"/>
        </w:rPr>
        <w:t>供应商</w:t>
      </w:r>
      <w:r>
        <w:rPr>
          <w:rFonts w:ascii="宋体" w:hAnsi="宋体" w:cs="宋体"/>
          <w:color w:val="auto"/>
          <w:kern w:val="0"/>
          <w:szCs w:val="21"/>
          <w:highlight w:val="none"/>
        </w:rPr>
        <w:t>完成获取</w:t>
      </w:r>
      <w:r>
        <w:rPr>
          <w:rFonts w:hint="eastAsia" w:ascii="宋体" w:hAnsi="宋体" w:cs="宋体"/>
          <w:color w:val="auto"/>
          <w:kern w:val="0"/>
          <w:szCs w:val="21"/>
          <w:highlight w:val="none"/>
        </w:rPr>
        <w:t>磋商</w:t>
      </w:r>
      <w:r>
        <w:rPr>
          <w:rFonts w:ascii="宋体" w:hAnsi="宋体" w:cs="宋体"/>
          <w:color w:val="auto"/>
          <w:kern w:val="0"/>
          <w:szCs w:val="21"/>
          <w:highlight w:val="none"/>
        </w:rPr>
        <w:t>文件申请后下载</w:t>
      </w:r>
      <w:r>
        <w:rPr>
          <w:rFonts w:hint="eastAsia" w:ascii="宋体" w:hAnsi="宋体" w:cs="宋体"/>
          <w:color w:val="auto"/>
          <w:kern w:val="0"/>
          <w:szCs w:val="21"/>
          <w:highlight w:val="none"/>
        </w:rPr>
        <w:t>磋商</w:t>
      </w:r>
      <w:r>
        <w:rPr>
          <w:rFonts w:ascii="宋体" w:hAnsi="宋体" w:cs="宋体"/>
          <w:color w:val="auto"/>
          <w:kern w:val="0"/>
          <w:szCs w:val="21"/>
          <w:highlight w:val="none"/>
        </w:rPr>
        <w:t>文件的时间为准）</w:t>
      </w:r>
      <w:r>
        <w:rPr>
          <w:rFonts w:hint="eastAsia" w:ascii="宋体" w:hAnsi="宋体" w:cs="宋体"/>
          <w:color w:val="auto"/>
          <w:kern w:val="0"/>
          <w:szCs w:val="21"/>
          <w:highlight w:val="none"/>
        </w:rPr>
        <w:t>。</w:t>
      </w:r>
    </w:p>
    <w:p w14:paraId="2599D199">
      <w:pPr>
        <w:spacing w:line="360" w:lineRule="auto"/>
        <w:ind w:firstLine="422" w:firstLineChars="200"/>
        <w:rPr>
          <w:rFonts w:ascii="宋体" w:hAnsi="宋体"/>
          <w:b/>
          <w:color w:val="auto"/>
          <w:szCs w:val="21"/>
          <w:highlight w:val="none"/>
        </w:rPr>
      </w:pPr>
      <w:bookmarkStart w:id="5" w:name="_Hlk87630394"/>
      <w:r>
        <w:rPr>
          <w:rFonts w:hint="eastAsia" w:ascii="宋体" w:hAnsi="宋体"/>
          <w:b/>
          <w:color w:val="auto"/>
          <w:szCs w:val="21"/>
          <w:highlight w:val="none"/>
        </w:rPr>
        <w:t>四、响应文件提交</w:t>
      </w:r>
    </w:p>
    <w:p w14:paraId="148F16A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截止时间：202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12</w:t>
      </w:r>
      <w:r>
        <w:rPr>
          <w:rFonts w:hint="eastAsia" w:ascii="宋体" w:hAnsi="宋体"/>
          <w:color w:val="auto"/>
          <w:szCs w:val="21"/>
          <w:highlight w:val="none"/>
        </w:rPr>
        <w:t>月</w:t>
      </w:r>
      <w:r>
        <w:rPr>
          <w:rFonts w:hint="eastAsia" w:ascii="宋体" w:hAnsi="宋体"/>
          <w:color w:val="auto"/>
          <w:szCs w:val="21"/>
          <w:highlight w:val="none"/>
          <w:lang w:val="en-US" w:eastAsia="zh-CN"/>
        </w:rPr>
        <w:t>12</w:t>
      </w:r>
      <w:r>
        <w:rPr>
          <w:rFonts w:hint="eastAsia" w:ascii="宋体" w:hAnsi="宋体"/>
          <w:color w:val="auto"/>
          <w:szCs w:val="21"/>
          <w:highlight w:val="none"/>
        </w:rPr>
        <w:t>日</w:t>
      </w:r>
      <w:r>
        <w:rPr>
          <w:rFonts w:hint="eastAsia" w:ascii="宋体" w:hAnsi="宋体"/>
          <w:color w:val="auto"/>
          <w:szCs w:val="21"/>
          <w:highlight w:val="none"/>
          <w:lang w:val="en-US" w:eastAsia="zh-CN"/>
        </w:rPr>
        <w:t>09</w:t>
      </w:r>
      <w:r>
        <w:rPr>
          <w:rFonts w:hint="eastAsia" w:ascii="宋体" w:hAnsi="宋体"/>
          <w:color w:val="auto"/>
          <w:szCs w:val="21"/>
          <w:highlight w:val="none"/>
        </w:rPr>
        <w:t>时</w:t>
      </w:r>
      <w:r>
        <w:rPr>
          <w:rFonts w:hint="eastAsia" w:ascii="宋体" w:hAnsi="宋体"/>
          <w:color w:val="auto"/>
          <w:szCs w:val="21"/>
          <w:highlight w:val="none"/>
          <w:lang w:val="en-US" w:eastAsia="zh-CN"/>
        </w:rPr>
        <w:t>30</w:t>
      </w:r>
      <w:r>
        <w:rPr>
          <w:rFonts w:hint="eastAsia" w:ascii="宋体" w:hAnsi="宋体"/>
          <w:color w:val="auto"/>
          <w:szCs w:val="21"/>
          <w:highlight w:val="none"/>
        </w:rPr>
        <w:t>分（北京时间）。</w:t>
      </w:r>
    </w:p>
    <w:p w14:paraId="29783B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ascii="微软雅黑" w:hAnsi="微软雅黑" w:eastAsia="微软雅黑" w:cs="微软雅黑"/>
          <w:i w:val="0"/>
          <w:iCs w:val="0"/>
          <w:caps w:val="0"/>
          <w:color w:val="auto"/>
          <w:spacing w:val="0"/>
          <w:sz w:val="21"/>
          <w:szCs w:val="21"/>
          <w:highlight w:val="none"/>
        </w:rPr>
      </w:pPr>
      <w:r>
        <w:rPr>
          <w:rFonts w:hint="eastAsia" w:ascii="宋体" w:hAnsi="宋体"/>
          <w:color w:val="auto"/>
          <w:szCs w:val="21"/>
          <w:highlight w:val="none"/>
        </w:rPr>
        <w:t>地点</w:t>
      </w:r>
      <w:r>
        <w:rPr>
          <w:rFonts w:ascii="宋体" w:hAnsi="宋体"/>
          <w:color w:val="auto"/>
          <w:szCs w:val="21"/>
          <w:highlight w:val="none"/>
        </w:rPr>
        <w:t>（网址）：</w:t>
      </w:r>
      <w:r>
        <w:rPr>
          <w:rFonts w:hint="eastAsia" w:ascii="宋体" w:hAnsi="宋体" w:eastAsia="宋体" w:cs="宋体"/>
          <w:i w:val="0"/>
          <w:iCs w:val="0"/>
          <w:caps w:val="0"/>
          <w:color w:val="auto"/>
          <w:spacing w:val="0"/>
          <w:kern w:val="0"/>
          <w:sz w:val="21"/>
          <w:szCs w:val="21"/>
          <w:highlight w:val="none"/>
          <w:shd w:val="clear" w:fill="FFFFFF"/>
          <w:lang w:val="en-US" w:eastAsia="zh-CN" w:bidi="ar"/>
        </w:rPr>
        <w:t>政采云平台（https：//www.zcygov.cn/）。</w:t>
      </w:r>
    </w:p>
    <w:p w14:paraId="330FB136">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ascii="宋体" w:hAnsi="宋体"/>
          <w:b/>
          <w:color w:val="auto"/>
          <w:szCs w:val="21"/>
          <w:highlight w:val="none"/>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供应商通过CA登录“政采云”平台（https：//www.zcygov.cn/）网上招投标系统将电子响应文件加密后上传完成，实行在线磋商响应。（本项目不要求供应商到达开标现场，但供应商应派法定代表人或委托代理人准时在线出席电子开评标会议，随时关注开评标进度，如在开评标过程中有电子询标，应在规定的时间内对电子询标函进行澄清回复</w:t>
      </w:r>
    </w:p>
    <w:bookmarkEnd w:id="5"/>
    <w:p w14:paraId="78E902D9">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五、开启</w:t>
      </w:r>
    </w:p>
    <w:p w14:paraId="29FAF52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时间：202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12</w:t>
      </w:r>
      <w:r>
        <w:rPr>
          <w:rFonts w:hint="eastAsia" w:ascii="宋体" w:hAnsi="宋体"/>
          <w:color w:val="auto"/>
          <w:szCs w:val="21"/>
          <w:highlight w:val="none"/>
        </w:rPr>
        <w:t>月</w:t>
      </w:r>
      <w:r>
        <w:rPr>
          <w:rFonts w:hint="eastAsia" w:ascii="宋体" w:hAnsi="宋体"/>
          <w:color w:val="auto"/>
          <w:szCs w:val="21"/>
          <w:highlight w:val="none"/>
          <w:lang w:val="en-US" w:eastAsia="zh-CN"/>
        </w:rPr>
        <w:t>12</w:t>
      </w:r>
      <w:r>
        <w:rPr>
          <w:rFonts w:hint="eastAsia" w:ascii="宋体" w:hAnsi="宋体"/>
          <w:color w:val="auto"/>
          <w:szCs w:val="21"/>
          <w:highlight w:val="none"/>
        </w:rPr>
        <w:t>日</w:t>
      </w:r>
      <w:r>
        <w:rPr>
          <w:rFonts w:hint="eastAsia" w:ascii="宋体" w:hAnsi="宋体"/>
          <w:color w:val="auto"/>
          <w:szCs w:val="21"/>
          <w:highlight w:val="none"/>
          <w:lang w:val="en-US" w:eastAsia="zh-CN"/>
        </w:rPr>
        <w:t>09</w:t>
      </w:r>
      <w:r>
        <w:rPr>
          <w:rFonts w:hint="eastAsia" w:ascii="宋体" w:hAnsi="宋体"/>
          <w:color w:val="auto"/>
          <w:szCs w:val="21"/>
          <w:highlight w:val="none"/>
        </w:rPr>
        <w:t>时</w:t>
      </w:r>
      <w:r>
        <w:rPr>
          <w:rFonts w:hint="eastAsia" w:ascii="宋体" w:hAnsi="宋体"/>
          <w:color w:val="auto"/>
          <w:szCs w:val="21"/>
          <w:highlight w:val="none"/>
          <w:lang w:val="en-US" w:eastAsia="zh-CN"/>
        </w:rPr>
        <w:t>30</w:t>
      </w:r>
      <w:r>
        <w:rPr>
          <w:rFonts w:hint="eastAsia" w:ascii="宋体" w:hAnsi="宋体"/>
          <w:color w:val="auto"/>
          <w:szCs w:val="21"/>
          <w:highlight w:val="none"/>
        </w:rPr>
        <w:t>分（北京时间）。</w:t>
      </w:r>
    </w:p>
    <w:p w14:paraId="6977B23C">
      <w:pPr>
        <w:spacing w:line="360" w:lineRule="auto"/>
        <w:ind w:firstLine="420" w:firstLineChars="200"/>
        <w:rPr>
          <w:rFonts w:ascii="宋体" w:hAnsi="宋体"/>
          <w:color w:val="auto"/>
          <w:kern w:val="0"/>
          <w:szCs w:val="21"/>
          <w:highlight w:val="none"/>
        </w:rPr>
      </w:pPr>
      <w:r>
        <w:rPr>
          <w:rFonts w:hint="eastAsia" w:ascii="宋体" w:hAnsi="宋体"/>
          <w:color w:val="auto"/>
          <w:szCs w:val="21"/>
          <w:highlight w:val="none"/>
        </w:rPr>
        <w:t>地点</w:t>
      </w:r>
      <w:r>
        <w:rPr>
          <w:rFonts w:ascii="宋体" w:hAnsi="宋体"/>
          <w:color w:val="auto"/>
          <w:szCs w:val="21"/>
          <w:highlight w:val="none"/>
        </w:rPr>
        <w:t>（网址）</w:t>
      </w:r>
      <w:r>
        <w:rPr>
          <w:rFonts w:hint="eastAsia" w:ascii="宋体" w:hAnsi="宋体"/>
          <w:color w:val="auto"/>
          <w:szCs w:val="21"/>
          <w:highlight w:val="none"/>
        </w:rPr>
        <w:t>：</w:t>
      </w:r>
      <w:r>
        <w:rPr>
          <w:rFonts w:ascii="宋体" w:hAnsi="宋体"/>
          <w:color w:val="auto"/>
          <w:szCs w:val="21"/>
          <w:highlight w:val="none"/>
        </w:rPr>
        <w:t>通过政采云平台在线解密开启。 </w:t>
      </w:r>
    </w:p>
    <w:p w14:paraId="15EBC043">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六、公告期限：</w:t>
      </w:r>
    </w:p>
    <w:p w14:paraId="761D875F">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自本公告发布之日起</w:t>
      </w:r>
      <w:r>
        <w:rPr>
          <w:rFonts w:hint="eastAsia" w:ascii="宋体" w:hAnsi="宋体"/>
          <w:color w:val="auto"/>
          <w:kern w:val="0"/>
          <w:szCs w:val="21"/>
          <w:highlight w:val="none"/>
          <w:lang w:val="en-US" w:eastAsia="zh-CN"/>
        </w:rPr>
        <w:t>5</w:t>
      </w:r>
      <w:r>
        <w:rPr>
          <w:rFonts w:hint="eastAsia" w:ascii="宋体" w:hAnsi="宋体"/>
          <w:color w:val="auto"/>
          <w:kern w:val="0"/>
          <w:szCs w:val="21"/>
          <w:highlight w:val="none"/>
        </w:rPr>
        <w:t>个工作日。</w:t>
      </w:r>
    </w:p>
    <w:p w14:paraId="026719A7">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七、其他补充事宜：</w:t>
      </w:r>
    </w:p>
    <w:p w14:paraId="3C640C5B">
      <w:pPr>
        <w:spacing w:line="360" w:lineRule="auto"/>
        <w:ind w:left="538" w:leftChars="256" w:firstLine="0" w:firstLineChars="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1.本项目不收取投标保证金。</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2.网上查询地址</w:t>
      </w:r>
      <w:r>
        <w:rPr>
          <w:rFonts w:hint="eastAsia" w:ascii="宋体" w:hAnsi="宋体" w:cs="宋体"/>
          <w:i w:val="0"/>
          <w:iCs w:val="0"/>
          <w:caps w:val="0"/>
          <w:color w:val="auto"/>
          <w:spacing w:val="0"/>
          <w:sz w:val="21"/>
          <w:szCs w:val="21"/>
          <w:highlight w:val="none"/>
          <w:lang w:eastAsia="zh-CN"/>
        </w:rPr>
        <w:t>：</w:t>
      </w:r>
      <w:r>
        <w:rPr>
          <w:rFonts w:hint="eastAsia" w:ascii="宋体" w:hAnsi="宋体" w:eastAsia="宋体" w:cs="Times New Roman"/>
          <w:color w:val="auto"/>
          <w:szCs w:val="21"/>
          <w:highlight w:val="none"/>
        </w:rPr>
        <w:t>中国政府采购网、广西壮族自治区政府采购网、全国公共资源交易平台（广西.崇左）。</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3.本项目需要落实的政府采购政策：（1）政府采购促进中小企业发展；（2）政府采购支持采用本国产品的政策；（3）强制采购节能产品；优先采购节能产品、环境标志产品；（4）政府采购促进残疾人就业政策；（5）政府采购支持监狱企业发展。</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4.“政采云”平台电子投标相关事宜说明：</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1）本项目为全流程电子化采购项目，通过“政采云”平台（https：//www.zcygov.cn）实行在线电子投标，投标人应先安装“政采云电子投标客户端”（请自行前往“政采云”平台进行下载），并按照本项目招标文件和“政采云”平台的要求编制、加密后在投标截止时间前通过网络上传至 “政采云”平台（加密的电子投标文件是指后缀名为“jmbs”的文件），投标人在“政采云”平台提交电子投标文件时，请填写参加远程开标活动经办人联系方式。投标人登录“政采云”平台，依次进入“服务中心-项目采购-操作流程-电子招投标-政府采购项目电子交易管理操作指南-供应商”查看电子投标具体操作流程。</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陆“政采云”平台，依次进入“服务中心-入驻与配置”中查看CA数字证书办理操作流程。如在操作过程中遇到问题或者需要技术支持，请致电政采云客服热线：95763）。</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（3）CA证书在线解密：投标人投标时，需凭制作投标文件时用来加密的有效数字证书（CA认证）登录“政采云”平台电子开标大厅现场按规定时间对加密的投标文件进行解密，否则后果自负。</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政采云”平台将予以拒收。</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5.为加大政府采购支持中小企业力度，帮助政府采购中标供应商解决融资难、融资贵的问题，进一步做好线上“政采贷”融资业务工作，如供应商有需要的，详见供应商须知正文后附件：《崇左市线上“政采贷”政策告知函》、《崇左市线上“政采贷”业务流程图》、《崇左市金融机构线上“政采贷”业务办理联络表》。</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6.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0B53754">
      <w:pPr>
        <w:spacing w:line="360" w:lineRule="auto"/>
        <w:ind w:left="538" w:leftChars="256" w:firstLine="0" w:firstLineChars="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lang w:val="en-US" w:eastAsia="zh-CN"/>
        </w:rPr>
        <w:t>7.</w:t>
      </w:r>
      <w:r>
        <w:rPr>
          <w:rFonts w:hint="eastAsia" w:ascii="宋体" w:hAnsi="宋体" w:eastAsia="宋体" w:cs="宋体"/>
          <w:i w:val="0"/>
          <w:iCs w:val="0"/>
          <w:caps w:val="0"/>
          <w:color w:val="auto"/>
          <w:spacing w:val="0"/>
          <w:sz w:val="21"/>
          <w:szCs w:val="21"/>
          <w:highlight w:val="none"/>
        </w:rPr>
        <w:t>本项目实行中标后线上合同签订方式，请各供应商提前办好企业CA数字证书和企业法人证书，具体办理方式详见政采云ca办理模块。</w:t>
      </w:r>
    </w:p>
    <w:p w14:paraId="586EB639">
      <w:pPr>
        <w:spacing w:line="360" w:lineRule="auto"/>
        <w:ind w:left="538" w:leftChars="256" w:firstLine="0" w:firstLineChars="0"/>
        <w:rPr>
          <w:rFonts w:hint="eastAsia"/>
          <w:color w:val="auto"/>
          <w:highlight w:val="none"/>
        </w:rPr>
      </w:pPr>
      <w:r>
        <w:rPr>
          <w:rFonts w:hint="eastAsia" w:ascii="宋体" w:hAnsi="宋体" w:eastAsia="宋体" w:cs="宋体"/>
          <w:i w:val="0"/>
          <w:iCs w:val="0"/>
          <w:caps w:val="0"/>
          <w:color w:val="auto"/>
          <w:spacing w:val="0"/>
          <w:sz w:val="21"/>
          <w:szCs w:val="21"/>
          <w:highlight w:val="none"/>
          <w:lang w:val="en-US" w:eastAsia="zh-CN"/>
        </w:rPr>
        <w:t>8.项目</w:t>
      </w:r>
      <w:r>
        <w:rPr>
          <w:rFonts w:hint="eastAsia" w:ascii="宋体" w:hAnsi="宋体" w:eastAsia="宋体" w:cs="宋体"/>
          <w:i w:val="0"/>
          <w:iCs w:val="0"/>
          <w:caps w:val="0"/>
          <w:color w:val="auto"/>
          <w:spacing w:val="0"/>
          <w:sz w:val="21"/>
          <w:szCs w:val="21"/>
          <w:highlight w:val="none"/>
        </w:rPr>
        <w:t>实行全程电子投标且采用</w:t>
      </w:r>
      <w:r>
        <w:rPr>
          <w:rFonts w:hint="eastAsia" w:ascii="宋体" w:hAnsi="宋体" w:eastAsia="宋体" w:cs="宋体"/>
          <w:b/>
          <w:bCs/>
          <w:i w:val="0"/>
          <w:iCs w:val="0"/>
          <w:caps w:val="0"/>
          <w:color w:val="auto"/>
          <w:spacing w:val="0"/>
          <w:sz w:val="21"/>
          <w:szCs w:val="21"/>
          <w:highlight w:val="none"/>
        </w:rPr>
        <w:t>远程异地评标，</w:t>
      </w:r>
      <w:r>
        <w:rPr>
          <w:rFonts w:hint="eastAsia" w:ascii="宋体" w:hAnsi="宋体" w:eastAsia="宋体" w:cs="宋体"/>
          <w:i w:val="0"/>
          <w:iCs w:val="0"/>
          <w:caps w:val="0"/>
          <w:color w:val="auto"/>
          <w:spacing w:val="0"/>
          <w:sz w:val="21"/>
          <w:szCs w:val="21"/>
          <w:highlight w:val="none"/>
        </w:rPr>
        <w:t>评标主场设在崇左市公共资源交易中心五层评标区（崇左市江州区石景林路），分会场设在南宁市</w:t>
      </w:r>
      <w:r>
        <w:rPr>
          <w:rFonts w:hint="eastAsia" w:ascii="宋体" w:hAnsi="宋体" w:eastAsia="宋体" w:cs="宋体"/>
          <w:i w:val="0"/>
          <w:iCs w:val="0"/>
          <w:caps w:val="0"/>
          <w:color w:val="auto"/>
          <w:spacing w:val="0"/>
          <w:sz w:val="21"/>
          <w:szCs w:val="21"/>
          <w:highlight w:val="none"/>
          <w:lang w:eastAsia="zh-CN"/>
        </w:rPr>
        <w:t>青秀区枫林路</w:t>
      </w:r>
      <w:r>
        <w:rPr>
          <w:rFonts w:hint="eastAsia" w:ascii="宋体" w:hAnsi="宋体" w:eastAsia="宋体" w:cs="宋体"/>
          <w:i w:val="0"/>
          <w:iCs w:val="0"/>
          <w:caps w:val="0"/>
          <w:color w:val="auto"/>
          <w:spacing w:val="0"/>
          <w:sz w:val="21"/>
          <w:szCs w:val="21"/>
          <w:highlight w:val="none"/>
          <w:lang w:val="en-US" w:eastAsia="zh-CN"/>
        </w:rPr>
        <w:t>18号广西国资交易中心3楼</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联系人：</w:t>
      </w:r>
      <w:r>
        <w:rPr>
          <w:rFonts w:hint="eastAsia" w:ascii="宋体" w:hAnsi="宋体" w:cs="宋体"/>
          <w:i w:val="0"/>
          <w:iCs w:val="0"/>
          <w:caps w:val="0"/>
          <w:color w:val="auto"/>
          <w:spacing w:val="0"/>
          <w:sz w:val="21"/>
          <w:szCs w:val="21"/>
          <w:highlight w:val="none"/>
          <w:lang w:eastAsia="zh-CN"/>
        </w:rPr>
        <w:t>张凯</w:t>
      </w:r>
      <w:r>
        <w:rPr>
          <w:rFonts w:hint="eastAsia" w:ascii="宋体" w:hAnsi="宋体" w:eastAsia="宋体" w:cs="宋体"/>
          <w:i w:val="0"/>
          <w:iCs w:val="0"/>
          <w:caps w:val="0"/>
          <w:color w:val="auto"/>
          <w:spacing w:val="0"/>
          <w:sz w:val="21"/>
          <w:szCs w:val="21"/>
          <w:highlight w:val="none"/>
          <w:lang w:eastAsia="zh-CN"/>
        </w:rPr>
        <w:t>，</w:t>
      </w:r>
      <w:r>
        <w:rPr>
          <w:rFonts w:hint="eastAsia" w:cs="宋体" w:asciiTheme="minorEastAsia" w:hAnsiTheme="minorEastAsia" w:eastAsiaTheme="minorEastAsia"/>
          <w:color w:val="auto"/>
          <w:szCs w:val="21"/>
          <w:highlight w:val="none"/>
          <w:lang w:val="en-US" w:eastAsia="zh-CN"/>
        </w:rPr>
        <w:t>15977674154/0771-2507590</w:t>
      </w:r>
      <w:r>
        <w:rPr>
          <w:rFonts w:hint="eastAsia" w:ascii="宋体" w:hAnsi="宋体" w:eastAsia="宋体" w:cs="宋体"/>
          <w:i w:val="0"/>
          <w:iCs w:val="0"/>
          <w:caps w:val="0"/>
          <w:color w:val="auto"/>
          <w:spacing w:val="0"/>
          <w:sz w:val="21"/>
          <w:szCs w:val="21"/>
          <w:highlight w:val="none"/>
          <w:lang w:val="en-US" w:eastAsia="zh-CN"/>
        </w:rPr>
        <w:t>）。</w:t>
      </w:r>
      <w:r>
        <w:rPr>
          <w:rFonts w:hint="eastAsia" w:ascii="宋体" w:hAnsi="宋体" w:eastAsia="宋体" w:cs="宋体"/>
          <w:i w:val="0"/>
          <w:iCs w:val="0"/>
          <w:caps w:val="0"/>
          <w:color w:val="auto"/>
          <w:spacing w:val="0"/>
          <w:sz w:val="21"/>
          <w:szCs w:val="21"/>
          <w:highlight w:val="none"/>
        </w:rPr>
        <w:t> </w:t>
      </w:r>
    </w:p>
    <w:p w14:paraId="59536A0F">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八、凡对本次采购提出询问，请按以下方式联系。</w:t>
      </w:r>
    </w:p>
    <w:p w14:paraId="2F79E8C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1.采购人信息</w:t>
      </w:r>
    </w:p>
    <w:p w14:paraId="61F5C671">
      <w:pPr>
        <w:spacing w:line="360" w:lineRule="auto"/>
        <w:ind w:firstLine="420" w:firstLineChars="200"/>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eastAsia="zh-CN"/>
        </w:rPr>
        <w:t>龙州县教育局</w:t>
      </w:r>
    </w:p>
    <w:p w14:paraId="56FD713A">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地址：</w:t>
      </w:r>
      <w:r>
        <w:rPr>
          <w:rFonts w:hint="eastAsia" w:ascii="宋体" w:hAnsi="宋体" w:cs="宋体"/>
          <w:color w:val="auto"/>
          <w:sz w:val="21"/>
          <w:szCs w:val="21"/>
          <w:highlight w:val="none"/>
          <w:lang w:val="en-US" w:eastAsia="zh-CN"/>
        </w:rPr>
        <w:t>龙州龙州镇城北路34号</w:t>
      </w:r>
    </w:p>
    <w:p w14:paraId="0D0331C0">
      <w:pPr>
        <w:spacing w:line="360" w:lineRule="auto"/>
        <w:ind w:firstLine="420" w:firstLineChars="20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联系方式：</w:t>
      </w:r>
      <w:r>
        <w:rPr>
          <w:rFonts w:hint="eastAsia" w:ascii="宋体" w:hAnsi="宋体" w:cs="宋体"/>
          <w:color w:val="auto"/>
          <w:sz w:val="21"/>
          <w:szCs w:val="21"/>
          <w:highlight w:val="none"/>
          <w:lang w:val="en-US" w:eastAsia="zh-CN"/>
        </w:rPr>
        <w:t>欧主任  0771-8815910</w:t>
      </w:r>
    </w:p>
    <w:p w14:paraId="310C4E1B">
      <w:pPr>
        <w:spacing w:line="360" w:lineRule="auto"/>
        <w:ind w:firstLine="420" w:firstLineChars="200"/>
        <w:rPr>
          <w:rFonts w:ascii="宋体" w:hAnsi="宋体" w:cs="宋体"/>
          <w:color w:val="auto"/>
          <w:kern w:val="0"/>
          <w:szCs w:val="21"/>
        </w:rPr>
      </w:pPr>
      <w:r>
        <w:rPr>
          <w:rFonts w:ascii="宋体" w:hAnsi="宋体" w:cs="宋体"/>
          <w:color w:val="auto"/>
          <w:kern w:val="0"/>
          <w:szCs w:val="21"/>
        </w:rPr>
        <w:t>2.</w:t>
      </w:r>
      <w:r>
        <w:rPr>
          <w:rFonts w:hint="eastAsia" w:ascii="宋体" w:hAnsi="宋体" w:cs="宋体"/>
          <w:color w:val="auto"/>
          <w:kern w:val="0"/>
          <w:szCs w:val="21"/>
        </w:rPr>
        <w:t>采购代理机构信息</w:t>
      </w:r>
    </w:p>
    <w:p w14:paraId="4A230900">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名称：广西</w:t>
      </w:r>
      <w:r>
        <w:rPr>
          <w:rFonts w:hint="eastAsia" w:ascii="宋体" w:hAnsi="宋体" w:eastAsia="宋体" w:cs="宋体"/>
          <w:color w:val="auto"/>
          <w:kern w:val="0"/>
          <w:szCs w:val="21"/>
          <w:lang w:val="en-US" w:eastAsia="zh-CN"/>
        </w:rPr>
        <w:t>鑫磐工程项目管理</w:t>
      </w:r>
      <w:r>
        <w:rPr>
          <w:rFonts w:hint="eastAsia" w:ascii="宋体" w:hAnsi="宋体" w:eastAsia="宋体" w:cs="宋体"/>
          <w:color w:val="auto"/>
          <w:kern w:val="0"/>
          <w:szCs w:val="21"/>
        </w:rPr>
        <w:t>有限</w:t>
      </w:r>
      <w:r>
        <w:rPr>
          <w:rFonts w:hint="eastAsia" w:ascii="宋体" w:hAnsi="宋体" w:eastAsia="宋体" w:cs="宋体"/>
          <w:color w:val="auto"/>
          <w:kern w:val="0"/>
          <w:szCs w:val="21"/>
          <w:lang w:val="en-US" w:eastAsia="zh-CN"/>
        </w:rPr>
        <w:t>责任</w:t>
      </w:r>
      <w:r>
        <w:rPr>
          <w:rFonts w:hint="eastAsia" w:ascii="宋体" w:hAnsi="宋体" w:eastAsia="宋体" w:cs="宋体"/>
          <w:color w:val="auto"/>
          <w:kern w:val="0"/>
          <w:szCs w:val="21"/>
        </w:rPr>
        <w:t>公司</w:t>
      </w:r>
    </w:p>
    <w:p w14:paraId="26ED800F">
      <w:pPr>
        <w:spacing w:line="360" w:lineRule="auto"/>
        <w:ind w:firstLine="420" w:firstLineChars="200"/>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地址：南</w:t>
      </w:r>
      <w:r>
        <w:rPr>
          <w:rFonts w:hint="eastAsia" w:ascii="宋体" w:hAnsi="宋体" w:eastAsia="宋体" w:cs="宋体"/>
          <w:color w:val="auto"/>
          <w:kern w:val="0"/>
          <w:szCs w:val="21"/>
          <w:lang w:val="en-US" w:eastAsia="zh-CN"/>
        </w:rPr>
        <w:t>宁市朝阳路76号维也纳酒店副楼b725室</w:t>
      </w:r>
    </w:p>
    <w:p w14:paraId="47F14F0B">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3.项目联系方式</w:t>
      </w:r>
    </w:p>
    <w:p w14:paraId="094AFF27">
      <w:pPr>
        <w:spacing w:line="360" w:lineRule="auto"/>
        <w:ind w:firstLine="420" w:firstLineChars="200"/>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项目联系人：张工</w:t>
      </w:r>
      <w:r>
        <w:rPr>
          <w:rFonts w:hint="eastAsia" w:ascii="宋体" w:hAnsi="宋体" w:eastAsia="宋体" w:cs="宋体"/>
          <w:color w:val="auto"/>
          <w:kern w:val="0"/>
          <w:szCs w:val="21"/>
          <w:lang w:val="en-US" w:eastAsia="zh-CN"/>
        </w:rPr>
        <w:t xml:space="preserve">    </w:t>
      </w:r>
      <w:r>
        <w:rPr>
          <w:rFonts w:hint="eastAsia" w:ascii="宋体" w:hAnsi="宋体" w:eastAsia="宋体" w:cs="宋体"/>
          <w:color w:val="auto"/>
          <w:kern w:val="0"/>
          <w:szCs w:val="21"/>
        </w:rPr>
        <w:t>电话：15977674154</w:t>
      </w:r>
      <w:r>
        <w:rPr>
          <w:rFonts w:hint="eastAsia" w:ascii="宋体" w:hAnsi="宋体" w:eastAsia="宋体" w:cs="宋体"/>
          <w:color w:val="auto"/>
          <w:kern w:val="0"/>
          <w:szCs w:val="21"/>
          <w:lang w:val="en-US" w:eastAsia="zh-CN"/>
        </w:rPr>
        <w:t xml:space="preserve">     </w:t>
      </w:r>
      <w:r>
        <w:rPr>
          <w:rFonts w:hint="eastAsia" w:ascii="宋体" w:hAnsi="宋体" w:eastAsia="宋体" w:cs="宋体"/>
          <w:color w:val="auto"/>
          <w:kern w:val="0"/>
          <w:szCs w:val="21"/>
        </w:rPr>
        <w:t>0771-</w:t>
      </w:r>
      <w:r>
        <w:rPr>
          <w:rFonts w:hint="eastAsia" w:ascii="宋体" w:hAnsi="宋体" w:eastAsia="宋体" w:cs="宋体"/>
          <w:color w:val="auto"/>
          <w:kern w:val="0"/>
          <w:szCs w:val="21"/>
          <w:lang w:val="en-US" w:eastAsia="zh-CN"/>
        </w:rPr>
        <w:t xml:space="preserve">2507590 </w:t>
      </w:r>
    </w:p>
    <w:p w14:paraId="3FB5B48F">
      <w:pPr>
        <w:spacing w:line="360" w:lineRule="auto"/>
        <w:ind w:firstLine="420" w:firstLineChars="200"/>
        <w:jc w:val="right"/>
        <w:rPr>
          <w:rFonts w:ascii="宋体" w:hAnsi="宋体" w:cs="宋体"/>
          <w:color w:val="auto"/>
          <w:szCs w:val="21"/>
        </w:rPr>
      </w:pPr>
    </w:p>
    <w:p w14:paraId="3CA056B8">
      <w:pPr>
        <w:spacing w:line="360" w:lineRule="auto"/>
        <w:jc w:val="right"/>
        <w:rPr>
          <w:rFonts w:hint="eastAsia" w:ascii="宋体" w:hAnsi="宋体" w:cs="宋体"/>
          <w:color w:val="auto"/>
          <w:szCs w:val="21"/>
          <w:lang w:eastAsia="zh-CN"/>
        </w:rPr>
      </w:pPr>
      <w:r>
        <w:rPr>
          <w:rFonts w:hint="eastAsia" w:ascii="宋体" w:hAnsi="宋体" w:cs="宋体"/>
          <w:color w:val="auto"/>
          <w:szCs w:val="21"/>
          <w:lang w:eastAsia="zh-CN"/>
        </w:rPr>
        <w:t>广西鑫磐工程项目管理有限责任公司</w:t>
      </w:r>
    </w:p>
    <w:p w14:paraId="4C452ED3">
      <w:pPr>
        <w:spacing w:line="440" w:lineRule="exact"/>
        <w:jc w:val="center"/>
        <w:rPr>
          <w:rFonts w:hint="eastAsia" w:ascii="宋体" w:hAnsi="宋体"/>
          <w:color w:val="auto"/>
          <w:szCs w:val="21"/>
        </w:rPr>
      </w:pPr>
      <w:r>
        <w:rPr>
          <w:rFonts w:hint="eastAsia" w:ascii="宋体" w:hAnsi="宋体" w:cs="宋体"/>
          <w:color w:val="auto"/>
          <w:szCs w:val="21"/>
          <w:lang w:val="en-US" w:eastAsia="zh-CN"/>
        </w:rPr>
        <w:t xml:space="preserve">                                                  </w:t>
      </w:r>
      <w:r>
        <w:rPr>
          <w:rFonts w:ascii="宋体" w:hAnsi="宋体" w:cs="宋体"/>
          <w:color w:val="auto"/>
          <w:szCs w:val="21"/>
        </w:rPr>
        <w:t>202</w:t>
      </w:r>
      <w:r>
        <w:rPr>
          <w:rFonts w:hint="eastAsia" w:ascii="宋体" w:hAnsi="宋体" w:cs="宋体"/>
          <w:color w:val="auto"/>
          <w:szCs w:val="21"/>
          <w:lang w:val="en-US" w:eastAsia="zh-CN"/>
        </w:rPr>
        <w:t>5</w:t>
      </w:r>
      <w:r>
        <w:rPr>
          <w:rFonts w:hint="eastAsia" w:ascii="宋体" w:hAnsi="宋体" w:cs="宋体"/>
          <w:color w:val="auto"/>
          <w:szCs w:val="21"/>
        </w:rPr>
        <w:t>年</w:t>
      </w:r>
      <w:r>
        <w:rPr>
          <w:rFonts w:hint="eastAsia" w:ascii="宋体" w:hAnsi="宋体" w:cs="宋体"/>
          <w:color w:val="auto"/>
          <w:szCs w:val="21"/>
          <w:lang w:val="en-US" w:eastAsia="zh-CN"/>
        </w:rPr>
        <w:t>12</w:t>
      </w:r>
      <w:r>
        <w:rPr>
          <w:rFonts w:hint="eastAsia" w:ascii="宋体" w:hAnsi="宋体" w:cs="宋体"/>
          <w:color w:val="auto"/>
          <w:szCs w:val="21"/>
        </w:rPr>
        <w:t>月</w:t>
      </w:r>
      <w:r>
        <w:rPr>
          <w:rFonts w:hint="eastAsia" w:ascii="宋体" w:hAnsi="宋体" w:cs="宋体"/>
          <w:color w:val="auto"/>
          <w:szCs w:val="21"/>
          <w:lang w:val="en-US" w:eastAsia="zh-CN"/>
        </w:rPr>
        <w:t>01</w:t>
      </w:r>
      <w:r>
        <w:rPr>
          <w:rFonts w:hint="eastAsia" w:ascii="宋体" w:hAnsi="宋体" w:cs="宋体"/>
          <w:color w:val="auto"/>
          <w:szCs w:val="21"/>
        </w:rPr>
        <w:t>日</w:t>
      </w:r>
      <w:r>
        <w:rPr>
          <w:rFonts w:hint="eastAsia" w:ascii="宋体" w:hAnsi="宋体"/>
          <w:color w:val="auto"/>
          <w:szCs w:val="21"/>
        </w:rPr>
        <w:t xml:space="preserve"> </w:t>
      </w:r>
    </w:p>
    <w:p w14:paraId="63A15CCC">
      <w:pPr>
        <w:spacing w:line="440" w:lineRule="exact"/>
        <w:jc w:val="center"/>
        <w:rPr>
          <w:rFonts w:ascii="宋体" w:hAnsi="宋体" w:eastAsia="宋体"/>
          <w:color w:val="auto"/>
          <w:sz w:val="36"/>
          <w:szCs w:val="36"/>
          <w:highlight w:val="none"/>
        </w:rPr>
      </w:pPr>
      <w:r>
        <w:rPr>
          <w:rFonts w:ascii="宋体" w:hAnsi="宋体" w:eastAsia="宋体"/>
          <w:b w:val="0"/>
          <w:bCs w:val="0"/>
          <w:color w:val="auto"/>
          <w:sz w:val="24"/>
          <w:szCs w:val="24"/>
          <w:highlight w:val="none"/>
        </w:rPr>
        <w:br w:type="page"/>
      </w:r>
      <w:bookmarkStart w:id="6" w:name="_Toc29992"/>
      <w:r>
        <w:rPr>
          <w:rFonts w:hint="eastAsia" w:ascii="宋体" w:hAnsi="宋体" w:eastAsia="宋体"/>
          <w:color w:val="auto"/>
          <w:sz w:val="36"/>
          <w:szCs w:val="36"/>
          <w:highlight w:val="none"/>
        </w:rPr>
        <w:t>第二章  供应商须知及前附表</w:t>
      </w:r>
      <w:bookmarkEnd w:id="6"/>
    </w:p>
    <w:p w14:paraId="7960F38A">
      <w:pPr>
        <w:bidi w:val="0"/>
        <w:jc w:val="center"/>
        <w:rPr>
          <w:color w:val="auto"/>
          <w:sz w:val="36"/>
          <w:szCs w:val="36"/>
          <w:highlight w:val="none"/>
        </w:rPr>
      </w:pPr>
      <w:bookmarkStart w:id="7" w:name="_Toc18682802"/>
      <w:bookmarkStart w:id="8" w:name="_Toc18682862"/>
      <w:bookmarkStart w:id="9" w:name="_Toc80818614"/>
      <w:r>
        <w:rPr>
          <w:rFonts w:hint="eastAsia"/>
          <w:color w:val="auto"/>
          <w:sz w:val="36"/>
          <w:szCs w:val="36"/>
          <w:highlight w:val="none"/>
        </w:rPr>
        <w:t>前附表</w:t>
      </w:r>
      <w:bookmarkEnd w:id="7"/>
      <w:bookmarkEnd w:id="8"/>
      <w:bookmarkEnd w:id="9"/>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682"/>
        <w:gridCol w:w="6965"/>
      </w:tblGrid>
      <w:tr w14:paraId="45B7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518" w:type="dxa"/>
            <w:vAlign w:val="center"/>
          </w:tcPr>
          <w:p w14:paraId="69CC312D">
            <w:pPr>
              <w:spacing w:line="440" w:lineRule="exact"/>
              <w:jc w:val="center"/>
              <w:rPr>
                <w:rFonts w:ascii="宋体" w:hAnsi="宋体" w:cs="Courier New"/>
                <w:b/>
                <w:color w:val="auto"/>
                <w:spacing w:val="2"/>
                <w:szCs w:val="21"/>
                <w:highlight w:val="none"/>
              </w:rPr>
            </w:pPr>
            <w:bookmarkStart w:id="10" w:name="_Hlk87630531"/>
            <w:r>
              <w:rPr>
                <w:rFonts w:hint="eastAsia" w:ascii="宋体" w:hAnsi="宋体" w:cs="Courier New"/>
                <w:b/>
                <w:color w:val="auto"/>
                <w:spacing w:val="2"/>
                <w:szCs w:val="21"/>
                <w:highlight w:val="none"/>
              </w:rPr>
              <w:t>项号</w:t>
            </w:r>
          </w:p>
        </w:tc>
        <w:tc>
          <w:tcPr>
            <w:tcW w:w="1682" w:type="dxa"/>
            <w:vAlign w:val="center"/>
          </w:tcPr>
          <w:p w14:paraId="21D7C317">
            <w:pPr>
              <w:spacing w:line="440" w:lineRule="exact"/>
              <w:jc w:val="center"/>
              <w:rPr>
                <w:rFonts w:ascii="宋体" w:hAnsi="宋体" w:cs="Courier New"/>
                <w:b/>
                <w:color w:val="auto"/>
                <w:spacing w:val="2"/>
                <w:szCs w:val="21"/>
                <w:highlight w:val="none"/>
              </w:rPr>
            </w:pPr>
            <w:r>
              <w:rPr>
                <w:rFonts w:hint="eastAsia" w:ascii="宋体" w:hAnsi="宋体" w:cs="Courier New"/>
                <w:b/>
                <w:color w:val="auto"/>
                <w:spacing w:val="2"/>
                <w:szCs w:val="21"/>
                <w:highlight w:val="none"/>
              </w:rPr>
              <w:t>内容</w:t>
            </w:r>
          </w:p>
        </w:tc>
        <w:tc>
          <w:tcPr>
            <w:tcW w:w="6965" w:type="dxa"/>
            <w:vAlign w:val="center"/>
          </w:tcPr>
          <w:p w14:paraId="54607079">
            <w:pPr>
              <w:spacing w:line="440" w:lineRule="exact"/>
              <w:jc w:val="center"/>
              <w:rPr>
                <w:rFonts w:ascii="宋体" w:hAnsi="宋体" w:cs="Courier New"/>
                <w:b/>
                <w:color w:val="auto"/>
                <w:spacing w:val="2"/>
                <w:szCs w:val="21"/>
                <w:highlight w:val="none"/>
              </w:rPr>
            </w:pPr>
            <w:r>
              <w:rPr>
                <w:rFonts w:hint="eastAsia" w:ascii="宋体" w:hAnsi="宋体" w:cs="Courier New"/>
                <w:b/>
                <w:color w:val="auto"/>
                <w:spacing w:val="2"/>
                <w:szCs w:val="21"/>
                <w:highlight w:val="none"/>
              </w:rPr>
              <w:t>说明与要求</w:t>
            </w:r>
          </w:p>
        </w:tc>
      </w:tr>
      <w:tr w14:paraId="43D6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18" w:type="dxa"/>
            <w:vAlign w:val="center"/>
          </w:tcPr>
          <w:p w14:paraId="4BBC53C5">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1</w:t>
            </w:r>
          </w:p>
        </w:tc>
        <w:tc>
          <w:tcPr>
            <w:tcW w:w="1682" w:type="dxa"/>
            <w:vAlign w:val="center"/>
          </w:tcPr>
          <w:p w14:paraId="5F06C2B5">
            <w:pPr>
              <w:spacing w:line="440" w:lineRule="exact"/>
              <w:jc w:val="center"/>
              <w:rPr>
                <w:rFonts w:ascii="宋体" w:hAnsi="宋体"/>
                <w:color w:val="auto"/>
                <w:szCs w:val="21"/>
                <w:highlight w:val="none"/>
              </w:rPr>
            </w:pPr>
            <w:r>
              <w:rPr>
                <w:rFonts w:hint="eastAsia" w:ascii="宋体" w:hAnsi="宋体"/>
                <w:color w:val="auto"/>
                <w:szCs w:val="21"/>
                <w:highlight w:val="none"/>
              </w:rPr>
              <w:t>采购项目名称及编号</w:t>
            </w:r>
          </w:p>
        </w:tc>
        <w:tc>
          <w:tcPr>
            <w:tcW w:w="6965" w:type="dxa"/>
          </w:tcPr>
          <w:p w14:paraId="35126338">
            <w:pPr>
              <w:spacing w:line="440" w:lineRule="exact"/>
              <w:jc w:val="left"/>
              <w:rPr>
                <w:rFonts w:hint="eastAsia" w:ascii="Times New Roman" w:hAnsi="宋体" w:eastAsia="宋体" w:cs="Times New Roman"/>
                <w:b/>
                <w:color w:val="auto"/>
                <w:sz w:val="21"/>
                <w:szCs w:val="21"/>
                <w:highlight w:val="none"/>
                <w:lang w:val="en-US" w:eastAsia="zh-CN"/>
              </w:rPr>
            </w:pPr>
            <w:r>
              <w:rPr>
                <w:rFonts w:hint="eastAsia" w:ascii="Times New Roman" w:hAnsi="宋体" w:eastAsia="宋体" w:cs="Times New Roman"/>
                <w:b/>
                <w:color w:val="auto"/>
                <w:sz w:val="21"/>
                <w:szCs w:val="21"/>
                <w:highlight w:val="none"/>
                <w:lang w:val="en-US" w:eastAsia="zh-CN"/>
              </w:rPr>
              <w:t>采购项目名称：龙州县职业教育中心教学楼（1）维修改造工程</w:t>
            </w:r>
          </w:p>
          <w:p w14:paraId="5305DF47">
            <w:pPr>
              <w:spacing w:line="440" w:lineRule="exact"/>
              <w:jc w:val="left"/>
              <w:rPr>
                <w:rFonts w:hint="default" w:ascii="宋体" w:hAnsi="宋体"/>
                <w:color w:val="auto"/>
                <w:szCs w:val="21"/>
                <w:highlight w:val="none"/>
                <w:lang w:val="en-US"/>
              </w:rPr>
            </w:pPr>
            <w:r>
              <w:rPr>
                <w:rFonts w:hint="eastAsia" w:ascii="Times New Roman" w:hAnsi="宋体" w:eastAsia="宋体" w:cs="Times New Roman"/>
                <w:b/>
                <w:color w:val="auto"/>
                <w:sz w:val="21"/>
                <w:szCs w:val="21"/>
                <w:highlight w:val="none"/>
                <w:lang w:val="en-US" w:eastAsia="zh-CN"/>
              </w:rPr>
              <w:t>项目编号</w:t>
            </w:r>
            <w:r>
              <w:rPr>
                <w:rFonts w:hint="eastAsia" w:ascii="Times New Roman" w:hAnsi="宋体" w:eastAsia="宋体" w:cs="Times New Roman"/>
                <w:b w:val="0"/>
                <w:bCs/>
                <w:color w:val="auto"/>
                <w:sz w:val="21"/>
                <w:szCs w:val="21"/>
                <w:highlight w:val="none"/>
                <w:lang w:val="en-US" w:eastAsia="zh-CN"/>
              </w:rPr>
              <w:t>：CZZC2025-C2-230120-GXXP</w:t>
            </w:r>
          </w:p>
        </w:tc>
      </w:tr>
      <w:tr w14:paraId="1EDBE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518" w:type="dxa"/>
            <w:vAlign w:val="center"/>
          </w:tcPr>
          <w:p w14:paraId="64966414">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w:t>
            </w:r>
          </w:p>
        </w:tc>
        <w:tc>
          <w:tcPr>
            <w:tcW w:w="1682" w:type="dxa"/>
            <w:vAlign w:val="center"/>
          </w:tcPr>
          <w:p w14:paraId="6BD6D69C">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建设地点</w:t>
            </w:r>
          </w:p>
        </w:tc>
        <w:tc>
          <w:tcPr>
            <w:tcW w:w="6965" w:type="dxa"/>
            <w:vAlign w:val="center"/>
          </w:tcPr>
          <w:p w14:paraId="12280297">
            <w:pPr>
              <w:wordWrap w:val="0"/>
              <w:spacing w:line="240" w:lineRule="auto"/>
              <w:jc w:val="left"/>
              <w:rPr>
                <w:rFonts w:hint="default" w:cs="宋体"/>
                <w:color w:val="auto"/>
                <w:sz w:val="21"/>
                <w:szCs w:val="21"/>
                <w:highlight w:val="none"/>
                <w:lang w:val="en-US" w:eastAsia="zh-CN" w:bidi="zh-CN"/>
              </w:rPr>
            </w:pPr>
            <w:r>
              <w:rPr>
                <w:rFonts w:hint="eastAsia" w:cs="宋体"/>
                <w:color w:val="auto"/>
                <w:sz w:val="21"/>
                <w:szCs w:val="21"/>
                <w:highlight w:val="none"/>
                <w:lang w:val="en-US" w:eastAsia="zh-CN" w:bidi="zh-CN"/>
              </w:rPr>
              <w:t>龙州县</w:t>
            </w:r>
          </w:p>
        </w:tc>
      </w:tr>
      <w:tr w14:paraId="77C4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8" w:type="dxa"/>
            <w:vAlign w:val="center"/>
          </w:tcPr>
          <w:p w14:paraId="242B7CDB">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3</w:t>
            </w:r>
          </w:p>
        </w:tc>
        <w:tc>
          <w:tcPr>
            <w:tcW w:w="1682" w:type="dxa"/>
            <w:vAlign w:val="center"/>
          </w:tcPr>
          <w:p w14:paraId="2D5D1F09">
            <w:pPr>
              <w:spacing w:line="440" w:lineRule="exact"/>
              <w:jc w:val="center"/>
              <w:rPr>
                <w:rFonts w:ascii="宋体" w:hAnsi="宋体"/>
                <w:color w:val="auto"/>
                <w:szCs w:val="21"/>
                <w:highlight w:val="none"/>
              </w:rPr>
            </w:pPr>
            <w:r>
              <w:rPr>
                <w:rFonts w:hint="eastAsia" w:ascii="宋体" w:hAnsi="宋体"/>
                <w:color w:val="auto"/>
                <w:szCs w:val="21"/>
                <w:highlight w:val="none"/>
              </w:rPr>
              <w:t>建设概况</w:t>
            </w:r>
          </w:p>
        </w:tc>
        <w:tc>
          <w:tcPr>
            <w:tcW w:w="6965" w:type="dxa"/>
            <w:vAlign w:val="center"/>
          </w:tcPr>
          <w:p w14:paraId="328CBE95">
            <w:pPr>
              <w:pStyle w:val="41"/>
              <w:spacing w:before="0" w:beforeAutospacing="0" w:after="0" w:afterAutospacing="0" w:line="405" w:lineRule="atLeast"/>
              <w:jc w:val="both"/>
              <w:rPr>
                <w:rFonts w:hint="eastAsia" w:cs="宋体"/>
                <w:color w:val="auto"/>
                <w:sz w:val="21"/>
                <w:szCs w:val="21"/>
                <w:highlight w:val="none"/>
                <w:lang w:val="en-US" w:eastAsia="zh-CN" w:bidi="zh-CN"/>
              </w:rPr>
            </w:pPr>
            <w:r>
              <w:rPr>
                <w:rFonts w:hint="eastAsia" w:cs="宋体"/>
                <w:color w:val="auto"/>
                <w:sz w:val="21"/>
                <w:szCs w:val="21"/>
                <w:highlight w:val="none"/>
                <w:lang w:val="en-US" w:eastAsia="zh-CN" w:bidi="zh-CN"/>
              </w:rPr>
              <w:t>主要建设内容教学楼（1）卫生间改造、墙面粉刷、铺地砖等施工内容，具体施工内容详见经评审的工程量清单和施工图纸。</w:t>
            </w:r>
          </w:p>
        </w:tc>
      </w:tr>
      <w:tr w14:paraId="7EE0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518" w:type="dxa"/>
            <w:vAlign w:val="center"/>
          </w:tcPr>
          <w:p w14:paraId="423C7503">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4</w:t>
            </w:r>
          </w:p>
        </w:tc>
        <w:tc>
          <w:tcPr>
            <w:tcW w:w="1682" w:type="dxa"/>
            <w:vAlign w:val="center"/>
          </w:tcPr>
          <w:p w14:paraId="1EBCD943">
            <w:pPr>
              <w:spacing w:line="440" w:lineRule="exact"/>
              <w:jc w:val="center"/>
              <w:rPr>
                <w:rFonts w:ascii="宋体" w:hAnsi="宋体"/>
                <w:b/>
                <w:color w:val="auto"/>
                <w:szCs w:val="21"/>
                <w:highlight w:val="none"/>
              </w:rPr>
            </w:pPr>
            <w:r>
              <w:rPr>
                <w:rFonts w:hint="eastAsia" w:ascii="宋体" w:hAnsi="宋体"/>
                <w:color w:val="auto"/>
                <w:szCs w:val="21"/>
                <w:highlight w:val="none"/>
              </w:rPr>
              <w:t>采购预算金额</w:t>
            </w:r>
          </w:p>
        </w:tc>
        <w:tc>
          <w:tcPr>
            <w:tcW w:w="6965" w:type="dxa"/>
            <w:vAlign w:val="center"/>
          </w:tcPr>
          <w:p w14:paraId="72B34619">
            <w:pPr>
              <w:spacing w:line="420" w:lineRule="exact"/>
              <w:jc w:val="left"/>
              <w:rPr>
                <w:rFonts w:hint="default" w:ascii="宋体" w:hAnsi="宋体" w:eastAsia="宋体" w:cs="Courier New"/>
                <w:b/>
                <w:bCs w:val="0"/>
                <w:color w:val="auto"/>
                <w:spacing w:val="2"/>
                <w:szCs w:val="21"/>
                <w:highlight w:val="none"/>
                <w:lang w:val="en-US" w:eastAsia="zh-CN"/>
              </w:rPr>
            </w:pPr>
            <w:r>
              <w:rPr>
                <w:rFonts w:hint="eastAsia" w:ascii="宋体" w:hAnsi="宋体" w:eastAsia="宋体" w:cs="Courier New"/>
                <w:b/>
                <w:bCs w:val="0"/>
                <w:color w:val="auto"/>
                <w:spacing w:val="2"/>
                <w:szCs w:val="21"/>
                <w:highlight w:val="none"/>
              </w:rPr>
              <w:t>上控价为：</w:t>
            </w:r>
            <w:r>
              <w:rPr>
                <w:rFonts w:hint="eastAsia" w:cs="宋体"/>
                <w:color w:val="auto"/>
                <w:sz w:val="21"/>
                <w:szCs w:val="21"/>
                <w:highlight w:val="none"/>
                <w:lang w:val="en-US" w:bidi="zh-CN"/>
              </w:rPr>
              <w:t>¥</w:t>
            </w:r>
            <w:r>
              <w:rPr>
                <w:rFonts w:hint="eastAsia" w:cs="宋体"/>
                <w:color w:val="auto"/>
                <w:sz w:val="21"/>
                <w:szCs w:val="21"/>
                <w:highlight w:val="none"/>
                <w:lang w:val="en-US" w:eastAsia="zh-CN" w:bidi="zh-CN"/>
              </w:rPr>
              <w:t>735535.00</w:t>
            </w:r>
            <w:r>
              <w:rPr>
                <w:rFonts w:hint="eastAsia" w:cs="宋体"/>
                <w:color w:val="auto"/>
                <w:sz w:val="21"/>
                <w:szCs w:val="21"/>
                <w:highlight w:val="none"/>
                <w:lang w:bidi="zh-CN"/>
              </w:rPr>
              <w:t>元</w:t>
            </w:r>
            <w:r>
              <w:rPr>
                <w:rFonts w:hint="eastAsia" w:cs="宋体"/>
                <w:color w:val="auto"/>
                <w:sz w:val="21"/>
                <w:szCs w:val="21"/>
                <w:highlight w:val="none"/>
                <w:lang w:val="en-US" w:bidi="zh-CN"/>
              </w:rPr>
              <w:t>.</w:t>
            </w:r>
          </w:p>
          <w:p w14:paraId="2EF8790B">
            <w:pPr>
              <w:spacing w:line="420" w:lineRule="exact"/>
              <w:jc w:val="left"/>
              <w:rPr>
                <w:rFonts w:ascii="宋体" w:hAnsi="宋体" w:cs="Courier New"/>
                <w:b/>
                <w:color w:val="auto"/>
                <w:spacing w:val="2"/>
                <w:szCs w:val="21"/>
                <w:highlight w:val="none"/>
              </w:rPr>
            </w:pPr>
            <w:r>
              <w:rPr>
                <w:rFonts w:hint="eastAsia" w:ascii="宋体" w:hAnsi="宋体" w:cs="Courier New"/>
                <w:b/>
                <w:bCs w:val="0"/>
                <w:color w:val="auto"/>
                <w:spacing w:val="2"/>
                <w:szCs w:val="21"/>
                <w:highlight w:val="none"/>
              </w:rPr>
              <w:t>供应商的最终磋商报价不能高于本项目的采购预算金额。</w:t>
            </w:r>
          </w:p>
        </w:tc>
      </w:tr>
      <w:tr w14:paraId="4130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18" w:type="dxa"/>
            <w:vAlign w:val="center"/>
          </w:tcPr>
          <w:p w14:paraId="124F552C">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5</w:t>
            </w:r>
          </w:p>
        </w:tc>
        <w:tc>
          <w:tcPr>
            <w:tcW w:w="1682" w:type="dxa"/>
            <w:vAlign w:val="center"/>
          </w:tcPr>
          <w:p w14:paraId="7F75256E">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质量标准</w:t>
            </w:r>
          </w:p>
        </w:tc>
        <w:tc>
          <w:tcPr>
            <w:tcW w:w="6965" w:type="dxa"/>
            <w:vAlign w:val="center"/>
          </w:tcPr>
          <w:p w14:paraId="01AEE73C">
            <w:pPr>
              <w:spacing w:line="420" w:lineRule="exact"/>
              <w:rPr>
                <w:rFonts w:ascii="宋体" w:hAnsi="宋体"/>
                <w:color w:val="auto"/>
                <w:szCs w:val="21"/>
                <w:highlight w:val="none"/>
              </w:rPr>
            </w:pPr>
            <w:r>
              <w:rPr>
                <w:rFonts w:hint="eastAsia" w:ascii="宋体" w:hAnsi="宋体"/>
                <w:color w:val="auto"/>
                <w:szCs w:val="21"/>
                <w:highlight w:val="none"/>
              </w:rPr>
              <w:t>达到现行国家竣工验收规范的合格标准。</w:t>
            </w:r>
          </w:p>
        </w:tc>
      </w:tr>
      <w:tr w14:paraId="659A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18" w:type="dxa"/>
            <w:vAlign w:val="center"/>
          </w:tcPr>
          <w:p w14:paraId="5DE2AF2A">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6</w:t>
            </w:r>
          </w:p>
        </w:tc>
        <w:tc>
          <w:tcPr>
            <w:tcW w:w="1682" w:type="dxa"/>
            <w:vAlign w:val="center"/>
          </w:tcPr>
          <w:p w14:paraId="52E0EFB9">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采购范围</w:t>
            </w:r>
          </w:p>
        </w:tc>
        <w:tc>
          <w:tcPr>
            <w:tcW w:w="6965" w:type="dxa"/>
            <w:vAlign w:val="center"/>
          </w:tcPr>
          <w:p w14:paraId="14AB6393">
            <w:pPr>
              <w:spacing w:line="420" w:lineRule="exact"/>
              <w:rPr>
                <w:rFonts w:ascii="宋体" w:hAnsi="宋体"/>
                <w:color w:val="auto"/>
                <w:szCs w:val="21"/>
                <w:highlight w:val="none"/>
              </w:rPr>
            </w:pPr>
            <w:r>
              <w:rPr>
                <w:rFonts w:hint="eastAsia" w:ascii="宋体" w:hAnsi="宋体"/>
                <w:color w:val="auto"/>
                <w:szCs w:val="21"/>
                <w:highlight w:val="none"/>
              </w:rPr>
              <w:t>工程采购清单包含全部内容（具体内容详见工程量清单</w:t>
            </w:r>
            <w:r>
              <w:rPr>
                <w:rFonts w:hint="eastAsia" w:ascii="宋体" w:hAnsi="宋体"/>
                <w:color w:val="auto"/>
                <w:szCs w:val="21"/>
                <w:highlight w:val="none"/>
                <w:lang w:val="en-US" w:eastAsia="zh-CN"/>
              </w:rPr>
              <w:t>和施工图纸</w:t>
            </w:r>
            <w:r>
              <w:rPr>
                <w:rFonts w:hint="eastAsia" w:ascii="宋体" w:hAnsi="宋体"/>
                <w:color w:val="auto"/>
                <w:szCs w:val="21"/>
                <w:highlight w:val="none"/>
              </w:rPr>
              <w:t>）。</w:t>
            </w:r>
          </w:p>
        </w:tc>
      </w:tr>
      <w:tr w14:paraId="32CD7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518" w:type="dxa"/>
            <w:vAlign w:val="center"/>
          </w:tcPr>
          <w:p w14:paraId="39794086">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7</w:t>
            </w:r>
          </w:p>
        </w:tc>
        <w:tc>
          <w:tcPr>
            <w:tcW w:w="1682" w:type="dxa"/>
            <w:vAlign w:val="center"/>
          </w:tcPr>
          <w:p w14:paraId="68AB0E01">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工期要求</w:t>
            </w:r>
          </w:p>
        </w:tc>
        <w:tc>
          <w:tcPr>
            <w:tcW w:w="6965" w:type="dxa"/>
            <w:vAlign w:val="center"/>
          </w:tcPr>
          <w:p w14:paraId="05B3808A">
            <w:pPr>
              <w:pStyle w:val="41"/>
              <w:widowControl w:val="0"/>
              <w:adjustRightInd w:val="0"/>
              <w:snapToGrid w:val="0"/>
              <w:spacing w:before="0" w:beforeAutospacing="0" w:after="0" w:afterAutospacing="0" w:line="400" w:lineRule="exact"/>
              <w:rPr>
                <w:color w:val="auto"/>
                <w:kern w:val="2"/>
                <w:sz w:val="21"/>
                <w:szCs w:val="21"/>
                <w:highlight w:val="none"/>
              </w:rPr>
            </w:pPr>
            <w:r>
              <w:rPr>
                <w:rFonts w:hint="eastAsia"/>
                <w:color w:val="auto"/>
                <w:kern w:val="2"/>
                <w:sz w:val="21"/>
                <w:szCs w:val="21"/>
                <w:highlight w:val="none"/>
              </w:rPr>
              <w:t>计划工期</w:t>
            </w:r>
            <w:r>
              <w:rPr>
                <w:rFonts w:hint="eastAsia"/>
                <w:color w:val="auto"/>
                <w:kern w:val="2"/>
                <w:sz w:val="21"/>
                <w:szCs w:val="21"/>
                <w:highlight w:val="none"/>
                <w:lang w:eastAsia="zh-CN"/>
              </w:rPr>
              <w:t>：</w:t>
            </w:r>
            <w:r>
              <w:rPr>
                <w:rFonts w:hint="eastAsia" w:cs="宋体"/>
                <w:color w:val="auto"/>
                <w:sz w:val="21"/>
                <w:szCs w:val="21"/>
                <w:highlight w:val="none"/>
                <w:lang w:bidi="zh-CN"/>
              </w:rPr>
              <w:t>工期</w:t>
            </w:r>
            <w:r>
              <w:rPr>
                <w:rFonts w:hint="eastAsia" w:cs="宋体"/>
                <w:color w:val="auto"/>
                <w:sz w:val="21"/>
                <w:szCs w:val="21"/>
                <w:highlight w:val="none"/>
                <w:lang w:val="en-US" w:bidi="zh-CN"/>
              </w:rPr>
              <w:t>60</w:t>
            </w:r>
            <w:r>
              <w:rPr>
                <w:rFonts w:hint="eastAsia" w:cs="宋体"/>
                <w:color w:val="auto"/>
                <w:sz w:val="21"/>
                <w:szCs w:val="21"/>
                <w:highlight w:val="none"/>
                <w:lang w:bidi="zh-CN"/>
              </w:rPr>
              <w:t>日历天。</w:t>
            </w:r>
          </w:p>
        </w:tc>
      </w:tr>
      <w:bookmarkEnd w:id="10"/>
      <w:tr w14:paraId="37A8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518" w:type="dxa"/>
            <w:vAlign w:val="center"/>
          </w:tcPr>
          <w:p w14:paraId="3EB9A024">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8</w:t>
            </w:r>
          </w:p>
        </w:tc>
        <w:tc>
          <w:tcPr>
            <w:tcW w:w="1682" w:type="dxa"/>
            <w:vAlign w:val="center"/>
          </w:tcPr>
          <w:p w14:paraId="1A60630C">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供应商资格要求</w:t>
            </w:r>
          </w:p>
        </w:tc>
        <w:tc>
          <w:tcPr>
            <w:tcW w:w="6965" w:type="dxa"/>
          </w:tcPr>
          <w:p w14:paraId="700EE846">
            <w:pPr>
              <w:spacing w:line="440" w:lineRule="exact"/>
              <w:ind w:firstLine="420" w:firstLineChars="200"/>
              <w:rPr>
                <w:color w:val="auto"/>
                <w:highlight w:val="none"/>
              </w:rPr>
            </w:pPr>
            <w:r>
              <w:rPr>
                <w:rFonts w:hint="eastAsia"/>
                <w:color w:val="auto"/>
                <w:highlight w:val="none"/>
              </w:rPr>
              <w:t>1.满足《中华人民共和国政府采购法》第二十二条规定；</w:t>
            </w:r>
          </w:p>
          <w:p w14:paraId="59023519">
            <w:pPr>
              <w:spacing w:line="440" w:lineRule="exact"/>
              <w:ind w:firstLine="420" w:firstLineChars="200"/>
              <w:rPr>
                <w:rFonts w:hint="eastAsia" w:ascii="宋体" w:hAnsi="宋体"/>
                <w:color w:val="auto"/>
                <w:szCs w:val="21"/>
                <w:highlight w:val="none"/>
              </w:rPr>
            </w:pPr>
            <w:r>
              <w:rPr>
                <w:color w:val="auto"/>
                <w:highlight w:val="none"/>
              </w:rPr>
              <w:t>2</w:t>
            </w:r>
            <w:r>
              <w:rPr>
                <w:rFonts w:hint="eastAsia"/>
                <w:color w:val="auto"/>
                <w:highlight w:val="none"/>
              </w:rPr>
              <w:t>.落实政府采购政策需满足的资格要求：</w:t>
            </w:r>
            <w:r>
              <w:rPr>
                <w:rFonts w:hint="eastAsia" w:ascii="宋体" w:hAnsi="宋体"/>
                <w:color w:val="auto"/>
                <w:szCs w:val="21"/>
                <w:highlight w:val="none"/>
              </w:rPr>
              <w:t>本项目属于专门面向</w:t>
            </w:r>
            <w:r>
              <w:rPr>
                <w:rFonts w:hint="eastAsia" w:ascii="宋体" w:hAnsi="宋体"/>
                <w:color w:val="auto"/>
                <w:szCs w:val="21"/>
                <w:highlight w:val="none"/>
                <w:lang w:eastAsia="zh-CN"/>
              </w:rPr>
              <w:t>中小微</w:t>
            </w:r>
            <w:r>
              <w:rPr>
                <w:rFonts w:hint="eastAsia" w:ascii="宋体" w:hAnsi="宋体"/>
                <w:color w:val="auto"/>
                <w:szCs w:val="21"/>
                <w:highlight w:val="none"/>
              </w:rPr>
              <w:t>企业采购的项目；</w:t>
            </w:r>
          </w:p>
          <w:p w14:paraId="6C028A56">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3.本项目的特定资格要求：</w:t>
            </w:r>
          </w:p>
          <w:p w14:paraId="64091517">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（1）本次招标要求投标人须具备</w:t>
            </w:r>
            <w:r>
              <w:rPr>
                <w:rFonts w:hint="eastAsia" w:ascii="宋体" w:hAnsi="宋体"/>
                <w:color w:val="auto"/>
                <w:szCs w:val="21"/>
                <w:highlight w:val="none"/>
                <w:lang w:eastAsia="zh-CN"/>
              </w:rPr>
              <w:t>建筑</w:t>
            </w:r>
            <w:r>
              <w:rPr>
                <w:rFonts w:hint="eastAsia" w:ascii="宋体" w:hAnsi="宋体"/>
                <w:color w:val="auto"/>
                <w:szCs w:val="21"/>
                <w:highlight w:val="none"/>
              </w:rPr>
              <w:t>工程施工总承包（含三级）以上资质；并在人员、设备、资金等方面具备相应的施工能力。其中，投标人拟派项目经理须具备</w:t>
            </w:r>
            <w:r>
              <w:rPr>
                <w:rFonts w:hint="eastAsia" w:ascii="宋体" w:hAnsi="宋体"/>
                <w:color w:val="auto"/>
                <w:szCs w:val="21"/>
                <w:highlight w:val="none"/>
                <w:lang w:eastAsia="zh-CN"/>
              </w:rPr>
              <w:t>建筑</w:t>
            </w:r>
            <w:r>
              <w:rPr>
                <w:rFonts w:hint="eastAsia" w:ascii="宋体" w:hAnsi="宋体"/>
                <w:color w:val="auto"/>
                <w:szCs w:val="21"/>
                <w:highlight w:val="none"/>
              </w:rPr>
              <w:t>工程专业二级（含以上）注册建造师执业资格，具备有效的安全生产考核合格证书（B类）。</w:t>
            </w:r>
          </w:p>
          <w:p w14:paraId="3EFA9DA7">
            <w:pPr>
              <w:spacing w:line="440" w:lineRule="exact"/>
              <w:ind w:firstLine="420" w:firstLineChars="200"/>
              <w:rPr>
                <w:rFonts w:hint="eastAsia" w:ascii="宋体" w:hAnsi="宋体"/>
                <w:color w:val="auto"/>
                <w:szCs w:val="21"/>
                <w:highlight w:val="none"/>
                <w:lang w:val="zh-CN"/>
              </w:rPr>
            </w:pPr>
            <w:r>
              <w:rPr>
                <w:rFonts w:hint="eastAsia" w:ascii="宋体" w:hAnsi="宋体"/>
                <w:color w:val="auto"/>
                <w:szCs w:val="21"/>
                <w:highlight w:val="none"/>
              </w:rPr>
              <w:t>（2）</w:t>
            </w:r>
            <w:r>
              <w:rPr>
                <w:rFonts w:hint="eastAsia" w:ascii="宋体" w:hAnsi="宋体"/>
                <w:color w:val="auto"/>
                <w:szCs w:val="21"/>
                <w:highlight w:val="none"/>
                <w:lang w:val="zh-CN"/>
              </w:rPr>
              <w:t>不接受未按本竞争性磋商公告要求获取采购文件的供应商竞标。</w:t>
            </w:r>
          </w:p>
          <w:p w14:paraId="5D06A5F4">
            <w:pPr>
              <w:spacing w:line="440" w:lineRule="exact"/>
              <w:ind w:firstLine="420" w:firstLineChars="200"/>
              <w:rPr>
                <w:color w:val="auto"/>
                <w:highlight w:val="none"/>
                <w:lang w:val="zh-CN"/>
              </w:rPr>
            </w:pPr>
            <w:r>
              <w:rPr>
                <w:rFonts w:hint="eastAsia" w:ascii="宋体" w:hAnsi="宋体"/>
                <w:color w:val="auto"/>
                <w:szCs w:val="21"/>
                <w:highlight w:val="none"/>
                <w:lang w:val="zh-CN"/>
              </w:rPr>
              <w:t>（</w:t>
            </w:r>
            <w:r>
              <w:rPr>
                <w:rFonts w:hint="eastAsia" w:ascii="宋体" w:hAnsi="宋体"/>
                <w:color w:val="auto"/>
                <w:szCs w:val="21"/>
                <w:highlight w:val="none"/>
                <w:lang w:val="en-US" w:eastAsia="zh-CN"/>
              </w:rPr>
              <w:t>3</w:t>
            </w:r>
            <w:r>
              <w:rPr>
                <w:rFonts w:hint="eastAsia" w:ascii="宋体" w:hAnsi="宋体"/>
                <w:color w:val="auto"/>
                <w:szCs w:val="21"/>
                <w:highlight w:val="none"/>
                <w:lang w:val="zh-CN"/>
              </w:rPr>
              <w:t>）本项目不接受联合体竞标,不允许转包和分包。</w:t>
            </w:r>
          </w:p>
        </w:tc>
      </w:tr>
      <w:tr w14:paraId="46755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18" w:type="dxa"/>
            <w:vAlign w:val="center"/>
          </w:tcPr>
          <w:p w14:paraId="2D093210">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9</w:t>
            </w:r>
          </w:p>
        </w:tc>
        <w:tc>
          <w:tcPr>
            <w:tcW w:w="1682" w:type="dxa"/>
            <w:vAlign w:val="center"/>
          </w:tcPr>
          <w:p w14:paraId="3596BAEB">
            <w:pPr>
              <w:spacing w:line="440" w:lineRule="exact"/>
              <w:jc w:val="center"/>
              <w:rPr>
                <w:rFonts w:ascii="宋体" w:hAnsi="宋体" w:cs="Courier New"/>
                <w:color w:val="auto"/>
                <w:spacing w:val="2"/>
                <w:szCs w:val="21"/>
                <w:highlight w:val="none"/>
              </w:rPr>
            </w:pPr>
            <w:r>
              <w:rPr>
                <w:rFonts w:hint="eastAsia" w:ascii="宋体" w:hAnsi="宋体"/>
                <w:bCs/>
                <w:color w:val="auto"/>
                <w:szCs w:val="21"/>
                <w:highlight w:val="none"/>
              </w:rPr>
              <w:t>报价方式</w:t>
            </w:r>
          </w:p>
        </w:tc>
        <w:tc>
          <w:tcPr>
            <w:tcW w:w="6965" w:type="dxa"/>
            <w:vAlign w:val="center"/>
          </w:tcPr>
          <w:p w14:paraId="304086CA">
            <w:pPr>
              <w:pStyle w:val="199"/>
              <w:spacing w:line="420" w:lineRule="exact"/>
              <w:rPr>
                <w:rFonts w:hAnsi="宋体"/>
                <w:color w:val="auto"/>
                <w:szCs w:val="21"/>
                <w:highlight w:val="none"/>
              </w:rPr>
            </w:pPr>
            <w:r>
              <w:rPr>
                <w:rFonts w:hint="eastAsia" w:hAnsi="宋体"/>
                <w:bCs/>
                <w:color w:val="auto"/>
                <w:szCs w:val="21"/>
                <w:highlight w:val="none"/>
              </w:rPr>
              <w:t>工程量清单报价（</w:t>
            </w:r>
            <w:r>
              <w:rPr>
                <w:rFonts w:hint="eastAsia" w:hAnsi="宋体"/>
                <w:b/>
                <w:bCs/>
                <w:color w:val="auto"/>
                <w:szCs w:val="21"/>
                <w:highlight w:val="none"/>
              </w:rPr>
              <w:t>清单计价法），</w:t>
            </w:r>
            <w:r>
              <w:rPr>
                <w:rFonts w:hint="eastAsia" w:hAnsi="宋体"/>
                <w:color w:val="auto"/>
                <w:szCs w:val="21"/>
                <w:highlight w:val="none"/>
              </w:rPr>
              <w:t>供应商按照采购人提供的工程量清单填写。</w:t>
            </w:r>
          </w:p>
        </w:tc>
      </w:tr>
      <w:tr w14:paraId="5034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18" w:type="dxa"/>
            <w:vAlign w:val="center"/>
          </w:tcPr>
          <w:p w14:paraId="0223A227">
            <w:pPr>
              <w:spacing w:line="440" w:lineRule="exact"/>
              <w:jc w:val="center"/>
              <w:rPr>
                <w:rFonts w:ascii="宋体" w:hAnsi="宋体" w:cs="Courier New"/>
                <w:color w:val="auto"/>
                <w:spacing w:val="2"/>
                <w:szCs w:val="21"/>
                <w:highlight w:val="none"/>
              </w:rPr>
            </w:pPr>
            <w:bookmarkStart w:id="11" w:name="_Hlk87630554"/>
            <w:r>
              <w:rPr>
                <w:rFonts w:hint="eastAsia" w:ascii="宋体" w:hAnsi="宋体" w:cs="Courier New"/>
                <w:color w:val="auto"/>
                <w:spacing w:val="2"/>
                <w:szCs w:val="21"/>
                <w:highlight w:val="none"/>
              </w:rPr>
              <w:t>10</w:t>
            </w:r>
          </w:p>
        </w:tc>
        <w:tc>
          <w:tcPr>
            <w:tcW w:w="1682" w:type="dxa"/>
            <w:vAlign w:val="center"/>
          </w:tcPr>
          <w:p w14:paraId="58F1D59E">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磋商有效期</w:t>
            </w:r>
          </w:p>
        </w:tc>
        <w:tc>
          <w:tcPr>
            <w:tcW w:w="6965" w:type="dxa"/>
            <w:vAlign w:val="center"/>
          </w:tcPr>
          <w:p w14:paraId="71111132">
            <w:pPr>
              <w:spacing w:line="420" w:lineRule="exact"/>
              <w:rPr>
                <w:rFonts w:ascii="宋体" w:hAnsi="宋体" w:cs="Courier New"/>
                <w:color w:val="auto"/>
                <w:spacing w:val="2"/>
                <w:szCs w:val="21"/>
                <w:highlight w:val="none"/>
              </w:rPr>
            </w:pPr>
            <w:r>
              <w:rPr>
                <w:rFonts w:hint="eastAsia" w:ascii="宋体" w:hAnsi="宋体" w:cs="Courier New"/>
                <w:color w:val="auto"/>
                <w:spacing w:val="2"/>
                <w:szCs w:val="21"/>
                <w:highlight w:val="none"/>
              </w:rPr>
              <w:t>磋商截止之日后</w:t>
            </w:r>
            <w:r>
              <w:rPr>
                <w:rFonts w:hint="eastAsia" w:ascii="宋体" w:hAnsi="宋体" w:cs="Courier New"/>
                <w:color w:val="auto"/>
                <w:spacing w:val="2"/>
                <w:szCs w:val="21"/>
                <w:highlight w:val="none"/>
                <w:u w:val="single"/>
                <w:lang w:val="en-US" w:eastAsia="zh-CN"/>
              </w:rPr>
              <w:t>9</w:t>
            </w:r>
            <w:r>
              <w:rPr>
                <w:rFonts w:hint="eastAsia" w:ascii="宋体" w:hAnsi="宋体" w:cs="Courier New"/>
                <w:color w:val="auto"/>
                <w:spacing w:val="2"/>
                <w:szCs w:val="21"/>
                <w:highlight w:val="none"/>
                <w:u w:val="single"/>
              </w:rPr>
              <w:t>0</w:t>
            </w:r>
            <w:r>
              <w:rPr>
                <w:rFonts w:hint="eastAsia" w:ascii="宋体" w:hAnsi="宋体" w:cs="Courier New"/>
                <w:color w:val="auto"/>
                <w:spacing w:val="2"/>
                <w:szCs w:val="21"/>
                <w:highlight w:val="none"/>
              </w:rPr>
              <w:t>日历天</w:t>
            </w:r>
          </w:p>
        </w:tc>
      </w:tr>
      <w:bookmarkEnd w:id="11"/>
      <w:tr w14:paraId="4639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518" w:type="dxa"/>
            <w:vAlign w:val="center"/>
          </w:tcPr>
          <w:p w14:paraId="248849EE">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11</w:t>
            </w:r>
          </w:p>
        </w:tc>
        <w:tc>
          <w:tcPr>
            <w:tcW w:w="1682" w:type="dxa"/>
            <w:vAlign w:val="center"/>
          </w:tcPr>
          <w:p w14:paraId="28BDD660">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磋商保证金</w:t>
            </w:r>
          </w:p>
        </w:tc>
        <w:tc>
          <w:tcPr>
            <w:tcW w:w="6965" w:type="dxa"/>
            <w:vAlign w:val="center"/>
          </w:tcPr>
          <w:p w14:paraId="109EC0B2">
            <w:pPr>
              <w:spacing w:line="420" w:lineRule="exact"/>
              <w:rPr>
                <w:rFonts w:ascii="宋体" w:hAnsi="宋体"/>
                <w:color w:val="auto"/>
                <w:kern w:val="0"/>
                <w:szCs w:val="21"/>
                <w:highlight w:val="none"/>
              </w:rPr>
            </w:pPr>
            <w:r>
              <w:rPr>
                <w:rFonts w:hint="eastAsia" w:ascii="宋体" w:hAnsi="宋体"/>
                <w:color w:val="auto"/>
                <w:kern w:val="0"/>
                <w:szCs w:val="21"/>
                <w:highlight w:val="none"/>
              </w:rPr>
              <w:t>本项目不收取磋商保证金</w:t>
            </w:r>
          </w:p>
        </w:tc>
      </w:tr>
      <w:tr w14:paraId="458C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518" w:type="dxa"/>
            <w:vAlign w:val="center"/>
          </w:tcPr>
          <w:p w14:paraId="7B39E19B">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12</w:t>
            </w:r>
          </w:p>
        </w:tc>
        <w:tc>
          <w:tcPr>
            <w:tcW w:w="1682" w:type="dxa"/>
            <w:vAlign w:val="center"/>
          </w:tcPr>
          <w:p w14:paraId="5B1E4D34">
            <w:pPr>
              <w:spacing w:line="440" w:lineRule="exact"/>
              <w:jc w:val="center"/>
              <w:rPr>
                <w:rFonts w:ascii="宋体" w:hAnsi="宋体" w:cs="Courier New"/>
                <w:color w:val="auto"/>
                <w:spacing w:val="2"/>
                <w:szCs w:val="21"/>
                <w:highlight w:val="none"/>
              </w:rPr>
            </w:pPr>
            <w:r>
              <w:rPr>
                <w:rFonts w:hint="eastAsia" w:ascii="宋体" w:hAnsi="宋体" w:cs="Courier New"/>
                <w:bCs/>
                <w:color w:val="auto"/>
                <w:spacing w:val="2"/>
                <w:szCs w:val="21"/>
                <w:highlight w:val="none"/>
              </w:rPr>
              <w:t>现场勘查</w:t>
            </w:r>
          </w:p>
        </w:tc>
        <w:tc>
          <w:tcPr>
            <w:tcW w:w="6965" w:type="dxa"/>
            <w:vAlign w:val="center"/>
          </w:tcPr>
          <w:p w14:paraId="76A8AF36">
            <w:pPr>
              <w:spacing w:line="420" w:lineRule="exact"/>
              <w:rPr>
                <w:rFonts w:ascii="宋体" w:hAnsi="宋体" w:cs="Courier New"/>
                <w:bCs/>
                <w:color w:val="auto"/>
                <w:spacing w:val="2"/>
                <w:szCs w:val="21"/>
                <w:highlight w:val="none"/>
              </w:rPr>
            </w:pPr>
            <w:r>
              <w:rPr>
                <w:rFonts w:hint="eastAsia" w:ascii="宋体" w:hAnsi="宋体" w:cs="Courier New"/>
                <w:bCs/>
                <w:color w:val="auto"/>
                <w:spacing w:val="2"/>
                <w:szCs w:val="21"/>
                <w:highlight w:val="none"/>
              </w:rPr>
              <w:t>采购人不组织现场踏勘，供应商自行现场勘查。</w:t>
            </w:r>
          </w:p>
        </w:tc>
      </w:tr>
      <w:tr w14:paraId="536E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01D87D3B">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13</w:t>
            </w:r>
          </w:p>
        </w:tc>
        <w:tc>
          <w:tcPr>
            <w:tcW w:w="1682" w:type="dxa"/>
            <w:vAlign w:val="center"/>
          </w:tcPr>
          <w:p w14:paraId="7AB93A6B">
            <w:pPr>
              <w:spacing w:line="440" w:lineRule="exact"/>
              <w:jc w:val="center"/>
              <w:rPr>
                <w:rFonts w:ascii="宋体" w:hAnsi="宋体" w:cs="Courier New"/>
                <w:color w:val="auto"/>
                <w:spacing w:val="2"/>
                <w:szCs w:val="21"/>
                <w:highlight w:val="none"/>
              </w:rPr>
            </w:pPr>
            <w:r>
              <w:rPr>
                <w:rFonts w:hint="eastAsia" w:ascii="宋体" w:hAnsi="宋体"/>
                <w:color w:val="auto"/>
                <w:szCs w:val="21"/>
                <w:highlight w:val="none"/>
              </w:rPr>
              <w:t>响应文件形式</w:t>
            </w:r>
          </w:p>
        </w:tc>
        <w:tc>
          <w:tcPr>
            <w:tcW w:w="6965" w:type="dxa"/>
            <w:vAlign w:val="center"/>
          </w:tcPr>
          <w:p w14:paraId="3233E2CE">
            <w:pPr>
              <w:spacing w:line="440" w:lineRule="exact"/>
              <w:rPr>
                <w:rFonts w:ascii="宋体"/>
                <w:snapToGrid w:val="0"/>
                <w:color w:val="auto"/>
                <w:szCs w:val="21"/>
                <w:highlight w:val="none"/>
              </w:rPr>
            </w:pPr>
            <w:r>
              <w:rPr>
                <w:rFonts w:hint="eastAsia" w:ascii="宋体"/>
                <w:snapToGrid w:val="0"/>
                <w:color w:val="auto"/>
                <w:szCs w:val="21"/>
                <w:highlight w:val="none"/>
              </w:rPr>
              <w:t>供应商应准备电子</w:t>
            </w:r>
            <w:r>
              <w:rPr>
                <w:rFonts w:hint="eastAsia" w:ascii="宋体" w:hAnsi="宋体"/>
                <w:color w:val="auto"/>
                <w:szCs w:val="21"/>
                <w:highlight w:val="none"/>
              </w:rPr>
              <w:t>响应</w:t>
            </w:r>
            <w:r>
              <w:rPr>
                <w:rFonts w:hint="eastAsia" w:ascii="宋体"/>
                <w:snapToGrid w:val="0"/>
                <w:color w:val="auto"/>
                <w:szCs w:val="21"/>
                <w:highlight w:val="none"/>
              </w:rPr>
              <w:t>文件。电子</w:t>
            </w:r>
            <w:r>
              <w:rPr>
                <w:rFonts w:hint="eastAsia" w:ascii="宋体" w:hAnsi="宋体"/>
                <w:color w:val="auto"/>
                <w:szCs w:val="21"/>
                <w:highlight w:val="none"/>
              </w:rPr>
              <w:t>响应</w:t>
            </w:r>
            <w:r>
              <w:rPr>
                <w:rFonts w:hint="eastAsia" w:ascii="宋体"/>
                <w:snapToGrid w:val="0"/>
                <w:color w:val="auto"/>
                <w:szCs w:val="21"/>
                <w:highlight w:val="none"/>
              </w:rPr>
              <w:t>文件是指通过“政采云</w:t>
            </w:r>
            <w:r>
              <w:rPr>
                <w:color w:val="auto"/>
                <w:szCs w:val="21"/>
                <w:highlight w:val="none"/>
              </w:rPr>
              <w:t>电子投标</w:t>
            </w:r>
            <w:r>
              <w:rPr>
                <w:rFonts w:hint="eastAsia" w:ascii="宋体"/>
                <w:snapToGrid w:val="0"/>
                <w:color w:val="auto"/>
                <w:szCs w:val="21"/>
                <w:highlight w:val="none"/>
              </w:rPr>
              <w:t>客户端”完成</w:t>
            </w:r>
            <w:r>
              <w:rPr>
                <w:rFonts w:hint="eastAsia" w:ascii="宋体" w:hAnsi="宋体"/>
                <w:color w:val="auto"/>
                <w:szCs w:val="21"/>
                <w:highlight w:val="none"/>
              </w:rPr>
              <w:t>响应</w:t>
            </w:r>
            <w:r>
              <w:rPr>
                <w:rFonts w:hint="eastAsia" w:ascii="宋体"/>
                <w:snapToGrid w:val="0"/>
                <w:color w:val="auto"/>
                <w:szCs w:val="21"/>
                <w:highlight w:val="none"/>
              </w:rPr>
              <w:t>文件编制后生成并加密的数据电文形式的电子加密</w:t>
            </w:r>
            <w:r>
              <w:rPr>
                <w:rFonts w:hint="eastAsia" w:ascii="宋体" w:hAnsi="宋体"/>
                <w:color w:val="auto"/>
                <w:szCs w:val="21"/>
                <w:highlight w:val="none"/>
              </w:rPr>
              <w:t>响应</w:t>
            </w:r>
            <w:r>
              <w:rPr>
                <w:rFonts w:hint="eastAsia" w:ascii="宋体"/>
                <w:snapToGrid w:val="0"/>
                <w:color w:val="auto"/>
                <w:szCs w:val="21"/>
                <w:highlight w:val="none"/>
              </w:rPr>
              <w:t>文件。</w:t>
            </w:r>
          </w:p>
        </w:tc>
      </w:tr>
      <w:tr w14:paraId="290D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5C88BB49">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14</w:t>
            </w:r>
          </w:p>
        </w:tc>
        <w:tc>
          <w:tcPr>
            <w:tcW w:w="1682" w:type="dxa"/>
            <w:vAlign w:val="center"/>
          </w:tcPr>
          <w:p w14:paraId="3831E48F">
            <w:pPr>
              <w:spacing w:line="440" w:lineRule="exact"/>
              <w:jc w:val="center"/>
              <w:rPr>
                <w:rFonts w:ascii="宋体" w:hAnsi="宋体" w:cs="Courier New"/>
                <w:color w:val="auto"/>
                <w:spacing w:val="2"/>
                <w:szCs w:val="21"/>
                <w:highlight w:val="none"/>
              </w:rPr>
            </w:pPr>
            <w:r>
              <w:rPr>
                <w:rFonts w:hint="eastAsia" w:ascii="宋体" w:hAnsi="宋体"/>
                <w:color w:val="auto"/>
                <w:szCs w:val="21"/>
                <w:highlight w:val="none"/>
              </w:rPr>
              <w:t>响应</w:t>
            </w:r>
            <w:r>
              <w:rPr>
                <w:rFonts w:hint="eastAsia" w:ascii="宋体"/>
                <w:snapToGrid w:val="0"/>
                <w:color w:val="auto"/>
                <w:szCs w:val="21"/>
                <w:highlight w:val="none"/>
              </w:rPr>
              <w:t>文件的编制</w:t>
            </w:r>
          </w:p>
        </w:tc>
        <w:tc>
          <w:tcPr>
            <w:tcW w:w="6965" w:type="dxa"/>
            <w:vAlign w:val="center"/>
          </w:tcPr>
          <w:p w14:paraId="5FCCA1DD">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供应商应先安装“政采云</w:t>
            </w:r>
            <w:r>
              <w:rPr>
                <w:color w:val="auto"/>
                <w:szCs w:val="21"/>
                <w:highlight w:val="none"/>
              </w:rPr>
              <w:t>电子投标</w:t>
            </w:r>
            <w:r>
              <w:rPr>
                <w:rFonts w:hint="eastAsia" w:ascii="宋体"/>
                <w:snapToGrid w:val="0"/>
                <w:color w:val="auto"/>
                <w:szCs w:val="21"/>
                <w:highlight w:val="none"/>
              </w:rPr>
              <w:t>客户端”，并按照本磋商文件和“政采云平台”的要求，通过“政采云</w:t>
            </w:r>
            <w:r>
              <w:rPr>
                <w:color w:val="auto"/>
                <w:szCs w:val="21"/>
                <w:highlight w:val="none"/>
              </w:rPr>
              <w:t>电子投标</w:t>
            </w:r>
            <w:r>
              <w:rPr>
                <w:rFonts w:hint="eastAsia" w:ascii="宋体"/>
                <w:snapToGrid w:val="0"/>
                <w:color w:val="auto"/>
                <w:szCs w:val="21"/>
                <w:highlight w:val="none"/>
              </w:rPr>
              <w:t>客户端”编制并加密</w:t>
            </w:r>
            <w:r>
              <w:rPr>
                <w:rFonts w:hint="eastAsia" w:ascii="宋体" w:hAnsi="宋体"/>
                <w:color w:val="auto"/>
                <w:szCs w:val="21"/>
                <w:highlight w:val="none"/>
              </w:rPr>
              <w:t>响应</w:t>
            </w:r>
            <w:r>
              <w:rPr>
                <w:rFonts w:hint="eastAsia" w:ascii="宋体"/>
                <w:snapToGrid w:val="0"/>
                <w:color w:val="auto"/>
                <w:szCs w:val="21"/>
                <w:highlight w:val="none"/>
              </w:rPr>
              <w:t>文件。</w:t>
            </w:r>
          </w:p>
        </w:tc>
      </w:tr>
      <w:tr w14:paraId="42D17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10316D96">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15</w:t>
            </w:r>
          </w:p>
        </w:tc>
        <w:tc>
          <w:tcPr>
            <w:tcW w:w="1682" w:type="dxa"/>
            <w:vAlign w:val="center"/>
          </w:tcPr>
          <w:p w14:paraId="3EF63C53">
            <w:pPr>
              <w:spacing w:line="440" w:lineRule="exact"/>
              <w:jc w:val="center"/>
              <w:rPr>
                <w:rFonts w:ascii="宋体" w:hAnsi="宋体" w:cs="Courier New"/>
                <w:color w:val="auto"/>
                <w:spacing w:val="2"/>
                <w:szCs w:val="21"/>
                <w:highlight w:val="none"/>
              </w:rPr>
            </w:pPr>
            <w:r>
              <w:rPr>
                <w:rFonts w:hint="eastAsia" w:ascii="宋体" w:hAnsi="宋体"/>
                <w:color w:val="auto"/>
                <w:szCs w:val="21"/>
                <w:highlight w:val="none"/>
              </w:rPr>
              <w:t>响应</w:t>
            </w:r>
            <w:r>
              <w:rPr>
                <w:rFonts w:hint="eastAsia" w:ascii="宋体"/>
                <w:snapToGrid w:val="0"/>
                <w:color w:val="auto"/>
                <w:szCs w:val="21"/>
                <w:highlight w:val="none"/>
              </w:rPr>
              <w:t>文件的盖章</w:t>
            </w:r>
          </w:p>
        </w:tc>
        <w:tc>
          <w:tcPr>
            <w:tcW w:w="6965" w:type="dxa"/>
            <w:vAlign w:val="center"/>
          </w:tcPr>
          <w:p w14:paraId="285209F6">
            <w:pPr>
              <w:widowControl/>
              <w:spacing w:line="440" w:lineRule="exact"/>
              <w:jc w:val="left"/>
              <w:rPr>
                <w:rFonts w:ascii="宋体"/>
                <w:snapToGrid w:val="0"/>
                <w:color w:val="auto"/>
                <w:szCs w:val="21"/>
                <w:highlight w:val="none"/>
              </w:rPr>
            </w:pPr>
            <w:r>
              <w:rPr>
                <w:rFonts w:hint="eastAsia" w:ascii="宋体" w:hAnsi="宋体"/>
                <w:color w:val="auto"/>
                <w:szCs w:val="21"/>
                <w:highlight w:val="none"/>
              </w:rPr>
              <w:t>响应</w:t>
            </w:r>
            <w:r>
              <w:rPr>
                <w:rFonts w:hint="eastAsia" w:ascii="宋体"/>
                <w:snapToGrid w:val="0"/>
                <w:color w:val="auto"/>
                <w:szCs w:val="21"/>
                <w:highlight w:val="none"/>
              </w:rPr>
              <w:t>文件中所涉及的加盖公章均采用CA电子签章。</w:t>
            </w:r>
          </w:p>
        </w:tc>
      </w:tr>
      <w:tr w14:paraId="78BF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01C8DA9C">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16</w:t>
            </w:r>
          </w:p>
        </w:tc>
        <w:tc>
          <w:tcPr>
            <w:tcW w:w="1682" w:type="dxa"/>
            <w:vAlign w:val="center"/>
          </w:tcPr>
          <w:p w14:paraId="3642D62C">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响应文件</w:t>
            </w:r>
          </w:p>
          <w:p w14:paraId="6E670FE2">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份数</w:t>
            </w:r>
          </w:p>
        </w:tc>
        <w:tc>
          <w:tcPr>
            <w:tcW w:w="6965" w:type="dxa"/>
            <w:vAlign w:val="center"/>
          </w:tcPr>
          <w:p w14:paraId="0E9FA888">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 xml:space="preserve">供应商应准备电子加密响应文件、以介质存储的数据电文形式的电子备份响应文件份数： </w:t>
            </w:r>
          </w:p>
          <w:p w14:paraId="420DE1F0">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1.电子加密响应文件按政采云平台要求及本磋商文件要求制作、加密，并</w:t>
            </w:r>
            <w:r>
              <w:rPr>
                <w:rFonts w:ascii="宋体"/>
                <w:snapToGrid w:val="0"/>
                <w:color w:val="auto"/>
                <w:szCs w:val="21"/>
                <w:highlight w:val="none"/>
              </w:rPr>
              <w:t>在</w:t>
            </w:r>
            <w:r>
              <w:rPr>
                <w:rFonts w:hint="eastAsia" w:ascii="宋体"/>
                <w:snapToGrid w:val="0"/>
                <w:color w:val="auto"/>
                <w:szCs w:val="21"/>
                <w:highlight w:val="none"/>
              </w:rPr>
              <w:t>响应文件提交</w:t>
            </w:r>
            <w:r>
              <w:rPr>
                <w:rFonts w:ascii="宋体"/>
                <w:snapToGrid w:val="0"/>
                <w:color w:val="auto"/>
                <w:szCs w:val="21"/>
                <w:highlight w:val="none"/>
              </w:rPr>
              <w:t>截止时间前</w:t>
            </w:r>
            <w:r>
              <w:rPr>
                <w:rFonts w:hint="eastAsia" w:ascii="宋体"/>
                <w:snapToGrid w:val="0"/>
                <w:color w:val="auto"/>
                <w:szCs w:val="21"/>
                <w:highlight w:val="none"/>
              </w:rPr>
              <w:t>成功上传提交至“政采云平台”。“电子加密投标文件”成功上传提交后，供应商可自行打印响应文件接收回执。</w:t>
            </w:r>
          </w:p>
          <w:p w14:paraId="377AA1DB">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 xml:space="preserve">2.以介质存储的数据电文形式的电子备份响应文件，按政采云平台《政府采购项目电子交易管理操作指南-供应商》中上传的电子响应文件格式，以U 盘的形式提供。数量为 1 份。 </w:t>
            </w:r>
          </w:p>
          <w:p w14:paraId="3ED90BFF">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3. 响应文件启用顺序和效力。响应文件的启用，按先后顺位分别为电子加密响应文件、以介质存储的数据电</w:t>
            </w:r>
            <w:bookmarkStart w:id="250" w:name="_GoBack"/>
            <w:bookmarkEnd w:id="250"/>
            <w:r>
              <w:rPr>
                <w:rFonts w:hint="eastAsia" w:ascii="宋体"/>
                <w:snapToGrid w:val="0"/>
                <w:color w:val="auto"/>
                <w:szCs w:val="21"/>
                <w:highlight w:val="none"/>
              </w:rPr>
              <w:t xml:space="preserve">文形式的电子备份响应文件。顺位在先的响应文件已按时解密的，下一顺位响应文件自动失效。在下一顺位的响应文件启用时，前一顺位的响应文件自动失效。 </w:t>
            </w:r>
          </w:p>
          <w:p w14:paraId="46C6CF02">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未</w:t>
            </w:r>
            <w:r>
              <w:rPr>
                <w:rFonts w:ascii="宋体"/>
                <w:snapToGrid w:val="0"/>
                <w:color w:val="auto"/>
                <w:szCs w:val="21"/>
                <w:highlight w:val="none"/>
              </w:rPr>
              <w:t>在</w:t>
            </w:r>
            <w:r>
              <w:rPr>
                <w:rFonts w:hint="eastAsia" w:ascii="宋体"/>
                <w:snapToGrid w:val="0"/>
                <w:color w:val="auto"/>
                <w:szCs w:val="21"/>
                <w:highlight w:val="none"/>
              </w:rPr>
              <w:t>响应文件提交</w:t>
            </w:r>
            <w:r>
              <w:rPr>
                <w:rFonts w:ascii="宋体"/>
                <w:snapToGrid w:val="0"/>
                <w:color w:val="auto"/>
                <w:szCs w:val="21"/>
                <w:highlight w:val="none"/>
              </w:rPr>
              <w:t>截止时间前</w:t>
            </w:r>
            <w:r>
              <w:rPr>
                <w:rFonts w:hint="eastAsia" w:ascii="宋体"/>
                <w:snapToGrid w:val="0"/>
                <w:color w:val="auto"/>
                <w:szCs w:val="21"/>
                <w:highlight w:val="none"/>
              </w:rPr>
              <w:t xml:space="preserve">传输提交电子加密响应文件的，响应无效。 </w:t>
            </w:r>
          </w:p>
          <w:p w14:paraId="76B7600E">
            <w:pPr>
              <w:spacing w:line="420" w:lineRule="exact"/>
              <w:rPr>
                <w:rFonts w:ascii="宋体" w:hAnsi="宋体" w:cs="Courier New"/>
                <w:color w:val="auto"/>
                <w:spacing w:val="2"/>
                <w:szCs w:val="21"/>
                <w:highlight w:val="none"/>
              </w:rPr>
            </w:pPr>
            <w:r>
              <w:rPr>
                <w:rFonts w:hint="eastAsia" w:ascii="宋体"/>
                <w:snapToGrid w:val="0"/>
                <w:color w:val="auto"/>
                <w:szCs w:val="21"/>
                <w:highlight w:val="none"/>
              </w:rPr>
              <w:t>未按规定提供相应的备份响应文件，造成项目开评标活动无法进行下去的，响应无效。</w:t>
            </w:r>
          </w:p>
        </w:tc>
      </w:tr>
      <w:tr w14:paraId="4C92B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18" w:type="dxa"/>
            <w:vAlign w:val="center"/>
          </w:tcPr>
          <w:p w14:paraId="4FC71B5D">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17</w:t>
            </w:r>
          </w:p>
        </w:tc>
        <w:tc>
          <w:tcPr>
            <w:tcW w:w="1682" w:type="dxa"/>
            <w:vAlign w:val="center"/>
          </w:tcPr>
          <w:p w14:paraId="55A30818">
            <w:pPr>
              <w:spacing w:line="440" w:lineRule="exact"/>
              <w:jc w:val="center"/>
              <w:rPr>
                <w:rFonts w:ascii="宋体" w:hAnsi="宋体" w:cs="宋体"/>
                <w:color w:val="auto"/>
                <w:spacing w:val="2"/>
                <w:szCs w:val="21"/>
                <w:highlight w:val="none"/>
              </w:rPr>
            </w:pPr>
            <w:r>
              <w:rPr>
                <w:rFonts w:hint="eastAsia" w:ascii="宋体"/>
                <w:snapToGrid w:val="0"/>
                <w:color w:val="auto"/>
                <w:szCs w:val="21"/>
                <w:highlight w:val="none"/>
              </w:rPr>
              <w:t>电子响应文件的解密</w:t>
            </w:r>
          </w:p>
        </w:tc>
        <w:tc>
          <w:tcPr>
            <w:tcW w:w="6965" w:type="dxa"/>
            <w:vAlign w:val="center"/>
          </w:tcPr>
          <w:p w14:paraId="7478E518">
            <w:pPr>
              <w:adjustRightInd w:val="0"/>
              <w:spacing w:line="420" w:lineRule="exact"/>
              <w:ind w:firstLine="420" w:firstLineChars="200"/>
              <w:rPr>
                <w:rFonts w:ascii="宋体" w:hAnsi="宋体" w:cs="宋体"/>
                <w:color w:val="auto"/>
                <w:spacing w:val="2"/>
                <w:szCs w:val="21"/>
                <w:highlight w:val="none"/>
              </w:rPr>
            </w:pPr>
            <w:r>
              <w:rPr>
                <w:rFonts w:hint="eastAsia" w:ascii="宋体"/>
                <w:snapToGrid w:val="0"/>
                <w:color w:val="auto"/>
                <w:szCs w:val="21"/>
                <w:highlight w:val="none"/>
              </w:rPr>
              <w:t>响应文件提交截止时间后 30 分钟内，供应商必须在此时间段内登录政采云平台，用“项目采购-开标评标”功能完成电子响应文件的解密。若供应商在规定时间内未按时解密的，供应商已递交了电子备份响应文件的，以电子备份响应文件为依据，未能按时解密且未提交电子备份响应文件的视为响应文件撤回。</w:t>
            </w:r>
          </w:p>
        </w:tc>
      </w:tr>
      <w:tr w14:paraId="7938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18" w:type="dxa"/>
            <w:vAlign w:val="center"/>
          </w:tcPr>
          <w:p w14:paraId="2DE38E1D">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18</w:t>
            </w:r>
          </w:p>
        </w:tc>
        <w:tc>
          <w:tcPr>
            <w:tcW w:w="1682" w:type="dxa"/>
            <w:vAlign w:val="center"/>
          </w:tcPr>
          <w:p w14:paraId="3564BE23">
            <w:pPr>
              <w:spacing w:line="440" w:lineRule="exact"/>
              <w:jc w:val="center"/>
              <w:rPr>
                <w:rFonts w:ascii="宋体" w:hAnsi="宋体" w:cs="宋体"/>
                <w:color w:val="auto"/>
                <w:spacing w:val="2"/>
                <w:szCs w:val="21"/>
                <w:highlight w:val="none"/>
              </w:rPr>
            </w:pPr>
            <w:r>
              <w:rPr>
                <w:rFonts w:hint="eastAsia" w:ascii="宋体" w:hAnsi="宋体" w:cs="宋体"/>
                <w:color w:val="auto"/>
                <w:spacing w:val="2"/>
                <w:szCs w:val="21"/>
                <w:highlight w:val="none"/>
              </w:rPr>
              <w:t>响应文件提交地点及截止时间</w:t>
            </w:r>
          </w:p>
        </w:tc>
        <w:tc>
          <w:tcPr>
            <w:tcW w:w="6965" w:type="dxa"/>
            <w:vAlign w:val="center"/>
          </w:tcPr>
          <w:p w14:paraId="48B31B28">
            <w:pPr>
              <w:adjustRightInd w:val="0"/>
              <w:spacing w:line="420" w:lineRule="exact"/>
              <w:ind w:firstLine="420" w:firstLineChars="200"/>
              <w:rPr>
                <w:rFonts w:hint="eastAsia" w:ascii="宋体"/>
                <w:snapToGrid w:val="0"/>
                <w:color w:val="auto"/>
                <w:szCs w:val="21"/>
                <w:highlight w:val="none"/>
              </w:rPr>
            </w:pPr>
            <w:r>
              <w:rPr>
                <w:rFonts w:hint="eastAsia" w:ascii="宋体"/>
                <w:snapToGrid w:val="0"/>
                <w:color w:val="auto"/>
                <w:szCs w:val="21"/>
                <w:highlight w:val="none"/>
              </w:rPr>
              <w:t>截止时间：</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年</w:t>
            </w:r>
            <w:r>
              <w:rPr>
                <w:rFonts w:hint="eastAsia" w:ascii="宋体" w:hAnsi="宋体"/>
                <w:color w:val="auto"/>
                <w:szCs w:val="21"/>
                <w:highlight w:val="none"/>
                <w:u w:val="single"/>
                <w:lang w:val="en-US" w:eastAsia="zh-CN"/>
              </w:rPr>
              <w:t>12</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12</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09</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分</w:t>
            </w:r>
            <w:r>
              <w:rPr>
                <w:rFonts w:hint="eastAsia" w:ascii="宋体"/>
                <w:snapToGrid w:val="0"/>
                <w:color w:val="auto"/>
                <w:szCs w:val="21"/>
                <w:highlight w:val="none"/>
              </w:rPr>
              <w:t>（北京时间）。</w:t>
            </w:r>
          </w:p>
          <w:p w14:paraId="7B1D6BD3">
            <w:pPr>
              <w:adjustRightInd w:val="0"/>
              <w:spacing w:line="420" w:lineRule="exact"/>
              <w:ind w:firstLine="420" w:firstLineChars="200"/>
              <w:rPr>
                <w:rFonts w:hint="eastAsia" w:ascii="宋体"/>
                <w:snapToGrid w:val="0"/>
                <w:color w:val="auto"/>
                <w:szCs w:val="21"/>
                <w:highlight w:val="none"/>
              </w:rPr>
            </w:pPr>
            <w:r>
              <w:rPr>
                <w:rFonts w:hint="eastAsia" w:ascii="宋体"/>
                <w:snapToGrid w:val="0"/>
                <w:color w:val="auto"/>
                <w:szCs w:val="21"/>
                <w:highlight w:val="none"/>
              </w:rPr>
              <w:t>地点：通过政采云平台（网址：http://www.zcygov.cn）实行在线响应（本项目采用在线开评标方式，供应商无须前往开标现场）。</w:t>
            </w:r>
          </w:p>
        </w:tc>
      </w:tr>
      <w:tr w14:paraId="2631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18" w:type="dxa"/>
            <w:vAlign w:val="center"/>
          </w:tcPr>
          <w:p w14:paraId="38775445">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19</w:t>
            </w:r>
          </w:p>
        </w:tc>
        <w:tc>
          <w:tcPr>
            <w:tcW w:w="1682" w:type="dxa"/>
            <w:vAlign w:val="center"/>
          </w:tcPr>
          <w:p w14:paraId="50B191A0">
            <w:pPr>
              <w:spacing w:line="440" w:lineRule="exact"/>
              <w:jc w:val="center"/>
              <w:rPr>
                <w:rFonts w:ascii="宋体" w:hAnsi="宋体" w:cs="宋体"/>
                <w:color w:val="auto"/>
                <w:spacing w:val="2"/>
                <w:szCs w:val="21"/>
                <w:highlight w:val="none"/>
              </w:rPr>
            </w:pPr>
            <w:r>
              <w:rPr>
                <w:rFonts w:hint="eastAsia" w:ascii="宋体" w:hAnsi="宋体" w:cs="Courier New"/>
                <w:color w:val="auto"/>
                <w:spacing w:val="2"/>
                <w:szCs w:val="21"/>
                <w:highlight w:val="none"/>
              </w:rPr>
              <w:t>磋商</w:t>
            </w:r>
            <w:r>
              <w:rPr>
                <w:rFonts w:hint="eastAsia" w:ascii="宋体" w:hAnsi="宋体" w:cs="宋体"/>
                <w:color w:val="auto"/>
                <w:szCs w:val="21"/>
                <w:highlight w:val="none"/>
              </w:rPr>
              <w:t>时间及</w:t>
            </w:r>
            <w:r>
              <w:rPr>
                <w:rFonts w:hint="eastAsia" w:ascii="宋体" w:hAnsi="宋体" w:cs="Courier New"/>
                <w:color w:val="auto"/>
                <w:spacing w:val="2"/>
                <w:szCs w:val="21"/>
                <w:highlight w:val="none"/>
              </w:rPr>
              <w:t>磋商</w:t>
            </w:r>
            <w:r>
              <w:rPr>
                <w:rFonts w:hint="eastAsia" w:ascii="宋体" w:hAnsi="宋体" w:cs="宋体"/>
                <w:color w:val="auto"/>
                <w:spacing w:val="2"/>
                <w:szCs w:val="21"/>
                <w:highlight w:val="none"/>
              </w:rPr>
              <w:t>地点</w:t>
            </w:r>
          </w:p>
        </w:tc>
        <w:tc>
          <w:tcPr>
            <w:tcW w:w="6965" w:type="dxa"/>
            <w:vAlign w:val="center"/>
          </w:tcPr>
          <w:p w14:paraId="10D61C7E">
            <w:pPr>
              <w:adjustRightInd w:val="0"/>
              <w:spacing w:line="420" w:lineRule="exact"/>
              <w:ind w:firstLine="420" w:firstLineChars="200"/>
              <w:rPr>
                <w:rFonts w:hint="eastAsia" w:ascii="宋体"/>
                <w:snapToGrid w:val="0"/>
                <w:color w:val="auto"/>
                <w:szCs w:val="21"/>
                <w:highlight w:val="none"/>
              </w:rPr>
            </w:pPr>
            <w:r>
              <w:rPr>
                <w:rFonts w:hint="eastAsia" w:ascii="宋体"/>
                <w:snapToGrid w:val="0"/>
                <w:color w:val="auto"/>
                <w:szCs w:val="21"/>
                <w:highlight w:val="none"/>
              </w:rPr>
              <w:t>磋商时间：</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年</w:t>
            </w:r>
            <w:r>
              <w:rPr>
                <w:rFonts w:hint="eastAsia" w:ascii="宋体" w:hAnsi="宋体"/>
                <w:color w:val="auto"/>
                <w:szCs w:val="21"/>
                <w:highlight w:val="none"/>
                <w:u w:val="single"/>
                <w:lang w:val="en-US" w:eastAsia="zh-CN"/>
              </w:rPr>
              <w:t>12</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12</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09</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分</w:t>
            </w:r>
            <w:r>
              <w:rPr>
                <w:rFonts w:hint="eastAsia" w:ascii="宋体"/>
                <w:snapToGrid w:val="0"/>
                <w:color w:val="auto"/>
                <w:szCs w:val="21"/>
                <w:highlight w:val="none"/>
              </w:rPr>
              <w:t>（北京时间）截标后（具体时间由采购代理机构另行通知）；</w:t>
            </w:r>
          </w:p>
          <w:p w14:paraId="3252B926">
            <w:pPr>
              <w:adjustRightInd w:val="0"/>
              <w:spacing w:line="420" w:lineRule="exact"/>
              <w:ind w:firstLine="420" w:firstLineChars="200"/>
              <w:rPr>
                <w:rFonts w:hint="eastAsia" w:ascii="宋体"/>
                <w:snapToGrid w:val="0"/>
                <w:color w:val="auto"/>
                <w:szCs w:val="21"/>
                <w:highlight w:val="none"/>
              </w:rPr>
            </w:pPr>
            <w:r>
              <w:rPr>
                <w:rFonts w:hint="eastAsia" w:ascii="宋体"/>
                <w:snapToGrid w:val="0"/>
                <w:color w:val="auto"/>
                <w:szCs w:val="21"/>
                <w:highlight w:val="none"/>
              </w:rPr>
              <w:t>磋商地点：通过政采云平台（网址：http://www.zcygov.cn）实行在线响应（本项目采用在线开评标方式，供应商无须前往开标现场）。</w:t>
            </w:r>
          </w:p>
        </w:tc>
      </w:tr>
      <w:tr w14:paraId="0EBD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727EDFF0">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20</w:t>
            </w:r>
          </w:p>
        </w:tc>
        <w:tc>
          <w:tcPr>
            <w:tcW w:w="1682" w:type="dxa"/>
            <w:vAlign w:val="center"/>
          </w:tcPr>
          <w:p w14:paraId="01EC75E0">
            <w:pPr>
              <w:spacing w:line="440" w:lineRule="exact"/>
              <w:jc w:val="center"/>
              <w:rPr>
                <w:rFonts w:ascii="宋体" w:hAnsi="宋体"/>
                <w:color w:val="auto"/>
                <w:szCs w:val="21"/>
                <w:highlight w:val="none"/>
              </w:rPr>
            </w:pPr>
            <w:r>
              <w:rPr>
                <w:rFonts w:hint="eastAsia" w:ascii="宋体" w:hAnsi="宋体"/>
                <w:color w:val="auto"/>
                <w:szCs w:val="21"/>
                <w:highlight w:val="none"/>
              </w:rPr>
              <w:t>资格审查</w:t>
            </w:r>
          </w:p>
          <w:p w14:paraId="1C76D8FB">
            <w:pPr>
              <w:spacing w:line="440" w:lineRule="exact"/>
              <w:jc w:val="center"/>
              <w:rPr>
                <w:rFonts w:ascii="宋体" w:hAnsi="宋体"/>
                <w:color w:val="auto"/>
                <w:szCs w:val="21"/>
                <w:highlight w:val="none"/>
              </w:rPr>
            </w:pPr>
            <w:r>
              <w:rPr>
                <w:rFonts w:hint="eastAsia" w:ascii="宋体" w:hAnsi="宋体"/>
                <w:color w:val="auto"/>
                <w:szCs w:val="21"/>
                <w:highlight w:val="none"/>
              </w:rPr>
              <w:t>方式</w:t>
            </w:r>
          </w:p>
        </w:tc>
        <w:tc>
          <w:tcPr>
            <w:tcW w:w="6965" w:type="dxa"/>
            <w:vAlign w:val="center"/>
          </w:tcPr>
          <w:p w14:paraId="7F43CBD6">
            <w:pPr>
              <w:spacing w:line="420" w:lineRule="exact"/>
              <w:rPr>
                <w:rFonts w:ascii="宋体" w:hAnsi="宋体"/>
                <w:color w:val="auto"/>
                <w:szCs w:val="21"/>
                <w:highlight w:val="none"/>
              </w:rPr>
            </w:pPr>
            <w:r>
              <w:rPr>
                <w:rFonts w:hint="eastAsia" w:ascii="宋体" w:hAnsi="宋体"/>
                <w:color w:val="auto"/>
                <w:szCs w:val="21"/>
                <w:highlight w:val="none"/>
              </w:rPr>
              <w:t>资格后审</w:t>
            </w:r>
          </w:p>
        </w:tc>
      </w:tr>
      <w:tr w14:paraId="2701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23747CDD">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21</w:t>
            </w:r>
          </w:p>
        </w:tc>
        <w:tc>
          <w:tcPr>
            <w:tcW w:w="1682" w:type="dxa"/>
            <w:vAlign w:val="center"/>
          </w:tcPr>
          <w:p w14:paraId="49CD8472">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评标办法</w:t>
            </w:r>
          </w:p>
        </w:tc>
        <w:tc>
          <w:tcPr>
            <w:tcW w:w="6965" w:type="dxa"/>
            <w:vAlign w:val="center"/>
          </w:tcPr>
          <w:p w14:paraId="719758FD">
            <w:pPr>
              <w:spacing w:line="420" w:lineRule="exact"/>
              <w:ind w:left="1890" w:hanging="1890" w:hangingChars="900"/>
              <w:rPr>
                <w:rFonts w:ascii="宋体" w:hAnsi="宋体" w:cs="Courier New"/>
                <w:color w:val="auto"/>
                <w:spacing w:val="2"/>
                <w:szCs w:val="21"/>
                <w:highlight w:val="none"/>
              </w:rPr>
            </w:pPr>
            <w:r>
              <w:rPr>
                <w:rFonts w:hint="eastAsia" w:ascii="宋体" w:hAnsi="宋体"/>
                <w:color w:val="auto"/>
                <w:szCs w:val="21"/>
                <w:highlight w:val="none"/>
              </w:rPr>
              <w:t>采用综合评分</w:t>
            </w:r>
            <w:r>
              <w:rPr>
                <w:rFonts w:ascii="宋体" w:hAnsi="宋体"/>
                <w:color w:val="auto"/>
                <w:szCs w:val="21"/>
                <w:highlight w:val="none"/>
              </w:rPr>
              <w:t>法</w:t>
            </w:r>
            <w:r>
              <w:rPr>
                <w:rFonts w:hint="eastAsia" w:ascii="宋体" w:hAnsi="宋体"/>
                <w:color w:val="auto"/>
                <w:szCs w:val="21"/>
                <w:highlight w:val="none"/>
              </w:rPr>
              <w:t>。</w:t>
            </w:r>
          </w:p>
        </w:tc>
      </w:tr>
      <w:tr w14:paraId="699B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18" w:type="dxa"/>
            <w:vAlign w:val="center"/>
          </w:tcPr>
          <w:p w14:paraId="6804DC00">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22</w:t>
            </w:r>
          </w:p>
        </w:tc>
        <w:tc>
          <w:tcPr>
            <w:tcW w:w="1682" w:type="dxa"/>
            <w:vAlign w:val="center"/>
          </w:tcPr>
          <w:p w14:paraId="1016E7B6">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履约保证金</w:t>
            </w:r>
          </w:p>
        </w:tc>
        <w:tc>
          <w:tcPr>
            <w:tcW w:w="6965" w:type="dxa"/>
            <w:vAlign w:val="center"/>
          </w:tcPr>
          <w:p w14:paraId="5D695D45">
            <w:pPr>
              <w:spacing w:line="420" w:lineRule="exact"/>
              <w:rPr>
                <w:rFonts w:ascii="宋体" w:hAnsi="宋体" w:cs="Arial"/>
                <w:color w:val="auto"/>
                <w:szCs w:val="21"/>
                <w:highlight w:val="none"/>
              </w:rPr>
            </w:pPr>
            <w:r>
              <w:rPr>
                <w:rFonts w:hint="eastAsia" w:ascii="宋体" w:hAnsi="宋体" w:cs="Arial"/>
                <w:color w:val="auto"/>
                <w:szCs w:val="21"/>
                <w:highlight w:val="none"/>
              </w:rPr>
              <w:t>本项目不收取</w:t>
            </w:r>
            <w:r>
              <w:rPr>
                <w:rFonts w:hint="eastAsia" w:ascii="宋体" w:hAnsi="宋体" w:cs="Courier New"/>
                <w:color w:val="auto"/>
                <w:spacing w:val="2"/>
                <w:szCs w:val="21"/>
                <w:highlight w:val="none"/>
              </w:rPr>
              <w:t>履约保证金。</w:t>
            </w:r>
          </w:p>
        </w:tc>
      </w:tr>
      <w:tr w14:paraId="33BE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518" w:type="dxa"/>
            <w:vMerge w:val="restart"/>
            <w:vAlign w:val="center"/>
          </w:tcPr>
          <w:p w14:paraId="2B0316E0">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23</w:t>
            </w:r>
          </w:p>
        </w:tc>
        <w:tc>
          <w:tcPr>
            <w:tcW w:w="1682" w:type="dxa"/>
            <w:vMerge w:val="restart"/>
            <w:vAlign w:val="center"/>
          </w:tcPr>
          <w:p w14:paraId="375B1607">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联系人</w:t>
            </w:r>
          </w:p>
        </w:tc>
        <w:tc>
          <w:tcPr>
            <w:tcW w:w="6965" w:type="dxa"/>
            <w:vAlign w:val="center"/>
          </w:tcPr>
          <w:p w14:paraId="35B70413">
            <w:pPr>
              <w:spacing w:line="440" w:lineRule="exact"/>
              <w:rPr>
                <w:rFonts w:hint="default" w:ascii="宋体" w:hAnsi="宋体"/>
                <w:color w:val="auto"/>
                <w:sz w:val="21"/>
                <w:szCs w:val="21"/>
                <w:highlight w:val="none"/>
                <w:lang w:val="en-US"/>
              </w:rPr>
            </w:pPr>
            <w:r>
              <w:rPr>
                <w:rFonts w:hint="eastAsia" w:ascii="宋体" w:hAnsi="宋体"/>
                <w:color w:val="auto"/>
                <w:sz w:val="21"/>
                <w:szCs w:val="21"/>
                <w:highlight w:val="none"/>
              </w:rPr>
              <w:t>采购联系人：</w:t>
            </w:r>
            <w:r>
              <w:rPr>
                <w:rFonts w:hint="eastAsia" w:ascii="宋体" w:hAnsi="宋体"/>
                <w:color w:val="auto"/>
                <w:sz w:val="21"/>
                <w:szCs w:val="21"/>
                <w:highlight w:val="none"/>
                <w:lang w:val="en-US" w:eastAsia="zh-CN"/>
              </w:rPr>
              <w:t>欧主任</w:t>
            </w:r>
            <w:r>
              <w:rPr>
                <w:rFonts w:hint="eastAsia" w:ascii="宋体" w:hAnsi="宋体"/>
                <w:color w:val="auto"/>
                <w:sz w:val="21"/>
                <w:szCs w:val="21"/>
                <w:highlight w:val="none"/>
              </w:rPr>
              <w:t xml:space="preserve"> 联系电话：</w:t>
            </w:r>
            <w:r>
              <w:rPr>
                <w:color w:val="auto"/>
                <w:sz w:val="21"/>
                <w:szCs w:val="21"/>
                <w:highlight w:val="none"/>
                <w:u w:val="none"/>
              </w:rPr>
              <w:t xml:space="preserve"> </w:t>
            </w:r>
            <w:r>
              <w:rPr>
                <w:rFonts w:hint="eastAsia" w:ascii="宋体" w:hAnsi="宋体" w:eastAsia="宋体" w:cs="宋体"/>
                <w:color w:val="auto"/>
                <w:kern w:val="0"/>
                <w:sz w:val="21"/>
                <w:szCs w:val="21"/>
                <w:highlight w:val="none"/>
                <w:u w:val="none"/>
                <w:lang w:val="en-US" w:eastAsia="zh-CN" w:bidi="ar"/>
              </w:rPr>
              <w:t>0771-</w:t>
            </w:r>
            <w:r>
              <w:rPr>
                <w:rFonts w:hint="eastAsia" w:ascii="宋体" w:hAnsi="宋体" w:cs="宋体"/>
                <w:color w:val="auto"/>
                <w:kern w:val="0"/>
                <w:sz w:val="21"/>
                <w:szCs w:val="21"/>
                <w:highlight w:val="none"/>
                <w:u w:val="none"/>
                <w:lang w:val="en-US" w:eastAsia="zh-CN" w:bidi="ar"/>
              </w:rPr>
              <w:t>8815910</w:t>
            </w:r>
          </w:p>
        </w:tc>
      </w:tr>
      <w:tr w14:paraId="32CCD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518" w:type="dxa"/>
            <w:vMerge w:val="continue"/>
            <w:vAlign w:val="center"/>
          </w:tcPr>
          <w:p w14:paraId="36609FC0">
            <w:pPr>
              <w:spacing w:line="440" w:lineRule="exact"/>
              <w:jc w:val="center"/>
              <w:rPr>
                <w:rFonts w:ascii="宋体" w:hAnsi="宋体" w:cs="Courier New"/>
                <w:color w:val="auto"/>
                <w:spacing w:val="2"/>
                <w:szCs w:val="21"/>
                <w:highlight w:val="none"/>
              </w:rPr>
            </w:pPr>
          </w:p>
        </w:tc>
        <w:tc>
          <w:tcPr>
            <w:tcW w:w="1682" w:type="dxa"/>
            <w:vMerge w:val="continue"/>
            <w:vAlign w:val="center"/>
          </w:tcPr>
          <w:p w14:paraId="39C2E884">
            <w:pPr>
              <w:spacing w:line="440" w:lineRule="exact"/>
              <w:jc w:val="center"/>
              <w:rPr>
                <w:rFonts w:ascii="宋体" w:hAnsi="宋体" w:cs="Courier New"/>
                <w:color w:val="auto"/>
                <w:spacing w:val="2"/>
                <w:szCs w:val="21"/>
                <w:highlight w:val="none"/>
              </w:rPr>
            </w:pPr>
          </w:p>
        </w:tc>
        <w:tc>
          <w:tcPr>
            <w:tcW w:w="6965" w:type="dxa"/>
            <w:vAlign w:val="center"/>
          </w:tcPr>
          <w:p w14:paraId="51FFE628">
            <w:pPr>
              <w:autoSpaceDE w:val="0"/>
              <w:spacing w:line="420" w:lineRule="exact"/>
              <w:rPr>
                <w:rFonts w:hint="default" w:ascii="宋体" w:hAnsi="宋体"/>
                <w:color w:val="auto"/>
                <w:sz w:val="21"/>
                <w:szCs w:val="21"/>
                <w:highlight w:val="none"/>
                <w:lang w:val="en-US"/>
              </w:rPr>
            </w:pPr>
            <w:r>
              <w:rPr>
                <w:rFonts w:hint="eastAsia" w:ascii="宋体" w:hAnsi="宋体"/>
                <w:color w:val="auto"/>
                <w:sz w:val="21"/>
                <w:szCs w:val="21"/>
                <w:highlight w:val="none"/>
              </w:rPr>
              <w:t>代理机构联系人：</w:t>
            </w:r>
            <w:r>
              <w:rPr>
                <w:rFonts w:hint="eastAsia" w:ascii="宋体" w:hAnsi="宋体"/>
                <w:color w:val="auto"/>
                <w:sz w:val="21"/>
                <w:szCs w:val="21"/>
                <w:highlight w:val="none"/>
                <w:lang w:eastAsia="zh-CN"/>
              </w:rPr>
              <w:t>张凯</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联系电话：</w:t>
            </w:r>
            <w:r>
              <w:rPr>
                <w:rFonts w:hint="eastAsia" w:cs="宋体" w:asciiTheme="minorEastAsia" w:hAnsiTheme="minorEastAsia" w:eastAsiaTheme="minorEastAsia"/>
                <w:color w:val="auto"/>
                <w:szCs w:val="21"/>
                <w:highlight w:val="none"/>
                <w:lang w:val="en-US" w:eastAsia="zh-CN"/>
              </w:rPr>
              <w:t>15977674154</w:t>
            </w:r>
          </w:p>
        </w:tc>
      </w:tr>
      <w:tr w14:paraId="1581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Merge w:val="continue"/>
            <w:vAlign w:val="center"/>
          </w:tcPr>
          <w:p w14:paraId="19E75305">
            <w:pPr>
              <w:spacing w:line="440" w:lineRule="exact"/>
              <w:jc w:val="center"/>
              <w:rPr>
                <w:rFonts w:ascii="宋体" w:hAnsi="宋体" w:cs="Courier New"/>
                <w:color w:val="auto"/>
                <w:spacing w:val="2"/>
                <w:szCs w:val="21"/>
                <w:highlight w:val="none"/>
              </w:rPr>
            </w:pPr>
          </w:p>
        </w:tc>
        <w:tc>
          <w:tcPr>
            <w:tcW w:w="1682" w:type="dxa"/>
            <w:vMerge w:val="continue"/>
            <w:vAlign w:val="center"/>
          </w:tcPr>
          <w:p w14:paraId="7DD7468E">
            <w:pPr>
              <w:spacing w:line="440" w:lineRule="exact"/>
              <w:jc w:val="center"/>
              <w:rPr>
                <w:rFonts w:ascii="宋体" w:hAnsi="宋体" w:cs="Courier New"/>
                <w:color w:val="auto"/>
                <w:spacing w:val="2"/>
                <w:szCs w:val="21"/>
                <w:highlight w:val="none"/>
              </w:rPr>
            </w:pPr>
          </w:p>
        </w:tc>
        <w:tc>
          <w:tcPr>
            <w:tcW w:w="6965" w:type="dxa"/>
            <w:vAlign w:val="center"/>
          </w:tcPr>
          <w:p w14:paraId="0E301005">
            <w:pPr>
              <w:spacing w:line="420" w:lineRule="exact"/>
              <w:rPr>
                <w:rFonts w:ascii="宋体" w:hAnsi="宋体"/>
                <w:color w:val="auto"/>
                <w:sz w:val="21"/>
                <w:szCs w:val="21"/>
                <w:highlight w:val="none"/>
              </w:rPr>
            </w:pPr>
            <w:r>
              <w:rPr>
                <w:rFonts w:hint="eastAsia" w:ascii="宋体" w:hAnsi="宋体"/>
                <w:color w:val="auto"/>
                <w:sz w:val="21"/>
                <w:szCs w:val="21"/>
                <w:highlight w:val="none"/>
              </w:rPr>
              <w:t>行政监督单位：</w:t>
            </w:r>
            <w:r>
              <w:rPr>
                <w:rFonts w:hint="eastAsia" w:ascii="宋体" w:hAnsi="宋体"/>
                <w:color w:val="auto"/>
                <w:sz w:val="21"/>
                <w:szCs w:val="21"/>
                <w:highlight w:val="none"/>
                <w:lang w:val="en-US" w:eastAsia="zh-CN"/>
              </w:rPr>
              <w:t>龙州县</w:t>
            </w:r>
            <w:r>
              <w:rPr>
                <w:rFonts w:hint="eastAsia" w:ascii="宋体" w:hAnsi="宋体"/>
                <w:color w:val="auto"/>
                <w:sz w:val="21"/>
                <w:szCs w:val="21"/>
                <w:highlight w:val="none"/>
              </w:rPr>
              <w:t xml:space="preserve">财政局政府采购监督管理股      </w:t>
            </w:r>
          </w:p>
          <w:p w14:paraId="63626C48">
            <w:pPr>
              <w:spacing w:line="420" w:lineRule="exact"/>
              <w:rPr>
                <w:rFonts w:ascii="宋体" w:hAnsi="宋体"/>
                <w:color w:val="auto"/>
                <w:sz w:val="21"/>
                <w:szCs w:val="21"/>
                <w:highlight w:val="none"/>
              </w:rPr>
            </w:pPr>
            <w:r>
              <w:rPr>
                <w:rFonts w:hint="eastAsia" w:ascii="宋体" w:hAnsi="宋体"/>
                <w:color w:val="auto"/>
                <w:sz w:val="21"/>
                <w:szCs w:val="21"/>
                <w:highlight w:val="none"/>
              </w:rPr>
              <w:t>联系电话：</w:t>
            </w:r>
            <w:r>
              <w:rPr>
                <w:rFonts w:hint="eastAsia" w:ascii="宋体" w:hAnsi="宋体" w:eastAsia="宋体" w:cs="宋体"/>
                <w:color w:val="auto"/>
                <w:kern w:val="2"/>
                <w:sz w:val="21"/>
                <w:szCs w:val="21"/>
                <w:highlight w:val="none"/>
                <w:lang w:val="en-US" w:eastAsia="zh-CN" w:bidi="ar"/>
              </w:rPr>
              <w:t>0771-</w:t>
            </w:r>
            <w:r>
              <w:rPr>
                <w:rFonts w:hint="eastAsia" w:ascii="宋体" w:hAnsi="宋体" w:cs="宋体"/>
                <w:color w:val="auto"/>
                <w:kern w:val="2"/>
                <w:sz w:val="21"/>
                <w:szCs w:val="21"/>
                <w:highlight w:val="none"/>
                <w:lang w:val="en-US" w:eastAsia="zh-CN" w:bidi="ar"/>
              </w:rPr>
              <w:t>8812665</w:t>
            </w:r>
          </w:p>
        </w:tc>
      </w:tr>
      <w:tr w14:paraId="5C99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2D92A99A">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24</w:t>
            </w:r>
          </w:p>
        </w:tc>
        <w:tc>
          <w:tcPr>
            <w:tcW w:w="1682" w:type="dxa"/>
            <w:vAlign w:val="center"/>
          </w:tcPr>
          <w:p w14:paraId="36FD94D6">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其他说明</w:t>
            </w:r>
          </w:p>
        </w:tc>
        <w:tc>
          <w:tcPr>
            <w:tcW w:w="6965" w:type="dxa"/>
            <w:vAlign w:val="center"/>
          </w:tcPr>
          <w:p w14:paraId="779C7B7B">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 xml:space="preserve">采购人或者采购代理机构在资格审查结束前，对供应商进行信用查询。 </w:t>
            </w:r>
          </w:p>
          <w:p w14:paraId="39E4B69E">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 xml:space="preserve">查询渠道：“信用中国”网站(www.creditchina.gov.cn) 、中国政府采购网(www.ccgp.gov.cn)。 </w:t>
            </w:r>
          </w:p>
          <w:p w14:paraId="4E98C602">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 xml:space="preserve">信用查询截止时间点：资格审查结束前 </w:t>
            </w:r>
          </w:p>
          <w:p w14:paraId="1B4C267C">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 xml:space="preserve">查询记录和证据留存方式：在查询网站中直接打印查询记录，打印材料作为评审资料保存。 </w:t>
            </w:r>
          </w:p>
          <w:p w14:paraId="176A9A1A">
            <w:pPr>
              <w:autoSpaceDE w:val="0"/>
              <w:autoSpaceDN w:val="0"/>
              <w:adjustRightInd w:val="0"/>
              <w:spacing w:line="420" w:lineRule="exact"/>
              <w:ind w:left="105" w:leftChars="50" w:right="-84" w:firstLine="315" w:firstLineChars="150"/>
              <w:jc w:val="left"/>
              <w:rPr>
                <w:rFonts w:ascii="宋体" w:hAnsi="宋体"/>
                <w:color w:val="auto"/>
                <w:szCs w:val="21"/>
                <w:highlight w:val="none"/>
              </w:rPr>
            </w:pPr>
            <w:r>
              <w:rPr>
                <w:rFonts w:hint="eastAsia" w:ascii="宋体"/>
                <w:snapToGrid w:val="0"/>
                <w:color w:val="auto"/>
                <w:szCs w:val="21"/>
                <w:highlight w:val="none"/>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tc>
      </w:tr>
      <w:tr w14:paraId="2834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8" w:type="dxa"/>
            <w:vAlign w:val="center"/>
          </w:tcPr>
          <w:p w14:paraId="506E3DA4">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25</w:t>
            </w:r>
          </w:p>
        </w:tc>
        <w:tc>
          <w:tcPr>
            <w:tcW w:w="1682" w:type="dxa"/>
            <w:vAlign w:val="center"/>
          </w:tcPr>
          <w:p w14:paraId="4E1E0B54">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采购代理</w:t>
            </w:r>
          </w:p>
          <w:p w14:paraId="49ADFFC8">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服务费支付</w:t>
            </w:r>
          </w:p>
        </w:tc>
        <w:tc>
          <w:tcPr>
            <w:tcW w:w="6965" w:type="dxa"/>
            <w:vAlign w:val="center"/>
          </w:tcPr>
          <w:p w14:paraId="1AA60C4A">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代理服务费由成交人支付，依据国家计委《招标代理服务收费管理暂行办法》（计价格[2002]1980号）及《国家发展改革委关于降低部分建设项目收费标准规范收费行为等有关问题的通知》（发改价格[2011]534号）规定（按工程类）计取。由成交人在领取成交通知书后五个工作日内，以现金或转帐方式一次性支付给采购代理机构。</w:t>
            </w:r>
          </w:p>
          <w:p w14:paraId="5C50B96E">
            <w:pPr>
              <w:pStyle w:val="24"/>
              <w:snapToGrid w:val="0"/>
              <w:spacing w:line="320" w:lineRule="exact"/>
              <w:rPr>
                <w:rFonts w:hAnsi="宋体"/>
                <w:color w:val="auto"/>
                <w:szCs w:val="21"/>
                <w:highlight w:val="none"/>
              </w:rPr>
            </w:pPr>
            <w:r>
              <w:rPr>
                <w:rFonts w:hint="eastAsia" w:hAnsi="宋体"/>
                <w:color w:val="auto"/>
                <w:szCs w:val="21"/>
                <w:highlight w:val="none"/>
              </w:rPr>
              <w:t>采购代理服务费收款账户名称：</w:t>
            </w:r>
          </w:p>
          <w:p w14:paraId="1288539F">
            <w:pPr>
              <w:spacing w:line="420" w:lineRule="exact"/>
              <w:ind w:firstLine="420" w:firstLineChars="200"/>
              <w:rPr>
                <w:rFonts w:hint="eastAsia" w:ascii="宋体" w:hAnsi="宋体" w:cs="宋体"/>
                <w:color w:val="auto"/>
                <w:szCs w:val="21"/>
                <w:lang w:eastAsia="zh-CN"/>
              </w:rPr>
            </w:pPr>
            <w:r>
              <w:rPr>
                <w:rFonts w:hint="eastAsia" w:ascii="宋体" w:hAnsi="宋体" w:cs="宋体"/>
                <w:color w:val="auto"/>
                <w:szCs w:val="21"/>
              </w:rPr>
              <w:t>开户名称：</w:t>
            </w:r>
            <w:r>
              <w:rPr>
                <w:rFonts w:hint="eastAsia" w:ascii="宋体" w:hAnsi="宋体" w:cs="宋体"/>
                <w:color w:val="auto"/>
                <w:szCs w:val="21"/>
                <w:lang w:eastAsia="zh-CN"/>
              </w:rPr>
              <w:t>广西鑫磐工程项目管理有限责任公司</w:t>
            </w:r>
          </w:p>
          <w:p w14:paraId="3DBA0071">
            <w:pPr>
              <w:spacing w:line="420" w:lineRule="exact"/>
              <w:ind w:firstLine="420" w:firstLineChars="200"/>
              <w:rPr>
                <w:rFonts w:hint="eastAsia" w:ascii="宋体" w:hAnsi="宋体" w:cs="宋体"/>
                <w:color w:val="auto"/>
                <w:szCs w:val="21"/>
              </w:rPr>
            </w:pPr>
            <w:r>
              <w:rPr>
                <w:rFonts w:hint="eastAsia" w:ascii="宋体" w:hAnsi="宋体" w:cs="宋体"/>
                <w:color w:val="auto"/>
                <w:szCs w:val="21"/>
              </w:rPr>
              <w:t>开户银行：中国建设银行股份有限公司南宁淡村路支行</w:t>
            </w:r>
          </w:p>
          <w:p w14:paraId="642C4776">
            <w:pPr>
              <w:spacing w:line="420" w:lineRule="exact"/>
              <w:ind w:firstLine="420" w:firstLineChars="200"/>
              <w:rPr>
                <w:rFonts w:hint="eastAsia" w:ascii="宋体" w:hAnsi="宋体" w:eastAsia="宋体"/>
                <w:b/>
                <w:color w:val="auto"/>
                <w:szCs w:val="21"/>
                <w:highlight w:val="none"/>
                <w:lang w:eastAsia="zh-CN"/>
              </w:rPr>
            </w:pPr>
            <w:r>
              <w:rPr>
                <w:rFonts w:hint="eastAsia" w:ascii="宋体" w:hAnsi="宋体" w:cs="宋体"/>
                <w:color w:val="auto"/>
                <w:szCs w:val="21"/>
              </w:rPr>
              <w:t xml:space="preserve">银行账号：45001604952050501755 </w:t>
            </w:r>
          </w:p>
        </w:tc>
      </w:tr>
      <w:tr w14:paraId="1B96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8" w:type="dxa"/>
            <w:vAlign w:val="center"/>
          </w:tcPr>
          <w:p w14:paraId="2F94B9E1">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26</w:t>
            </w:r>
          </w:p>
        </w:tc>
        <w:tc>
          <w:tcPr>
            <w:tcW w:w="1682" w:type="dxa"/>
            <w:vAlign w:val="center"/>
          </w:tcPr>
          <w:p w14:paraId="23E92CEA">
            <w:pPr>
              <w:autoSpaceDE w:val="0"/>
              <w:autoSpaceDN w:val="0"/>
              <w:adjustRightInd w:val="0"/>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政府采购信息发布媒体</w:t>
            </w:r>
          </w:p>
        </w:tc>
        <w:tc>
          <w:tcPr>
            <w:tcW w:w="6965" w:type="dxa"/>
            <w:vAlign w:val="center"/>
          </w:tcPr>
          <w:p w14:paraId="67AA6AC5">
            <w:pPr>
              <w:spacing w:line="420" w:lineRule="exact"/>
              <w:rPr>
                <w:rFonts w:ascii="宋体" w:hAnsi="宋体"/>
                <w:color w:val="auto"/>
                <w:szCs w:val="21"/>
                <w:highlight w:val="none"/>
              </w:rPr>
            </w:pPr>
            <w:r>
              <w:rPr>
                <w:rFonts w:hint="eastAsia" w:ascii="宋体" w:hAnsi="宋体" w:cs="宋体"/>
                <w:color w:val="auto"/>
                <w:kern w:val="0"/>
                <w:szCs w:val="21"/>
                <w:highlight w:val="none"/>
              </w:rPr>
              <w:t>中国政府采购网、广西壮族自治区政府采购网、</w:t>
            </w:r>
            <w:r>
              <w:rPr>
                <w:rFonts w:hint="eastAsia" w:ascii="宋体" w:hAnsi="宋体" w:cs="Arial"/>
                <w:color w:val="auto"/>
                <w:kern w:val="0"/>
                <w:szCs w:val="21"/>
                <w:highlight w:val="none"/>
              </w:rPr>
              <w:t>全国公共资源交易平台（广西.崇左）</w:t>
            </w:r>
            <w:r>
              <w:rPr>
                <w:rFonts w:hint="eastAsia" w:ascii="宋体" w:hAnsi="宋体" w:cs="宋体"/>
                <w:color w:val="auto"/>
                <w:kern w:val="0"/>
                <w:szCs w:val="21"/>
                <w:highlight w:val="none"/>
              </w:rPr>
              <w:t>。</w:t>
            </w:r>
          </w:p>
        </w:tc>
      </w:tr>
      <w:tr w14:paraId="7CE9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8" w:type="dxa"/>
            <w:vAlign w:val="center"/>
          </w:tcPr>
          <w:p w14:paraId="69F6A9E1">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27</w:t>
            </w:r>
          </w:p>
        </w:tc>
        <w:tc>
          <w:tcPr>
            <w:tcW w:w="1682" w:type="dxa"/>
            <w:vAlign w:val="center"/>
          </w:tcPr>
          <w:p w14:paraId="2FAB50F9">
            <w:pPr>
              <w:autoSpaceDE w:val="0"/>
              <w:autoSpaceDN w:val="0"/>
              <w:adjustRightInd w:val="0"/>
              <w:spacing w:line="440" w:lineRule="exact"/>
              <w:jc w:val="center"/>
              <w:rPr>
                <w:rFonts w:ascii="宋体" w:hAnsi="宋体" w:cs="Courier New"/>
                <w:b/>
                <w:color w:val="auto"/>
                <w:spacing w:val="2"/>
                <w:szCs w:val="21"/>
                <w:highlight w:val="none"/>
              </w:rPr>
            </w:pPr>
            <w:r>
              <w:rPr>
                <w:rFonts w:hint="eastAsia" w:ascii="宋体" w:hAnsi="宋体" w:cs="Courier New"/>
                <w:b/>
                <w:color w:val="auto"/>
                <w:spacing w:val="2"/>
                <w:szCs w:val="21"/>
                <w:highlight w:val="none"/>
              </w:rPr>
              <w:t>预留采购份额</w:t>
            </w:r>
          </w:p>
        </w:tc>
        <w:tc>
          <w:tcPr>
            <w:tcW w:w="6965" w:type="dxa"/>
            <w:vAlign w:val="center"/>
          </w:tcPr>
          <w:p w14:paraId="1637C0A4">
            <w:pPr>
              <w:spacing w:line="400" w:lineRule="exact"/>
              <w:rPr>
                <w:rFonts w:ascii="宋体" w:hAnsi="宋体" w:cs="Courier New"/>
                <w:b/>
                <w:color w:val="auto"/>
                <w:spacing w:val="2"/>
                <w:szCs w:val="21"/>
                <w:highlight w:val="none"/>
              </w:rPr>
            </w:pPr>
            <w:r>
              <w:rPr>
                <w:rFonts w:hint="eastAsia" w:ascii="宋体" w:hAnsi="宋体" w:cs="Courier New"/>
                <w:b/>
                <w:color w:val="auto"/>
                <w:spacing w:val="2"/>
                <w:szCs w:val="21"/>
                <w:highlight w:val="none"/>
              </w:rPr>
              <w:t>本项目属于专门面向</w:t>
            </w:r>
            <w:r>
              <w:rPr>
                <w:rFonts w:hint="eastAsia" w:ascii="宋体" w:hAnsi="宋体" w:cs="Courier New"/>
                <w:b/>
                <w:color w:val="auto"/>
                <w:spacing w:val="2"/>
                <w:szCs w:val="21"/>
                <w:highlight w:val="none"/>
                <w:lang w:eastAsia="zh-CN"/>
              </w:rPr>
              <w:t>中小微</w:t>
            </w:r>
            <w:r>
              <w:rPr>
                <w:rFonts w:hint="eastAsia" w:ascii="宋体" w:hAnsi="宋体" w:cs="Courier New"/>
                <w:b/>
                <w:color w:val="auto"/>
                <w:spacing w:val="2"/>
                <w:szCs w:val="21"/>
                <w:highlight w:val="none"/>
              </w:rPr>
              <w:t>企业采购的项目。</w:t>
            </w:r>
          </w:p>
          <w:p w14:paraId="473BB54B">
            <w:pPr>
              <w:spacing w:line="400" w:lineRule="exact"/>
              <w:rPr>
                <w:rFonts w:ascii="宋体" w:hAnsi="宋体" w:cs="Courier New"/>
                <w:b/>
                <w:color w:val="auto"/>
                <w:spacing w:val="2"/>
                <w:szCs w:val="21"/>
                <w:highlight w:val="none"/>
              </w:rPr>
            </w:pPr>
            <w:r>
              <w:rPr>
                <w:rFonts w:hint="eastAsia" w:ascii="宋体" w:hAnsi="宋体" w:cs="Courier New"/>
                <w:b/>
                <w:color w:val="auto"/>
                <w:spacing w:val="2"/>
                <w:szCs w:val="21"/>
                <w:highlight w:val="none"/>
              </w:rPr>
              <w:t>中小企业划分标准所属行业：建筑业。</w:t>
            </w:r>
          </w:p>
        </w:tc>
      </w:tr>
      <w:tr w14:paraId="6891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8" w:type="dxa"/>
            <w:vAlign w:val="center"/>
          </w:tcPr>
          <w:p w14:paraId="79F1BDD6">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28</w:t>
            </w:r>
          </w:p>
        </w:tc>
        <w:tc>
          <w:tcPr>
            <w:tcW w:w="1682" w:type="dxa"/>
            <w:vAlign w:val="center"/>
          </w:tcPr>
          <w:p w14:paraId="5B19751F">
            <w:pPr>
              <w:autoSpaceDE w:val="0"/>
              <w:autoSpaceDN w:val="0"/>
              <w:adjustRightInd w:val="0"/>
              <w:spacing w:line="440" w:lineRule="exact"/>
              <w:jc w:val="center"/>
              <w:rPr>
                <w:rFonts w:ascii="宋体" w:hAnsi="宋体" w:cs="Courier New"/>
                <w:color w:val="auto"/>
                <w:spacing w:val="2"/>
                <w:szCs w:val="21"/>
                <w:highlight w:val="none"/>
              </w:rPr>
            </w:pPr>
            <w:r>
              <w:rPr>
                <w:rFonts w:hint="eastAsia" w:ascii="宋体"/>
                <w:snapToGrid w:val="0"/>
                <w:color w:val="auto"/>
                <w:szCs w:val="21"/>
                <w:highlight w:val="none"/>
              </w:rPr>
              <w:t>解释</w:t>
            </w:r>
          </w:p>
        </w:tc>
        <w:tc>
          <w:tcPr>
            <w:tcW w:w="6965" w:type="dxa"/>
            <w:vAlign w:val="center"/>
          </w:tcPr>
          <w:p w14:paraId="249EF258">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构成本磋商文件的各个组成文件应互为解释，互为说明；除磋商文件中有特别规定外，仅适用于招标投标阶段的规定，按更正公告（澄清公告）、磋商文件目录编排内容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6EDC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8" w:type="dxa"/>
            <w:vAlign w:val="center"/>
          </w:tcPr>
          <w:p w14:paraId="351A0284">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29</w:t>
            </w:r>
          </w:p>
        </w:tc>
        <w:tc>
          <w:tcPr>
            <w:tcW w:w="1682" w:type="dxa"/>
            <w:vAlign w:val="center"/>
          </w:tcPr>
          <w:p w14:paraId="56FE94BB">
            <w:pPr>
              <w:autoSpaceDE w:val="0"/>
              <w:autoSpaceDN w:val="0"/>
              <w:adjustRightInd w:val="0"/>
              <w:spacing w:line="440" w:lineRule="exact"/>
              <w:jc w:val="center"/>
              <w:rPr>
                <w:rFonts w:ascii="宋体" w:hAnsi="宋体" w:cs="Courier New"/>
                <w:color w:val="auto"/>
                <w:spacing w:val="2"/>
                <w:szCs w:val="21"/>
                <w:highlight w:val="none"/>
              </w:rPr>
            </w:pPr>
            <w:r>
              <w:rPr>
                <w:rFonts w:hint="eastAsia" w:ascii="宋体"/>
                <w:snapToGrid w:val="0"/>
                <w:color w:val="auto"/>
                <w:szCs w:val="21"/>
                <w:highlight w:val="none"/>
              </w:rPr>
              <w:t>其它事项说明</w:t>
            </w:r>
          </w:p>
        </w:tc>
        <w:tc>
          <w:tcPr>
            <w:tcW w:w="6965" w:type="dxa"/>
            <w:vAlign w:val="center"/>
          </w:tcPr>
          <w:p w14:paraId="1AEB1B86">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 xml:space="preserve">1.本磋商文件中描述供应商的“公章”是指根据我国对公章的管理规定，用供应商法定主体行为名称制作的印章，除本磋商文件有特殊规定外，供应商的财务章、部门章、分公司章、工会章、合同章、投标专用章、业务专用章及银行的转账章、现金收讫章、现金付讫章等其他形式印章均不能代替公章。 </w:t>
            </w:r>
          </w:p>
          <w:p w14:paraId="790509A1">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 xml:space="preserve">2.供应商为其他组织或者自然人时，本磋商文件规定的法定代表人指负责人或者自然人。本磋商文件所称负责人是指参加磋商的其他组织营业执照上的负责人，本磋商文件所称自然人指参与磋商的自然人本人。 </w:t>
            </w:r>
          </w:p>
          <w:p w14:paraId="7D336AB8">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 xml:space="preserve">3.本磋商文件中描述供应商的“签字”是指供应商的法定代表人或者委托代理人亲自在文件规定签字处亲笔写上个人的名字的行为，私章、签字章、印鉴、影印等其他形式均不能代替亲笔签字。 </w:t>
            </w:r>
          </w:p>
          <w:p w14:paraId="06204208">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4.电子响应文件中须加盖供应商公章部分均采用 CA 签章，并根据政采云平台《政府采购项目电子交易管理操作指南-供应商》及本磋商文件规定的格式和顺序编制电子响应文件并进行关联定位，以便评标委员会在评审时，点击评分项可直接定位到该评分项内容。如对磋商文件的某项要求，供应商的电子响应文件未能关联定位提供相应的内容与其对应，则评标委员会在评审时如做出对供应商不利的评审由供应商自行承担。电子响应文件如内容不完整、编排混乱导致响应文件被误读、 漏读，或者在按磋商文件规定的部位查找不到相关内容的，由供应商自行承担。</w:t>
            </w:r>
          </w:p>
          <w:p w14:paraId="79928A9C">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 xml:space="preserve">5.CA 签章上目前没有法人（负责人）或授权代表签字信息，供应商在响应文件中涉及到签字的位置线下签字后扫描上传即可。响应文件中涉及到签字的位置未按要求签字的，提供的材料视为无效。 </w:t>
            </w:r>
          </w:p>
          <w:p w14:paraId="1419A565">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 xml:space="preserve">6.自然人参加磋商的，磋商文件规定盖公章处由自然人摁手指指印。 </w:t>
            </w:r>
          </w:p>
          <w:p w14:paraId="4B9BC5C8">
            <w:pPr>
              <w:spacing w:line="420" w:lineRule="exact"/>
              <w:rPr>
                <w:rFonts w:ascii="宋体" w:hAnsi="宋体" w:cs="宋体"/>
                <w:color w:val="auto"/>
                <w:kern w:val="0"/>
                <w:szCs w:val="21"/>
                <w:highlight w:val="none"/>
              </w:rPr>
            </w:pPr>
            <w:r>
              <w:rPr>
                <w:rFonts w:hint="eastAsia" w:ascii="宋体"/>
                <w:snapToGrid w:val="0"/>
                <w:color w:val="auto"/>
                <w:szCs w:val="21"/>
                <w:highlight w:val="none"/>
              </w:rPr>
              <w:t>7.本磋商文件所称的“以上”“以下”“以内”“届满”，包括本数；所称的“不满”“超过”“以外”，不包括本数。</w:t>
            </w:r>
          </w:p>
        </w:tc>
      </w:tr>
    </w:tbl>
    <w:p w14:paraId="36DCDD03">
      <w:pPr>
        <w:jc w:val="center"/>
        <w:rPr>
          <w:rFonts w:ascii="宋体" w:hAnsi="宋体"/>
          <w:b/>
          <w:color w:val="auto"/>
          <w:sz w:val="36"/>
        </w:rPr>
      </w:pPr>
      <w:r>
        <w:rPr>
          <w:rFonts w:ascii="宋体" w:hAnsi="宋体"/>
          <w:b/>
          <w:color w:val="auto"/>
          <w:sz w:val="36"/>
        </w:rPr>
        <w:br w:type="page"/>
      </w:r>
      <w:r>
        <w:rPr>
          <w:rFonts w:hint="eastAsia" w:ascii="宋体" w:hAnsi="宋体"/>
          <w:b/>
          <w:color w:val="auto"/>
          <w:sz w:val="36"/>
        </w:rPr>
        <w:t>供应商须知</w:t>
      </w:r>
    </w:p>
    <w:p w14:paraId="123EA3B4">
      <w:pPr>
        <w:bidi w:val="0"/>
        <w:rPr>
          <w:color w:val="auto"/>
        </w:rPr>
      </w:pPr>
      <w:bookmarkStart w:id="12" w:name="_Toc80818615"/>
      <w:bookmarkStart w:id="13" w:name="_Toc18682803"/>
      <w:r>
        <w:rPr>
          <w:color w:val="auto"/>
        </w:rPr>
        <w:t>l.项目说明</w:t>
      </w:r>
      <w:bookmarkEnd w:id="12"/>
      <w:bookmarkEnd w:id="13"/>
    </w:p>
    <w:p w14:paraId="29568386">
      <w:pPr>
        <w:spacing w:line="460" w:lineRule="exact"/>
        <w:ind w:firstLine="420" w:firstLineChars="200"/>
        <w:rPr>
          <w:rFonts w:ascii="宋体" w:hAnsi="宋体"/>
          <w:color w:val="auto"/>
          <w:szCs w:val="21"/>
          <w:u w:val="single"/>
        </w:rPr>
      </w:pPr>
      <w:r>
        <w:rPr>
          <w:rFonts w:ascii="宋体" w:hAnsi="宋体"/>
          <w:color w:val="auto"/>
          <w:szCs w:val="21"/>
        </w:rPr>
        <w:t>1.1工程综合说明</w:t>
      </w:r>
      <w:r>
        <w:rPr>
          <w:rFonts w:hint="eastAsia" w:ascii="宋体" w:hAnsi="宋体"/>
          <w:color w:val="auto"/>
          <w:szCs w:val="21"/>
        </w:rPr>
        <w:t>见磋商</w:t>
      </w:r>
      <w:r>
        <w:rPr>
          <w:rFonts w:ascii="宋体" w:hAnsi="宋体"/>
          <w:color w:val="auto"/>
          <w:szCs w:val="21"/>
        </w:rPr>
        <w:t>须知“</w:t>
      </w:r>
      <w:r>
        <w:rPr>
          <w:rFonts w:hint="eastAsia" w:ascii="宋体" w:hAnsi="宋体"/>
          <w:bCs/>
          <w:color w:val="auto"/>
          <w:szCs w:val="21"/>
        </w:rPr>
        <w:t>供应商须知前附表</w:t>
      </w:r>
      <w:r>
        <w:rPr>
          <w:rFonts w:ascii="宋体" w:hAnsi="宋体"/>
          <w:color w:val="auto"/>
          <w:szCs w:val="21"/>
        </w:rPr>
        <w:t>”</w:t>
      </w:r>
      <w:r>
        <w:rPr>
          <w:rFonts w:hint="eastAsia" w:ascii="宋体" w:hAnsi="宋体"/>
          <w:color w:val="auto"/>
          <w:szCs w:val="21"/>
        </w:rPr>
        <w:t>。</w:t>
      </w:r>
    </w:p>
    <w:p w14:paraId="0664A028">
      <w:pPr>
        <w:spacing w:line="460" w:lineRule="exact"/>
        <w:ind w:firstLine="435"/>
        <w:rPr>
          <w:rFonts w:ascii="宋体" w:hAnsi="宋体"/>
          <w:color w:val="auto"/>
          <w:szCs w:val="21"/>
        </w:rPr>
      </w:pPr>
      <w:r>
        <w:rPr>
          <w:rFonts w:ascii="宋体" w:hAnsi="宋体"/>
          <w:color w:val="auto"/>
          <w:szCs w:val="21"/>
        </w:rPr>
        <w:t>1.2 上述</w:t>
      </w:r>
      <w:r>
        <w:rPr>
          <w:rFonts w:hint="eastAsia" w:ascii="宋体" w:hAnsi="宋体"/>
          <w:color w:val="auto"/>
          <w:szCs w:val="21"/>
        </w:rPr>
        <w:t>工程</w:t>
      </w:r>
      <w:r>
        <w:rPr>
          <w:rFonts w:ascii="宋体" w:hAnsi="宋体"/>
          <w:color w:val="auto"/>
          <w:szCs w:val="21"/>
        </w:rPr>
        <w:t>按照</w:t>
      </w:r>
      <w:r>
        <w:rPr>
          <w:rFonts w:hint="eastAsia" w:ascii="宋体" w:hAnsi="宋体" w:cs="宋体"/>
          <w:color w:val="auto"/>
          <w:szCs w:val="21"/>
        </w:rPr>
        <w:t>《中华人民共和国政府采购法》、</w:t>
      </w:r>
      <w:r>
        <w:rPr>
          <w:rFonts w:hint="eastAsia" w:ascii="宋体" w:hAnsi="宋体" w:cs="Arial"/>
          <w:color w:val="auto"/>
          <w:szCs w:val="21"/>
        </w:rPr>
        <w:t>《中华人民共和国政府采购法实施条例》、</w:t>
      </w:r>
      <w:r>
        <w:rPr>
          <w:rFonts w:hint="eastAsia" w:ascii="宋体" w:hAnsi="宋体"/>
          <w:color w:val="auto"/>
          <w:szCs w:val="21"/>
        </w:rPr>
        <w:t>《政府采购竞争性磋商采购方式管理暂行办法》</w:t>
      </w:r>
      <w:r>
        <w:rPr>
          <w:rFonts w:hint="eastAsia" w:ascii="宋体" w:hAnsi="宋体" w:cs="Arial"/>
          <w:color w:val="auto"/>
          <w:szCs w:val="21"/>
        </w:rPr>
        <w:t>及</w:t>
      </w:r>
      <w:r>
        <w:rPr>
          <w:rFonts w:ascii="宋体" w:hAnsi="宋体"/>
          <w:color w:val="auto"/>
          <w:szCs w:val="21"/>
        </w:rPr>
        <w:t>有关法律、法规和规章，现通过</w:t>
      </w:r>
      <w:r>
        <w:rPr>
          <w:rFonts w:hint="eastAsia" w:ascii="宋体" w:hAnsi="宋体"/>
          <w:color w:val="auto"/>
          <w:szCs w:val="21"/>
        </w:rPr>
        <w:t>磋商</w:t>
      </w:r>
      <w:r>
        <w:rPr>
          <w:rFonts w:ascii="宋体" w:hAnsi="宋体"/>
          <w:color w:val="auto"/>
          <w:szCs w:val="21"/>
        </w:rPr>
        <w:t>来择优选定施工单位。</w:t>
      </w:r>
    </w:p>
    <w:p w14:paraId="4B8DF3ED">
      <w:pPr>
        <w:spacing w:line="460" w:lineRule="exact"/>
        <w:ind w:firstLine="420" w:firstLineChars="200"/>
        <w:rPr>
          <w:rFonts w:ascii="宋体" w:hAnsi="宋体"/>
          <w:color w:val="auto"/>
          <w:szCs w:val="21"/>
        </w:rPr>
      </w:pPr>
      <w:r>
        <w:rPr>
          <w:rFonts w:hint="eastAsia" w:ascii="宋体" w:hAnsi="宋体"/>
          <w:color w:val="auto"/>
          <w:szCs w:val="21"/>
        </w:rPr>
        <w:t>1.3 供应商资格要求：符合磋商须知前附表规定。</w:t>
      </w:r>
    </w:p>
    <w:p w14:paraId="422064F3">
      <w:pPr>
        <w:spacing w:line="460" w:lineRule="exact"/>
        <w:ind w:firstLine="428" w:firstLineChars="200"/>
        <w:rPr>
          <w:rFonts w:ascii="宋体" w:hAnsi="宋体" w:cs="Courier New"/>
          <w:color w:val="auto"/>
          <w:spacing w:val="2"/>
          <w:szCs w:val="21"/>
        </w:rPr>
      </w:pPr>
      <w:r>
        <w:rPr>
          <w:rFonts w:hint="eastAsia" w:ascii="宋体" w:hAnsi="宋体" w:cs="Courier New"/>
          <w:color w:val="auto"/>
          <w:spacing w:val="2"/>
          <w:szCs w:val="21"/>
        </w:rPr>
        <w:t>1.4 本项目不接受联合体进行磋商。</w:t>
      </w:r>
    </w:p>
    <w:p w14:paraId="3C190BA0">
      <w:pPr>
        <w:bidi w:val="0"/>
        <w:rPr>
          <w:color w:val="auto"/>
        </w:rPr>
      </w:pPr>
      <w:bookmarkStart w:id="14" w:name="_Toc346264267"/>
      <w:bookmarkStart w:id="15" w:name="_Toc80818616"/>
      <w:bookmarkStart w:id="16" w:name="_Toc18682804"/>
      <w:r>
        <w:rPr>
          <w:color w:val="auto"/>
        </w:rPr>
        <w:t>2.资金情况</w:t>
      </w:r>
      <w:bookmarkEnd w:id="14"/>
      <w:bookmarkEnd w:id="15"/>
      <w:bookmarkEnd w:id="16"/>
    </w:p>
    <w:p w14:paraId="29266B2C">
      <w:pPr>
        <w:spacing w:line="460" w:lineRule="exact"/>
        <w:ind w:firstLine="417" w:firstLineChars="195"/>
        <w:rPr>
          <w:rFonts w:ascii="宋体" w:hAnsi="宋体" w:cs="Courier New"/>
          <w:b/>
          <w:bCs/>
          <w:color w:val="auto"/>
          <w:spacing w:val="2"/>
          <w:szCs w:val="21"/>
        </w:rPr>
      </w:pPr>
      <w:r>
        <w:rPr>
          <w:rFonts w:hint="eastAsia" w:ascii="宋体" w:hAnsi="宋体" w:cs="Courier New"/>
          <w:color w:val="auto"/>
          <w:spacing w:val="2"/>
          <w:szCs w:val="21"/>
        </w:rPr>
        <w:t>2.1资金来源：</w:t>
      </w:r>
      <w:r>
        <w:rPr>
          <w:rFonts w:hint="eastAsia" w:ascii="宋体" w:hAnsi="宋体" w:cs="Courier New"/>
          <w:b/>
          <w:bCs/>
          <w:color w:val="auto"/>
          <w:spacing w:val="2"/>
          <w:szCs w:val="21"/>
        </w:rPr>
        <w:t>财政配套资金。</w:t>
      </w:r>
    </w:p>
    <w:p w14:paraId="6348653A">
      <w:pPr>
        <w:spacing w:line="460" w:lineRule="exact"/>
        <w:ind w:firstLine="417" w:firstLineChars="195"/>
        <w:rPr>
          <w:rFonts w:ascii="宋体" w:hAnsi="宋体" w:cs="Courier New"/>
          <w:color w:val="auto"/>
          <w:spacing w:val="2"/>
          <w:szCs w:val="21"/>
        </w:rPr>
      </w:pPr>
      <w:r>
        <w:rPr>
          <w:rFonts w:hint="eastAsia" w:ascii="宋体" w:hAnsi="宋体" w:cs="Courier New"/>
          <w:color w:val="auto"/>
          <w:spacing w:val="2"/>
          <w:szCs w:val="21"/>
        </w:rPr>
        <w:t>2.2资金到位及落实情况：已落实。</w:t>
      </w:r>
    </w:p>
    <w:p w14:paraId="62C45753">
      <w:pPr>
        <w:bidi w:val="0"/>
        <w:rPr>
          <w:color w:val="auto"/>
        </w:rPr>
      </w:pPr>
      <w:bookmarkStart w:id="17" w:name="_Toc346264268"/>
      <w:bookmarkStart w:id="18" w:name="_Toc80818617"/>
      <w:bookmarkStart w:id="19" w:name="_Toc18682805"/>
      <w:r>
        <w:rPr>
          <w:color w:val="auto"/>
        </w:rPr>
        <w:t>3.磋商费用</w:t>
      </w:r>
      <w:bookmarkEnd w:id="17"/>
      <w:bookmarkEnd w:id="18"/>
      <w:bookmarkEnd w:id="19"/>
    </w:p>
    <w:p w14:paraId="1E576527">
      <w:pPr>
        <w:pStyle w:val="19"/>
        <w:spacing w:line="460" w:lineRule="exact"/>
        <w:ind w:firstLine="409" w:firstLineChars="195"/>
        <w:rPr>
          <w:rFonts w:hAnsi="宋体"/>
          <w:color w:val="auto"/>
          <w:spacing w:val="0"/>
          <w:sz w:val="21"/>
          <w:szCs w:val="21"/>
        </w:rPr>
      </w:pPr>
      <w:r>
        <w:rPr>
          <w:rFonts w:hint="eastAsia" w:hAnsi="宋体"/>
          <w:color w:val="auto"/>
          <w:spacing w:val="0"/>
          <w:sz w:val="21"/>
          <w:szCs w:val="21"/>
        </w:rPr>
        <w:t>供应商准备和参加磋商活动所发生的一切费用自理，不管磋商结果如何，采购人及采购代理机构对上述费用不负任何责任。</w:t>
      </w:r>
    </w:p>
    <w:p w14:paraId="549F8756">
      <w:pPr>
        <w:bidi w:val="0"/>
        <w:rPr>
          <w:color w:val="auto"/>
        </w:rPr>
      </w:pPr>
      <w:bookmarkStart w:id="20" w:name="_Toc346264269"/>
      <w:bookmarkStart w:id="21" w:name="_Toc80818618"/>
      <w:bookmarkStart w:id="22" w:name="_Toc18682806"/>
      <w:r>
        <w:rPr>
          <w:color w:val="auto"/>
        </w:rPr>
        <w:t>4.竞争性磋商文件</w:t>
      </w:r>
      <w:r>
        <w:rPr>
          <w:rFonts w:hint="eastAsia"/>
          <w:color w:val="auto"/>
        </w:rPr>
        <w:t>（下文简称磋商文件）</w:t>
      </w:r>
      <w:r>
        <w:rPr>
          <w:color w:val="auto"/>
        </w:rPr>
        <w:t>的组成</w:t>
      </w:r>
      <w:bookmarkEnd w:id="20"/>
      <w:bookmarkEnd w:id="21"/>
      <w:bookmarkEnd w:id="22"/>
    </w:p>
    <w:p w14:paraId="04092298">
      <w:pPr>
        <w:spacing w:line="460" w:lineRule="exact"/>
        <w:ind w:firstLine="420" w:firstLineChars="200"/>
        <w:rPr>
          <w:rFonts w:ascii="宋体" w:hAnsi="宋体"/>
          <w:color w:val="auto"/>
          <w:szCs w:val="21"/>
        </w:rPr>
      </w:pPr>
      <w:r>
        <w:rPr>
          <w:rFonts w:hint="eastAsia" w:ascii="宋体" w:hAnsi="宋体"/>
          <w:color w:val="auto"/>
          <w:szCs w:val="21"/>
        </w:rPr>
        <w:t>4.1 磋商文件包括下列内容：</w:t>
      </w:r>
    </w:p>
    <w:p w14:paraId="7A4EB923">
      <w:pPr>
        <w:spacing w:line="460" w:lineRule="exact"/>
        <w:ind w:firstLine="420" w:firstLineChars="200"/>
        <w:rPr>
          <w:rFonts w:ascii="宋体" w:hAnsi="宋体"/>
          <w:color w:val="auto"/>
          <w:szCs w:val="21"/>
        </w:rPr>
      </w:pPr>
      <w:r>
        <w:rPr>
          <w:rFonts w:hint="eastAsia" w:ascii="宋体" w:hAnsi="宋体"/>
          <w:color w:val="auto"/>
          <w:szCs w:val="21"/>
        </w:rPr>
        <w:t>第一章 竞争性磋商公告</w:t>
      </w:r>
    </w:p>
    <w:p w14:paraId="7F1E28C1">
      <w:pPr>
        <w:spacing w:line="460" w:lineRule="exact"/>
        <w:ind w:firstLine="420" w:firstLineChars="200"/>
        <w:rPr>
          <w:rFonts w:ascii="宋体" w:hAnsi="宋体"/>
          <w:color w:val="auto"/>
          <w:szCs w:val="21"/>
        </w:rPr>
      </w:pPr>
      <w:r>
        <w:rPr>
          <w:rFonts w:hint="eastAsia" w:ascii="宋体" w:hAnsi="宋体"/>
          <w:color w:val="auto"/>
          <w:szCs w:val="21"/>
        </w:rPr>
        <w:t>第二章 供应商须知及前附表</w:t>
      </w:r>
    </w:p>
    <w:p w14:paraId="37115BDC">
      <w:pPr>
        <w:spacing w:line="460" w:lineRule="exact"/>
        <w:ind w:firstLine="420" w:firstLineChars="200"/>
        <w:rPr>
          <w:rFonts w:hint="eastAsia" w:ascii="宋体" w:hAnsi="宋体"/>
          <w:color w:val="auto"/>
          <w:szCs w:val="21"/>
        </w:rPr>
      </w:pPr>
      <w:r>
        <w:rPr>
          <w:rFonts w:hint="eastAsia" w:ascii="宋体" w:hAnsi="宋体"/>
          <w:color w:val="auto"/>
          <w:szCs w:val="21"/>
        </w:rPr>
        <w:t>第三章 评标办法</w:t>
      </w:r>
    </w:p>
    <w:p w14:paraId="14038224">
      <w:pPr>
        <w:spacing w:line="460" w:lineRule="exact"/>
        <w:ind w:firstLine="420" w:firstLineChars="200"/>
        <w:rPr>
          <w:rFonts w:ascii="宋体" w:hAnsi="宋体"/>
          <w:color w:val="auto"/>
          <w:szCs w:val="21"/>
        </w:rPr>
      </w:pPr>
      <w:r>
        <w:rPr>
          <w:rFonts w:hint="eastAsia" w:ascii="宋体" w:hAnsi="宋体"/>
          <w:color w:val="auto"/>
          <w:szCs w:val="21"/>
        </w:rPr>
        <w:t>第四章 合同格式</w:t>
      </w:r>
    </w:p>
    <w:p w14:paraId="44E0D106">
      <w:pPr>
        <w:spacing w:line="460" w:lineRule="exact"/>
        <w:ind w:firstLine="420" w:firstLineChars="200"/>
        <w:rPr>
          <w:rFonts w:ascii="宋体" w:hAnsi="宋体"/>
          <w:color w:val="auto"/>
          <w:szCs w:val="21"/>
        </w:rPr>
      </w:pPr>
      <w:r>
        <w:rPr>
          <w:rFonts w:hint="eastAsia" w:ascii="宋体" w:hAnsi="宋体"/>
          <w:color w:val="auto"/>
          <w:szCs w:val="21"/>
        </w:rPr>
        <w:t>第五章 图纸</w:t>
      </w:r>
    </w:p>
    <w:p w14:paraId="11EBDC12">
      <w:pPr>
        <w:spacing w:line="460" w:lineRule="exact"/>
        <w:ind w:firstLine="420" w:firstLineChars="200"/>
        <w:rPr>
          <w:rFonts w:ascii="宋体" w:hAnsi="宋体"/>
          <w:color w:val="auto"/>
          <w:szCs w:val="21"/>
        </w:rPr>
      </w:pPr>
      <w:r>
        <w:rPr>
          <w:rFonts w:hint="eastAsia" w:ascii="宋体" w:hAnsi="宋体"/>
          <w:color w:val="auto"/>
          <w:szCs w:val="21"/>
        </w:rPr>
        <w:t>第六章 技术规范</w:t>
      </w:r>
    </w:p>
    <w:p w14:paraId="7F7AC269">
      <w:pPr>
        <w:spacing w:line="460" w:lineRule="exact"/>
        <w:ind w:firstLine="420" w:firstLineChars="200"/>
        <w:rPr>
          <w:rFonts w:ascii="宋体" w:hAnsi="宋体"/>
          <w:color w:val="auto"/>
          <w:szCs w:val="21"/>
        </w:rPr>
      </w:pPr>
      <w:r>
        <w:rPr>
          <w:rFonts w:hint="eastAsia" w:ascii="宋体" w:hAnsi="宋体"/>
          <w:color w:val="auto"/>
          <w:szCs w:val="21"/>
        </w:rPr>
        <w:t>第七章 工程量清单</w:t>
      </w:r>
    </w:p>
    <w:p w14:paraId="151B066E">
      <w:pPr>
        <w:spacing w:line="460" w:lineRule="exact"/>
        <w:ind w:firstLine="420" w:firstLineChars="200"/>
        <w:rPr>
          <w:rFonts w:hint="eastAsia" w:ascii="宋体" w:hAnsi="宋体"/>
          <w:color w:val="auto"/>
          <w:szCs w:val="21"/>
        </w:rPr>
      </w:pPr>
      <w:r>
        <w:rPr>
          <w:rFonts w:hint="eastAsia" w:ascii="宋体" w:hAnsi="宋体"/>
          <w:color w:val="auto"/>
          <w:szCs w:val="21"/>
        </w:rPr>
        <w:t>第八章 响应文件格式</w:t>
      </w:r>
    </w:p>
    <w:p w14:paraId="0B6EDEEC">
      <w:pPr>
        <w:spacing w:line="460" w:lineRule="exact"/>
        <w:ind w:firstLine="420" w:firstLineChars="200"/>
        <w:rPr>
          <w:rFonts w:ascii="宋体" w:hAnsi="宋体"/>
          <w:color w:val="auto"/>
          <w:szCs w:val="21"/>
        </w:rPr>
      </w:pPr>
      <w:r>
        <w:rPr>
          <w:rFonts w:hint="eastAsia" w:ascii="宋体" w:hAnsi="宋体"/>
          <w:color w:val="auto"/>
          <w:szCs w:val="21"/>
        </w:rPr>
        <w:t>根据本章第5条、第6条对磋商文件所作的澄清、修改，构成磋商文件的组成部分。</w:t>
      </w:r>
    </w:p>
    <w:p w14:paraId="438FD7AE">
      <w:pPr>
        <w:spacing w:line="460" w:lineRule="exact"/>
        <w:ind w:firstLine="428" w:firstLineChars="200"/>
        <w:rPr>
          <w:rFonts w:ascii="宋体" w:hAnsi="宋体" w:cs="Courier New"/>
          <w:color w:val="auto"/>
          <w:spacing w:val="2"/>
          <w:szCs w:val="21"/>
        </w:rPr>
      </w:pPr>
      <w:r>
        <w:rPr>
          <w:rFonts w:hint="eastAsia" w:ascii="宋体" w:hAnsi="宋体" w:cs="Courier New"/>
          <w:color w:val="auto"/>
          <w:spacing w:val="2"/>
          <w:szCs w:val="21"/>
        </w:rPr>
        <w:t>4.2供应商应认真审阅磋商文件中所有的磋商须知、合同格式、技术规范和图纸。如果供应商编制的响应文件不符合磋商文件的要求，或实质上不响应磋商文件要求，其响应文件将被采购人拒绝。</w:t>
      </w:r>
    </w:p>
    <w:p w14:paraId="362E8368">
      <w:pPr>
        <w:bidi w:val="0"/>
        <w:rPr>
          <w:rFonts w:ascii="宋体" w:hAnsi="宋体" w:eastAsia="宋体"/>
          <w:color w:val="auto"/>
          <w:sz w:val="21"/>
          <w:szCs w:val="21"/>
        </w:rPr>
      </w:pPr>
      <w:bookmarkStart w:id="23" w:name="_Toc346264270"/>
      <w:bookmarkStart w:id="24" w:name="_Toc18682807"/>
      <w:bookmarkStart w:id="25" w:name="_Toc80818619"/>
      <w:r>
        <w:rPr>
          <w:rFonts w:ascii="宋体" w:hAnsi="宋体" w:eastAsia="宋体"/>
          <w:color w:val="auto"/>
          <w:sz w:val="21"/>
          <w:szCs w:val="21"/>
        </w:rPr>
        <w:t>5.磋商文件的</w:t>
      </w:r>
      <w:bookmarkEnd w:id="23"/>
      <w:bookmarkEnd w:id="24"/>
      <w:r>
        <w:rPr>
          <w:rFonts w:hint="eastAsia" w:ascii="宋体" w:hAnsi="宋体" w:cs="Courier New"/>
          <w:color w:val="auto"/>
          <w:spacing w:val="2"/>
          <w:sz w:val="21"/>
          <w:szCs w:val="21"/>
        </w:rPr>
        <w:t>澄清</w:t>
      </w:r>
      <w:bookmarkEnd w:id="25"/>
    </w:p>
    <w:p w14:paraId="11281E89">
      <w:pPr>
        <w:spacing w:line="460" w:lineRule="exact"/>
        <w:ind w:firstLine="417" w:firstLineChars="195"/>
        <w:rPr>
          <w:rFonts w:ascii="宋体" w:hAnsi="宋体" w:cs="Courier New"/>
          <w:color w:val="auto"/>
          <w:spacing w:val="2"/>
          <w:szCs w:val="21"/>
        </w:rPr>
      </w:pPr>
      <w:r>
        <w:rPr>
          <w:rFonts w:hint="eastAsia" w:ascii="宋体" w:hAnsi="宋体" w:cs="Courier New"/>
          <w:color w:val="auto"/>
          <w:spacing w:val="2"/>
          <w:szCs w:val="21"/>
        </w:rPr>
        <w:t>5.1供应商在收到</w:t>
      </w:r>
      <w:r>
        <w:rPr>
          <w:rFonts w:ascii="宋体" w:hAnsi="宋体" w:cs="Courier New"/>
          <w:color w:val="auto"/>
          <w:spacing w:val="2"/>
          <w:szCs w:val="21"/>
        </w:rPr>
        <w:t>采购</w:t>
      </w:r>
      <w:r>
        <w:rPr>
          <w:rFonts w:hint="eastAsia" w:ascii="宋体" w:hAnsi="宋体" w:cs="Courier New"/>
          <w:color w:val="auto"/>
          <w:spacing w:val="2"/>
          <w:szCs w:val="21"/>
        </w:rPr>
        <w:t>文件后，若有问题需要澄清，须以书面形式（包括书面文字、传真、电报等，下同）向采购代理机构提出，采购代理机构将以书面形式予以解答，答复将以书面形式通知所有获得采购文件的供应商。</w:t>
      </w:r>
    </w:p>
    <w:p w14:paraId="1B60274F">
      <w:pPr>
        <w:spacing w:line="460" w:lineRule="exact"/>
        <w:ind w:firstLine="417" w:firstLineChars="195"/>
        <w:rPr>
          <w:rFonts w:ascii="宋体" w:hAnsi="宋体" w:cs="Courier New"/>
          <w:color w:val="auto"/>
          <w:spacing w:val="2"/>
          <w:szCs w:val="21"/>
        </w:rPr>
      </w:pPr>
      <w:r>
        <w:rPr>
          <w:rFonts w:hint="eastAsia" w:ascii="宋体" w:hAnsi="宋体" w:cs="Courier New"/>
          <w:color w:val="auto"/>
          <w:spacing w:val="2"/>
          <w:szCs w:val="21"/>
        </w:rPr>
        <w:t>5.2</w:t>
      </w:r>
      <w:r>
        <w:rPr>
          <w:rFonts w:ascii="宋体" w:hAnsi="宋体" w:cs="Courier New"/>
          <w:color w:val="auto"/>
          <w:spacing w:val="2"/>
          <w:szCs w:val="21"/>
        </w:rPr>
        <w:t>提交首次响应文件截止之日前，采购人、采购代理机构或者磋商小组可以对已发出的磋商文件进行必要的澄清，澄清的内容作为磋商文件的组成部分。澄清的内容可能影响响应文件编制的，采购人、采购代理机构应当在提交首次响应文件截止时间至少5日前，以书面形式通知所有获取磋商文件的供应商</w:t>
      </w:r>
      <w:r>
        <w:rPr>
          <w:rFonts w:hint="eastAsia" w:ascii="宋体" w:hAnsi="宋体" w:cs="Courier New"/>
          <w:color w:val="auto"/>
          <w:spacing w:val="2"/>
          <w:szCs w:val="21"/>
        </w:rPr>
        <w:t>；</w:t>
      </w:r>
      <w:r>
        <w:rPr>
          <w:rFonts w:ascii="宋体" w:hAnsi="宋体" w:cs="Courier New"/>
          <w:color w:val="auto"/>
          <w:spacing w:val="2"/>
          <w:szCs w:val="21"/>
        </w:rPr>
        <w:t>不足5日的，采购人、采购代理机构应当顺延提交首次响应文件截止时间。</w:t>
      </w:r>
    </w:p>
    <w:p w14:paraId="514ADD97">
      <w:pPr>
        <w:bidi w:val="0"/>
        <w:rPr>
          <w:color w:val="auto"/>
        </w:rPr>
      </w:pPr>
      <w:bookmarkStart w:id="26" w:name="_Toc346264271"/>
      <w:bookmarkStart w:id="27" w:name="_Toc80818620"/>
      <w:bookmarkStart w:id="28" w:name="_Toc18682808"/>
      <w:r>
        <w:rPr>
          <w:color w:val="auto"/>
        </w:rPr>
        <w:t>6.磋商文件的修改</w:t>
      </w:r>
      <w:bookmarkEnd w:id="26"/>
      <w:bookmarkEnd w:id="27"/>
      <w:bookmarkEnd w:id="28"/>
    </w:p>
    <w:p w14:paraId="280EECB6">
      <w:pPr>
        <w:spacing w:line="460" w:lineRule="exact"/>
        <w:ind w:firstLine="417" w:firstLineChars="195"/>
        <w:rPr>
          <w:rFonts w:ascii="宋体" w:hAnsi="宋体" w:cs="Courier New"/>
          <w:color w:val="auto"/>
          <w:spacing w:val="2"/>
          <w:szCs w:val="21"/>
        </w:rPr>
      </w:pPr>
      <w:r>
        <w:rPr>
          <w:rFonts w:hint="eastAsia" w:ascii="宋体" w:hAnsi="宋体" w:cs="Courier New"/>
          <w:color w:val="auto"/>
          <w:spacing w:val="2"/>
          <w:szCs w:val="21"/>
        </w:rPr>
        <w:t>6</w:t>
      </w:r>
      <w:r>
        <w:rPr>
          <w:rFonts w:ascii="宋体" w:hAnsi="宋体" w:cs="Courier New"/>
          <w:color w:val="auto"/>
          <w:spacing w:val="2"/>
          <w:szCs w:val="21"/>
        </w:rPr>
        <w:t>.</w:t>
      </w:r>
      <w:r>
        <w:rPr>
          <w:rFonts w:hint="eastAsia" w:ascii="宋体" w:hAnsi="宋体" w:cs="Courier New"/>
          <w:color w:val="auto"/>
          <w:spacing w:val="2"/>
          <w:szCs w:val="21"/>
        </w:rPr>
        <w:t>1 在磋商截止日期前，采购代理机构可以补充通知的方式对磋商文件进行修改，这种修改可能是采购人作出的也可能是为了解答供应商要求澄清的问题。</w:t>
      </w:r>
    </w:p>
    <w:p w14:paraId="42F1776A">
      <w:pPr>
        <w:spacing w:line="460" w:lineRule="exact"/>
        <w:ind w:firstLine="417" w:firstLineChars="195"/>
        <w:rPr>
          <w:rFonts w:ascii="宋体" w:hAnsi="宋体" w:cs="Courier New"/>
          <w:color w:val="auto"/>
          <w:spacing w:val="2"/>
          <w:szCs w:val="21"/>
        </w:rPr>
      </w:pPr>
      <w:r>
        <w:rPr>
          <w:rFonts w:hint="eastAsia" w:ascii="宋体" w:hAnsi="宋体" w:cs="Courier New"/>
          <w:color w:val="auto"/>
          <w:spacing w:val="2"/>
          <w:szCs w:val="21"/>
        </w:rPr>
        <w:t>6.2 为使供应商有充足的时间对磋商文件全部作出响应，并编出有质量的响应文件，采购人必须在响应文件递交截止日期5日前，将补充通知以书面形式通知</w:t>
      </w:r>
      <w:r>
        <w:rPr>
          <w:rFonts w:hint="eastAsia" w:hAnsi="宋体"/>
          <w:bCs/>
          <w:color w:val="auto"/>
          <w:szCs w:val="21"/>
        </w:rPr>
        <w:t>在财政部门指定的政府采购信息发布媒体网站上发布，</w:t>
      </w:r>
      <w:r>
        <w:rPr>
          <w:rFonts w:hint="eastAsia" w:ascii="宋体" w:hAnsi="宋体" w:cs="Courier New"/>
          <w:color w:val="auto"/>
          <w:spacing w:val="2"/>
          <w:szCs w:val="21"/>
        </w:rPr>
        <w:t>并以书面形式通知所有获得磋商文件的供应商，</w:t>
      </w:r>
      <w:r>
        <w:rPr>
          <w:rFonts w:ascii="宋体" w:hAnsi="宋体" w:cs="Courier New"/>
          <w:color w:val="auto"/>
          <w:spacing w:val="2"/>
          <w:szCs w:val="21"/>
        </w:rPr>
        <w:t>不足5日的，采购人、采购代理机构应当顺延提交首次响应文件截止时间。</w:t>
      </w:r>
      <w:r>
        <w:rPr>
          <w:rFonts w:hint="eastAsia" w:ascii="宋体" w:hAnsi="宋体" w:cs="Courier New"/>
          <w:color w:val="auto"/>
          <w:spacing w:val="2"/>
          <w:szCs w:val="21"/>
        </w:rPr>
        <w:t>补充通知作为采购文件的组成部分，对供应商起约束作用。</w:t>
      </w:r>
    </w:p>
    <w:p w14:paraId="0A013446">
      <w:pPr>
        <w:bidi w:val="0"/>
        <w:rPr>
          <w:color w:val="auto"/>
        </w:rPr>
      </w:pPr>
      <w:bookmarkStart w:id="29" w:name="_Toc174353362"/>
      <w:bookmarkStart w:id="30" w:name="_Toc239659099"/>
      <w:bookmarkStart w:id="31" w:name="_Toc346264272"/>
      <w:bookmarkStart w:id="32" w:name="_Toc18682809"/>
      <w:bookmarkStart w:id="33" w:name="_Toc80818621"/>
      <w:r>
        <w:rPr>
          <w:color w:val="auto"/>
        </w:rPr>
        <w:t>7.磋商报价</w:t>
      </w:r>
      <w:bookmarkEnd w:id="29"/>
      <w:bookmarkEnd w:id="30"/>
      <w:r>
        <w:rPr>
          <w:color w:val="auto"/>
        </w:rPr>
        <w:t>及</w:t>
      </w:r>
      <w:bookmarkEnd w:id="31"/>
      <w:r>
        <w:rPr>
          <w:rFonts w:hint="eastAsia"/>
          <w:color w:val="auto"/>
        </w:rPr>
        <w:t>采购</w:t>
      </w:r>
      <w:bookmarkEnd w:id="32"/>
      <w:bookmarkEnd w:id="33"/>
      <w:r>
        <w:rPr>
          <w:rFonts w:hint="eastAsia"/>
          <w:color w:val="auto"/>
        </w:rPr>
        <w:t>预算金额</w:t>
      </w:r>
    </w:p>
    <w:p w14:paraId="482D2ECC">
      <w:pPr>
        <w:adjustRightInd w:val="0"/>
        <w:spacing w:line="460" w:lineRule="exact"/>
        <w:ind w:firstLine="420" w:firstLineChars="200"/>
        <w:rPr>
          <w:rFonts w:ascii="宋体" w:hAnsi="宋体"/>
          <w:color w:val="auto"/>
          <w:szCs w:val="21"/>
        </w:rPr>
      </w:pPr>
      <w:r>
        <w:rPr>
          <w:rFonts w:hint="eastAsia" w:ascii="宋体" w:hAnsi="宋体"/>
          <w:color w:val="auto"/>
          <w:szCs w:val="21"/>
        </w:rPr>
        <w:t>7.1 供应商应按第六章“工程量清单”的要求填写相应表格。</w:t>
      </w:r>
    </w:p>
    <w:p w14:paraId="5CE19FA1">
      <w:pPr>
        <w:adjustRightInd w:val="0"/>
        <w:spacing w:line="460" w:lineRule="exact"/>
        <w:ind w:firstLine="420" w:firstLineChars="200"/>
        <w:rPr>
          <w:rFonts w:ascii="宋体" w:hAnsi="宋体"/>
          <w:color w:val="auto"/>
          <w:szCs w:val="21"/>
        </w:rPr>
      </w:pPr>
      <w:r>
        <w:rPr>
          <w:rFonts w:hint="eastAsia" w:ascii="宋体" w:hAnsi="宋体"/>
          <w:color w:val="auto"/>
          <w:szCs w:val="21"/>
        </w:rPr>
        <w:t>7.2 供应商在磋商截止时间前修改磋商函中的磋商总报价，应同时修改第六章“工程量清单”中的相应报价。此修改须符合本章第16款的有关要求。</w:t>
      </w:r>
    </w:p>
    <w:p w14:paraId="21353804">
      <w:pPr>
        <w:spacing w:line="420" w:lineRule="exact"/>
        <w:ind w:firstLine="420" w:firstLineChars="200"/>
        <w:jc w:val="left"/>
        <w:rPr>
          <w:rFonts w:ascii="宋体" w:hAnsi="宋体"/>
          <w:b/>
          <w:bCs/>
          <w:color w:val="auto"/>
          <w:szCs w:val="21"/>
        </w:rPr>
      </w:pPr>
      <w:bookmarkStart w:id="34" w:name="_Hlk87630946"/>
      <w:r>
        <w:rPr>
          <w:rFonts w:hint="eastAsia" w:ascii="宋体" w:hAnsi="宋体"/>
          <w:color w:val="auto"/>
          <w:szCs w:val="21"/>
        </w:rPr>
        <w:t xml:space="preserve">7.3 </w:t>
      </w:r>
      <w:r>
        <w:rPr>
          <w:rFonts w:hint="eastAsia" w:ascii="宋体" w:hAnsi="宋体"/>
          <w:b/>
          <w:bCs/>
          <w:color w:val="auto"/>
          <w:szCs w:val="21"/>
        </w:rPr>
        <w:t>本项目采购预算金额为：详见前附表内容。</w:t>
      </w:r>
    </w:p>
    <w:p w14:paraId="00FFC7D4">
      <w:pPr>
        <w:spacing w:line="420" w:lineRule="exact"/>
        <w:ind w:firstLine="420" w:firstLineChars="200"/>
        <w:jc w:val="left"/>
        <w:rPr>
          <w:rFonts w:ascii="宋体" w:hAnsi="宋体"/>
          <w:b/>
          <w:color w:val="auto"/>
          <w:szCs w:val="21"/>
        </w:rPr>
      </w:pPr>
      <w:r>
        <w:rPr>
          <w:rFonts w:hint="eastAsia" w:ascii="宋体" w:hAnsi="宋体"/>
          <w:color w:val="auto"/>
          <w:szCs w:val="21"/>
        </w:rPr>
        <w:t>本采购项目的有效磋商报价范围为：</w:t>
      </w:r>
      <w:r>
        <w:rPr>
          <w:rFonts w:hint="eastAsia" w:ascii="宋体" w:hAnsi="宋体" w:cs="Courier New"/>
          <w:b/>
          <w:color w:val="auto"/>
          <w:spacing w:val="2"/>
          <w:szCs w:val="21"/>
        </w:rPr>
        <w:t>供应商的最终磋商报价不能高于本项目的采购预算金额。</w:t>
      </w:r>
    </w:p>
    <w:bookmarkEnd w:id="34"/>
    <w:p w14:paraId="24FC173D">
      <w:pPr>
        <w:spacing w:line="460" w:lineRule="exact"/>
        <w:ind w:firstLine="420" w:firstLineChars="200"/>
        <w:rPr>
          <w:rFonts w:ascii="宋体" w:hAnsi="宋体"/>
          <w:color w:val="auto"/>
          <w:szCs w:val="21"/>
        </w:rPr>
      </w:pPr>
      <w:r>
        <w:rPr>
          <w:rFonts w:hint="eastAsia" w:ascii="宋体" w:hAnsi="宋体"/>
          <w:color w:val="auto"/>
          <w:szCs w:val="21"/>
        </w:rPr>
        <w:t>7.4进行磋商报价，其优惠应直接体现在各项磋商报价的单价中，磋商函中供应商不得采用总价优惠、总价百分比优惠或以报价调整函的方式的报价必须与工程量清单汇总表一致，否则作无效标处理。</w:t>
      </w:r>
    </w:p>
    <w:p w14:paraId="4A92A55F">
      <w:pPr>
        <w:spacing w:line="460" w:lineRule="exact"/>
        <w:rPr>
          <w:rFonts w:ascii="宋体" w:hAnsi="宋体"/>
          <w:color w:val="auto"/>
          <w:szCs w:val="21"/>
        </w:rPr>
      </w:pPr>
      <w:r>
        <w:rPr>
          <w:rFonts w:ascii="宋体" w:hAnsi="宋体"/>
          <w:color w:val="auto"/>
          <w:szCs w:val="21"/>
        </w:rPr>
        <w:t xml:space="preserve">    7.</w:t>
      </w:r>
      <w:r>
        <w:rPr>
          <w:rFonts w:hint="eastAsia" w:ascii="宋体" w:hAnsi="宋体"/>
          <w:color w:val="auto"/>
          <w:szCs w:val="21"/>
        </w:rPr>
        <w:t>5</w:t>
      </w:r>
      <w:r>
        <w:rPr>
          <w:rFonts w:ascii="宋体" w:hAnsi="宋体"/>
          <w:color w:val="auto"/>
          <w:szCs w:val="21"/>
        </w:rPr>
        <w:t>磋商货币</w:t>
      </w:r>
    </w:p>
    <w:p w14:paraId="6178A045">
      <w:pPr>
        <w:spacing w:line="460" w:lineRule="exact"/>
        <w:ind w:firstLine="420" w:firstLineChars="200"/>
        <w:rPr>
          <w:rFonts w:ascii="宋体" w:hAnsi="宋体"/>
          <w:color w:val="auto"/>
          <w:szCs w:val="21"/>
        </w:rPr>
      </w:pPr>
      <w:r>
        <w:rPr>
          <w:rFonts w:hint="eastAsia" w:ascii="宋体" w:hAnsi="宋体"/>
          <w:color w:val="auto"/>
          <w:szCs w:val="21"/>
        </w:rPr>
        <w:t>响应文件</w:t>
      </w:r>
      <w:r>
        <w:rPr>
          <w:rFonts w:ascii="宋体" w:hAnsi="宋体"/>
          <w:color w:val="auto"/>
          <w:szCs w:val="21"/>
        </w:rPr>
        <w:t>报价中的单价和合价全部采用人民币表示。</w:t>
      </w:r>
    </w:p>
    <w:p w14:paraId="4904726C">
      <w:pPr>
        <w:bidi w:val="0"/>
        <w:rPr>
          <w:color w:val="auto"/>
        </w:rPr>
      </w:pPr>
      <w:bookmarkStart w:id="35" w:name="_Toc80818622"/>
      <w:bookmarkStart w:id="36" w:name="_Toc239659100"/>
      <w:bookmarkStart w:id="37" w:name="_Toc346264273"/>
      <w:bookmarkStart w:id="38" w:name="_Toc18682810"/>
      <w:r>
        <w:rPr>
          <w:color w:val="auto"/>
        </w:rPr>
        <w:t>8.</w:t>
      </w:r>
      <w:r>
        <w:rPr>
          <w:rFonts w:hint="eastAsia"/>
          <w:color w:val="auto"/>
        </w:rPr>
        <w:t>响应文件</w:t>
      </w:r>
      <w:r>
        <w:rPr>
          <w:color w:val="auto"/>
        </w:rPr>
        <w:t>的语言</w:t>
      </w:r>
      <w:bookmarkEnd w:id="35"/>
      <w:bookmarkEnd w:id="36"/>
      <w:bookmarkEnd w:id="37"/>
      <w:bookmarkEnd w:id="38"/>
    </w:p>
    <w:p w14:paraId="4A9AC6C9">
      <w:pPr>
        <w:spacing w:line="460" w:lineRule="exact"/>
        <w:ind w:firstLine="435"/>
        <w:rPr>
          <w:rFonts w:ascii="宋体" w:hAnsi="宋体"/>
          <w:color w:val="auto"/>
          <w:szCs w:val="21"/>
        </w:rPr>
      </w:pPr>
      <w:r>
        <w:rPr>
          <w:rFonts w:hint="eastAsia" w:ascii="宋体" w:hAnsi="宋体"/>
          <w:color w:val="auto"/>
          <w:szCs w:val="21"/>
        </w:rPr>
        <w:t>响应文件</w:t>
      </w:r>
      <w:r>
        <w:rPr>
          <w:rFonts w:ascii="宋体" w:hAnsi="宋体"/>
          <w:color w:val="auto"/>
          <w:szCs w:val="21"/>
        </w:rPr>
        <w:t>及</w:t>
      </w:r>
      <w:r>
        <w:rPr>
          <w:rFonts w:hint="eastAsia" w:ascii="宋体" w:hAnsi="宋体"/>
          <w:color w:val="auto"/>
          <w:szCs w:val="21"/>
        </w:rPr>
        <w:t>供应商</w:t>
      </w:r>
      <w:r>
        <w:rPr>
          <w:rFonts w:ascii="宋体" w:hAnsi="宋体"/>
          <w:color w:val="auto"/>
          <w:szCs w:val="21"/>
        </w:rPr>
        <w:t>与采购人之间与磋商有关的来往通知、函件和文件均应使用中文。</w:t>
      </w:r>
    </w:p>
    <w:p w14:paraId="40AB1C83">
      <w:pPr>
        <w:bidi w:val="0"/>
        <w:rPr>
          <w:color w:val="auto"/>
        </w:rPr>
      </w:pPr>
      <w:bookmarkStart w:id="39" w:name="_Toc346264274"/>
      <w:bookmarkStart w:id="40" w:name="_Toc80818623"/>
      <w:bookmarkStart w:id="41" w:name="_Toc18682811"/>
      <w:bookmarkStart w:id="42" w:name="_Toc239659101"/>
      <w:r>
        <w:rPr>
          <w:color w:val="auto"/>
        </w:rPr>
        <w:t>9.</w:t>
      </w:r>
      <w:r>
        <w:rPr>
          <w:rFonts w:hint="eastAsia"/>
          <w:color w:val="auto"/>
        </w:rPr>
        <w:t>响应文件</w:t>
      </w:r>
      <w:r>
        <w:rPr>
          <w:color w:val="auto"/>
        </w:rPr>
        <w:t>的组成</w:t>
      </w:r>
      <w:bookmarkEnd w:id="39"/>
      <w:bookmarkEnd w:id="40"/>
      <w:bookmarkEnd w:id="41"/>
      <w:bookmarkEnd w:id="42"/>
    </w:p>
    <w:p w14:paraId="5A069765">
      <w:pPr>
        <w:pStyle w:val="24"/>
        <w:adjustRightInd w:val="0"/>
        <w:snapToGrid w:val="0"/>
        <w:spacing w:line="500" w:lineRule="exact"/>
        <w:ind w:firstLine="411" w:firstLineChars="196"/>
        <w:jc w:val="left"/>
        <w:rPr>
          <w:rFonts w:hAnsi="宋体"/>
          <w:color w:val="auto"/>
          <w:szCs w:val="21"/>
        </w:rPr>
      </w:pPr>
      <w:bookmarkStart w:id="43" w:name="_Hlk86744397"/>
      <w:r>
        <w:rPr>
          <w:rFonts w:hAnsi="宋体"/>
          <w:color w:val="auto"/>
          <w:szCs w:val="21"/>
        </w:rPr>
        <w:t xml:space="preserve">9.1 </w:t>
      </w:r>
      <w:r>
        <w:rPr>
          <w:rFonts w:hint="eastAsia" w:hAnsi="宋体"/>
          <w:color w:val="auto"/>
          <w:szCs w:val="21"/>
        </w:rPr>
        <w:t>响应文件包括</w:t>
      </w:r>
      <w:r>
        <w:rPr>
          <w:rFonts w:hAnsi="宋体"/>
          <w:color w:val="auto"/>
          <w:szCs w:val="21"/>
        </w:rPr>
        <w:t>资格</w:t>
      </w:r>
      <w:r>
        <w:rPr>
          <w:rFonts w:hint="eastAsia" w:hAnsi="宋体"/>
          <w:color w:val="auto"/>
          <w:szCs w:val="21"/>
        </w:rPr>
        <w:t>文件</w:t>
      </w:r>
      <w:r>
        <w:rPr>
          <w:rFonts w:hAnsi="宋体"/>
          <w:color w:val="auto"/>
          <w:szCs w:val="21"/>
        </w:rPr>
        <w:t>、商务</w:t>
      </w:r>
      <w:r>
        <w:rPr>
          <w:rFonts w:hint="eastAsia" w:hAnsi="宋体"/>
          <w:color w:val="auto"/>
          <w:szCs w:val="21"/>
        </w:rPr>
        <w:t>技术文件、</w:t>
      </w:r>
      <w:r>
        <w:rPr>
          <w:rFonts w:hint="eastAsia"/>
          <w:color w:val="auto"/>
          <w:szCs w:val="21"/>
        </w:rPr>
        <w:t>报价文件</w:t>
      </w:r>
      <w:r>
        <w:rPr>
          <w:rFonts w:hint="eastAsia"/>
          <w:b/>
          <w:color w:val="auto"/>
          <w:szCs w:val="21"/>
        </w:rPr>
        <w:t>三部份</w:t>
      </w:r>
      <w:r>
        <w:rPr>
          <w:rFonts w:hint="eastAsia"/>
          <w:color w:val="auto"/>
          <w:szCs w:val="21"/>
        </w:rPr>
        <w:t>组成</w:t>
      </w:r>
      <w:r>
        <w:rPr>
          <w:rFonts w:hint="eastAsia" w:hAnsi="宋体"/>
          <w:color w:val="auto"/>
          <w:szCs w:val="21"/>
        </w:rPr>
        <w:t>并分别编制，以下材料组成在磋商文件第七章“响应文件格式”中未附格式的，由供应商自行拟定。</w:t>
      </w:r>
      <w:r>
        <w:rPr>
          <w:rFonts w:hint="eastAsia" w:hAnsi="宋体"/>
          <w:b/>
          <w:color w:val="auto"/>
          <w:kern w:val="0"/>
          <w:szCs w:val="21"/>
        </w:rPr>
        <w:t>响应文件中所有复印件均须加盖磋商单位公章，否则视为无效磋商响应文件。</w:t>
      </w:r>
    </w:p>
    <w:bookmarkEnd w:id="43"/>
    <w:p w14:paraId="04AA1688">
      <w:pPr>
        <w:spacing w:line="460" w:lineRule="exact"/>
        <w:ind w:firstLine="422" w:firstLineChars="200"/>
        <w:rPr>
          <w:rFonts w:ascii="宋体" w:hAnsi="宋体"/>
          <w:b/>
          <w:color w:val="auto"/>
          <w:szCs w:val="21"/>
        </w:rPr>
      </w:pPr>
      <w:bookmarkStart w:id="44" w:name="_Hlk86744311"/>
      <w:bookmarkStart w:id="45" w:name="_Hlk87630980"/>
      <w:r>
        <w:rPr>
          <w:rFonts w:hint="eastAsia" w:ascii="宋体" w:hAnsi="宋体"/>
          <w:b/>
          <w:color w:val="auto"/>
          <w:szCs w:val="21"/>
        </w:rPr>
        <w:t>9</w:t>
      </w:r>
      <w:r>
        <w:rPr>
          <w:rFonts w:ascii="宋体" w:hAnsi="宋体"/>
          <w:b/>
          <w:color w:val="auto"/>
          <w:szCs w:val="21"/>
        </w:rPr>
        <w:t>.2资格</w:t>
      </w:r>
      <w:r>
        <w:rPr>
          <w:rFonts w:hint="eastAsia" w:ascii="宋体" w:hAnsi="宋体"/>
          <w:b/>
          <w:color w:val="auto"/>
          <w:szCs w:val="21"/>
        </w:rPr>
        <w:t>文件应</w:t>
      </w:r>
      <w:r>
        <w:rPr>
          <w:rFonts w:ascii="宋体" w:hAnsi="宋体"/>
          <w:b/>
          <w:color w:val="auto"/>
          <w:szCs w:val="21"/>
        </w:rPr>
        <w:t>包括下列内容：</w:t>
      </w:r>
    </w:p>
    <w:bookmarkEnd w:id="44"/>
    <w:p w14:paraId="234586F9">
      <w:pPr>
        <w:spacing w:line="460" w:lineRule="exact"/>
        <w:ind w:left="27" w:leftChars="13" w:firstLine="420" w:firstLineChars="200"/>
        <w:jc w:val="left"/>
        <w:rPr>
          <w:rFonts w:ascii="宋体" w:hAnsi="宋体" w:cs="宋体"/>
          <w:b/>
          <w:color w:val="auto"/>
          <w:kern w:val="0"/>
          <w:szCs w:val="21"/>
        </w:rPr>
      </w:pPr>
      <w:bookmarkStart w:id="46" w:name="_Hlk86744419"/>
      <w:r>
        <w:rPr>
          <w:rFonts w:hint="eastAsia" w:ascii="宋体" w:hAnsi="宋体"/>
          <w:color w:val="auto"/>
          <w:szCs w:val="21"/>
        </w:rPr>
        <w:t>（1）</w:t>
      </w:r>
      <w:r>
        <w:rPr>
          <w:rFonts w:hint="eastAsia" w:ascii="宋体" w:hAnsi="宋体" w:cs="Times New Roman"/>
          <w:color w:val="auto"/>
          <w:szCs w:val="21"/>
          <w:lang w:val="en-US" w:eastAsia="zh-CN"/>
        </w:rPr>
        <w:t>崇左市政府采购供应商信用承诺函；（格式详见第八章响应文件格式）</w:t>
      </w:r>
    </w:p>
    <w:p w14:paraId="0B02FC23">
      <w:pPr>
        <w:spacing w:line="460" w:lineRule="exact"/>
        <w:ind w:left="27" w:leftChars="13" w:firstLine="420" w:firstLineChars="200"/>
        <w:jc w:val="left"/>
        <w:rPr>
          <w:rFonts w:hint="eastAsia" w:ascii="宋体" w:hAnsi="宋体"/>
          <w:color w:val="auto"/>
          <w:szCs w:val="21"/>
        </w:rPr>
      </w:pPr>
      <w:r>
        <w:rPr>
          <w:rFonts w:hint="eastAsia" w:ascii="宋体" w:hAnsi="宋体"/>
          <w:color w:val="auto"/>
          <w:szCs w:val="21"/>
        </w:rPr>
        <w:t>（2）供应商有效的安全生产许可证复印件；</w:t>
      </w:r>
    </w:p>
    <w:p w14:paraId="47CCEA99">
      <w:pPr>
        <w:widowControl/>
        <w:spacing w:line="460" w:lineRule="exact"/>
        <w:ind w:left="1062" w:leftChars="200" w:hanging="642" w:hangingChars="300"/>
        <w:jc w:val="left"/>
        <w:rPr>
          <w:rFonts w:ascii="宋体" w:hAnsi="宋体" w:cs="Courier New"/>
          <w:color w:val="auto"/>
          <w:spacing w:val="2"/>
          <w:szCs w:val="21"/>
        </w:rPr>
      </w:pPr>
      <w:r>
        <w:rPr>
          <w:rFonts w:hint="eastAsia" w:ascii="宋体" w:hAnsi="宋体" w:cs="Courier New"/>
          <w:color w:val="auto"/>
          <w:spacing w:val="2"/>
          <w:szCs w:val="21"/>
        </w:rPr>
        <w:t>（3）</w:t>
      </w:r>
      <w:r>
        <w:rPr>
          <w:rFonts w:hint="eastAsia" w:ascii="宋体" w:hAnsi="宋体"/>
          <w:color w:val="auto"/>
          <w:szCs w:val="21"/>
        </w:rPr>
        <w:t>供应商</w:t>
      </w:r>
      <w:r>
        <w:rPr>
          <w:rFonts w:hint="eastAsia" w:ascii="宋体" w:hAnsi="宋体" w:cs="Courier New"/>
          <w:color w:val="auto"/>
          <w:spacing w:val="2"/>
          <w:szCs w:val="21"/>
        </w:rPr>
        <w:t>有效的</w:t>
      </w:r>
      <w:r>
        <w:rPr>
          <w:rFonts w:hint="eastAsia" w:ascii="宋体" w:hAnsi="宋体"/>
          <w:color w:val="auto"/>
          <w:szCs w:val="21"/>
        </w:rPr>
        <w:t>资质证书</w:t>
      </w:r>
      <w:r>
        <w:rPr>
          <w:rFonts w:hint="eastAsia" w:ascii="宋体" w:hAnsi="宋体" w:cs="Courier New"/>
          <w:color w:val="auto"/>
          <w:spacing w:val="2"/>
          <w:szCs w:val="21"/>
        </w:rPr>
        <w:t>副本复印件</w:t>
      </w:r>
      <w:r>
        <w:rPr>
          <w:rFonts w:hint="eastAsia" w:ascii="宋体" w:hAnsi="宋体" w:cs="Courier New"/>
          <w:color w:val="auto"/>
          <w:spacing w:val="2"/>
          <w:szCs w:val="21"/>
          <w:lang w:eastAsia="zh-CN"/>
        </w:rPr>
        <w:t>【要求资质为</w:t>
      </w:r>
      <w:r>
        <w:rPr>
          <w:rFonts w:hint="eastAsia" w:ascii="宋体" w:hAnsi="宋体" w:cs="Courier New"/>
          <w:b/>
          <w:bCs/>
          <w:color w:val="auto"/>
          <w:spacing w:val="2"/>
          <w:szCs w:val="21"/>
          <w:lang w:val="en-US" w:eastAsia="zh-CN"/>
        </w:rPr>
        <w:t>建筑</w:t>
      </w:r>
      <w:r>
        <w:rPr>
          <w:rFonts w:hint="eastAsia"/>
          <w:b/>
          <w:bCs/>
          <w:color w:val="auto"/>
        </w:rPr>
        <w:t>工程施工总承包</w:t>
      </w:r>
      <w:r>
        <w:rPr>
          <w:rFonts w:hint="eastAsia"/>
          <w:b/>
          <w:bCs/>
          <w:color w:val="auto"/>
          <w:lang w:eastAsia="zh-CN"/>
        </w:rPr>
        <w:t>三级</w:t>
      </w:r>
      <w:r>
        <w:rPr>
          <w:rFonts w:hint="eastAsia" w:ascii="宋体" w:hAnsi="宋体" w:cs="宋体"/>
          <w:b/>
          <w:bCs/>
          <w:color w:val="auto"/>
        </w:rPr>
        <w:t>（含三级）</w:t>
      </w:r>
      <w:r>
        <w:rPr>
          <w:rFonts w:hint="eastAsia"/>
          <w:b/>
          <w:bCs/>
          <w:color w:val="auto"/>
          <w:lang w:eastAsia="zh-CN"/>
        </w:rPr>
        <w:t>及</w:t>
      </w:r>
      <w:r>
        <w:rPr>
          <w:rFonts w:hint="eastAsia" w:ascii="宋体" w:hAnsi="宋体" w:cs="宋体"/>
          <w:color w:val="auto"/>
        </w:rPr>
        <w:t>以上</w:t>
      </w:r>
      <w:r>
        <w:rPr>
          <w:rFonts w:hint="eastAsia" w:ascii="宋体" w:hAnsi="宋体" w:cs="Courier New"/>
          <w:color w:val="auto"/>
          <w:spacing w:val="2"/>
          <w:szCs w:val="21"/>
          <w:lang w:eastAsia="zh-CN"/>
        </w:rPr>
        <w:t>】</w:t>
      </w:r>
      <w:r>
        <w:rPr>
          <w:rFonts w:hint="eastAsia" w:ascii="宋体" w:hAnsi="宋体" w:cs="Courier New"/>
          <w:color w:val="auto"/>
          <w:spacing w:val="2"/>
          <w:szCs w:val="21"/>
        </w:rPr>
        <w:t>；</w:t>
      </w:r>
    </w:p>
    <w:p w14:paraId="2727C183">
      <w:pPr>
        <w:spacing w:line="460" w:lineRule="exact"/>
        <w:ind w:left="27" w:leftChars="13" w:firstLine="420" w:firstLineChars="200"/>
        <w:jc w:val="left"/>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）供应商参与政府采购活动前三年在经营活动中没有重大违法记录的书面声明函；</w:t>
      </w:r>
    </w:p>
    <w:p w14:paraId="7D2AAC13">
      <w:pPr>
        <w:spacing w:line="460" w:lineRule="exact"/>
        <w:ind w:left="27" w:leftChars="13" w:firstLine="420" w:firstLineChars="200"/>
        <w:jc w:val="left"/>
        <w:rPr>
          <w:rFonts w:hint="eastAsia" w:ascii="宋体" w:hAnsi="宋体"/>
          <w:color w:val="auto"/>
          <w:szCs w:val="21"/>
        </w:rPr>
      </w:pPr>
      <w:bookmarkStart w:id="47" w:name="_Hlk86744247"/>
      <w:r>
        <w:rPr>
          <w:rFonts w:hint="eastAsia" w:ascii="宋体" w:hAnsi="宋体"/>
          <w:color w:val="auto"/>
          <w:szCs w:val="21"/>
        </w:rPr>
        <w:t>（</w:t>
      </w:r>
      <w:r>
        <w:rPr>
          <w:rFonts w:hint="eastAsia" w:ascii="宋体" w:hAnsi="宋体"/>
          <w:color w:val="auto"/>
          <w:szCs w:val="21"/>
          <w:lang w:val="en-US" w:eastAsia="zh-CN"/>
        </w:rPr>
        <w:t>5</w:t>
      </w:r>
      <w:r>
        <w:rPr>
          <w:rFonts w:hint="eastAsia" w:ascii="宋体" w:hAnsi="宋体"/>
          <w:color w:val="auto"/>
          <w:szCs w:val="21"/>
        </w:rPr>
        <w:t>）拟投入本工程项目经理的身份证复印件、</w:t>
      </w:r>
      <w:r>
        <w:rPr>
          <w:rFonts w:hint="eastAsia" w:ascii="宋体" w:hAnsi="宋体"/>
          <w:color w:val="auto"/>
          <w:szCs w:val="21"/>
          <w:lang w:val="en-US" w:eastAsia="zh-CN"/>
        </w:rPr>
        <w:t>建筑工程</w:t>
      </w:r>
      <w:r>
        <w:rPr>
          <w:rFonts w:hint="eastAsia" w:ascii="宋体" w:hAnsi="宋体"/>
          <w:color w:val="auto"/>
          <w:szCs w:val="21"/>
        </w:rPr>
        <w:t>专业二级（含以上）注册建造师执业</w:t>
      </w:r>
      <w:r>
        <w:rPr>
          <w:rFonts w:hint="eastAsia" w:ascii="宋体" w:hAnsi="宋体"/>
          <w:color w:val="auto"/>
          <w:szCs w:val="21"/>
          <w:lang w:eastAsia="zh-CN"/>
        </w:rPr>
        <w:t>证书复印件</w:t>
      </w:r>
      <w:r>
        <w:rPr>
          <w:rFonts w:hint="eastAsia" w:ascii="宋体" w:hAnsi="宋体"/>
          <w:color w:val="auto"/>
          <w:szCs w:val="21"/>
        </w:rPr>
        <w:t>、安全生产考核合格证书（B类）复印件</w:t>
      </w:r>
      <w:r>
        <w:rPr>
          <w:rFonts w:hint="eastAsia" w:ascii="宋体" w:hAnsi="宋体"/>
          <w:color w:val="auto"/>
          <w:szCs w:val="21"/>
          <w:lang w:eastAsia="zh-CN"/>
        </w:rPr>
        <w:t>、在供应商单位缴纳的养老保险凭证复印件（要求缴费时间为磋商截止时间前半年内连续三个月）、</w:t>
      </w:r>
      <w:r>
        <w:rPr>
          <w:rFonts w:hint="eastAsia" w:ascii="宋体" w:hAnsi="宋体"/>
          <w:b/>
          <w:bCs/>
          <w:color w:val="auto"/>
          <w:szCs w:val="21"/>
          <w:lang w:val="en-US" w:eastAsia="zh-CN"/>
        </w:rPr>
        <w:t>拟投入的项目经理无在建项目承诺书（格式自拟）</w:t>
      </w:r>
      <w:r>
        <w:rPr>
          <w:rFonts w:hint="eastAsia" w:ascii="宋体" w:hAnsi="宋体"/>
          <w:color w:val="auto"/>
          <w:szCs w:val="21"/>
        </w:rPr>
        <w:t>；</w:t>
      </w:r>
    </w:p>
    <w:p w14:paraId="1B1129A7">
      <w:pPr>
        <w:spacing w:line="460" w:lineRule="exact"/>
        <w:ind w:left="27" w:leftChars="13" w:firstLine="420" w:firstLineChars="200"/>
        <w:jc w:val="left"/>
        <w:rPr>
          <w:rFonts w:hint="eastAsia" w:ascii="宋体" w:hAnsi="宋体"/>
          <w:color w:val="auto"/>
          <w:szCs w:val="21"/>
          <w:lang w:val="en-US" w:eastAsia="zh-CN"/>
        </w:rPr>
      </w:pPr>
      <w:r>
        <w:rPr>
          <w:rFonts w:hint="eastAsia" w:ascii="宋体" w:hAnsi="宋体"/>
          <w:color w:val="auto"/>
          <w:szCs w:val="21"/>
          <w:lang w:val="en-US" w:eastAsia="zh-CN"/>
        </w:rPr>
        <w:t>（6）供应商直接控股、管理关系信息表；</w:t>
      </w:r>
      <w:r>
        <w:rPr>
          <w:rFonts w:hint="eastAsia" w:ascii="宋体" w:hAnsi="宋体" w:cs="Times New Roman"/>
          <w:color w:val="auto"/>
          <w:szCs w:val="21"/>
          <w:lang w:val="en-US" w:eastAsia="zh-CN"/>
        </w:rPr>
        <w:t>（格式详见第七章响应文件格式）</w:t>
      </w:r>
    </w:p>
    <w:p w14:paraId="5A92E1A9">
      <w:pPr>
        <w:spacing w:line="460" w:lineRule="exact"/>
        <w:ind w:left="27" w:leftChars="13" w:firstLine="420" w:firstLineChars="200"/>
        <w:jc w:val="left"/>
        <w:rPr>
          <w:rFonts w:hint="eastAsia" w:ascii="宋体" w:hAnsi="宋体"/>
          <w:color w:val="auto"/>
          <w:szCs w:val="21"/>
          <w:lang w:val="en-US" w:eastAsia="zh-CN"/>
        </w:rPr>
      </w:pPr>
      <w:r>
        <w:rPr>
          <w:rFonts w:hint="eastAsia" w:ascii="宋体" w:hAnsi="宋体"/>
          <w:color w:val="auto"/>
          <w:szCs w:val="21"/>
          <w:lang w:val="en-US" w:eastAsia="zh-CN"/>
        </w:rPr>
        <w:t>（7）本项目专门面向中小企业采购（供应商为中小微企业或监狱企业或残疾人福利企业 ），供应商须按照格式提供中小企业声明函。</w:t>
      </w:r>
      <w:r>
        <w:rPr>
          <w:rFonts w:hint="eastAsia" w:ascii="宋体" w:hAnsi="宋体" w:cs="Times New Roman"/>
          <w:color w:val="auto"/>
          <w:szCs w:val="21"/>
          <w:lang w:val="en-US" w:eastAsia="zh-CN"/>
        </w:rPr>
        <w:t>（格式详见第八章响应文件格式）</w:t>
      </w:r>
    </w:p>
    <w:bookmarkEnd w:id="47"/>
    <w:p w14:paraId="3272F3C7">
      <w:pPr>
        <w:pStyle w:val="24"/>
        <w:adjustRightInd w:val="0"/>
        <w:snapToGrid w:val="0"/>
        <w:spacing w:line="460" w:lineRule="exact"/>
        <w:ind w:firstLine="413" w:firstLineChars="196"/>
        <w:jc w:val="left"/>
        <w:rPr>
          <w:rFonts w:hAnsi="宋体"/>
          <w:b/>
          <w:color w:val="auto"/>
          <w:kern w:val="0"/>
          <w:szCs w:val="21"/>
        </w:rPr>
      </w:pPr>
      <w:r>
        <w:rPr>
          <w:rFonts w:hint="eastAsia" w:hAnsi="宋体"/>
          <w:b/>
          <w:snapToGrid w:val="0"/>
          <w:color w:val="auto"/>
          <w:kern w:val="0"/>
          <w:szCs w:val="21"/>
        </w:rPr>
        <w:t>注：1.</w:t>
      </w:r>
      <w:r>
        <w:rPr>
          <w:rFonts w:hint="eastAsia" w:hAnsi="宋体"/>
          <w:b/>
          <w:color w:val="auto"/>
          <w:kern w:val="0"/>
          <w:szCs w:val="21"/>
        </w:rPr>
        <w:t>以上材料须提供，否则视为无效磋商响应文件。</w:t>
      </w:r>
    </w:p>
    <w:p w14:paraId="5EEED715">
      <w:pPr>
        <w:tabs>
          <w:tab w:val="left" w:pos="3870"/>
          <w:tab w:val="left" w:pos="4085"/>
        </w:tabs>
        <w:snapToGrid w:val="0"/>
        <w:spacing w:line="460" w:lineRule="exact"/>
        <w:ind w:firstLine="422" w:firstLineChars="200"/>
        <w:jc w:val="left"/>
        <w:rPr>
          <w:rFonts w:ascii="宋体" w:hAnsi="宋体"/>
          <w:b/>
          <w:color w:val="auto"/>
          <w:kern w:val="0"/>
          <w:szCs w:val="21"/>
        </w:rPr>
      </w:pPr>
      <w:r>
        <w:rPr>
          <w:rFonts w:hint="eastAsia" w:ascii="宋体" w:hAnsi="宋体"/>
          <w:b/>
          <w:color w:val="auto"/>
          <w:kern w:val="0"/>
          <w:szCs w:val="21"/>
        </w:rPr>
        <w:t>2.供应商在“信用中国”网站、“中国政府采购网”的信用记录情况由采购代理查询提供，若查询结果不满足采购文件要求的响应文件将视为资格审查不合格。</w:t>
      </w:r>
    </w:p>
    <w:p w14:paraId="12C0DFB9">
      <w:pPr>
        <w:spacing w:line="460" w:lineRule="exact"/>
        <w:ind w:firstLine="422" w:firstLineChars="200"/>
        <w:rPr>
          <w:rFonts w:ascii="宋体" w:hAnsi="宋体"/>
          <w:b/>
          <w:color w:val="auto"/>
          <w:szCs w:val="21"/>
        </w:rPr>
      </w:pPr>
      <w:r>
        <w:rPr>
          <w:rFonts w:hint="eastAsia" w:ascii="宋体" w:hAnsi="宋体"/>
          <w:b/>
          <w:color w:val="auto"/>
          <w:szCs w:val="21"/>
        </w:rPr>
        <w:t>9</w:t>
      </w:r>
      <w:r>
        <w:rPr>
          <w:rFonts w:ascii="宋体" w:hAnsi="宋体"/>
          <w:b/>
          <w:color w:val="auto"/>
          <w:szCs w:val="21"/>
        </w:rPr>
        <w:t>.3 商务</w:t>
      </w:r>
      <w:r>
        <w:rPr>
          <w:rFonts w:hint="eastAsia" w:ascii="宋体" w:hAnsi="宋体"/>
          <w:b/>
          <w:color w:val="auto"/>
          <w:szCs w:val="21"/>
        </w:rPr>
        <w:t>技术文件</w:t>
      </w:r>
    </w:p>
    <w:p w14:paraId="55F1DDAE">
      <w:pPr>
        <w:spacing w:line="460" w:lineRule="exact"/>
        <w:ind w:firstLine="413" w:firstLineChars="196"/>
        <w:rPr>
          <w:rFonts w:ascii="宋体" w:hAnsi="宋体"/>
          <w:b/>
          <w:color w:val="auto"/>
          <w:szCs w:val="21"/>
        </w:rPr>
      </w:pPr>
      <w:r>
        <w:rPr>
          <w:rFonts w:hint="eastAsia" w:ascii="宋体" w:hAnsi="宋体"/>
          <w:b/>
          <w:color w:val="auto"/>
          <w:szCs w:val="21"/>
        </w:rPr>
        <w:t>9.3.1</w:t>
      </w:r>
      <w:r>
        <w:rPr>
          <w:rFonts w:ascii="宋体" w:hAnsi="宋体"/>
          <w:b/>
          <w:color w:val="auto"/>
          <w:szCs w:val="21"/>
        </w:rPr>
        <w:t>商务</w:t>
      </w:r>
      <w:r>
        <w:rPr>
          <w:rFonts w:hint="eastAsia" w:ascii="宋体" w:hAnsi="宋体"/>
          <w:b/>
          <w:color w:val="auto"/>
          <w:szCs w:val="21"/>
        </w:rPr>
        <w:t>文件应</w:t>
      </w:r>
      <w:r>
        <w:rPr>
          <w:rFonts w:ascii="宋体" w:hAnsi="宋体"/>
          <w:b/>
          <w:color w:val="auto"/>
          <w:szCs w:val="21"/>
        </w:rPr>
        <w:t>包括下列内容</w:t>
      </w:r>
      <w:r>
        <w:rPr>
          <w:rFonts w:hint="eastAsia" w:ascii="宋体" w:hAnsi="宋体"/>
          <w:b/>
          <w:color w:val="auto"/>
          <w:szCs w:val="21"/>
        </w:rPr>
        <w:t>：</w:t>
      </w:r>
    </w:p>
    <w:p w14:paraId="279D23A0">
      <w:pPr>
        <w:spacing w:line="460" w:lineRule="exact"/>
        <w:ind w:firstLine="420" w:firstLineChars="200"/>
        <w:rPr>
          <w:rFonts w:hAnsi="宋体" w:cs="宋体"/>
          <w:color w:val="auto"/>
          <w:szCs w:val="21"/>
        </w:rPr>
      </w:pPr>
      <w:r>
        <w:rPr>
          <w:rFonts w:hint="eastAsia" w:hAnsi="宋体" w:cs="宋体"/>
          <w:color w:val="auto"/>
          <w:szCs w:val="21"/>
        </w:rPr>
        <w:t>（1）诚信声明；</w:t>
      </w:r>
    </w:p>
    <w:p w14:paraId="7108FC91">
      <w:pPr>
        <w:spacing w:line="460" w:lineRule="exact"/>
        <w:ind w:firstLine="420" w:firstLineChars="200"/>
        <w:rPr>
          <w:rFonts w:hAnsi="宋体" w:cs="宋体"/>
          <w:color w:val="auto"/>
          <w:szCs w:val="21"/>
        </w:rPr>
      </w:pPr>
      <w:r>
        <w:rPr>
          <w:rFonts w:hint="eastAsia" w:hAnsi="宋体" w:cs="宋体"/>
          <w:color w:val="auto"/>
          <w:szCs w:val="21"/>
        </w:rPr>
        <w:t>（2）法定代表人授权委托书和委托代理人身份证扫描件(授权委托代理时提供)；当法定代表人参加投标时，仅需提供法定代表人的身份证扫描件；</w:t>
      </w:r>
    </w:p>
    <w:p w14:paraId="4FE04405">
      <w:pPr>
        <w:spacing w:line="460" w:lineRule="exact"/>
        <w:ind w:firstLine="420" w:firstLineChars="200"/>
        <w:rPr>
          <w:rFonts w:hAnsi="宋体" w:cs="宋体"/>
          <w:color w:val="auto"/>
          <w:szCs w:val="21"/>
        </w:rPr>
      </w:pPr>
      <w:r>
        <w:rPr>
          <w:rFonts w:hint="eastAsia" w:hAnsi="宋体" w:cs="宋体"/>
          <w:color w:val="auto"/>
          <w:szCs w:val="21"/>
        </w:rPr>
        <w:t>（3）足额缴纳农民工工资的承诺书；</w:t>
      </w:r>
    </w:p>
    <w:p w14:paraId="6F356CE6">
      <w:pPr>
        <w:spacing w:line="460" w:lineRule="exact"/>
        <w:ind w:firstLine="420" w:firstLineChars="200"/>
        <w:rPr>
          <w:rFonts w:hAnsi="宋体" w:cs="宋体"/>
          <w:color w:val="auto"/>
          <w:szCs w:val="21"/>
        </w:rPr>
      </w:pPr>
      <w:r>
        <w:rPr>
          <w:rFonts w:hint="eastAsia" w:hAnsi="宋体" w:cs="宋体"/>
          <w:color w:val="auto"/>
          <w:szCs w:val="21"/>
        </w:rPr>
        <w:t>（4）安全防护、文明施工措施方案的承诺书；</w:t>
      </w:r>
    </w:p>
    <w:p w14:paraId="4825C4BC">
      <w:pPr>
        <w:spacing w:line="460" w:lineRule="exact"/>
        <w:ind w:firstLine="435"/>
        <w:rPr>
          <w:rFonts w:hAnsi="宋体" w:cs="宋体"/>
          <w:color w:val="auto"/>
          <w:szCs w:val="21"/>
        </w:rPr>
      </w:pPr>
      <w:r>
        <w:rPr>
          <w:rFonts w:hint="eastAsia" w:hAnsi="宋体" w:cs="宋体"/>
          <w:color w:val="auto"/>
          <w:szCs w:val="21"/>
        </w:rPr>
        <w:t>（5）中小企业声明函；</w:t>
      </w:r>
    </w:p>
    <w:p w14:paraId="2FE386B2">
      <w:pPr>
        <w:spacing w:line="460" w:lineRule="exact"/>
        <w:ind w:firstLine="435"/>
        <w:rPr>
          <w:rFonts w:hAnsi="宋体" w:cs="宋体"/>
          <w:color w:val="auto"/>
          <w:szCs w:val="21"/>
        </w:rPr>
      </w:pPr>
      <w:r>
        <w:rPr>
          <w:rFonts w:hint="eastAsia" w:hAnsi="宋体" w:cs="宋体"/>
          <w:color w:val="auto"/>
          <w:szCs w:val="21"/>
        </w:rPr>
        <w:t>（6）监狱企业证明；</w:t>
      </w:r>
    </w:p>
    <w:p w14:paraId="291B1E0F">
      <w:pPr>
        <w:pStyle w:val="24"/>
        <w:spacing w:line="460" w:lineRule="exact"/>
        <w:ind w:firstLine="420" w:firstLineChars="200"/>
        <w:rPr>
          <w:rFonts w:hAnsi="宋体" w:cs="宋体"/>
          <w:color w:val="auto"/>
          <w:szCs w:val="21"/>
        </w:rPr>
      </w:pPr>
      <w:r>
        <w:rPr>
          <w:rFonts w:hint="eastAsia" w:hAnsi="宋体" w:cs="宋体"/>
          <w:color w:val="auto"/>
          <w:szCs w:val="21"/>
        </w:rPr>
        <w:t>（7）残疾人福利性单位声明函；</w:t>
      </w:r>
    </w:p>
    <w:p w14:paraId="3E0BCA9D">
      <w:pPr>
        <w:pStyle w:val="24"/>
        <w:spacing w:line="460" w:lineRule="exact"/>
        <w:ind w:firstLine="420" w:firstLineChars="200"/>
        <w:rPr>
          <w:rFonts w:hAnsi="宋体"/>
          <w:color w:val="auto"/>
          <w:szCs w:val="21"/>
        </w:rPr>
      </w:pPr>
      <w:r>
        <w:rPr>
          <w:rFonts w:hint="eastAsia" w:hAnsi="宋体" w:cs="宋体"/>
          <w:color w:val="auto"/>
          <w:szCs w:val="21"/>
        </w:rPr>
        <w:t>（8）</w:t>
      </w:r>
      <w:r>
        <w:rPr>
          <w:rFonts w:hint="eastAsia" w:hAnsi="宋体"/>
          <w:color w:val="auto"/>
          <w:szCs w:val="21"/>
        </w:rPr>
        <w:t>供应商认为</w:t>
      </w:r>
      <w:r>
        <w:rPr>
          <w:rFonts w:hint="eastAsia" w:hAnsi="宋体" w:cs="宋体"/>
          <w:color w:val="auto"/>
          <w:szCs w:val="21"/>
        </w:rPr>
        <w:t>评标办法中需</w:t>
      </w:r>
      <w:r>
        <w:rPr>
          <w:rFonts w:hint="eastAsia" w:hAnsi="宋体"/>
          <w:color w:val="auto"/>
          <w:szCs w:val="21"/>
        </w:rPr>
        <w:t>提供的其他资料</w:t>
      </w:r>
      <w:r>
        <w:rPr>
          <w:rFonts w:hint="eastAsia" w:hAnsi="宋体"/>
          <w:color w:val="auto"/>
          <w:szCs w:val="21"/>
          <w:lang w:eastAsia="zh-CN"/>
        </w:rPr>
        <w:t>（如企业业绩、信誉实力等证明材料）</w:t>
      </w:r>
      <w:r>
        <w:rPr>
          <w:rFonts w:hint="eastAsia" w:hAnsi="宋体"/>
          <w:color w:val="auto"/>
          <w:szCs w:val="21"/>
        </w:rPr>
        <w:t>。</w:t>
      </w:r>
    </w:p>
    <w:p w14:paraId="21B78FF3">
      <w:pPr>
        <w:pStyle w:val="24"/>
        <w:adjustRightInd w:val="0"/>
        <w:snapToGrid w:val="0"/>
        <w:spacing w:line="460" w:lineRule="exact"/>
        <w:ind w:firstLine="413" w:firstLineChars="196"/>
        <w:jc w:val="left"/>
        <w:rPr>
          <w:rFonts w:hAnsi="宋体"/>
          <w:b/>
          <w:color w:val="auto"/>
          <w:kern w:val="0"/>
          <w:szCs w:val="21"/>
        </w:rPr>
      </w:pPr>
      <w:r>
        <w:rPr>
          <w:rFonts w:hint="eastAsia" w:hAnsi="宋体"/>
          <w:b/>
          <w:snapToGrid w:val="0"/>
          <w:color w:val="auto"/>
          <w:kern w:val="0"/>
          <w:szCs w:val="21"/>
        </w:rPr>
        <w:t>注：</w:t>
      </w:r>
      <w:r>
        <w:rPr>
          <w:rFonts w:hint="eastAsia" w:hAnsi="宋体"/>
          <w:b/>
          <w:color w:val="auto"/>
          <w:kern w:val="0"/>
          <w:szCs w:val="21"/>
        </w:rPr>
        <w:t>以上（1）～（4）材料须提供，否则视为无效磋商响应文件。</w:t>
      </w:r>
    </w:p>
    <w:p w14:paraId="222171C6">
      <w:pPr>
        <w:spacing w:line="460" w:lineRule="exact"/>
        <w:ind w:firstLine="413" w:firstLineChars="196"/>
        <w:rPr>
          <w:rFonts w:ascii="宋体" w:hAnsi="宋体"/>
          <w:b/>
          <w:color w:val="auto"/>
          <w:szCs w:val="21"/>
        </w:rPr>
      </w:pPr>
      <w:r>
        <w:rPr>
          <w:rFonts w:hint="eastAsia" w:ascii="宋体" w:hAnsi="宋体"/>
          <w:b/>
          <w:color w:val="auto"/>
          <w:szCs w:val="21"/>
        </w:rPr>
        <w:t>9.3.2技术文件应</w:t>
      </w:r>
      <w:r>
        <w:rPr>
          <w:rFonts w:ascii="宋体" w:hAnsi="宋体"/>
          <w:b/>
          <w:color w:val="auto"/>
          <w:szCs w:val="21"/>
        </w:rPr>
        <w:t>包括下列内容</w:t>
      </w:r>
      <w:r>
        <w:rPr>
          <w:rFonts w:hint="eastAsia" w:ascii="宋体" w:hAnsi="宋体"/>
          <w:b/>
          <w:color w:val="auto"/>
          <w:szCs w:val="21"/>
        </w:rPr>
        <w:t>：</w:t>
      </w:r>
    </w:p>
    <w:p w14:paraId="14F567FF">
      <w:pPr>
        <w:spacing w:line="460" w:lineRule="exact"/>
        <w:ind w:firstLine="420" w:firstLineChars="200"/>
        <w:rPr>
          <w:rFonts w:ascii="宋体" w:hAnsi="宋体" w:cs="宋体"/>
          <w:color w:val="auto"/>
          <w:szCs w:val="21"/>
        </w:rPr>
      </w:pPr>
      <w:r>
        <w:rPr>
          <w:rFonts w:hint="eastAsia" w:ascii="宋体" w:hAnsi="宋体" w:cs="宋体"/>
          <w:color w:val="auto"/>
          <w:szCs w:val="21"/>
        </w:rPr>
        <w:t>（1）项目管理机构</w:t>
      </w:r>
      <w:r>
        <w:rPr>
          <w:rFonts w:hint="eastAsia" w:ascii="宋体" w:hAnsi="宋体" w:cs="Courier New"/>
          <w:color w:val="auto"/>
          <w:spacing w:val="2"/>
          <w:szCs w:val="21"/>
        </w:rPr>
        <w:t>；</w:t>
      </w:r>
    </w:p>
    <w:p w14:paraId="24A73A1C">
      <w:pPr>
        <w:spacing w:line="460" w:lineRule="exact"/>
        <w:ind w:firstLine="420" w:firstLineChars="200"/>
        <w:rPr>
          <w:rFonts w:ascii="宋体" w:hAnsi="宋体" w:cs="宋体"/>
          <w:color w:val="auto"/>
          <w:szCs w:val="21"/>
        </w:rPr>
      </w:pPr>
      <w:r>
        <w:rPr>
          <w:rFonts w:hint="eastAsia" w:ascii="宋体" w:hAnsi="宋体" w:cs="宋体"/>
          <w:color w:val="auto"/>
          <w:szCs w:val="21"/>
        </w:rPr>
        <w:t>①项目管理机构配备情况表；</w:t>
      </w:r>
    </w:p>
    <w:p w14:paraId="143F60AA">
      <w:pPr>
        <w:spacing w:line="460" w:lineRule="exact"/>
        <w:ind w:firstLine="420" w:firstLineChars="200"/>
        <w:rPr>
          <w:rFonts w:ascii="宋体" w:hAnsi="宋体" w:cs="宋体"/>
          <w:color w:val="auto"/>
          <w:szCs w:val="21"/>
        </w:rPr>
      </w:pPr>
      <w:r>
        <w:rPr>
          <w:rFonts w:hint="eastAsia" w:ascii="宋体" w:hAnsi="宋体" w:cs="宋体"/>
          <w:color w:val="auto"/>
          <w:szCs w:val="21"/>
        </w:rPr>
        <w:t>②拟投入本工程项目经理的简历表；</w:t>
      </w:r>
    </w:p>
    <w:p w14:paraId="70C10235">
      <w:pPr>
        <w:spacing w:line="460" w:lineRule="exact"/>
        <w:ind w:firstLine="420" w:firstLineChars="200"/>
        <w:rPr>
          <w:rFonts w:ascii="宋体" w:hAnsi="宋体" w:cs="宋体"/>
          <w:color w:val="auto"/>
          <w:szCs w:val="21"/>
        </w:rPr>
      </w:pPr>
      <w:r>
        <w:rPr>
          <w:rFonts w:hint="eastAsia" w:ascii="宋体" w:hAnsi="宋体" w:cs="宋体"/>
          <w:color w:val="auto"/>
          <w:szCs w:val="21"/>
        </w:rPr>
        <w:t>③项目管理机构配备情况辅助说明资料。</w:t>
      </w:r>
    </w:p>
    <w:p w14:paraId="07D8E3C0">
      <w:pPr>
        <w:snapToGrid w:val="0"/>
        <w:spacing w:line="460" w:lineRule="exact"/>
        <w:ind w:firstLine="420" w:firstLineChars="200"/>
        <w:rPr>
          <w:rFonts w:ascii="宋体" w:hAnsi="宋体" w:cs="宋体"/>
          <w:color w:val="auto"/>
          <w:szCs w:val="21"/>
        </w:rPr>
      </w:pPr>
      <w:r>
        <w:rPr>
          <w:rFonts w:hint="eastAsia" w:ascii="宋体" w:hAnsi="宋体" w:cs="宋体"/>
          <w:color w:val="auto"/>
          <w:szCs w:val="21"/>
        </w:rPr>
        <w:t>（2）施工组织设计</w:t>
      </w:r>
      <w:r>
        <w:rPr>
          <w:rFonts w:hint="eastAsia" w:ascii="宋体" w:hAnsi="宋体" w:cs="Courier New"/>
          <w:color w:val="auto"/>
          <w:spacing w:val="2"/>
          <w:szCs w:val="21"/>
        </w:rPr>
        <w:t>；</w:t>
      </w:r>
    </w:p>
    <w:p w14:paraId="01D5C951">
      <w:pPr>
        <w:spacing w:line="460" w:lineRule="exact"/>
        <w:ind w:firstLine="420" w:firstLineChars="200"/>
        <w:rPr>
          <w:rFonts w:ascii="宋体" w:hAnsi="宋体" w:cs="宋体"/>
          <w:color w:val="auto"/>
          <w:szCs w:val="21"/>
        </w:rPr>
      </w:pPr>
      <w:r>
        <w:rPr>
          <w:rFonts w:hint="eastAsia" w:ascii="宋体" w:hAnsi="宋体" w:cs="宋体"/>
          <w:color w:val="auto"/>
          <w:szCs w:val="21"/>
        </w:rPr>
        <w:t>（3）供应商认为需要提供的有关资料。</w:t>
      </w:r>
    </w:p>
    <w:p w14:paraId="15091127">
      <w:pPr>
        <w:pStyle w:val="24"/>
        <w:adjustRightInd w:val="0"/>
        <w:snapToGrid w:val="0"/>
        <w:spacing w:line="460" w:lineRule="exact"/>
        <w:ind w:firstLine="413" w:firstLineChars="196"/>
        <w:jc w:val="left"/>
        <w:rPr>
          <w:rFonts w:hAnsi="宋体"/>
          <w:b/>
          <w:color w:val="auto"/>
          <w:kern w:val="0"/>
          <w:szCs w:val="21"/>
        </w:rPr>
      </w:pPr>
      <w:r>
        <w:rPr>
          <w:rFonts w:hint="eastAsia" w:hAnsi="宋体" w:cs="宋体"/>
          <w:b/>
          <w:color w:val="auto"/>
          <w:szCs w:val="21"/>
        </w:rPr>
        <w:t>注：以上（1）～（2）材料须提供</w:t>
      </w:r>
      <w:r>
        <w:rPr>
          <w:rFonts w:hint="eastAsia" w:hAnsi="宋体"/>
          <w:b/>
          <w:color w:val="auto"/>
          <w:kern w:val="0"/>
          <w:szCs w:val="21"/>
        </w:rPr>
        <w:t>，否则视为无效磋商响应文件。</w:t>
      </w:r>
    </w:p>
    <w:p w14:paraId="63FA3D52">
      <w:pPr>
        <w:pStyle w:val="24"/>
        <w:adjustRightInd w:val="0"/>
        <w:snapToGrid w:val="0"/>
        <w:spacing w:line="460" w:lineRule="exact"/>
        <w:ind w:firstLine="413" w:firstLineChars="196"/>
        <w:jc w:val="left"/>
        <w:rPr>
          <w:rFonts w:hAnsi="宋体"/>
          <w:b/>
          <w:color w:val="auto"/>
          <w:kern w:val="0"/>
          <w:szCs w:val="21"/>
        </w:rPr>
      </w:pPr>
      <w:r>
        <w:rPr>
          <w:rFonts w:hint="eastAsia" w:hAnsi="宋体"/>
          <w:b/>
          <w:color w:val="auto"/>
          <w:kern w:val="0"/>
          <w:szCs w:val="21"/>
        </w:rPr>
        <w:t>9.4报价文件</w:t>
      </w:r>
    </w:p>
    <w:p w14:paraId="33BA89AA">
      <w:pPr>
        <w:pStyle w:val="24"/>
        <w:adjustRightInd w:val="0"/>
        <w:snapToGrid w:val="0"/>
        <w:spacing w:line="460" w:lineRule="exact"/>
        <w:ind w:firstLine="420" w:firstLineChars="200"/>
        <w:jc w:val="left"/>
        <w:rPr>
          <w:rFonts w:hAnsi="宋体"/>
          <w:b/>
          <w:color w:val="auto"/>
          <w:kern w:val="0"/>
          <w:szCs w:val="21"/>
        </w:rPr>
      </w:pPr>
      <w:r>
        <w:rPr>
          <w:rFonts w:hint="eastAsia" w:hAnsi="宋体"/>
          <w:color w:val="auto"/>
          <w:szCs w:val="21"/>
        </w:rPr>
        <w:t>（1）磋商函；</w:t>
      </w:r>
    </w:p>
    <w:p w14:paraId="4E078F35">
      <w:pPr>
        <w:spacing w:line="460" w:lineRule="exact"/>
        <w:ind w:firstLine="420" w:firstLineChars="200"/>
        <w:jc w:val="left"/>
        <w:rPr>
          <w:rFonts w:ascii="宋体" w:hAnsi="宋体"/>
          <w:color w:val="auto"/>
          <w:szCs w:val="21"/>
        </w:rPr>
      </w:pPr>
      <w:r>
        <w:rPr>
          <w:rFonts w:hint="eastAsia" w:ascii="宋体" w:hAnsi="宋体"/>
          <w:color w:val="auto"/>
          <w:szCs w:val="21"/>
        </w:rPr>
        <w:t>（2）已标价的工程量清单（必须按照采购人提供的工程量清单填写）；</w:t>
      </w:r>
    </w:p>
    <w:p w14:paraId="4F31A86A">
      <w:pPr>
        <w:spacing w:line="460" w:lineRule="exact"/>
        <w:ind w:firstLine="420" w:firstLineChars="200"/>
        <w:rPr>
          <w:rFonts w:ascii="宋体" w:hAnsi="宋体"/>
          <w:color w:val="auto"/>
          <w:szCs w:val="21"/>
        </w:rPr>
      </w:pPr>
      <w:r>
        <w:rPr>
          <w:rFonts w:hint="eastAsia" w:ascii="宋体" w:hAnsi="宋体"/>
          <w:color w:val="auto"/>
          <w:szCs w:val="21"/>
        </w:rPr>
        <w:t>（3）</w:t>
      </w:r>
      <w:bookmarkStart w:id="48" w:name="_Hlk9585414"/>
      <w:r>
        <w:rPr>
          <w:rFonts w:hint="eastAsia" w:ascii="宋体" w:hAnsi="宋体"/>
          <w:color w:val="auto"/>
          <w:szCs w:val="21"/>
        </w:rPr>
        <w:t>供应商针对报价需要说明的其他文件和说明</w:t>
      </w:r>
      <w:bookmarkEnd w:id="48"/>
      <w:r>
        <w:rPr>
          <w:rFonts w:hint="eastAsia" w:ascii="宋体" w:hAnsi="宋体"/>
          <w:color w:val="auto"/>
          <w:szCs w:val="21"/>
        </w:rPr>
        <w:t>。</w:t>
      </w:r>
    </w:p>
    <w:p w14:paraId="5BFD0AAA">
      <w:pPr>
        <w:pStyle w:val="24"/>
        <w:adjustRightInd w:val="0"/>
        <w:snapToGrid w:val="0"/>
        <w:spacing w:line="460" w:lineRule="exact"/>
        <w:ind w:firstLine="413" w:firstLineChars="196"/>
        <w:jc w:val="left"/>
        <w:rPr>
          <w:rFonts w:hAnsi="宋体" w:cs="宋体"/>
          <w:b/>
          <w:color w:val="auto"/>
          <w:szCs w:val="21"/>
        </w:rPr>
      </w:pPr>
      <w:r>
        <w:rPr>
          <w:rFonts w:hint="eastAsia" w:hAnsi="宋体" w:cs="宋体"/>
          <w:b/>
          <w:color w:val="auto"/>
          <w:szCs w:val="21"/>
        </w:rPr>
        <w:t>注：以上（1）～（2）材料须提供</w:t>
      </w:r>
      <w:r>
        <w:rPr>
          <w:rFonts w:hint="eastAsia" w:hAnsi="宋体"/>
          <w:b/>
          <w:color w:val="auto"/>
          <w:kern w:val="0"/>
          <w:szCs w:val="21"/>
        </w:rPr>
        <w:t>，否则视为无效磋商响应文件。</w:t>
      </w:r>
      <w:bookmarkEnd w:id="46"/>
    </w:p>
    <w:bookmarkEnd w:id="45"/>
    <w:p w14:paraId="3E25D440">
      <w:pPr>
        <w:bidi w:val="0"/>
        <w:rPr>
          <w:color w:val="auto"/>
        </w:rPr>
      </w:pPr>
      <w:bookmarkStart w:id="49" w:name="_Toc18682812"/>
      <w:bookmarkStart w:id="50" w:name="_Toc239659102"/>
      <w:bookmarkStart w:id="51" w:name="_Toc346264275"/>
      <w:bookmarkStart w:id="52" w:name="_Toc80818624"/>
      <w:r>
        <w:rPr>
          <w:color w:val="auto"/>
        </w:rPr>
        <w:t>10.磋商有效期</w:t>
      </w:r>
      <w:bookmarkEnd w:id="49"/>
      <w:bookmarkEnd w:id="50"/>
      <w:bookmarkEnd w:id="51"/>
      <w:bookmarkEnd w:id="52"/>
    </w:p>
    <w:p w14:paraId="00A2D2C3">
      <w:pPr>
        <w:spacing w:line="460" w:lineRule="exact"/>
        <w:ind w:firstLine="420" w:firstLineChars="200"/>
        <w:rPr>
          <w:rFonts w:ascii="宋体" w:hAnsi="宋体"/>
          <w:color w:val="auto"/>
          <w:szCs w:val="21"/>
        </w:rPr>
      </w:pPr>
      <w:r>
        <w:rPr>
          <w:rFonts w:hint="eastAsia" w:ascii="宋体" w:hAnsi="宋体"/>
          <w:color w:val="auto"/>
          <w:szCs w:val="21"/>
        </w:rPr>
        <w:t>10.1 在</w:t>
      </w:r>
      <w:r>
        <w:rPr>
          <w:rFonts w:ascii="宋体" w:hAnsi="宋体"/>
          <w:color w:val="auto"/>
          <w:szCs w:val="21"/>
        </w:rPr>
        <w:t>前附表第</w:t>
      </w:r>
      <w:r>
        <w:rPr>
          <w:rFonts w:hint="eastAsia" w:ascii="宋体" w:hAnsi="宋体"/>
          <w:color w:val="auto"/>
          <w:szCs w:val="21"/>
        </w:rPr>
        <w:t>10</w:t>
      </w:r>
      <w:r>
        <w:rPr>
          <w:rFonts w:ascii="宋体" w:hAnsi="宋体"/>
          <w:color w:val="auto"/>
          <w:szCs w:val="21"/>
        </w:rPr>
        <w:t>项</w:t>
      </w:r>
      <w:r>
        <w:rPr>
          <w:rFonts w:hint="eastAsia" w:ascii="宋体" w:hAnsi="宋体"/>
          <w:color w:val="auto"/>
          <w:szCs w:val="21"/>
        </w:rPr>
        <w:t>规定的磋商有效期内，供应商不得要求撤销或修改其响应文件，有效期不足的响应文件将被拒绝。</w:t>
      </w:r>
    </w:p>
    <w:p w14:paraId="6B13F388">
      <w:pPr>
        <w:spacing w:line="460" w:lineRule="exact"/>
        <w:ind w:firstLine="409" w:firstLineChars="195"/>
        <w:rPr>
          <w:rFonts w:ascii="宋体" w:hAnsi="宋体"/>
          <w:color w:val="auto"/>
          <w:szCs w:val="21"/>
        </w:rPr>
      </w:pPr>
      <w:r>
        <w:rPr>
          <w:rFonts w:hint="eastAsia" w:ascii="宋体" w:hAnsi="宋体"/>
          <w:color w:val="auto"/>
          <w:szCs w:val="21"/>
        </w:rPr>
        <w:t>10.2在原定磋商有效期满之前，如果出现特殊情况，</w:t>
      </w:r>
      <w:r>
        <w:rPr>
          <w:rFonts w:ascii="宋体" w:hAnsi="宋体"/>
          <w:color w:val="auto"/>
          <w:szCs w:val="21"/>
        </w:rPr>
        <w:t>经</w:t>
      </w:r>
      <w:r>
        <w:rPr>
          <w:rFonts w:hint="eastAsia" w:ascii="宋体" w:hAnsi="宋体"/>
          <w:color w:val="auto"/>
          <w:szCs w:val="21"/>
        </w:rPr>
        <w:t>政府采购监督管理部门</w:t>
      </w:r>
      <w:r>
        <w:rPr>
          <w:rFonts w:ascii="宋体" w:hAnsi="宋体"/>
          <w:color w:val="auto"/>
          <w:szCs w:val="21"/>
        </w:rPr>
        <w:t>核准，</w:t>
      </w:r>
      <w:r>
        <w:rPr>
          <w:rFonts w:hint="eastAsia" w:ascii="宋体" w:hAnsi="宋体"/>
          <w:color w:val="auto"/>
          <w:szCs w:val="21"/>
        </w:rPr>
        <w:t>采购人可以书面形式向供应商提出延长磋商有效期的要求，供应商须以书面形式予以答复。同意延长磋商有效期的供应商不允许修改其响应文件，在延长期内本须知第10条的规定仍然适用。</w:t>
      </w:r>
    </w:p>
    <w:p w14:paraId="003496B8">
      <w:pPr>
        <w:bidi w:val="0"/>
        <w:rPr>
          <w:color w:val="auto"/>
        </w:rPr>
      </w:pPr>
      <w:bookmarkStart w:id="53" w:name="_Toc346264276"/>
      <w:bookmarkStart w:id="54" w:name="_Toc239659103"/>
      <w:bookmarkStart w:id="55" w:name="_Toc80818625"/>
      <w:bookmarkStart w:id="56" w:name="_Toc18682813"/>
      <w:r>
        <w:rPr>
          <w:color w:val="auto"/>
        </w:rPr>
        <w:t>11.</w:t>
      </w:r>
      <w:r>
        <w:rPr>
          <w:rFonts w:hint="eastAsia"/>
          <w:color w:val="auto"/>
        </w:rPr>
        <w:t>磋商</w:t>
      </w:r>
      <w:r>
        <w:rPr>
          <w:color w:val="auto"/>
        </w:rPr>
        <w:t>保证金</w:t>
      </w:r>
      <w:bookmarkEnd w:id="53"/>
      <w:bookmarkEnd w:id="54"/>
      <w:bookmarkEnd w:id="55"/>
      <w:bookmarkEnd w:id="56"/>
    </w:p>
    <w:p w14:paraId="4085BAE0">
      <w:pPr>
        <w:spacing w:line="460" w:lineRule="exact"/>
        <w:rPr>
          <w:rFonts w:ascii="宋体" w:hAnsi="宋体"/>
          <w:color w:val="auto"/>
          <w:szCs w:val="21"/>
        </w:rPr>
      </w:pPr>
      <w:r>
        <w:rPr>
          <w:rFonts w:hint="eastAsia" w:ascii="宋体" w:hAnsi="宋体"/>
          <w:color w:val="auto"/>
          <w:szCs w:val="21"/>
        </w:rPr>
        <w:t xml:space="preserve">    本项目不收取磋商保证金</w:t>
      </w:r>
    </w:p>
    <w:p w14:paraId="3864CAA2">
      <w:pPr>
        <w:tabs>
          <w:tab w:val="left" w:pos="458"/>
        </w:tabs>
        <w:spacing w:line="460" w:lineRule="exact"/>
        <w:rPr>
          <w:rFonts w:ascii="宋体" w:hAnsi="宋体"/>
          <w:b/>
          <w:color w:val="auto"/>
          <w:szCs w:val="21"/>
        </w:rPr>
      </w:pPr>
      <w:bookmarkStart w:id="57" w:name="_Toc239659104"/>
      <w:r>
        <w:rPr>
          <w:rFonts w:ascii="宋体" w:hAnsi="宋体"/>
          <w:b/>
          <w:color w:val="auto"/>
          <w:szCs w:val="21"/>
        </w:rPr>
        <w:t>12.磋商预备</w:t>
      </w:r>
      <w:bookmarkEnd w:id="57"/>
    </w:p>
    <w:p w14:paraId="25BBE32F">
      <w:pPr>
        <w:spacing w:line="460" w:lineRule="exact"/>
        <w:rPr>
          <w:rFonts w:ascii="宋体" w:hAnsi="宋体"/>
          <w:color w:val="auto"/>
          <w:szCs w:val="21"/>
        </w:rPr>
      </w:pPr>
      <w:r>
        <w:rPr>
          <w:rFonts w:ascii="宋体" w:hAnsi="宋体"/>
          <w:color w:val="auto"/>
          <w:szCs w:val="21"/>
        </w:rPr>
        <w:t xml:space="preserve">    12.1 勘察现场</w:t>
      </w:r>
    </w:p>
    <w:p w14:paraId="67E01F0B">
      <w:pPr>
        <w:spacing w:line="460" w:lineRule="exact"/>
        <w:ind w:firstLine="420" w:firstLineChars="200"/>
        <w:rPr>
          <w:rFonts w:ascii="宋体" w:hAnsi="宋体"/>
          <w:color w:val="auto"/>
          <w:szCs w:val="21"/>
        </w:rPr>
      </w:pPr>
      <w:r>
        <w:rPr>
          <w:rFonts w:ascii="宋体" w:hAnsi="宋体"/>
          <w:color w:val="auto"/>
          <w:szCs w:val="21"/>
        </w:rPr>
        <w:t>12.1.1</w:t>
      </w:r>
      <w:r>
        <w:rPr>
          <w:rFonts w:hint="eastAsia" w:ascii="宋体" w:hAnsi="宋体"/>
          <w:color w:val="auto"/>
          <w:szCs w:val="21"/>
        </w:rPr>
        <w:t>采购人不组织现场踏勘</w:t>
      </w:r>
    </w:p>
    <w:p w14:paraId="1D285DAE">
      <w:pPr>
        <w:spacing w:line="460" w:lineRule="exact"/>
        <w:ind w:firstLine="480"/>
        <w:rPr>
          <w:rFonts w:ascii="宋体" w:hAnsi="宋体"/>
          <w:color w:val="auto"/>
          <w:szCs w:val="21"/>
        </w:rPr>
      </w:pPr>
      <w:r>
        <w:rPr>
          <w:rFonts w:ascii="宋体" w:hAnsi="宋体"/>
          <w:color w:val="auto"/>
          <w:szCs w:val="21"/>
        </w:rPr>
        <w:t>12.2 磋商答疑</w:t>
      </w:r>
    </w:p>
    <w:p w14:paraId="0052A27E">
      <w:pPr>
        <w:spacing w:line="460" w:lineRule="exact"/>
        <w:ind w:firstLine="480"/>
        <w:rPr>
          <w:rFonts w:ascii="宋体" w:hAnsi="宋体"/>
          <w:color w:val="auto"/>
          <w:szCs w:val="21"/>
        </w:rPr>
      </w:pPr>
      <w:r>
        <w:rPr>
          <w:rFonts w:ascii="宋体" w:hAnsi="宋体"/>
          <w:color w:val="auto"/>
          <w:szCs w:val="21"/>
        </w:rPr>
        <w:t xml:space="preserve">12.2.1 </w:t>
      </w:r>
      <w:r>
        <w:rPr>
          <w:rFonts w:hint="eastAsia" w:ascii="宋体" w:hAnsi="宋体"/>
          <w:color w:val="auto"/>
          <w:szCs w:val="21"/>
        </w:rPr>
        <w:t>供应商</w:t>
      </w:r>
      <w:r>
        <w:rPr>
          <w:rFonts w:ascii="宋体" w:hAnsi="宋体"/>
          <w:color w:val="auto"/>
          <w:szCs w:val="21"/>
        </w:rPr>
        <w:t>提出的与磋商有关的任何问题须在磋商截止日期前，以书面形式送达采购人处。如果</w:t>
      </w:r>
      <w:r>
        <w:rPr>
          <w:rFonts w:hint="eastAsia" w:ascii="宋体" w:hAnsi="宋体"/>
          <w:color w:val="auto"/>
          <w:szCs w:val="21"/>
        </w:rPr>
        <w:t>供应商</w:t>
      </w:r>
      <w:r>
        <w:rPr>
          <w:rFonts w:ascii="宋体" w:hAnsi="宋体"/>
          <w:color w:val="auto"/>
          <w:szCs w:val="21"/>
        </w:rPr>
        <w:t>在规定的时间内提出的问题在</w:t>
      </w:r>
      <w:r>
        <w:rPr>
          <w:rFonts w:hint="eastAsia" w:ascii="宋体" w:hAnsi="宋体"/>
          <w:color w:val="auto"/>
          <w:szCs w:val="21"/>
        </w:rPr>
        <w:t>采购</w:t>
      </w:r>
      <w:r>
        <w:rPr>
          <w:rFonts w:ascii="宋体" w:hAnsi="宋体"/>
          <w:color w:val="auto"/>
          <w:szCs w:val="21"/>
        </w:rPr>
        <w:t>补遗文件中未得到书面解答的，应立即以书面形式报告</w:t>
      </w:r>
      <w:r>
        <w:rPr>
          <w:rFonts w:hint="eastAsia" w:ascii="宋体" w:hAnsi="宋体"/>
          <w:color w:val="auto"/>
          <w:szCs w:val="21"/>
        </w:rPr>
        <w:t>政府采购监督管理部门</w:t>
      </w:r>
      <w:r>
        <w:rPr>
          <w:rFonts w:ascii="宋体" w:hAnsi="宋体"/>
          <w:color w:val="auto"/>
          <w:szCs w:val="21"/>
        </w:rPr>
        <w:t>，否则将视为提出的问题不再需要答复。</w:t>
      </w:r>
    </w:p>
    <w:p w14:paraId="4E82CEA4">
      <w:pPr>
        <w:spacing w:line="460" w:lineRule="exact"/>
        <w:ind w:firstLine="435"/>
        <w:rPr>
          <w:rFonts w:ascii="宋体" w:hAnsi="宋体"/>
          <w:color w:val="auto"/>
          <w:szCs w:val="21"/>
        </w:rPr>
      </w:pPr>
      <w:r>
        <w:rPr>
          <w:rFonts w:ascii="宋体" w:hAnsi="宋体"/>
          <w:color w:val="auto"/>
          <w:szCs w:val="21"/>
        </w:rPr>
        <w:t>12.2.</w:t>
      </w:r>
      <w:r>
        <w:rPr>
          <w:rFonts w:hint="eastAsia" w:ascii="宋体" w:hAnsi="宋体"/>
          <w:color w:val="auto"/>
          <w:szCs w:val="21"/>
        </w:rPr>
        <w:t>2采购</w:t>
      </w:r>
      <w:r>
        <w:rPr>
          <w:rFonts w:ascii="宋体" w:hAnsi="宋体"/>
          <w:color w:val="auto"/>
          <w:szCs w:val="21"/>
        </w:rPr>
        <w:t>补遗文件包括所有问题和答复，补遗文件将迅速提供给所有获得磋商文件的</w:t>
      </w:r>
      <w:r>
        <w:rPr>
          <w:rFonts w:hint="eastAsia" w:ascii="宋体" w:hAnsi="宋体"/>
          <w:color w:val="auto"/>
          <w:szCs w:val="21"/>
        </w:rPr>
        <w:t>供应商</w:t>
      </w:r>
      <w:r>
        <w:rPr>
          <w:rFonts w:ascii="宋体" w:hAnsi="宋体"/>
          <w:color w:val="auto"/>
          <w:szCs w:val="21"/>
        </w:rPr>
        <w:t>。由于</w:t>
      </w:r>
      <w:r>
        <w:rPr>
          <w:rFonts w:hint="eastAsia" w:ascii="宋体" w:hAnsi="宋体"/>
          <w:color w:val="auto"/>
          <w:szCs w:val="21"/>
        </w:rPr>
        <w:t>供应商</w:t>
      </w:r>
      <w:r>
        <w:rPr>
          <w:rFonts w:ascii="宋体" w:hAnsi="宋体"/>
          <w:color w:val="auto"/>
          <w:szCs w:val="21"/>
        </w:rPr>
        <w:t>书面提出而产生的对本须知4.1款中所列磋商文件的修改，由采购人按照本须知第6条的规定，以补充通知的方式发出。</w:t>
      </w:r>
    </w:p>
    <w:p w14:paraId="582D3443">
      <w:pPr>
        <w:bidi w:val="0"/>
        <w:rPr>
          <w:color w:val="auto"/>
        </w:rPr>
      </w:pPr>
      <w:bookmarkStart w:id="58" w:name="_Toc18682814"/>
      <w:bookmarkStart w:id="59" w:name="_Toc346264277"/>
      <w:bookmarkStart w:id="60" w:name="_Toc80818626"/>
      <w:bookmarkStart w:id="61" w:name="_Toc239659105"/>
      <w:r>
        <w:rPr>
          <w:color w:val="auto"/>
        </w:rPr>
        <w:t>13.</w:t>
      </w:r>
      <w:r>
        <w:rPr>
          <w:rFonts w:hint="eastAsia"/>
          <w:color w:val="auto"/>
        </w:rPr>
        <w:t>响应文件</w:t>
      </w:r>
      <w:r>
        <w:rPr>
          <w:color w:val="auto"/>
        </w:rPr>
        <w:t>的份数和签署</w:t>
      </w:r>
      <w:bookmarkEnd w:id="58"/>
      <w:bookmarkEnd w:id="59"/>
      <w:bookmarkEnd w:id="60"/>
      <w:bookmarkEnd w:id="61"/>
    </w:p>
    <w:p w14:paraId="599F023E">
      <w:pPr>
        <w:spacing w:line="460" w:lineRule="exact"/>
        <w:ind w:firstLine="457" w:firstLineChars="218"/>
        <w:rPr>
          <w:rFonts w:ascii="宋体" w:hAnsi="宋体"/>
          <w:color w:val="auto"/>
          <w:szCs w:val="21"/>
        </w:rPr>
      </w:pPr>
      <w:r>
        <w:rPr>
          <w:rFonts w:ascii="宋体" w:hAnsi="宋体"/>
          <w:color w:val="auto"/>
          <w:szCs w:val="21"/>
        </w:rPr>
        <w:t xml:space="preserve">13.1 </w:t>
      </w:r>
      <w:r>
        <w:rPr>
          <w:rFonts w:hint="eastAsia" w:ascii="宋体" w:hAnsi="宋体"/>
          <w:color w:val="auto"/>
          <w:szCs w:val="21"/>
        </w:rPr>
        <w:t>供应商</w:t>
      </w:r>
      <w:r>
        <w:rPr>
          <w:rFonts w:ascii="宋体" w:hAnsi="宋体"/>
          <w:color w:val="auto"/>
          <w:szCs w:val="21"/>
        </w:rPr>
        <w:t>按本须知“前附表第</w:t>
      </w:r>
      <w:r>
        <w:rPr>
          <w:rFonts w:hint="eastAsia" w:ascii="宋体" w:hAnsi="宋体"/>
          <w:color w:val="auto"/>
          <w:szCs w:val="21"/>
        </w:rPr>
        <w:t>16</w:t>
      </w:r>
      <w:r>
        <w:rPr>
          <w:rFonts w:ascii="宋体" w:hAnsi="宋体"/>
          <w:color w:val="auto"/>
          <w:szCs w:val="21"/>
        </w:rPr>
        <w:t>项”的规定，编制</w:t>
      </w:r>
      <w:r>
        <w:rPr>
          <w:rFonts w:hint="eastAsia" w:ascii="宋体" w:hAnsi="Calibri"/>
          <w:snapToGrid w:val="0"/>
          <w:color w:val="auto"/>
          <w:szCs w:val="21"/>
        </w:rPr>
        <w:t>电子加密响应文件及电子备份响应文件</w:t>
      </w:r>
      <w:r>
        <w:rPr>
          <w:rFonts w:ascii="宋体" w:hAnsi="宋体"/>
          <w:color w:val="auto"/>
          <w:szCs w:val="21"/>
        </w:rPr>
        <w:t>。</w:t>
      </w:r>
    </w:p>
    <w:p w14:paraId="7CF271ED">
      <w:pPr>
        <w:spacing w:line="460" w:lineRule="exact"/>
        <w:ind w:firstLine="409" w:firstLineChars="195"/>
        <w:rPr>
          <w:rFonts w:ascii="宋体" w:hAnsi="宋体"/>
          <w:color w:val="auto"/>
          <w:szCs w:val="21"/>
        </w:rPr>
      </w:pPr>
      <w:r>
        <w:rPr>
          <w:rFonts w:ascii="宋体" w:hAnsi="宋体"/>
          <w:color w:val="auto"/>
          <w:szCs w:val="21"/>
        </w:rPr>
        <w:t>13.2</w:t>
      </w:r>
      <w:r>
        <w:rPr>
          <w:rFonts w:hint="eastAsia" w:ascii="宋体" w:hAnsi="宋体"/>
          <w:color w:val="auto"/>
          <w:szCs w:val="21"/>
        </w:rPr>
        <w:t>供应商应按本磋商文件规定的格式和顺序编制响应文件并标注页码，响应文件内容不完整、编排混乱导致磋商文件被误读、漏读或者查找不到相关内容的，是供应商的责任。供应商的响应文件应按磋商文件提供格式的规定位置加盖供应商单位公章，法定代表人或授权委托代理人签署。</w:t>
      </w:r>
    </w:p>
    <w:p w14:paraId="44449D1C">
      <w:pPr>
        <w:adjustRightInd w:val="0"/>
        <w:snapToGrid w:val="0"/>
        <w:spacing w:line="460" w:lineRule="exact"/>
        <w:ind w:firstLine="420"/>
        <w:jc w:val="left"/>
        <w:rPr>
          <w:rFonts w:ascii="宋体" w:hAnsi="宋体" w:cs="仿宋_GB2312"/>
          <w:b/>
          <w:color w:val="auto"/>
          <w:kern w:val="0"/>
          <w:szCs w:val="21"/>
          <w:lang w:val="zh-CN"/>
        </w:rPr>
      </w:pPr>
      <w:bookmarkStart w:id="62" w:name="_Hlk87631003"/>
      <w:r>
        <w:rPr>
          <w:rFonts w:hint="eastAsia" w:ascii="宋体"/>
          <w:b/>
          <w:snapToGrid w:val="0"/>
          <w:color w:val="auto"/>
          <w:szCs w:val="21"/>
        </w:rPr>
        <w:t>响应文件（包含电子备份响应文件），其中电子响应文件中所须加盖单位公章部分均采用 CA 签章。若磋商文件中有专门标注的某关联点，并要求供应商在电子投标系统中作出磋商响应的，如供应商未对关联点进行响应或者在响应文件其它内容进行描述，造成电子评审不能查询的责任</w:t>
      </w:r>
      <w:r>
        <w:rPr>
          <w:rFonts w:hint="eastAsia" w:ascii="宋体" w:hAnsi="宋体" w:cs="仿宋_GB2312"/>
          <w:b/>
          <w:color w:val="auto"/>
          <w:kern w:val="0"/>
          <w:szCs w:val="21"/>
          <w:lang w:val="zh-CN"/>
        </w:rPr>
        <w:t>由</w:t>
      </w:r>
      <w:r>
        <w:rPr>
          <w:rFonts w:hint="eastAsia" w:ascii="宋体"/>
          <w:b/>
          <w:snapToGrid w:val="0"/>
          <w:color w:val="auto"/>
          <w:szCs w:val="21"/>
        </w:rPr>
        <w:t>供应商</w:t>
      </w:r>
      <w:r>
        <w:rPr>
          <w:rFonts w:hint="eastAsia" w:ascii="宋体" w:hAnsi="宋体" w:cs="仿宋_GB2312"/>
          <w:b/>
          <w:color w:val="auto"/>
          <w:kern w:val="0"/>
          <w:szCs w:val="21"/>
          <w:lang w:val="zh-CN"/>
        </w:rPr>
        <w:t>自行承担。</w:t>
      </w:r>
    </w:p>
    <w:bookmarkEnd w:id="62"/>
    <w:p w14:paraId="77FDF5AE">
      <w:pPr>
        <w:spacing w:line="460" w:lineRule="exact"/>
        <w:ind w:firstLine="409" w:firstLineChars="195"/>
        <w:rPr>
          <w:rFonts w:ascii="宋体" w:hAnsi="宋体" w:cs="仿宋_GB2312"/>
          <w:color w:val="auto"/>
          <w:kern w:val="0"/>
          <w:szCs w:val="21"/>
          <w:lang w:val="zh-CN"/>
        </w:rPr>
      </w:pPr>
      <w:r>
        <w:rPr>
          <w:rFonts w:ascii="宋体" w:hAnsi="宋体"/>
          <w:color w:val="auto"/>
          <w:szCs w:val="21"/>
        </w:rPr>
        <w:t>13.3</w:t>
      </w:r>
      <w:r>
        <w:rPr>
          <w:rFonts w:hint="eastAsia" w:ascii="宋体" w:hAnsi="宋体" w:cs="仿宋_GB2312"/>
          <w:color w:val="auto"/>
          <w:kern w:val="0"/>
          <w:szCs w:val="21"/>
          <w:lang w:val="zh-CN"/>
        </w:rPr>
        <w:t>响应文件不得涂改，若有修改错漏处，须加盖单位公章或者法定代表人或授权委托人签</w:t>
      </w:r>
      <w:r>
        <w:rPr>
          <w:rFonts w:hint="eastAsia" w:ascii="宋体" w:hAnsi="宋体"/>
          <w:color w:val="auto"/>
          <w:szCs w:val="21"/>
        </w:rPr>
        <w:t>署</w:t>
      </w:r>
      <w:r>
        <w:rPr>
          <w:rFonts w:hint="eastAsia" w:ascii="宋体" w:hAnsi="宋体" w:cs="仿宋_GB2312"/>
          <w:color w:val="auto"/>
          <w:kern w:val="0"/>
          <w:szCs w:val="21"/>
          <w:lang w:val="zh-CN"/>
        </w:rPr>
        <w:t>。响应文件因扫描不清晰或乱码或表达不清所引起的后果由</w:t>
      </w:r>
      <w:r>
        <w:rPr>
          <w:rFonts w:hint="eastAsia" w:ascii="宋体" w:hAnsi="宋体"/>
          <w:color w:val="auto"/>
          <w:szCs w:val="21"/>
        </w:rPr>
        <w:t>供应商</w:t>
      </w:r>
      <w:r>
        <w:rPr>
          <w:rFonts w:hint="eastAsia" w:ascii="宋体" w:hAnsi="宋体" w:cs="仿宋_GB2312"/>
          <w:color w:val="auto"/>
          <w:kern w:val="0"/>
          <w:szCs w:val="21"/>
          <w:lang w:val="zh-CN"/>
        </w:rPr>
        <w:t>负责。</w:t>
      </w:r>
    </w:p>
    <w:p w14:paraId="58A4500D">
      <w:pPr>
        <w:adjustRightInd w:val="0"/>
        <w:snapToGrid w:val="0"/>
        <w:spacing w:line="460" w:lineRule="exact"/>
        <w:ind w:firstLine="420"/>
        <w:jc w:val="left"/>
        <w:rPr>
          <w:rFonts w:ascii="宋体" w:hAnsi="宋体" w:cs="仿宋_GB2312"/>
          <w:color w:val="auto"/>
          <w:kern w:val="0"/>
          <w:szCs w:val="21"/>
          <w:lang w:val="zh-CN"/>
        </w:rPr>
      </w:pPr>
      <w:bookmarkStart w:id="63" w:name="_Hlk87631030"/>
      <w:r>
        <w:rPr>
          <w:rFonts w:hint="eastAsia" w:ascii="宋体" w:hAnsi="宋体" w:cs="仿宋_GB2312"/>
          <w:color w:val="auto"/>
          <w:kern w:val="0"/>
          <w:szCs w:val="21"/>
          <w:lang w:val="zh-CN"/>
        </w:rPr>
        <w:t>13.4</w:t>
      </w:r>
      <w:r>
        <w:rPr>
          <w:rFonts w:hint="eastAsia" w:ascii="宋体" w:hAnsi="宋体"/>
          <w:color w:val="auto"/>
          <w:szCs w:val="21"/>
        </w:rPr>
        <w:t>供应商</w:t>
      </w:r>
      <w:r>
        <w:rPr>
          <w:rFonts w:hint="eastAsia" w:ascii="宋体" w:hAnsi="宋体" w:cs="仿宋_GB2312"/>
          <w:color w:val="auto"/>
          <w:kern w:val="0"/>
          <w:szCs w:val="21"/>
          <w:lang w:val="zh-CN"/>
        </w:rPr>
        <w:t>应将电子备份响应文件装入到一个响应文件袋内加以密封（要求文件袋无明显缝隙露出袋内文件），电子备份响应文件袋在每一封贴处密封签章（公章、密封章、法定代表人（负责人）、委托代理人签字等均可）。电子备份响应文件袋外层包装封面上应标记“供应商名称、供应商地址、项目名称、项目编号、所投分标及磋商截止时间前不得启封”字样。逾期送达或者未按照磋商文件要求密封的电子备份响应文件将被拒</w:t>
      </w:r>
      <w:r>
        <w:rPr>
          <w:rFonts w:hint="eastAsia" w:ascii="宋体" w:hAnsi="宋体" w:cs="Arial"/>
          <w:color w:val="auto"/>
          <w:kern w:val="0"/>
          <w:szCs w:val="21"/>
        </w:rPr>
        <w:t>收</w:t>
      </w:r>
      <w:r>
        <w:rPr>
          <w:rFonts w:hint="eastAsia" w:ascii="宋体" w:hAnsi="宋体" w:cs="仿宋_GB2312"/>
          <w:color w:val="auto"/>
          <w:kern w:val="0"/>
          <w:szCs w:val="21"/>
          <w:lang w:val="zh-CN"/>
        </w:rPr>
        <w:t>，由此造成电子备份响应文件被误投或提前拆封的风险由</w:t>
      </w:r>
      <w:r>
        <w:rPr>
          <w:rFonts w:hint="eastAsia" w:ascii="宋体" w:hAnsi="宋体"/>
          <w:color w:val="auto"/>
          <w:szCs w:val="21"/>
        </w:rPr>
        <w:t>供应商</w:t>
      </w:r>
      <w:r>
        <w:rPr>
          <w:rFonts w:hint="eastAsia" w:ascii="宋体" w:hAnsi="宋体" w:cs="仿宋_GB2312"/>
          <w:color w:val="auto"/>
          <w:kern w:val="0"/>
          <w:szCs w:val="21"/>
          <w:lang w:val="zh-CN"/>
        </w:rPr>
        <w:t>承担。</w:t>
      </w:r>
    </w:p>
    <w:bookmarkEnd w:id="63"/>
    <w:p w14:paraId="5A2A6790">
      <w:pPr>
        <w:bidi w:val="0"/>
        <w:rPr>
          <w:color w:val="auto"/>
        </w:rPr>
      </w:pPr>
      <w:bookmarkStart w:id="64" w:name="_Toc80818627"/>
      <w:bookmarkStart w:id="65" w:name="_Toc346264278"/>
      <w:bookmarkStart w:id="66" w:name="_Toc239659106"/>
      <w:bookmarkStart w:id="67" w:name="_Toc18682815"/>
      <w:r>
        <w:rPr>
          <w:color w:val="auto"/>
        </w:rPr>
        <w:t>14.</w:t>
      </w:r>
      <w:r>
        <w:rPr>
          <w:rFonts w:hint="eastAsia"/>
          <w:color w:val="auto"/>
        </w:rPr>
        <w:t>响应文件</w:t>
      </w:r>
      <w:r>
        <w:rPr>
          <w:color w:val="auto"/>
        </w:rPr>
        <w:t>提交截止时间</w:t>
      </w:r>
      <w:bookmarkEnd w:id="64"/>
      <w:bookmarkEnd w:id="65"/>
      <w:bookmarkEnd w:id="66"/>
      <w:bookmarkEnd w:id="67"/>
    </w:p>
    <w:p w14:paraId="1A686FF6">
      <w:pPr>
        <w:spacing w:line="460" w:lineRule="exact"/>
        <w:rPr>
          <w:rFonts w:ascii="宋体" w:hAnsi="宋体"/>
          <w:color w:val="auto"/>
          <w:szCs w:val="21"/>
        </w:rPr>
      </w:pPr>
      <w:r>
        <w:rPr>
          <w:rFonts w:ascii="宋体" w:hAnsi="宋体"/>
          <w:color w:val="auto"/>
          <w:szCs w:val="21"/>
        </w:rPr>
        <w:t xml:space="preserve">    14.1 </w:t>
      </w:r>
      <w:r>
        <w:rPr>
          <w:rFonts w:hint="eastAsia" w:ascii="宋体" w:hAnsi="宋体"/>
          <w:color w:val="auto"/>
          <w:szCs w:val="21"/>
        </w:rPr>
        <w:t>响应文件</w:t>
      </w:r>
      <w:r>
        <w:rPr>
          <w:rFonts w:ascii="宋体" w:hAnsi="宋体"/>
          <w:color w:val="auto"/>
          <w:szCs w:val="21"/>
        </w:rPr>
        <w:t>提交截止时间：</w:t>
      </w:r>
      <w:r>
        <w:rPr>
          <w:rFonts w:hint="eastAsia" w:ascii="宋体" w:hAnsi="宋体"/>
          <w:color w:val="auto"/>
          <w:szCs w:val="21"/>
        </w:rPr>
        <w:t>按</w:t>
      </w:r>
      <w:r>
        <w:rPr>
          <w:rFonts w:ascii="宋体" w:hAnsi="宋体"/>
          <w:color w:val="auto"/>
          <w:szCs w:val="21"/>
        </w:rPr>
        <w:t>本须知“前附表第</w:t>
      </w:r>
      <w:r>
        <w:rPr>
          <w:rFonts w:hint="eastAsia" w:ascii="宋体" w:hAnsi="宋体"/>
          <w:color w:val="auto"/>
          <w:szCs w:val="21"/>
        </w:rPr>
        <w:t>18</w:t>
      </w:r>
      <w:r>
        <w:rPr>
          <w:rFonts w:ascii="宋体" w:hAnsi="宋体"/>
          <w:color w:val="auto"/>
          <w:szCs w:val="21"/>
        </w:rPr>
        <w:t>项”的规定。</w:t>
      </w:r>
    </w:p>
    <w:p w14:paraId="197994B7">
      <w:pPr>
        <w:spacing w:line="460" w:lineRule="exact"/>
        <w:ind w:firstLine="435"/>
        <w:rPr>
          <w:rFonts w:ascii="宋体" w:hAnsi="宋体"/>
          <w:color w:val="auto"/>
          <w:szCs w:val="21"/>
        </w:rPr>
      </w:pPr>
      <w:r>
        <w:rPr>
          <w:rFonts w:ascii="宋体" w:hAnsi="宋体"/>
          <w:color w:val="auto"/>
          <w:szCs w:val="21"/>
        </w:rPr>
        <w:t>14.2 采购人可按本须知第6条规定以补充通知的方式，酌情延长提交</w:t>
      </w:r>
      <w:r>
        <w:rPr>
          <w:rFonts w:hint="eastAsia" w:ascii="宋体" w:hAnsi="宋体"/>
          <w:color w:val="auto"/>
          <w:szCs w:val="21"/>
        </w:rPr>
        <w:t>响应文件</w:t>
      </w:r>
      <w:r>
        <w:rPr>
          <w:rFonts w:ascii="宋体" w:hAnsi="宋体"/>
          <w:color w:val="auto"/>
          <w:szCs w:val="21"/>
        </w:rPr>
        <w:t>的截止时间。在上述情况下，采购人与</w:t>
      </w:r>
      <w:r>
        <w:rPr>
          <w:rFonts w:hint="eastAsia" w:ascii="宋体" w:hAnsi="宋体"/>
          <w:color w:val="auto"/>
          <w:szCs w:val="21"/>
        </w:rPr>
        <w:t>供应商</w:t>
      </w:r>
      <w:r>
        <w:rPr>
          <w:rFonts w:ascii="宋体" w:hAnsi="宋体"/>
          <w:color w:val="auto"/>
          <w:szCs w:val="21"/>
        </w:rPr>
        <w:t>的全部权力、责任和义务，将适用于延长后新的</w:t>
      </w:r>
      <w:r>
        <w:rPr>
          <w:rFonts w:hint="eastAsia" w:ascii="宋体" w:hAnsi="宋体"/>
          <w:color w:val="auto"/>
          <w:szCs w:val="21"/>
        </w:rPr>
        <w:t>响应文件</w:t>
      </w:r>
      <w:r>
        <w:rPr>
          <w:rFonts w:ascii="宋体" w:hAnsi="宋体"/>
          <w:color w:val="auto"/>
          <w:szCs w:val="21"/>
        </w:rPr>
        <w:t>提交截止时间。</w:t>
      </w:r>
    </w:p>
    <w:p w14:paraId="16FEBE73">
      <w:pPr>
        <w:bidi w:val="0"/>
        <w:rPr>
          <w:color w:val="auto"/>
        </w:rPr>
      </w:pPr>
      <w:bookmarkStart w:id="68" w:name="_Toc18682816"/>
      <w:bookmarkStart w:id="69" w:name="_Toc346264279"/>
      <w:bookmarkStart w:id="70" w:name="_Toc80818628"/>
      <w:bookmarkStart w:id="71" w:name="_Toc239659107"/>
      <w:r>
        <w:rPr>
          <w:color w:val="auto"/>
        </w:rPr>
        <w:t>15.</w:t>
      </w:r>
      <w:r>
        <w:rPr>
          <w:rFonts w:hint="eastAsia"/>
          <w:color w:val="auto"/>
        </w:rPr>
        <w:t>响应文件</w:t>
      </w:r>
      <w:r>
        <w:rPr>
          <w:color w:val="auto"/>
        </w:rPr>
        <w:t>的提交</w:t>
      </w:r>
      <w:bookmarkEnd w:id="68"/>
      <w:bookmarkEnd w:id="69"/>
      <w:bookmarkEnd w:id="70"/>
      <w:bookmarkEnd w:id="71"/>
    </w:p>
    <w:p w14:paraId="30EF5847">
      <w:pPr>
        <w:spacing w:line="460" w:lineRule="exact"/>
        <w:ind w:firstLine="420" w:firstLineChars="200"/>
        <w:rPr>
          <w:rFonts w:ascii="宋体" w:hAnsi="宋体" w:cs="Arial"/>
          <w:color w:val="auto"/>
          <w:kern w:val="0"/>
          <w:szCs w:val="21"/>
        </w:rPr>
      </w:pPr>
      <w:r>
        <w:rPr>
          <w:rFonts w:hint="eastAsia" w:ascii="宋体" w:hAnsi="宋体" w:cs="Arial"/>
          <w:color w:val="auto"/>
          <w:kern w:val="0"/>
          <w:szCs w:val="21"/>
        </w:rPr>
        <w:t>15.1供应商应当在响应文件提交截止时间前将生成的“电子加密投标文件”上传提交至政采云平台。</w:t>
      </w:r>
      <w:r>
        <w:rPr>
          <w:rFonts w:ascii="宋体" w:hAnsi="宋体" w:cs="Arial"/>
          <w:color w:val="auto"/>
          <w:kern w:val="0"/>
          <w:szCs w:val="21"/>
        </w:rPr>
        <w:t>因未注册入库、未办理CA数字证书、CA证书故障、操作不当等原因造成无法</w:t>
      </w:r>
      <w:r>
        <w:rPr>
          <w:rFonts w:hint="eastAsia" w:ascii="宋体" w:hAnsi="宋体" w:cs="Arial"/>
          <w:color w:val="auto"/>
          <w:kern w:val="0"/>
          <w:szCs w:val="21"/>
        </w:rPr>
        <w:t>响应</w:t>
      </w:r>
      <w:r>
        <w:rPr>
          <w:rFonts w:ascii="宋体" w:hAnsi="宋体" w:cs="Arial"/>
          <w:color w:val="auto"/>
          <w:kern w:val="0"/>
          <w:szCs w:val="21"/>
        </w:rPr>
        <w:t>或</w:t>
      </w:r>
      <w:r>
        <w:rPr>
          <w:rFonts w:hint="eastAsia" w:ascii="宋体" w:hAnsi="宋体" w:cs="Arial"/>
          <w:color w:val="auto"/>
          <w:kern w:val="0"/>
          <w:szCs w:val="21"/>
        </w:rPr>
        <w:t>响应</w:t>
      </w:r>
      <w:r>
        <w:rPr>
          <w:rFonts w:ascii="宋体" w:hAnsi="宋体" w:cs="Arial"/>
          <w:color w:val="auto"/>
          <w:kern w:val="0"/>
          <w:szCs w:val="21"/>
        </w:rPr>
        <w:t>失败等后果由</w:t>
      </w:r>
      <w:r>
        <w:rPr>
          <w:rFonts w:hint="eastAsia" w:ascii="宋体" w:hAnsi="宋体" w:cs="Arial"/>
          <w:color w:val="auto"/>
          <w:kern w:val="0"/>
          <w:szCs w:val="21"/>
        </w:rPr>
        <w:t>供应商</w:t>
      </w:r>
      <w:r>
        <w:rPr>
          <w:rFonts w:ascii="宋体" w:hAnsi="宋体" w:cs="Arial"/>
          <w:color w:val="auto"/>
          <w:kern w:val="0"/>
          <w:szCs w:val="21"/>
        </w:rPr>
        <w:t>自行承担。</w:t>
      </w:r>
    </w:p>
    <w:p w14:paraId="402DC5CB">
      <w:pPr>
        <w:widowControl/>
        <w:spacing w:line="460" w:lineRule="exact"/>
        <w:ind w:firstLine="420" w:firstLineChars="200"/>
        <w:jc w:val="left"/>
        <w:rPr>
          <w:rFonts w:ascii="宋体" w:hAnsi="宋体" w:cs="Arial"/>
          <w:color w:val="auto"/>
          <w:kern w:val="0"/>
          <w:szCs w:val="21"/>
        </w:rPr>
      </w:pPr>
      <w:r>
        <w:rPr>
          <w:rFonts w:hint="eastAsia" w:ascii="宋体" w:hAnsi="宋体" w:cs="Arial"/>
          <w:color w:val="auto"/>
          <w:kern w:val="0"/>
          <w:szCs w:val="21"/>
        </w:rPr>
        <w:t>15.2 供应商可以提供以介质（U 盘）存储的数据电文形成的电子备份响应文件。电子备份响应文件应当在响应文件提交截止时间请提交至崇左市城南新区石景林路东段政务服务中心综合楼五楼开标厅，由</w:t>
      </w:r>
      <w:r>
        <w:rPr>
          <w:rFonts w:hint="eastAsia" w:ascii="宋体" w:hAnsi="宋体" w:cs="宋体"/>
          <w:color w:val="auto"/>
          <w:szCs w:val="21"/>
          <w:lang w:eastAsia="zh-CN"/>
        </w:rPr>
        <w:t>代理公司</w:t>
      </w:r>
      <w:r>
        <w:rPr>
          <w:rFonts w:hint="eastAsia" w:ascii="宋体" w:hAnsi="宋体" w:cs="Arial"/>
          <w:color w:val="auto"/>
          <w:kern w:val="0"/>
          <w:szCs w:val="21"/>
        </w:rPr>
        <w:t>接受（接受邮寄</w:t>
      </w:r>
      <w:r>
        <w:rPr>
          <w:rFonts w:hint="eastAsia" w:ascii="宋体" w:hAnsi="宋体" w:cs="Arial"/>
          <w:color w:val="auto"/>
          <w:kern w:val="0"/>
          <w:szCs w:val="21"/>
          <w:lang w:val="en-US" w:eastAsia="zh-CN"/>
        </w:rPr>
        <w:t>或者</w:t>
      </w:r>
      <w:r>
        <w:rPr>
          <w:rFonts w:hint="eastAsia" w:ascii="宋体" w:hAnsi="宋体" w:cs="Arial"/>
          <w:color w:val="auto"/>
          <w:kern w:val="0"/>
          <w:szCs w:val="21"/>
        </w:rPr>
        <w:t>现场提交），逾期送达或未按要求密封将被拒收。</w:t>
      </w:r>
    </w:p>
    <w:p w14:paraId="60935B02">
      <w:pPr>
        <w:widowControl/>
        <w:spacing w:line="460" w:lineRule="exact"/>
        <w:ind w:firstLine="420" w:firstLineChars="200"/>
        <w:jc w:val="left"/>
        <w:rPr>
          <w:rFonts w:ascii="宋体" w:hAnsi="宋体" w:cs="Arial"/>
          <w:color w:val="auto"/>
          <w:kern w:val="0"/>
          <w:szCs w:val="21"/>
        </w:rPr>
      </w:pPr>
      <w:r>
        <w:rPr>
          <w:rFonts w:hint="eastAsia" w:ascii="宋体" w:hAnsi="宋体" w:cs="Arial"/>
          <w:color w:val="auto"/>
          <w:kern w:val="0"/>
          <w:szCs w:val="21"/>
        </w:rPr>
        <w:t>本项目拒收到付邮件，通过邮寄方式送达的，请合理安排邮寄时间，因邮寄原因未能在规定时间内送达的后果由供应商自行承担。</w:t>
      </w:r>
    </w:p>
    <w:p w14:paraId="66B99AE3">
      <w:pPr>
        <w:bidi w:val="0"/>
        <w:rPr>
          <w:color w:val="auto"/>
        </w:rPr>
      </w:pPr>
      <w:bookmarkStart w:id="72" w:name="_Toc80818629"/>
      <w:bookmarkStart w:id="73" w:name="_Toc18682817"/>
      <w:bookmarkStart w:id="74" w:name="_Toc239659108"/>
      <w:bookmarkStart w:id="75" w:name="_Toc346264280"/>
      <w:r>
        <w:rPr>
          <w:color w:val="auto"/>
        </w:rPr>
        <w:t>16.</w:t>
      </w:r>
      <w:r>
        <w:rPr>
          <w:rFonts w:hint="eastAsia"/>
          <w:color w:val="auto"/>
        </w:rPr>
        <w:t>响应文件</w:t>
      </w:r>
      <w:r>
        <w:rPr>
          <w:color w:val="auto"/>
        </w:rPr>
        <w:t>的修改与撤回</w:t>
      </w:r>
      <w:bookmarkEnd w:id="72"/>
      <w:bookmarkEnd w:id="73"/>
      <w:bookmarkEnd w:id="74"/>
      <w:bookmarkEnd w:id="75"/>
    </w:p>
    <w:p w14:paraId="7C99E4A7">
      <w:pPr>
        <w:spacing w:line="460" w:lineRule="exact"/>
        <w:rPr>
          <w:rFonts w:ascii="宋体" w:hAnsi="宋体" w:cs="Arial"/>
          <w:color w:val="auto"/>
          <w:kern w:val="0"/>
          <w:szCs w:val="21"/>
        </w:rPr>
      </w:pPr>
      <w:bookmarkStart w:id="76" w:name="_Toc18682818"/>
      <w:bookmarkStart w:id="77" w:name="_Toc239659109"/>
      <w:bookmarkStart w:id="78" w:name="_Toc346264281"/>
      <w:r>
        <w:rPr>
          <w:rFonts w:hint="eastAsia" w:ascii="宋体" w:hAnsi="宋体" w:cs="Arial"/>
          <w:color w:val="auto"/>
          <w:kern w:val="0"/>
          <w:szCs w:val="21"/>
        </w:rPr>
        <w:t>响应文件提交截止时间前可以补充、修改或者撤回电子响应文件。补充或者修改电子响应文件的，应当先行撤回原文件，补充、修改后重新传输提交，响应文件提交截止时间前未完成传输的，视为撤回响应文件。</w:t>
      </w:r>
    </w:p>
    <w:p w14:paraId="1C40C692">
      <w:pPr>
        <w:spacing w:line="460" w:lineRule="exact"/>
        <w:rPr>
          <w:rFonts w:ascii="宋体" w:hAnsi="宋体"/>
          <w:b/>
          <w:bCs/>
          <w:color w:val="auto"/>
          <w:szCs w:val="21"/>
        </w:rPr>
      </w:pPr>
      <w:r>
        <w:rPr>
          <w:rFonts w:ascii="宋体" w:hAnsi="宋体"/>
          <w:b/>
          <w:bCs/>
          <w:color w:val="auto"/>
          <w:szCs w:val="21"/>
        </w:rPr>
        <w:t>17.</w:t>
      </w:r>
      <w:bookmarkEnd w:id="76"/>
      <w:bookmarkEnd w:id="77"/>
      <w:bookmarkEnd w:id="78"/>
      <w:r>
        <w:rPr>
          <w:rFonts w:hint="eastAsia" w:ascii="宋体" w:hAnsi="宋体"/>
          <w:b/>
          <w:bCs/>
          <w:color w:val="auto"/>
          <w:szCs w:val="21"/>
        </w:rPr>
        <w:t xml:space="preserve"> 响应文件</w:t>
      </w:r>
      <w:r>
        <w:rPr>
          <w:rFonts w:ascii="宋体" w:hAnsi="宋体"/>
          <w:b/>
          <w:bCs/>
          <w:color w:val="auto"/>
          <w:szCs w:val="21"/>
        </w:rPr>
        <w:t>的</w:t>
      </w:r>
      <w:r>
        <w:rPr>
          <w:rFonts w:hint="eastAsia" w:ascii="宋体" w:hAnsi="宋体"/>
          <w:b/>
          <w:bCs/>
          <w:color w:val="auto"/>
          <w:szCs w:val="21"/>
        </w:rPr>
        <w:t>解密</w:t>
      </w:r>
    </w:p>
    <w:p w14:paraId="62C59C94">
      <w:pPr>
        <w:adjustRightInd w:val="0"/>
        <w:snapToGrid w:val="0"/>
        <w:spacing w:line="460" w:lineRule="exact"/>
        <w:ind w:firstLine="420" w:firstLineChars="200"/>
        <w:rPr>
          <w:rFonts w:ascii="宋体" w:hAnsi="宋体" w:cs="Courier New"/>
          <w:color w:val="auto"/>
          <w:szCs w:val="21"/>
        </w:rPr>
      </w:pPr>
      <w:r>
        <w:rPr>
          <w:rFonts w:hint="eastAsia" w:ascii="宋体" w:hAnsi="宋体" w:cs="Courier New"/>
          <w:color w:val="auto"/>
          <w:szCs w:val="21"/>
        </w:rPr>
        <w:t>17.1采购代理机构按磋商文件规定的时间、地点通过“政采云平台”组织磋商、开启响应文件，所有供应商均应当准时在线参加。供应商如不参加磋商会的，视同认可磋商结果，事后不得对采购相关人员、磋商过程和磋商结果提出异议，同时供应商因未在线参加磋商而导致响应文件无法按时解密等一切后果由供应商自己承担。本项目磋商过程实行全程录音、录像监控。</w:t>
      </w:r>
    </w:p>
    <w:p w14:paraId="03B729A0">
      <w:pPr>
        <w:adjustRightInd w:val="0"/>
        <w:snapToGrid w:val="0"/>
        <w:spacing w:line="460" w:lineRule="exact"/>
        <w:ind w:firstLine="420" w:firstLineChars="200"/>
        <w:rPr>
          <w:rFonts w:ascii="宋体" w:hAnsi="宋体" w:cs="Courier New"/>
          <w:color w:val="auto"/>
          <w:szCs w:val="21"/>
        </w:rPr>
      </w:pPr>
      <w:r>
        <w:rPr>
          <w:rFonts w:hint="eastAsia" w:ascii="宋体" w:hAnsi="宋体" w:cs="Courier New"/>
          <w:color w:val="auto"/>
          <w:szCs w:val="21"/>
        </w:rPr>
        <w:t>17.2采购代理机构工作人员向各供应商发出电子加密响应文件【开始解密】通知，由供应商按响应文件规定的时间内自行进行响应文件解密。供应商在规定的时间内无法完成已递交的“电子加密投标文件”解密的，如已按规定递交了电子备份响应文件的，将由采购组织机构按“政府采购云平台”操作规范将备份响应文件上传至“政府采购云平台”，上传成功后，“电子加密投标文件”自动失效。如未提供备份电子响应文件，将不进行再次解密程序。无法在线解密视为供应商放弃磋商。在线解密时间为 30 分钟。</w:t>
      </w:r>
    </w:p>
    <w:p w14:paraId="7BEB045A">
      <w:pPr>
        <w:adjustRightInd w:val="0"/>
        <w:snapToGrid w:val="0"/>
        <w:spacing w:line="460" w:lineRule="exact"/>
        <w:ind w:firstLine="420" w:firstLineChars="200"/>
        <w:rPr>
          <w:rFonts w:ascii="宋体" w:hAnsi="宋体" w:cs="Courier New"/>
          <w:color w:val="auto"/>
          <w:szCs w:val="21"/>
        </w:rPr>
      </w:pPr>
      <w:r>
        <w:rPr>
          <w:rFonts w:hint="eastAsia" w:ascii="宋体" w:hAnsi="宋体" w:cs="Courier New"/>
          <w:color w:val="auto"/>
          <w:szCs w:val="21"/>
        </w:rPr>
        <w:t>17.3响应</w:t>
      </w:r>
      <w:r>
        <w:rPr>
          <w:rFonts w:ascii="宋体" w:hAnsi="宋体" w:cs="Courier New"/>
          <w:color w:val="auto"/>
          <w:szCs w:val="21"/>
        </w:rPr>
        <w:t>文件解密结束，</w:t>
      </w:r>
      <w:r>
        <w:rPr>
          <w:rFonts w:hint="eastAsia" w:ascii="宋体" w:hAnsi="宋体" w:cs="Courier New"/>
          <w:color w:val="auto"/>
          <w:szCs w:val="21"/>
        </w:rPr>
        <w:t>磋商活动组织人员在线开</w:t>
      </w:r>
      <w:r>
        <w:rPr>
          <w:rFonts w:ascii="宋体" w:hAnsi="宋体" w:cs="Courier New"/>
          <w:color w:val="auto"/>
          <w:szCs w:val="21"/>
        </w:rPr>
        <w:t>启</w:t>
      </w:r>
      <w:r>
        <w:rPr>
          <w:rFonts w:hint="eastAsia" w:ascii="宋体" w:hAnsi="宋体" w:cs="Courier New"/>
          <w:color w:val="auto"/>
          <w:szCs w:val="21"/>
        </w:rPr>
        <w:t>报价文件。供应商在线制作响应文件时填写的报价金额</w:t>
      </w:r>
      <w:r>
        <w:rPr>
          <w:rFonts w:ascii="宋体" w:hAnsi="宋体" w:cs="Courier New"/>
          <w:color w:val="auto"/>
          <w:szCs w:val="21"/>
        </w:rPr>
        <w:t>与解密后“电子加密投标文件”中《</w:t>
      </w:r>
      <w:r>
        <w:rPr>
          <w:rFonts w:hint="eastAsia" w:ascii="宋体" w:hAnsi="宋体" w:cs="Courier New"/>
          <w:color w:val="auto"/>
          <w:szCs w:val="21"/>
        </w:rPr>
        <w:t>磋商函</w:t>
      </w:r>
      <w:r>
        <w:rPr>
          <w:rFonts w:ascii="宋体" w:hAnsi="宋体" w:cs="Courier New"/>
          <w:color w:val="auto"/>
          <w:szCs w:val="21"/>
        </w:rPr>
        <w:t>》填写的金额不一致的，以解密后“电子加密投标文件”中《</w:t>
      </w:r>
      <w:r>
        <w:rPr>
          <w:rFonts w:hint="eastAsia" w:ascii="宋体" w:hAnsi="宋体" w:cs="Courier New"/>
          <w:color w:val="auto"/>
          <w:szCs w:val="21"/>
        </w:rPr>
        <w:t>磋商函</w:t>
      </w:r>
      <w:r>
        <w:rPr>
          <w:rFonts w:ascii="宋体" w:hAnsi="宋体" w:cs="Courier New"/>
          <w:color w:val="auto"/>
          <w:szCs w:val="21"/>
        </w:rPr>
        <w:t>》填写的金额为准，</w:t>
      </w:r>
      <w:r>
        <w:rPr>
          <w:rFonts w:hint="eastAsia" w:ascii="宋体" w:hAnsi="宋体" w:cs="Courier New"/>
          <w:color w:val="auto"/>
          <w:szCs w:val="21"/>
        </w:rPr>
        <w:t>供应商</w:t>
      </w:r>
      <w:r>
        <w:rPr>
          <w:rFonts w:ascii="宋体" w:hAnsi="宋体" w:cs="Courier New"/>
          <w:color w:val="auto"/>
          <w:szCs w:val="21"/>
        </w:rPr>
        <w:t>拒绝接受此调整的，按无效</w:t>
      </w:r>
      <w:r>
        <w:rPr>
          <w:rFonts w:hint="eastAsia" w:ascii="宋体" w:hAnsi="宋体" w:cs="Courier New"/>
          <w:color w:val="auto"/>
          <w:szCs w:val="21"/>
        </w:rPr>
        <w:t>响应</w:t>
      </w:r>
      <w:r>
        <w:rPr>
          <w:rFonts w:ascii="宋体" w:hAnsi="宋体" w:cs="Courier New"/>
          <w:color w:val="auto"/>
          <w:szCs w:val="21"/>
        </w:rPr>
        <w:t>处理。</w:t>
      </w:r>
    </w:p>
    <w:p w14:paraId="69A4FD8C">
      <w:pPr>
        <w:adjustRightInd w:val="0"/>
        <w:snapToGrid w:val="0"/>
        <w:spacing w:line="460" w:lineRule="exact"/>
        <w:ind w:firstLine="422" w:firstLineChars="200"/>
        <w:rPr>
          <w:rFonts w:ascii="宋体" w:hAnsi="宋体" w:cs="Arial"/>
          <w:color w:val="auto"/>
          <w:kern w:val="0"/>
          <w:szCs w:val="21"/>
        </w:rPr>
      </w:pPr>
      <w:r>
        <w:rPr>
          <w:rFonts w:ascii="宋体" w:hAnsi="宋体" w:cs="Courier New"/>
          <w:b/>
          <w:bCs/>
          <w:color w:val="auto"/>
          <w:szCs w:val="21"/>
        </w:rPr>
        <w:t>特别说明：如遇“政采云平台”电子化开标或评审程序调整的，按调整后程序执行。</w:t>
      </w:r>
    </w:p>
    <w:p w14:paraId="1C87EFF2">
      <w:pPr>
        <w:widowControl/>
        <w:spacing w:line="460" w:lineRule="exact"/>
        <w:ind w:firstLine="420" w:firstLineChars="200"/>
        <w:jc w:val="left"/>
        <w:rPr>
          <w:rFonts w:ascii="宋体" w:hAnsi="宋体" w:cs="Arial"/>
          <w:color w:val="auto"/>
          <w:kern w:val="0"/>
          <w:szCs w:val="21"/>
        </w:rPr>
      </w:pPr>
      <w:r>
        <w:rPr>
          <w:rFonts w:hint="eastAsia" w:ascii="宋体" w:hAnsi="宋体" w:cs="Arial"/>
          <w:color w:val="auto"/>
          <w:kern w:val="0"/>
          <w:szCs w:val="21"/>
        </w:rPr>
        <w:t>17.4在响应文件提交截止时间止提交响应文件的供应商不足 3 家时，不得开标，应当由供应商法定代表人或者委托代理人签字领回电子备份响应文件（电子备份响应文件采用邮寄方式提交的，以到付的方式寄回至原地址），除此之外采购人和采购代理机构对已提交的响应文件概不退回。</w:t>
      </w:r>
    </w:p>
    <w:p w14:paraId="2402BB87">
      <w:pPr>
        <w:bidi w:val="0"/>
        <w:rPr>
          <w:color w:val="auto"/>
        </w:rPr>
      </w:pPr>
      <w:bookmarkStart w:id="79" w:name="_Toc346264282"/>
      <w:bookmarkStart w:id="80" w:name="_Toc80818630"/>
      <w:bookmarkStart w:id="81" w:name="_Toc18682819"/>
      <w:bookmarkStart w:id="82" w:name="_Toc239659110"/>
      <w:r>
        <w:rPr>
          <w:color w:val="auto"/>
        </w:rPr>
        <w:t>18.评标内容的保密</w:t>
      </w:r>
      <w:bookmarkEnd w:id="79"/>
      <w:bookmarkEnd w:id="80"/>
      <w:bookmarkEnd w:id="81"/>
      <w:bookmarkEnd w:id="82"/>
    </w:p>
    <w:p w14:paraId="21A6CE8C">
      <w:pPr>
        <w:spacing w:line="460" w:lineRule="exact"/>
        <w:rPr>
          <w:rFonts w:ascii="宋体" w:hAnsi="宋体"/>
          <w:color w:val="auto"/>
          <w:szCs w:val="21"/>
        </w:rPr>
      </w:pPr>
      <w:r>
        <w:rPr>
          <w:rFonts w:ascii="宋体" w:hAnsi="宋体"/>
          <w:color w:val="auto"/>
          <w:szCs w:val="21"/>
        </w:rPr>
        <w:t xml:space="preserve">    18.1</w:t>
      </w:r>
      <w:r>
        <w:rPr>
          <w:rFonts w:hint="eastAsia" w:ascii="宋体" w:hAnsi="宋体"/>
          <w:color w:val="auto"/>
          <w:szCs w:val="21"/>
        </w:rPr>
        <w:t>采购人、采购代理机构应当按照政府采购法和政府采购竞争性磋商采购方式管理暂行办法的规定组织开展竞争性磋商，并采取必要措施，保证磋商在严格保密的情况下进行。任何单位和个人不得非法干预、影响磋商过程和结果。</w:t>
      </w:r>
    </w:p>
    <w:p w14:paraId="32742C09">
      <w:pPr>
        <w:spacing w:line="460" w:lineRule="exact"/>
        <w:ind w:firstLine="435"/>
        <w:rPr>
          <w:rFonts w:ascii="宋体" w:hAnsi="宋体"/>
          <w:color w:val="auto"/>
          <w:szCs w:val="21"/>
        </w:rPr>
      </w:pPr>
      <w:r>
        <w:rPr>
          <w:rFonts w:ascii="宋体" w:hAnsi="宋体"/>
          <w:color w:val="auto"/>
          <w:szCs w:val="21"/>
        </w:rPr>
        <w:t>18.2 在</w:t>
      </w:r>
      <w:r>
        <w:rPr>
          <w:rFonts w:hint="eastAsia" w:ascii="宋体" w:hAnsi="宋体"/>
          <w:color w:val="auto"/>
          <w:szCs w:val="21"/>
        </w:rPr>
        <w:t>响应文件</w:t>
      </w:r>
      <w:r>
        <w:rPr>
          <w:rFonts w:ascii="宋体" w:hAnsi="宋体"/>
          <w:color w:val="auto"/>
          <w:szCs w:val="21"/>
        </w:rPr>
        <w:t>的审查、澄清、评价和比较以及授予合同的过程中，</w:t>
      </w:r>
      <w:r>
        <w:rPr>
          <w:rFonts w:hint="eastAsia" w:ascii="宋体" w:hAnsi="宋体"/>
          <w:color w:val="auto"/>
          <w:szCs w:val="21"/>
        </w:rPr>
        <w:t>供应商</w:t>
      </w:r>
      <w:r>
        <w:rPr>
          <w:rFonts w:ascii="宋体" w:hAnsi="宋体"/>
          <w:color w:val="auto"/>
          <w:szCs w:val="21"/>
        </w:rPr>
        <w:t>对采购人和</w:t>
      </w:r>
      <w:r>
        <w:rPr>
          <w:rFonts w:hint="eastAsia" w:ascii="宋体" w:hAnsi="宋体"/>
          <w:bCs/>
          <w:color w:val="auto"/>
          <w:szCs w:val="21"/>
        </w:rPr>
        <w:t>磋商小组</w:t>
      </w:r>
      <w:r>
        <w:rPr>
          <w:rFonts w:ascii="宋体" w:hAnsi="宋体"/>
          <w:color w:val="auto"/>
          <w:szCs w:val="21"/>
        </w:rPr>
        <w:t>施加影响的任何行为，都将导致取消其磋商资格。</w:t>
      </w:r>
    </w:p>
    <w:p w14:paraId="0B478D73">
      <w:pPr>
        <w:bidi w:val="0"/>
        <w:rPr>
          <w:color w:val="auto"/>
        </w:rPr>
      </w:pPr>
      <w:bookmarkStart w:id="83" w:name="_Toc239659111"/>
      <w:bookmarkStart w:id="84" w:name="_Toc18682820"/>
      <w:bookmarkStart w:id="85" w:name="_Toc80818631"/>
      <w:bookmarkStart w:id="86" w:name="_Toc346264283"/>
      <w:r>
        <w:rPr>
          <w:color w:val="auto"/>
        </w:rPr>
        <w:t>19.</w:t>
      </w:r>
      <w:r>
        <w:rPr>
          <w:rFonts w:hint="eastAsia"/>
          <w:color w:val="auto"/>
        </w:rPr>
        <w:t>响应文件</w:t>
      </w:r>
      <w:r>
        <w:rPr>
          <w:color w:val="auto"/>
        </w:rPr>
        <w:t>计算错误的修正</w:t>
      </w:r>
      <w:bookmarkEnd w:id="83"/>
      <w:bookmarkEnd w:id="84"/>
      <w:bookmarkEnd w:id="85"/>
      <w:bookmarkEnd w:id="86"/>
    </w:p>
    <w:p w14:paraId="52565472">
      <w:pPr>
        <w:spacing w:line="460" w:lineRule="exact"/>
        <w:ind w:left="-15" w:leftChars="-7" w:firstLine="388" w:firstLineChars="185"/>
        <w:rPr>
          <w:rFonts w:ascii="宋体" w:hAnsi="宋体"/>
          <w:color w:val="auto"/>
          <w:szCs w:val="21"/>
        </w:rPr>
      </w:pPr>
      <w:r>
        <w:rPr>
          <w:rFonts w:ascii="宋体" w:hAnsi="宋体"/>
          <w:color w:val="auto"/>
          <w:szCs w:val="21"/>
        </w:rPr>
        <w:t>19.1</w:t>
      </w:r>
      <w:r>
        <w:rPr>
          <w:rFonts w:hint="eastAsia" w:ascii="宋体" w:hAnsi="宋体"/>
          <w:bCs/>
          <w:color w:val="auto"/>
          <w:szCs w:val="21"/>
        </w:rPr>
        <w:t>磋商小组</w:t>
      </w:r>
      <w:r>
        <w:rPr>
          <w:rFonts w:ascii="宋体" w:hAnsi="宋体"/>
          <w:color w:val="auto"/>
          <w:szCs w:val="21"/>
        </w:rPr>
        <w:t>将对确定为实质上响应磋商文件要求的</w:t>
      </w:r>
      <w:r>
        <w:rPr>
          <w:rFonts w:hint="eastAsia" w:ascii="宋体" w:hAnsi="宋体"/>
          <w:color w:val="auto"/>
          <w:szCs w:val="21"/>
        </w:rPr>
        <w:t>响应文件</w:t>
      </w:r>
      <w:r>
        <w:rPr>
          <w:rFonts w:ascii="宋体" w:hAnsi="宋体"/>
          <w:color w:val="auto"/>
          <w:szCs w:val="21"/>
        </w:rPr>
        <w:t>进行校核，看其是否有计算或表达上的错误，修正错误的原则如下：</w:t>
      </w:r>
    </w:p>
    <w:p w14:paraId="1E4833D7">
      <w:pPr>
        <w:spacing w:line="460" w:lineRule="exact"/>
        <w:ind w:left="-15" w:leftChars="-7" w:firstLine="388" w:firstLineChars="185"/>
        <w:rPr>
          <w:rFonts w:ascii="宋体" w:hAnsi="宋体"/>
          <w:color w:val="auto"/>
          <w:szCs w:val="21"/>
        </w:rPr>
      </w:pPr>
      <w:r>
        <w:rPr>
          <w:rFonts w:ascii="宋体" w:hAnsi="宋体"/>
          <w:color w:val="auto"/>
          <w:szCs w:val="21"/>
        </w:rPr>
        <w:t>19.1.1如果数字表示的金额和用文字表示的金额不一致时，应以文字表示的金额为准；</w:t>
      </w:r>
    </w:p>
    <w:p w14:paraId="7AB38614">
      <w:pPr>
        <w:spacing w:line="460" w:lineRule="exact"/>
        <w:ind w:left="-15" w:leftChars="-7" w:firstLine="388" w:firstLineChars="185"/>
        <w:rPr>
          <w:rFonts w:ascii="宋体" w:hAnsi="宋体"/>
          <w:color w:val="auto"/>
          <w:szCs w:val="21"/>
        </w:rPr>
      </w:pPr>
      <w:r>
        <w:rPr>
          <w:rFonts w:ascii="宋体" w:hAnsi="宋体"/>
          <w:color w:val="auto"/>
          <w:szCs w:val="21"/>
        </w:rPr>
        <w:t>19.1.2当单价与数量的乘积与合价不一致时，以单价为准，除非</w:t>
      </w:r>
      <w:r>
        <w:rPr>
          <w:rFonts w:hint="eastAsia" w:ascii="宋体" w:hAnsi="宋体"/>
          <w:bCs/>
          <w:color w:val="auto"/>
          <w:szCs w:val="21"/>
        </w:rPr>
        <w:t>磋商</w:t>
      </w:r>
      <w:r>
        <w:rPr>
          <w:rFonts w:hint="eastAsia" w:ascii="宋体" w:hAnsi="宋体"/>
          <w:color w:val="auto"/>
          <w:szCs w:val="21"/>
        </w:rPr>
        <w:t>小组</w:t>
      </w:r>
      <w:r>
        <w:rPr>
          <w:rFonts w:ascii="宋体" w:hAnsi="宋体"/>
          <w:color w:val="auto"/>
          <w:szCs w:val="21"/>
        </w:rPr>
        <w:t>认为单价有明显的小数点错误，此时应以标出的合价为准，并修改单价</w:t>
      </w:r>
      <w:r>
        <w:rPr>
          <w:rFonts w:hint="eastAsia" w:ascii="宋体" w:hAnsi="宋体"/>
          <w:color w:val="auto"/>
          <w:szCs w:val="21"/>
        </w:rPr>
        <w:t>；</w:t>
      </w:r>
    </w:p>
    <w:p w14:paraId="72698815">
      <w:pPr>
        <w:spacing w:line="460" w:lineRule="exact"/>
        <w:ind w:left="-15" w:leftChars="-7" w:firstLine="388" w:firstLineChars="185"/>
        <w:rPr>
          <w:rFonts w:ascii="宋体" w:hAnsi="宋体"/>
          <w:color w:val="auto"/>
          <w:szCs w:val="21"/>
        </w:rPr>
      </w:pPr>
      <w:r>
        <w:rPr>
          <w:rFonts w:hint="eastAsia" w:ascii="宋体" w:hAnsi="宋体"/>
          <w:color w:val="auto"/>
          <w:szCs w:val="21"/>
        </w:rPr>
        <w:t>19.1.3 当分项乘积累计得出的总额与标出的总额不一致时，以标出的分项乘积为准，并修改标出的总额；</w:t>
      </w:r>
    </w:p>
    <w:p w14:paraId="73687BFD">
      <w:pPr>
        <w:spacing w:line="460" w:lineRule="exact"/>
        <w:ind w:left="-15" w:leftChars="-7" w:firstLine="388" w:firstLineChars="185"/>
        <w:rPr>
          <w:rFonts w:ascii="宋体" w:hAnsi="宋体"/>
          <w:color w:val="auto"/>
          <w:szCs w:val="21"/>
        </w:rPr>
      </w:pPr>
      <w:r>
        <w:rPr>
          <w:rFonts w:ascii="宋体" w:hAnsi="宋体"/>
          <w:color w:val="auto"/>
          <w:szCs w:val="21"/>
        </w:rPr>
        <w:t>19.2 按上述修正错误的原则及方法调整或修正</w:t>
      </w:r>
      <w:r>
        <w:rPr>
          <w:rFonts w:hint="eastAsia" w:ascii="宋体" w:hAnsi="宋体"/>
          <w:color w:val="auto"/>
          <w:szCs w:val="21"/>
        </w:rPr>
        <w:t>响应文件</w:t>
      </w:r>
      <w:r>
        <w:rPr>
          <w:rFonts w:ascii="宋体" w:hAnsi="宋体"/>
          <w:color w:val="auto"/>
          <w:szCs w:val="21"/>
        </w:rPr>
        <w:t>的磋商报价，</w:t>
      </w:r>
      <w:r>
        <w:rPr>
          <w:rFonts w:hint="eastAsia" w:ascii="宋体" w:hAnsi="宋体"/>
          <w:color w:val="auto"/>
          <w:szCs w:val="21"/>
        </w:rPr>
        <w:t>在供应商确认</w:t>
      </w:r>
      <w:r>
        <w:rPr>
          <w:rFonts w:ascii="宋体" w:hAnsi="宋体"/>
          <w:color w:val="auto"/>
          <w:szCs w:val="21"/>
        </w:rPr>
        <w:t>后，调整或修正后的磋商报价对</w:t>
      </w:r>
      <w:r>
        <w:rPr>
          <w:rFonts w:hint="eastAsia" w:ascii="宋体" w:hAnsi="宋体"/>
          <w:color w:val="auto"/>
          <w:szCs w:val="21"/>
        </w:rPr>
        <w:t>供应商</w:t>
      </w:r>
      <w:r>
        <w:rPr>
          <w:rFonts w:ascii="宋体" w:hAnsi="宋体"/>
          <w:color w:val="auto"/>
          <w:szCs w:val="21"/>
        </w:rPr>
        <w:t>起约束作用。</w:t>
      </w:r>
    </w:p>
    <w:p w14:paraId="20E44068">
      <w:pPr>
        <w:spacing w:line="460" w:lineRule="exact"/>
        <w:ind w:left="-15" w:leftChars="-7" w:firstLine="390" w:firstLineChars="185"/>
        <w:rPr>
          <w:rFonts w:ascii="宋体" w:hAnsi="宋体"/>
          <w:color w:val="auto"/>
          <w:szCs w:val="21"/>
        </w:rPr>
      </w:pPr>
      <w:r>
        <w:rPr>
          <w:rFonts w:hint="eastAsia" w:ascii="宋体" w:hAnsi="宋体"/>
          <w:b/>
          <w:color w:val="auto"/>
          <w:szCs w:val="21"/>
        </w:rPr>
        <w:t>按上述修正错误的原则及方法调整或修正响应文件的磋商报价，供应商须在线同意并签字确认，调整后的磋商报价对供应商具有约束作用。如果供应商不接受修正后的报价，则其响应文件将作为无效响应处理。</w:t>
      </w:r>
    </w:p>
    <w:p w14:paraId="57042AC4">
      <w:pPr>
        <w:bidi w:val="0"/>
        <w:rPr>
          <w:color w:val="auto"/>
        </w:rPr>
      </w:pPr>
      <w:bookmarkStart w:id="87" w:name="_Toc239659112"/>
      <w:bookmarkStart w:id="88" w:name="_Toc80818632"/>
      <w:bookmarkStart w:id="89" w:name="_Toc346264284"/>
      <w:bookmarkStart w:id="90" w:name="_Toc18682821"/>
      <w:r>
        <w:rPr>
          <w:color w:val="auto"/>
        </w:rPr>
        <w:t>20.</w:t>
      </w:r>
      <w:r>
        <w:rPr>
          <w:rFonts w:hint="eastAsia"/>
          <w:color w:val="auto"/>
        </w:rPr>
        <w:t>供应商</w:t>
      </w:r>
      <w:r>
        <w:rPr>
          <w:color w:val="auto"/>
        </w:rPr>
        <w:t>资格审查</w:t>
      </w:r>
      <w:bookmarkEnd w:id="87"/>
      <w:bookmarkEnd w:id="88"/>
      <w:bookmarkEnd w:id="89"/>
      <w:bookmarkEnd w:id="90"/>
    </w:p>
    <w:p w14:paraId="3EF744C8">
      <w:pPr>
        <w:spacing w:line="460" w:lineRule="exact"/>
        <w:ind w:firstLine="457" w:firstLineChars="218"/>
        <w:rPr>
          <w:rFonts w:ascii="宋体" w:hAnsi="宋体"/>
          <w:color w:val="auto"/>
          <w:szCs w:val="21"/>
        </w:rPr>
      </w:pPr>
      <w:r>
        <w:rPr>
          <w:rFonts w:hint="eastAsia" w:ascii="宋体" w:hAnsi="宋体"/>
          <w:color w:val="auto"/>
          <w:szCs w:val="21"/>
        </w:rPr>
        <w:t>资格后审，只有通过资格审查才能进入符合性审查。所要提供的材料见本须知9.2条内容，资格审查资料有任何一项缺项或不合格者其资格审查视为不通过。</w:t>
      </w:r>
    </w:p>
    <w:p w14:paraId="1DCA0432">
      <w:pPr>
        <w:bidi w:val="0"/>
        <w:rPr>
          <w:color w:val="auto"/>
        </w:rPr>
      </w:pPr>
      <w:bookmarkStart w:id="91" w:name="_Toc120331586"/>
      <w:bookmarkStart w:id="92" w:name="_Toc18682822"/>
      <w:bookmarkStart w:id="93" w:name="_Toc346264285"/>
      <w:bookmarkStart w:id="94" w:name="_Toc239659113"/>
      <w:bookmarkStart w:id="95" w:name="_Toc174353376"/>
      <w:bookmarkStart w:id="96" w:name="_Toc80818633"/>
      <w:r>
        <w:rPr>
          <w:color w:val="auto"/>
        </w:rPr>
        <w:t>21.</w:t>
      </w:r>
      <w:r>
        <w:rPr>
          <w:rFonts w:hint="eastAsia"/>
          <w:color w:val="auto"/>
        </w:rPr>
        <w:t>响应文件</w:t>
      </w:r>
      <w:r>
        <w:rPr>
          <w:color w:val="auto"/>
        </w:rPr>
        <w:t>的</w:t>
      </w:r>
      <w:bookmarkEnd w:id="91"/>
      <w:bookmarkEnd w:id="92"/>
      <w:bookmarkEnd w:id="93"/>
      <w:bookmarkEnd w:id="94"/>
      <w:bookmarkEnd w:id="95"/>
      <w:r>
        <w:rPr>
          <w:rFonts w:hint="eastAsia"/>
          <w:color w:val="auto"/>
        </w:rPr>
        <w:t>符合性鉴定</w:t>
      </w:r>
      <w:bookmarkEnd w:id="96"/>
    </w:p>
    <w:p w14:paraId="0918244E">
      <w:pPr>
        <w:spacing w:line="460" w:lineRule="exact"/>
        <w:ind w:firstLine="420" w:firstLineChars="200"/>
        <w:rPr>
          <w:rFonts w:ascii="宋体" w:hAnsi="宋体"/>
          <w:color w:val="auto"/>
          <w:szCs w:val="21"/>
        </w:rPr>
      </w:pPr>
      <w:r>
        <w:rPr>
          <w:rFonts w:hint="eastAsia" w:ascii="宋体" w:hAnsi="宋体"/>
          <w:color w:val="auto"/>
          <w:szCs w:val="21"/>
        </w:rPr>
        <w:t>21.1 对响应文件进行符合性鉴定。响应文件应实质上响应磋商文件的要求，应与磋商文件所有条款、条件和规定，无明显差异或保留。磋商小组对实质上不响应磋商文件要求的磋商予以拒绝，但磋商小组认定属于供应商疏忽、笔误所造成的差错，应当允许其在磋商结束之前在政采云系统上进行修改或者补正并加盖单位公章。在磋商小组会发出询标函规定的回复限期内不补正或经补正后仍不符合磋商文件要求的，应认定其响应无效。供应商修改、补正响应文件后，不影响磋商小组对其响应文件所作的评价和评分结果。</w:t>
      </w:r>
    </w:p>
    <w:p w14:paraId="204B22A1">
      <w:pPr>
        <w:spacing w:line="460" w:lineRule="exact"/>
        <w:ind w:firstLine="411" w:firstLineChars="196"/>
        <w:rPr>
          <w:rFonts w:ascii="宋体" w:hAnsi="宋体"/>
          <w:color w:val="auto"/>
          <w:szCs w:val="21"/>
        </w:rPr>
      </w:pPr>
      <w:r>
        <w:rPr>
          <w:rFonts w:ascii="宋体" w:hAnsi="宋体"/>
          <w:color w:val="auto"/>
          <w:szCs w:val="21"/>
        </w:rPr>
        <w:t>21.</w:t>
      </w:r>
      <w:r>
        <w:rPr>
          <w:rFonts w:hint="eastAsia" w:ascii="宋体" w:hAnsi="宋体"/>
          <w:color w:val="auto"/>
          <w:szCs w:val="21"/>
        </w:rPr>
        <w:t>2 供应商或其响应文件有</w:t>
      </w:r>
      <w:r>
        <w:rPr>
          <w:rFonts w:ascii="宋体" w:hAnsi="宋体"/>
          <w:color w:val="auto"/>
          <w:szCs w:val="21"/>
        </w:rPr>
        <w:t>下列情况之一者</w:t>
      </w:r>
      <w:r>
        <w:rPr>
          <w:rFonts w:hint="eastAsia" w:ascii="宋体" w:hAnsi="宋体"/>
          <w:color w:val="auto"/>
          <w:szCs w:val="21"/>
        </w:rPr>
        <w:t>，其响应文件</w:t>
      </w:r>
      <w:r>
        <w:rPr>
          <w:rFonts w:ascii="宋体" w:hAnsi="宋体"/>
          <w:color w:val="auto"/>
          <w:szCs w:val="21"/>
        </w:rPr>
        <w:t>将视为无效</w:t>
      </w:r>
      <w:r>
        <w:rPr>
          <w:rFonts w:hint="eastAsia" w:ascii="宋体" w:hAnsi="宋体"/>
          <w:color w:val="auto"/>
          <w:szCs w:val="21"/>
        </w:rPr>
        <w:t>响应处理</w:t>
      </w:r>
      <w:r>
        <w:rPr>
          <w:rFonts w:ascii="宋体" w:hAnsi="宋体"/>
          <w:color w:val="auto"/>
          <w:szCs w:val="21"/>
        </w:rPr>
        <w:t>：</w:t>
      </w:r>
    </w:p>
    <w:p w14:paraId="6946908F">
      <w:pPr>
        <w:spacing w:line="460" w:lineRule="exact"/>
        <w:ind w:firstLine="411" w:firstLineChars="196"/>
        <w:rPr>
          <w:rFonts w:ascii="宋体" w:hAnsi="宋体"/>
          <w:color w:val="auto"/>
          <w:szCs w:val="21"/>
        </w:rPr>
      </w:pPr>
      <w:r>
        <w:rPr>
          <w:rFonts w:ascii="宋体" w:hAnsi="宋体"/>
          <w:color w:val="auto"/>
          <w:szCs w:val="21"/>
        </w:rPr>
        <w:t>21.2.</w:t>
      </w:r>
      <w:r>
        <w:rPr>
          <w:rFonts w:hint="eastAsia" w:ascii="宋体" w:hAnsi="宋体"/>
          <w:color w:val="auto"/>
          <w:szCs w:val="21"/>
        </w:rPr>
        <w:t>1 未按</w:t>
      </w:r>
      <w:r>
        <w:rPr>
          <w:rFonts w:ascii="宋体" w:hAnsi="宋体"/>
          <w:color w:val="auto"/>
          <w:szCs w:val="21"/>
        </w:rPr>
        <w:t>本须知第9条规定的</w:t>
      </w:r>
      <w:r>
        <w:rPr>
          <w:rFonts w:hint="eastAsia" w:ascii="宋体" w:hAnsi="宋体"/>
          <w:color w:val="auto"/>
          <w:szCs w:val="21"/>
        </w:rPr>
        <w:t>响应文件必须提供的</w:t>
      </w:r>
      <w:r>
        <w:rPr>
          <w:rFonts w:ascii="宋体" w:hAnsi="宋体"/>
          <w:color w:val="auto"/>
          <w:szCs w:val="21"/>
        </w:rPr>
        <w:t>内容</w:t>
      </w:r>
      <w:r>
        <w:rPr>
          <w:rFonts w:hint="eastAsia" w:ascii="宋体" w:hAnsi="宋体"/>
          <w:color w:val="auto"/>
          <w:szCs w:val="21"/>
        </w:rPr>
        <w:t>组成，或</w:t>
      </w:r>
      <w:r>
        <w:rPr>
          <w:rFonts w:ascii="宋体" w:hAnsi="宋体"/>
          <w:color w:val="auto"/>
          <w:szCs w:val="21"/>
        </w:rPr>
        <w:t>未按本须知第13</w:t>
      </w:r>
      <w:r>
        <w:rPr>
          <w:rFonts w:hint="eastAsia" w:ascii="宋体" w:hAnsi="宋体"/>
          <w:color w:val="auto"/>
          <w:szCs w:val="21"/>
        </w:rPr>
        <w:t>条</w:t>
      </w:r>
      <w:r>
        <w:rPr>
          <w:rFonts w:ascii="宋体" w:hAnsi="宋体"/>
          <w:color w:val="auto"/>
          <w:szCs w:val="21"/>
        </w:rPr>
        <w:t>规定加盖</w:t>
      </w:r>
      <w:r>
        <w:rPr>
          <w:rFonts w:hint="eastAsia" w:ascii="宋体" w:hAnsi="宋体"/>
          <w:color w:val="auto"/>
          <w:szCs w:val="21"/>
        </w:rPr>
        <w:t>供应商单位公</w:t>
      </w:r>
      <w:r>
        <w:rPr>
          <w:rFonts w:ascii="宋体" w:hAnsi="宋体"/>
          <w:color w:val="auto"/>
          <w:szCs w:val="21"/>
        </w:rPr>
        <w:t>章</w:t>
      </w:r>
      <w:r>
        <w:rPr>
          <w:rFonts w:hint="eastAsia" w:ascii="宋体" w:hAnsi="宋体"/>
          <w:color w:val="auto"/>
          <w:szCs w:val="21"/>
        </w:rPr>
        <w:t>、</w:t>
      </w:r>
      <w:r>
        <w:rPr>
          <w:rFonts w:ascii="宋体" w:hAnsi="宋体"/>
          <w:color w:val="auto"/>
          <w:szCs w:val="21"/>
        </w:rPr>
        <w:t>未经法定代表人或其委托代理人签字的</w:t>
      </w:r>
      <w:r>
        <w:rPr>
          <w:rFonts w:hint="eastAsia" w:ascii="宋体" w:hAnsi="宋体"/>
          <w:color w:val="auto"/>
          <w:szCs w:val="21"/>
        </w:rPr>
        <w:t>；</w:t>
      </w:r>
    </w:p>
    <w:p w14:paraId="69924C48">
      <w:pPr>
        <w:spacing w:line="460" w:lineRule="exact"/>
        <w:ind w:firstLine="411" w:firstLineChars="196"/>
        <w:rPr>
          <w:rFonts w:ascii="宋体" w:hAnsi="宋体"/>
          <w:color w:val="auto"/>
          <w:szCs w:val="21"/>
        </w:rPr>
      </w:pPr>
      <w:r>
        <w:rPr>
          <w:rFonts w:hint="eastAsia" w:ascii="宋体" w:hAnsi="宋体"/>
          <w:color w:val="auto"/>
          <w:szCs w:val="21"/>
        </w:rPr>
        <w:t xml:space="preserve">21.2.2 </w:t>
      </w:r>
      <w:r>
        <w:rPr>
          <w:rFonts w:ascii="宋体" w:hAnsi="宋体"/>
          <w:color w:val="auto"/>
          <w:szCs w:val="21"/>
        </w:rPr>
        <w:t>由</w:t>
      </w:r>
      <w:r>
        <w:rPr>
          <w:rFonts w:hint="eastAsia" w:ascii="宋体" w:hAnsi="宋体"/>
          <w:color w:val="auto"/>
          <w:szCs w:val="21"/>
        </w:rPr>
        <w:t>授权</w:t>
      </w:r>
      <w:r>
        <w:rPr>
          <w:rFonts w:ascii="宋体" w:hAnsi="宋体"/>
          <w:color w:val="auto"/>
          <w:szCs w:val="21"/>
        </w:rPr>
        <w:t>委托代理人签字，但未随</w:t>
      </w:r>
      <w:r>
        <w:rPr>
          <w:rFonts w:hint="eastAsia" w:ascii="宋体" w:hAnsi="宋体"/>
          <w:color w:val="auto"/>
          <w:szCs w:val="21"/>
        </w:rPr>
        <w:t>响应文件</w:t>
      </w:r>
      <w:r>
        <w:rPr>
          <w:rFonts w:ascii="宋体" w:hAnsi="宋体"/>
          <w:color w:val="auto"/>
          <w:szCs w:val="21"/>
        </w:rPr>
        <w:t>一起提交有效的“授权委托书”原件的</w:t>
      </w:r>
      <w:r>
        <w:rPr>
          <w:rFonts w:hint="eastAsia" w:ascii="宋体" w:hAnsi="宋体"/>
          <w:color w:val="auto"/>
          <w:szCs w:val="21"/>
        </w:rPr>
        <w:t>，或者出具的身份证明与授权委托书中的信息不符</w:t>
      </w:r>
      <w:r>
        <w:rPr>
          <w:rFonts w:ascii="宋体" w:hAnsi="宋体"/>
          <w:color w:val="auto"/>
          <w:szCs w:val="21"/>
        </w:rPr>
        <w:t>；</w:t>
      </w:r>
    </w:p>
    <w:p w14:paraId="18F32D27">
      <w:pPr>
        <w:spacing w:line="460" w:lineRule="exact"/>
        <w:rPr>
          <w:rFonts w:ascii="宋体" w:hAnsi="宋体"/>
          <w:color w:val="auto"/>
          <w:szCs w:val="21"/>
        </w:rPr>
      </w:pPr>
      <w:r>
        <w:rPr>
          <w:rFonts w:hint="eastAsia" w:ascii="宋体" w:hAnsi="宋体"/>
          <w:color w:val="auto"/>
          <w:szCs w:val="21"/>
        </w:rPr>
        <w:t xml:space="preserve">  21.2.3响应文件的实质性内容未使用中文表述、使用计量单位不符合磋商文件要求；或未采用人民币报价或者未按照磋商文件标明的币种报价。</w:t>
      </w:r>
    </w:p>
    <w:p w14:paraId="0B5422D3">
      <w:pPr>
        <w:spacing w:line="460" w:lineRule="exact"/>
        <w:ind w:firstLine="420" w:firstLineChars="200"/>
        <w:rPr>
          <w:rFonts w:ascii="宋体" w:hAnsi="宋体"/>
          <w:color w:val="auto"/>
          <w:szCs w:val="21"/>
        </w:rPr>
      </w:pPr>
      <w:r>
        <w:rPr>
          <w:rFonts w:hint="eastAsia" w:ascii="宋体" w:hAnsi="宋体"/>
          <w:color w:val="auto"/>
          <w:szCs w:val="21"/>
        </w:rPr>
        <w:t>21.2.4供应商磋商报价高于本工程的采购上限控制价的；或者被磋商小组视为“低于成本”或者“明显不合理并有可能影响服务质量或不能诚信履约”的；</w:t>
      </w:r>
    </w:p>
    <w:p w14:paraId="7EA764A8">
      <w:pPr>
        <w:spacing w:line="460" w:lineRule="exact"/>
        <w:ind w:firstLine="420" w:firstLineChars="200"/>
        <w:rPr>
          <w:rFonts w:ascii="宋体" w:hAnsi="宋体"/>
          <w:color w:val="auto"/>
          <w:szCs w:val="21"/>
        </w:rPr>
      </w:pPr>
      <w:r>
        <w:rPr>
          <w:rFonts w:hint="eastAsia" w:ascii="宋体" w:hAnsi="宋体"/>
          <w:color w:val="auto"/>
          <w:szCs w:val="21"/>
        </w:rPr>
        <w:t>21.2.5供应商未按照采购人提供的工程量清单格式编制，或修改了工程清单中的细目号、细目名称、单位、数量的；</w:t>
      </w:r>
    </w:p>
    <w:p w14:paraId="7BECCF7C">
      <w:pPr>
        <w:spacing w:line="460" w:lineRule="exact"/>
        <w:ind w:firstLine="420" w:firstLineChars="200"/>
        <w:rPr>
          <w:rFonts w:ascii="宋体" w:hAnsi="宋体"/>
          <w:color w:val="auto"/>
          <w:szCs w:val="21"/>
        </w:rPr>
      </w:pPr>
      <w:r>
        <w:rPr>
          <w:rFonts w:hint="eastAsia" w:ascii="宋体" w:hAnsi="宋体"/>
          <w:color w:val="auto"/>
          <w:szCs w:val="21"/>
        </w:rPr>
        <w:t>21.2.6修正后的报价，供应商不确认的；</w:t>
      </w:r>
    </w:p>
    <w:p w14:paraId="5B1DCCE6">
      <w:pPr>
        <w:spacing w:line="460" w:lineRule="exact"/>
        <w:ind w:firstLine="436"/>
        <w:rPr>
          <w:rFonts w:ascii="宋体" w:hAnsi="宋体"/>
          <w:color w:val="auto"/>
          <w:szCs w:val="21"/>
        </w:rPr>
      </w:pPr>
      <w:r>
        <w:rPr>
          <w:rFonts w:ascii="宋体" w:hAnsi="宋体"/>
          <w:color w:val="auto"/>
          <w:szCs w:val="21"/>
        </w:rPr>
        <w:t>21.2.</w:t>
      </w:r>
      <w:r>
        <w:rPr>
          <w:rFonts w:hint="eastAsia" w:ascii="宋体" w:hAnsi="宋体"/>
          <w:color w:val="auto"/>
          <w:szCs w:val="21"/>
        </w:rPr>
        <w:t>7响应文件</w:t>
      </w:r>
      <w:r>
        <w:rPr>
          <w:rFonts w:ascii="宋体" w:hAnsi="宋体"/>
          <w:color w:val="auto"/>
          <w:szCs w:val="21"/>
        </w:rPr>
        <w:t>内容</w:t>
      </w:r>
      <w:r>
        <w:rPr>
          <w:rFonts w:hint="eastAsia" w:ascii="宋体" w:hAnsi="宋体"/>
          <w:color w:val="auto"/>
          <w:szCs w:val="21"/>
        </w:rPr>
        <w:t>虚假的，或</w:t>
      </w:r>
      <w:r>
        <w:rPr>
          <w:rFonts w:ascii="宋体" w:hAnsi="宋体"/>
          <w:color w:val="auto"/>
          <w:szCs w:val="21"/>
        </w:rPr>
        <w:t>关键内容字迹模糊、</w:t>
      </w:r>
      <w:r>
        <w:rPr>
          <w:rFonts w:hint="eastAsia" w:ascii="宋体" w:hAnsi="宋体"/>
          <w:color w:val="auto"/>
          <w:szCs w:val="21"/>
        </w:rPr>
        <w:t>辨认</w:t>
      </w:r>
      <w:r>
        <w:rPr>
          <w:rFonts w:ascii="宋体" w:hAnsi="宋体"/>
          <w:color w:val="auto"/>
          <w:szCs w:val="21"/>
        </w:rPr>
        <w:t>不清</w:t>
      </w:r>
      <w:r>
        <w:rPr>
          <w:rFonts w:hint="eastAsia" w:ascii="宋体" w:hAnsi="宋体"/>
          <w:color w:val="auto"/>
          <w:szCs w:val="21"/>
        </w:rPr>
        <w:t>的</w:t>
      </w:r>
      <w:r>
        <w:rPr>
          <w:rFonts w:ascii="宋体" w:hAnsi="宋体"/>
          <w:color w:val="auto"/>
          <w:szCs w:val="21"/>
        </w:rPr>
        <w:t>；</w:t>
      </w:r>
    </w:p>
    <w:p w14:paraId="38C4C107">
      <w:pPr>
        <w:spacing w:line="460" w:lineRule="exact"/>
        <w:ind w:firstLine="420" w:firstLineChars="200"/>
        <w:rPr>
          <w:rFonts w:ascii="宋体" w:hAnsi="宋体"/>
          <w:color w:val="auto"/>
          <w:szCs w:val="21"/>
        </w:rPr>
      </w:pPr>
      <w:r>
        <w:rPr>
          <w:rFonts w:ascii="宋体" w:hAnsi="宋体"/>
          <w:color w:val="auto"/>
          <w:szCs w:val="21"/>
        </w:rPr>
        <w:t>21.2.</w:t>
      </w:r>
      <w:r>
        <w:rPr>
          <w:rFonts w:hint="eastAsia" w:ascii="宋体" w:hAnsi="宋体"/>
          <w:color w:val="auto"/>
          <w:szCs w:val="21"/>
        </w:rPr>
        <w:t>8响应文件</w:t>
      </w:r>
      <w:r>
        <w:rPr>
          <w:rFonts w:ascii="宋体" w:hAnsi="宋体"/>
          <w:color w:val="auto"/>
          <w:szCs w:val="21"/>
        </w:rPr>
        <w:t>实质上没有响应磋商文件的</w:t>
      </w:r>
      <w:r>
        <w:rPr>
          <w:rFonts w:hint="eastAsia" w:ascii="宋体" w:hAnsi="宋体"/>
          <w:color w:val="auto"/>
          <w:szCs w:val="21"/>
        </w:rPr>
        <w:t>其它</w:t>
      </w:r>
      <w:r>
        <w:rPr>
          <w:rFonts w:ascii="宋体" w:hAnsi="宋体"/>
          <w:color w:val="auto"/>
          <w:szCs w:val="21"/>
        </w:rPr>
        <w:t>要求</w:t>
      </w:r>
      <w:r>
        <w:rPr>
          <w:rFonts w:hint="eastAsia" w:ascii="宋体" w:hAnsi="宋体"/>
          <w:color w:val="auto"/>
          <w:szCs w:val="21"/>
        </w:rPr>
        <w:t>的</w:t>
      </w:r>
      <w:r>
        <w:rPr>
          <w:rFonts w:ascii="宋体" w:hAnsi="宋体"/>
          <w:color w:val="auto"/>
          <w:szCs w:val="21"/>
        </w:rPr>
        <w:t>；</w:t>
      </w:r>
    </w:p>
    <w:p w14:paraId="7BDAA0CE">
      <w:pPr>
        <w:spacing w:line="460" w:lineRule="exact"/>
        <w:ind w:firstLine="420" w:firstLineChars="200"/>
        <w:rPr>
          <w:rFonts w:ascii="宋体" w:hAnsi="宋体"/>
          <w:color w:val="auto"/>
          <w:szCs w:val="21"/>
        </w:rPr>
      </w:pPr>
      <w:r>
        <w:rPr>
          <w:rFonts w:hint="eastAsia" w:ascii="宋体" w:hAnsi="宋体"/>
          <w:color w:val="auto"/>
          <w:szCs w:val="21"/>
        </w:rPr>
        <w:t>21.2.9供应商采用总价优惠、总价百分比优惠或以报价调整函的方式进行磋商报价的；</w:t>
      </w:r>
    </w:p>
    <w:p w14:paraId="722155A5">
      <w:pPr>
        <w:spacing w:line="460" w:lineRule="exact"/>
        <w:ind w:firstLine="420"/>
        <w:rPr>
          <w:rFonts w:ascii="宋体" w:hAnsi="宋体"/>
          <w:color w:val="auto"/>
          <w:szCs w:val="21"/>
        </w:rPr>
      </w:pPr>
      <w:r>
        <w:rPr>
          <w:rFonts w:hint="eastAsia" w:ascii="宋体" w:hAnsi="宋体"/>
          <w:color w:val="auto"/>
          <w:szCs w:val="21"/>
        </w:rPr>
        <w:t>21.2.10供应商不具备独立法人资格或作为独立法人资格但就本工程提交一个以上的响应文件的；</w:t>
      </w:r>
    </w:p>
    <w:p w14:paraId="5A7E1C4B">
      <w:pPr>
        <w:adjustRightInd w:val="0"/>
        <w:snapToGrid w:val="0"/>
        <w:spacing w:line="460" w:lineRule="exact"/>
        <w:ind w:firstLine="411" w:firstLineChars="196"/>
        <w:rPr>
          <w:rFonts w:ascii="宋体" w:hAnsi="宋体"/>
          <w:color w:val="auto"/>
          <w:szCs w:val="21"/>
        </w:rPr>
      </w:pPr>
      <w:r>
        <w:rPr>
          <w:rFonts w:hint="eastAsia" w:ascii="宋体" w:hAnsi="宋体"/>
          <w:color w:val="auto"/>
          <w:szCs w:val="21"/>
        </w:rPr>
        <w:t>21.2.11有下列情形之一的视为供应商相互串通磋商，响应文件将被视为无效:</w:t>
      </w:r>
    </w:p>
    <w:p w14:paraId="401E2759">
      <w:pPr>
        <w:adjustRightInd w:val="0"/>
        <w:snapToGrid w:val="0"/>
        <w:spacing w:line="460" w:lineRule="exact"/>
        <w:ind w:firstLine="411" w:firstLineChars="196"/>
        <w:rPr>
          <w:rFonts w:ascii="宋体" w:hAnsi="宋体"/>
          <w:color w:val="auto"/>
          <w:szCs w:val="21"/>
        </w:rPr>
      </w:pPr>
      <w:r>
        <w:rPr>
          <w:rFonts w:hint="eastAsia" w:ascii="宋体" w:hAnsi="宋体"/>
          <w:color w:val="auto"/>
          <w:szCs w:val="21"/>
        </w:rPr>
        <w:t>（1）不同供应商的响应文件由同一单位或者个人编制；或不同供应商编制文件的IP地址一致的；</w:t>
      </w:r>
    </w:p>
    <w:p w14:paraId="017E3273">
      <w:pPr>
        <w:adjustRightInd w:val="0"/>
        <w:snapToGrid w:val="0"/>
        <w:spacing w:line="460" w:lineRule="exact"/>
        <w:ind w:firstLine="411" w:firstLineChars="196"/>
        <w:rPr>
          <w:rFonts w:ascii="宋体" w:hAnsi="宋体"/>
          <w:color w:val="auto"/>
          <w:szCs w:val="21"/>
        </w:rPr>
      </w:pPr>
      <w:r>
        <w:rPr>
          <w:rFonts w:hint="eastAsia" w:ascii="宋体" w:hAnsi="宋体"/>
          <w:color w:val="auto"/>
          <w:szCs w:val="21"/>
        </w:rPr>
        <w:t>（2）不同供应商委托同一单位或者个人办理磋商事宜；</w:t>
      </w:r>
    </w:p>
    <w:p w14:paraId="0BFDD96B">
      <w:pPr>
        <w:adjustRightInd w:val="0"/>
        <w:snapToGrid w:val="0"/>
        <w:spacing w:line="460" w:lineRule="exact"/>
        <w:ind w:firstLine="411" w:firstLineChars="196"/>
        <w:rPr>
          <w:rFonts w:ascii="宋体" w:hAnsi="宋体"/>
          <w:color w:val="auto"/>
          <w:szCs w:val="21"/>
        </w:rPr>
      </w:pPr>
      <w:r>
        <w:rPr>
          <w:rFonts w:hint="eastAsia" w:ascii="宋体" w:hAnsi="宋体"/>
          <w:color w:val="auto"/>
          <w:szCs w:val="21"/>
        </w:rPr>
        <w:t>（3）不同供应商的响应文件载明的项目管理成员或者联系人员为同一人；</w:t>
      </w:r>
    </w:p>
    <w:p w14:paraId="28446EC9">
      <w:pPr>
        <w:adjustRightInd w:val="0"/>
        <w:snapToGrid w:val="0"/>
        <w:spacing w:line="460" w:lineRule="exact"/>
        <w:ind w:firstLine="411" w:firstLineChars="196"/>
        <w:rPr>
          <w:rFonts w:ascii="宋体" w:hAnsi="宋体"/>
          <w:color w:val="auto"/>
          <w:szCs w:val="21"/>
        </w:rPr>
      </w:pPr>
      <w:r>
        <w:rPr>
          <w:rFonts w:hint="eastAsia" w:ascii="宋体" w:hAnsi="宋体"/>
          <w:color w:val="auto"/>
          <w:szCs w:val="21"/>
        </w:rPr>
        <w:t>（4）不同供应商的响应文件异常一致或磋商报价呈规律性差异；</w:t>
      </w:r>
    </w:p>
    <w:p w14:paraId="6085A26F">
      <w:pPr>
        <w:adjustRightInd w:val="0"/>
        <w:snapToGrid w:val="0"/>
        <w:spacing w:line="460" w:lineRule="exact"/>
        <w:ind w:firstLine="411" w:firstLineChars="196"/>
        <w:rPr>
          <w:rFonts w:ascii="宋体" w:hAnsi="宋体"/>
          <w:color w:val="auto"/>
          <w:szCs w:val="21"/>
        </w:rPr>
      </w:pPr>
      <w:r>
        <w:rPr>
          <w:rFonts w:hint="eastAsia" w:ascii="宋体" w:hAnsi="宋体"/>
          <w:color w:val="auto"/>
          <w:szCs w:val="21"/>
        </w:rPr>
        <w:t>（5）不同供应商的响应文件资料相互混装；</w:t>
      </w:r>
    </w:p>
    <w:p w14:paraId="6A355713">
      <w:pPr>
        <w:adjustRightInd w:val="0"/>
        <w:snapToGrid w:val="0"/>
        <w:spacing w:line="460" w:lineRule="exact"/>
        <w:ind w:firstLine="411" w:firstLineChars="196"/>
        <w:rPr>
          <w:rFonts w:ascii="宋体" w:hAnsi="宋体"/>
          <w:color w:val="auto"/>
          <w:szCs w:val="21"/>
        </w:rPr>
      </w:pPr>
      <w:r>
        <w:rPr>
          <w:rFonts w:hint="eastAsia" w:ascii="宋体" w:hAnsi="宋体"/>
          <w:color w:val="auto"/>
          <w:szCs w:val="21"/>
        </w:rPr>
        <w:t>（6）不同供应商的磋商保证金从同一个单位或者个人账户转出。</w:t>
      </w:r>
    </w:p>
    <w:p w14:paraId="5C3ED82F">
      <w:pPr>
        <w:adjustRightInd w:val="0"/>
        <w:snapToGrid w:val="0"/>
        <w:spacing w:line="460" w:lineRule="exact"/>
        <w:ind w:firstLine="411" w:firstLineChars="196"/>
        <w:rPr>
          <w:rFonts w:ascii="宋体" w:hAnsi="宋体"/>
          <w:color w:val="auto"/>
          <w:szCs w:val="21"/>
        </w:rPr>
      </w:pPr>
      <w:r>
        <w:rPr>
          <w:rFonts w:hint="eastAsia" w:ascii="宋体" w:hAnsi="宋体"/>
          <w:color w:val="auto"/>
          <w:szCs w:val="21"/>
        </w:rPr>
        <w:t>21.2.12单位负责人为同一人或者存在直接控股、管理关系的不同供应商，参加同一合同项下的政府采购活动；</w:t>
      </w:r>
    </w:p>
    <w:p w14:paraId="18574D94">
      <w:pPr>
        <w:adjustRightInd w:val="0"/>
        <w:snapToGrid w:val="0"/>
        <w:spacing w:line="460" w:lineRule="exact"/>
        <w:ind w:firstLine="413" w:firstLineChars="196"/>
        <w:rPr>
          <w:rFonts w:ascii="宋体" w:hAnsi="宋体"/>
          <w:b/>
          <w:color w:val="auto"/>
          <w:szCs w:val="21"/>
        </w:rPr>
      </w:pPr>
      <w:r>
        <w:rPr>
          <w:rFonts w:hint="eastAsia" w:ascii="宋体" w:hAnsi="宋体"/>
          <w:b/>
          <w:color w:val="auto"/>
          <w:szCs w:val="21"/>
        </w:rPr>
        <w:t>21.2.13其他响应无效的情形：</w:t>
      </w:r>
    </w:p>
    <w:p w14:paraId="2B34D1EA">
      <w:pPr>
        <w:adjustRightInd w:val="0"/>
        <w:snapToGrid w:val="0"/>
        <w:spacing w:line="460" w:lineRule="exact"/>
        <w:ind w:firstLine="413" w:firstLineChars="196"/>
        <w:rPr>
          <w:rFonts w:ascii="宋体" w:hAnsi="宋体"/>
          <w:b/>
          <w:color w:val="auto"/>
          <w:szCs w:val="21"/>
        </w:rPr>
      </w:pPr>
      <w:r>
        <w:rPr>
          <w:rFonts w:hint="eastAsia" w:ascii="宋体" w:hAnsi="宋体"/>
          <w:b/>
          <w:color w:val="auto"/>
          <w:szCs w:val="21"/>
        </w:rPr>
        <w:t>（1）响应</w:t>
      </w:r>
      <w:r>
        <w:rPr>
          <w:rFonts w:ascii="宋体" w:hAnsi="宋体"/>
          <w:b/>
          <w:color w:val="auto"/>
          <w:szCs w:val="21"/>
        </w:rPr>
        <w:t>文件未按</w:t>
      </w:r>
      <w:r>
        <w:rPr>
          <w:rFonts w:hint="eastAsia" w:ascii="宋体" w:hAnsi="宋体"/>
          <w:b/>
          <w:color w:val="auto"/>
          <w:szCs w:val="21"/>
        </w:rPr>
        <w:t>磋商</w:t>
      </w:r>
      <w:r>
        <w:rPr>
          <w:rFonts w:ascii="宋体" w:hAnsi="宋体"/>
          <w:b/>
          <w:color w:val="auto"/>
          <w:szCs w:val="21"/>
        </w:rPr>
        <w:t>文件要求签署</w:t>
      </w:r>
      <w:r>
        <w:rPr>
          <w:rFonts w:hint="eastAsia" w:ascii="宋体" w:hAnsi="宋体"/>
          <w:b/>
          <w:color w:val="auto"/>
          <w:szCs w:val="21"/>
        </w:rPr>
        <w:t>或</w:t>
      </w:r>
      <w:r>
        <w:rPr>
          <w:rFonts w:ascii="宋体" w:hAnsi="宋体"/>
          <w:b/>
          <w:color w:val="auto"/>
          <w:szCs w:val="21"/>
        </w:rPr>
        <w:t>CA电子签章的；</w:t>
      </w:r>
    </w:p>
    <w:p w14:paraId="468CE293">
      <w:pPr>
        <w:adjustRightInd w:val="0"/>
        <w:snapToGrid w:val="0"/>
        <w:spacing w:line="460" w:lineRule="exact"/>
        <w:ind w:firstLine="413" w:firstLineChars="196"/>
        <w:rPr>
          <w:rFonts w:ascii="宋体" w:hAnsi="宋体"/>
          <w:b/>
          <w:color w:val="auto"/>
          <w:szCs w:val="21"/>
        </w:rPr>
      </w:pPr>
      <w:r>
        <w:rPr>
          <w:rFonts w:hint="eastAsia" w:ascii="宋体" w:hAnsi="宋体"/>
          <w:b/>
          <w:color w:val="auto"/>
          <w:szCs w:val="21"/>
        </w:rPr>
        <w:t>（2）供应商</w:t>
      </w:r>
      <w:r>
        <w:rPr>
          <w:rFonts w:ascii="宋体" w:hAnsi="宋体"/>
          <w:b/>
          <w:color w:val="auto"/>
          <w:szCs w:val="21"/>
        </w:rPr>
        <w:t>提交两份或两份以上内容不同的</w:t>
      </w:r>
      <w:r>
        <w:rPr>
          <w:rFonts w:hint="eastAsia" w:ascii="宋体" w:hAnsi="宋体"/>
          <w:b/>
          <w:color w:val="auto"/>
          <w:szCs w:val="21"/>
        </w:rPr>
        <w:t>响应</w:t>
      </w:r>
      <w:r>
        <w:rPr>
          <w:rFonts w:ascii="宋体" w:hAnsi="宋体"/>
          <w:b/>
          <w:color w:val="auto"/>
          <w:szCs w:val="21"/>
        </w:rPr>
        <w:t>文件；</w:t>
      </w:r>
    </w:p>
    <w:p w14:paraId="4AB0AB03">
      <w:pPr>
        <w:adjustRightInd w:val="0"/>
        <w:snapToGrid w:val="0"/>
        <w:spacing w:line="460" w:lineRule="exact"/>
        <w:ind w:firstLine="413" w:firstLineChars="196"/>
        <w:rPr>
          <w:rFonts w:ascii="宋体" w:hAnsi="宋体"/>
          <w:b/>
          <w:color w:val="auto"/>
          <w:szCs w:val="21"/>
        </w:rPr>
      </w:pPr>
      <w:r>
        <w:rPr>
          <w:rFonts w:hint="eastAsia" w:ascii="宋体" w:hAnsi="宋体"/>
          <w:b/>
          <w:color w:val="auto"/>
          <w:szCs w:val="21"/>
        </w:rPr>
        <w:t>（3）供应商</w:t>
      </w:r>
      <w:r>
        <w:rPr>
          <w:rFonts w:ascii="宋体" w:hAnsi="宋体"/>
          <w:b/>
          <w:color w:val="auto"/>
          <w:szCs w:val="21"/>
        </w:rPr>
        <w:t>在线制作</w:t>
      </w:r>
      <w:r>
        <w:rPr>
          <w:rFonts w:hint="eastAsia" w:ascii="宋体" w:hAnsi="宋体"/>
          <w:b/>
          <w:color w:val="auto"/>
          <w:szCs w:val="21"/>
        </w:rPr>
        <w:t>响应</w:t>
      </w:r>
      <w:r>
        <w:rPr>
          <w:rFonts w:ascii="宋体" w:hAnsi="宋体"/>
          <w:b/>
          <w:color w:val="auto"/>
          <w:szCs w:val="21"/>
        </w:rPr>
        <w:t>文件时</w:t>
      </w:r>
      <w:r>
        <w:rPr>
          <w:rFonts w:hint="eastAsia" w:ascii="宋体" w:hAnsi="宋体"/>
          <w:b/>
          <w:color w:val="auto"/>
          <w:szCs w:val="21"/>
        </w:rPr>
        <w:t>填写的报价金额</w:t>
      </w:r>
      <w:r>
        <w:rPr>
          <w:rFonts w:ascii="宋体" w:hAnsi="宋体"/>
          <w:b/>
          <w:color w:val="auto"/>
          <w:szCs w:val="21"/>
        </w:rPr>
        <w:t>与解密后“电子加密投标文件”中《</w:t>
      </w:r>
      <w:r>
        <w:rPr>
          <w:rFonts w:hint="eastAsia" w:ascii="宋体" w:hAnsi="宋体"/>
          <w:b/>
          <w:color w:val="auto"/>
          <w:szCs w:val="21"/>
        </w:rPr>
        <w:t>磋商函</w:t>
      </w:r>
      <w:r>
        <w:rPr>
          <w:rFonts w:ascii="宋体" w:hAnsi="宋体"/>
          <w:b/>
          <w:color w:val="auto"/>
          <w:szCs w:val="21"/>
        </w:rPr>
        <w:t>》填写的金额不一致并拒绝按</w:t>
      </w:r>
      <w:r>
        <w:rPr>
          <w:rFonts w:hint="eastAsia" w:ascii="宋体" w:hAnsi="宋体"/>
          <w:b/>
          <w:color w:val="auto"/>
          <w:szCs w:val="21"/>
        </w:rPr>
        <w:t>磋商</w:t>
      </w:r>
      <w:r>
        <w:rPr>
          <w:rFonts w:ascii="宋体" w:hAnsi="宋体"/>
          <w:b/>
          <w:color w:val="auto"/>
          <w:szCs w:val="21"/>
        </w:rPr>
        <w:t>文件要求接受调整的；</w:t>
      </w:r>
    </w:p>
    <w:p w14:paraId="557AE101">
      <w:pPr>
        <w:adjustRightInd w:val="0"/>
        <w:snapToGrid w:val="0"/>
        <w:spacing w:line="460" w:lineRule="exact"/>
        <w:ind w:firstLine="413" w:firstLineChars="196"/>
        <w:rPr>
          <w:rFonts w:ascii="宋体" w:hAnsi="宋体"/>
          <w:b/>
          <w:color w:val="auto"/>
          <w:szCs w:val="21"/>
        </w:rPr>
      </w:pPr>
      <w:r>
        <w:rPr>
          <w:rFonts w:hint="eastAsia" w:ascii="宋体" w:hAnsi="宋体"/>
          <w:b/>
          <w:color w:val="auto"/>
          <w:szCs w:val="21"/>
        </w:rPr>
        <w:t>（4）</w:t>
      </w:r>
      <w:r>
        <w:rPr>
          <w:rFonts w:ascii="宋体" w:hAnsi="宋体"/>
          <w:b/>
          <w:color w:val="auto"/>
          <w:szCs w:val="21"/>
        </w:rPr>
        <w:t>法律、法规和</w:t>
      </w:r>
      <w:r>
        <w:rPr>
          <w:rFonts w:hint="eastAsia" w:ascii="宋体" w:hAnsi="宋体"/>
          <w:b/>
          <w:color w:val="auto"/>
          <w:szCs w:val="21"/>
        </w:rPr>
        <w:t>磋商</w:t>
      </w:r>
      <w:r>
        <w:rPr>
          <w:rFonts w:ascii="宋体" w:hAnsi="宋体"/>
          <w:b/>
          <w:color w:val="auto"/>
          <w:szCs w:val="21"/>
        </w:rPr>
        <w:t>文件规定的其他无效情形（或出现重大偏差）。</w:t>
      </w:r>
    </w:p>
    <w:p w14:paraId="16C898E5">
      <w:pPr>
        <w:spacing w:line="460" w:lineRule="exact"/>
        <w:ind w:firstLine="420" w:firstLineChars="200"/>
        <w:rPr>
          <w:rFonts w:ascii="宋体" w:hAnsi="宋体" w:cs="宋体"/>
          <w:color w:val="auto"/>
          <w:szCs w:val="21"/>
        </w:rPr>
      </w:pPr>
      <w:r>
        <w:rPr>
          <w:rFonts w:hint="eastAsia" w:ascii="宋体" w:hAnsi="宋体" w:cs="宋体"/>
          <w:color w:val="auto"/>
          <w:szCs w:val="21"/>
        </w:rPr>
        <w:t>21.3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7C86EE9F">
      <w:pPr>
        <w:spacing w:line="460" w:lineRule="exact"/>
        <w:ind w:firstLine="420" w:firstLineChars="200"/>
        <w:rPr>
          <w:rFonts w:ascii="宋体" w:hAnsi="宋体"/>
          <w:color w:val="auto"/>
          <w:szCs w:val="21"/>
        </w:rPr>
      </w:pPr>
      <w:r>
        <w:rPr>
          <w:rFonts w:hint="eastAsia" w:ascii="宋体" w:hAnsi="宋体" w:cs="宋体"/>
          <w:color w:val="auto"/>
          <w:szCs w:val="21"/>
        </w:rPr>
        <w:t>21.4</w:t>
      </w:r>
      <w:r>
        <w:rPr>
          <w:rFonts w:hint="eastAsia" w:ascii="宋体" w:hAnsi="宋体"/>
          <w:color w:val="auto"/>
          <w:szCs w:val="21"/>
        </w:rPr>
        <w:t>通过符合性审查的合格供应商不足3家的，不得进入磋商环节，采购人或者采购代理机构应当重新开展采购活动。</w:t>
      </w:r>
    </w:p>
    <w:p w14:paraId="2D0B91B1">
      <w:pPr>
        <w:bidi w:val="0"/>
        <w:rPr>
          <w:color w:val="auto"/>
        </w:rPr>
      </w:pPr>
      <w:bookmarkStart w:id="97" w:name="_Toc18682823"/>
      <w:bookmarkStart w:id="98" w:name="_Toc80818634"/>
      <w:bookmarkStart w:id="99" w:name="_Toc346264287"/>
      <w:bookmarkStart w:id="100" w:name="_Toc239659115"/>
      <w:r>
        <w:rPr>
          <w:rFonts w:hint="eastAsia"/>
          <w:color w:val="auto"/>
        </w:rPr>
        <w:t>22.磋商与评标</w:t>
      </w:r>
      <w:bookmarkEnd w:id="97"/>
      <w:bookmarkEnd w:id="98"/>
    </w:p>
    <w:p w14:paraId="1A957363">
      <w:pPr>
        <w:spacing w:line="460" w:lineRule="exact"/>
        <w:ind w:firstLine="420" w:firstLineChars="200"/>
        <w:rPr>
          <w:rFonts w:ascii="宋体" w:hAnsi="宋体"/>
          <w:color w:val="auto"/>
          <w:szCs w:val="21"/>
        </w:rPr>
      </w:pPr>
      <w:r>
        <w:rPr>
          <w:rFonts w:hint="eastAsia" w:ascii="宋体" w:hAnsi="宋体"/>
          <w:color w:val="auto"/>
          <w:szCs w:val="21"/>
        </w:rPr>
        <w:t>22.1磋商</w:t>
      </w:r>
    </w:p>
    <w:p w14:paraId="5BEC562F">
      <w:pPr>
        <w:spacing w:line="460" w:lineRule="exact"/>
        <w:ind w:firstLine="420" w:firstLineChars="200"/>
        <w:rPr>
          <w:rFonts w:ascii="宋体" w:hAnsi="宋体"/>
          <w:color w:val="auto"/>
          <w:szCs w:val="21"/>
        </w:rPr>
      </w:pPr>
      <w:r>
        <w:rPr>
          <w:rFonts w:hint="eastAsia" w:ascii="宋体" w:hAnsi="宋体"/>
          <w:color w:val="auto"/>
          <w:szCs w:val="21"/>
        </w:rPr>
        <w:t>22.1.1截标后为与供应商磋商的时间，具体时间由采购代理机构另行通知。</w:t>
      </w:r>
    </w:p>
    <w:p w14:paraId="4ED1E905">
      <w:pPr>
        <w:spacing w:line="460" w:lineRule="exact"/>
        <w:ind w:firstLine="420" w:firstLineChars="200"/>
        <w:rPr>
          <w:rFonts w:ascii="宋体" w:hAnsi="宋体"/>
          <w:color w:val="auto"/>
          <w:szCs w:val="21"/>
        </w:rPr>
      </w:pPr>
      <w:r>
        <w:rPr>
          <w:rFonts w:hint="eastAsia" w:ascii="宋体" w:hAnsi="宋体"/>
          <w:color w:val="auto"/>
          <w:szCs w:val="21"/>
        </w:rPr>
        <w:t>22.1.2</w:t>
      </w:r>
      <w:r>
        <w:rPr>
          <w:rFonts w:ascii="宋体" w:hAnsi="宋体"/>
          <w:color w:val="auto"/>
          <w:szCs w:val="21"/>
        </w:rPr>
        <w:t xml:space="preserve"> 磋商小组共3人以上单数依法组成，其中评审专家人数不得少于磋商小组成员总数的2/3</w:t>
      </w:r>
      <w:r>
        <w:rPr>
          <w:rFonts w:hint="eastAsia" w:ascii="宋体" w:hAnsi="宋体"/>
          <w:color w:val="auto"/>
          <w:szCs w:val="21"/>
        </w:rPr>
        <w:t>。在整个磋商过程中，磋商小组将负责对全部响应文件进行审查、磋商及评</w:t>
      </w:r>
      <w:r>
        <w:rPr>
          <w:rFonts w:ascii="宋体" w:hAnsi="宋体"/>
          <w:color w:val="auto"/>
          <w:szCs w:val="21"/>
        </w:rPr>
        <w:t>审</w:t>
      </w:r>
      <w:r>
        <w:rPr>
          <w:rFonts w:hint="eastAsia" w:ascii="宋体" w:hAnsi="宋体"/>
          <w:color w:val="auto"/>
          <w:szCs w:val="21"/>
        </w:rPr>
        <w:t>工作。</w:t>
      </w:r>
    </w:p>
    <w:p w14:paraId="5C17C477">
      <w:pPr>
        <w:spacing w:line="460" w:lineRule="exact"/>
        <w:ind w:firstLine="420" w:firstLineChars="200"/>
        <w:rPr>
          <w:rFonts w:ascii="宋体" w:hAnsi="宋体"/>
          <w:color w:val="auto"/>
          <w:szCs w:val="21"/>
        </w:rPr>
      </w:pPr>
      <w:r>
        <w:rPr>
          <w:rFonts w:hint="eastAsia" w:ascii="宋体" w:hAnsi="宋体"/>
          <w:color w:val="auto"/>
          <w:szCs w:val="21"/>
        </w:rPr>
        <w:t>22.1.3采购代理机构将在本须知规定组织磋商小组与各供应商分别进行磋商。供应商可由1～3人组成参谈组，磋商中供应商成员之间意见不一致时，以供应商的法定代表人（或其委托代理人）的意见为准。</w:t>
      </w:r>
    </w:p>
    <w:p w14:paraId="56B64F45">
      <w:pPr>
        <w:spacing w:line="460" w:lineRule="exact"/>
        <w:ind w:firstLine="420" w:firstLineChars="200"/>
        <w:rPr>
          <w:rFonts w:ascii="宋体" w:hAnsi="宋体"/>
          <w:color w:val="auto"/>
          <w:szCs w:val="21"/>
        </w:rPr>
      </w:pPr>
      <w:r>
        <w:rPr>
          <w:rFonts w:hint="eastAsia" w:ascii="宋体" w:hAnsi="宋体"/>
          <w:color w:val="auto"/>
          <w:szCs w:val="21"/>
        </w:rPr>
        <w:t>22.1.4</w:t>
      </w:r>
      <w:r>
        <w:rPr>
          <w:rFonts w:ascii="宋体" w:hAnsi="宋体"/>
          <w:color w:val="auto"/>
          <w:szCs w:val="21"/>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0AD952D7">
      <w:pPr>
        <w:spacing w:line="460" w:lineRule="exact"/>
        <w:ind w:firstLine="420" w:firstLineChars="200"/>
        <w:rPr>
          <w:rFonts w:ascii="宋体" w:hAnsi="宋体"/>
          <w:color w:val="auto"/>
          <w:szCs w:val="21"/>
        </w:rPr>
      </w:pPr>
      <w:r>
        <w:rPr>
          <w:rFonts w:hint="eastAsia" w:ascii="宋体" w:hAnsi="宋体"/>
          <w:color w:val="auto"/>
          <w:szCs w:val="21"/>
        </w:rPr>
        <w:t>22.1.5由</w:t>
      </w:r>
      <w:r>
        <w:rPr>
          <w:rFonts w:ascii="宋体" w:hAnsi="宋体"/>
          <w:color w:val="auto"/>
          <w:szCs w:val="21"/>
        </w:rPr>
        <w:t>磋商小组</w:t>
      </w:r>
      <w:r>
        <w:rPr>
          <w:rFonts w:hint="eastAsia" w:ascii="宋体" w:hAnsi="宋体"/>
          <w:color w:val="auto"/>
          <w:szCs w:val="21"/>
        </w:rPr>
        <w:t>按照供应商须知前附表确定的顺序，集中与单一供应商分别进行磋商，给予所有参加磋商的供应商平等的磋商机会。由</w:t>
      </w:r>
      <w:r>
        <w:rPr>
          <w:rFonts w:ascii="宋体" w:hAnsi="宋体"/>
          <w:color w:val="auto"/>
          <w:szCs w:val="21"/>
        </w:rPr>
        <w:t>磋商小组</w:t>
      </w:r>
      <w:r>
        <w:rPr>
          <w:rFonts w:hint="eastAsia" w:ascii="宋体" w:hAnsi="宋体"/>
          <w:color w:val="auto"/>
          <w:szCs w:val="21"/>
        </w:rPr>
        <w:t>发起询标进行磋商，同时采购代理机构可通知各供应商，通知的联系方式以供应商在政采云平台“获取采购文件”填写联系人的手机号为准，各供应商应在线关注询标信息并保证提供的联系方保持通讯畅通，接到在线询标信息后应在20分钟内进行询标回复；磋商结束后，供应商按磋商小组要求的时间内递交磋商时要求其就商务和技术条件作出的包含补充、修改、承诺、最终报价等内容的应答文件在线提交，应答文件必须由供应商的法定代表人或委托代理人签名或盖公章，应答文件构成响应文件的一部分。</w:t>
      </w:r>
    </w:p>
    <w:p w14:paraId="063A35F0">
      <w:pPr>
        <w:spacing w:line="460" w:lineRule="exact"/>
        <w:ind w:firstLine="420" w:firstLineChars="200"/>
        <w:rPr>
          <w:rFonts w:ascii="宋体" w:hAnsi="宋体"/>
          <w:color w:val="auto"/>
          <w:szCs w:val="21"/>
        </w:rPr>
      </w:pPr>
      <w:r>
        <w:rPr>
          <w:rFonts w:ascii="宋体" w:hAnsi="宋体"/>
          <w:color w:val="auto"/>
          <w:szCs w:val="21"/>
        </w:rPr>
        <w:t>磋商小组应当要求所有实质性响应的供应商在规定时间内提交最后报价，提交最后报价的供应商不得少于3家。</w:t>
      </w:r>
    </w:p>
    <w:p w14:paraId="66EA5F40">
      <w:pPr>
        <w:pStyle w:val="24"/>
        <w:snapToGrid w:val="0"/>
        <w:spacing w:line="460" w:lineRule="exact"/>
        <w:jc w:val="left"/>
        <w:rPr>
          <w:rFonts w:hAnsi="宋体"/>
          <w:color w:val="auto"/>
          <w:szCs w:val="21"/>
        </w:rPr>
      </w:pPr>
      <w:r>
        <w:rPr>
          <w:rFonts w:hint="eastAsia" w:hAnsi="宋体"/>
          <w:color w:val="auto"/>
          <w:szCs w:val="21"/>
        </w:rPr>
        <w:t xml:space="preserve">    22.1.6作最后报价时，</w:t>
      </w:r>
      <w:r>
        <w:rPr>
          <w:rFonts w:hint="eastAsia" w:hAnsi="宋体"/>
          <w:b/>
          <w:color w:val="auto"/>
          <w:szCs w:val="21"/>
        </w:rPr>
        <w:t>供应商的最终报价文件必须以采购代理机构提供的工程量清单的格式编制或填写</w:t>
      </w:r>
      <w:r>
        <w:rPr>
          <w:rFonts w:hint="eastAsia" w:hAnsi="宋体"/>
          <w:color w:val="auto"/>
          <w:szCs w:val="21"/>
        </w:rPr>
        <w:t>，供应商不得采用总价优惠、总价百分比优惠或以报价调整函的方式进行最终磋商报价，其优惠应直接体现在各项磋商报价的单价中。供应商须提前做好相关准备并按时递交最终报价文件（因供应商原因无法在磋商时联系的或供应商未在规定的时间内提供最终报价文件，则以供应商最近一次报价的有效磋商报价为准）。</w:t>
      </w:r>
    </w:p>
    <w:p w14:paraId="7664E68E">
      <w:pPr>
        <w:pStyle w:val="24"/>
        <w:snapToGrid w:val="0"/>
        <w:spacing w:line="460" w:lineRule="exact"/>
        <w:jc w:val="left"/>
        <w:rPr>
          <w:rFonts w:hAnsi="宋体"/>
          <w:color w:val="auto"/>
          <w:szCs w:val="21"/>
        </w:rPr>
      </w:pPr>
      <w:r>
        <w:rPr>
          <w:rFonts w:hint="eastAsia" w:hAnsi="宋体"/>
          <w:color w:val="auto"/>
          <w:szCs w:val="21"/>
        </w:rPr>
        <w:t xml:space="preserve">    22.1.7</w:t>
      </w:r>
      <w:r>
        <w:rPr>
          <w:rFonts w:hAnsi="宋体"/>
          <w:color w:val="auto"/>
          <w:szCs w:val="21"/>
        </w:rPr>
        <w:t>已提交响应文件的供应商，在提交最</w:t>
      </w:r>
      <w:r>
        <w:rPr>
          <w:rFonts w:hint="eastAsia" w:hAnsi="宋体"/>
          <w:color w:val="auto"/>
          <w:szCs w:val="21"/>
        </w:rPr>
        <w:t>终</w:t>
      </w:r>
      <w:r>
        <w:rPr>
          <w:rFonts w:hAnsi="宋体"/>
          <w:color w:val="auto"/>
          <w:szCs w:val="21"/>
        </w:rPr>
        <w:t>报价之前，可以根据磋商情况退出磋商。经磋商确定最终采购需求和提交最</w:t>
      </w:r>
      <w:r>
        <w:rPr>
          <w:rFonts w:hint="eastAsia" w:hAnsi="宋体"/>
          <w:color w:val="auto"/>
          <w:szCs w:val="21"/>
        </w:rPr>
        <w:t>终</w:t>
      </w:r>
      <w:r>
        <w:rPr>
          <w:rFonts w:hAnsi="宋体"/>
          <w:color w:val="auto"/>
          <w:szCs w:val="21"/>
        </w:rPr>
        <w:t>报价的供应商后，由磋商小组采用综合评分法对提交最</w:t>
      </w:r>
      <w:r>
        <w:rPr>
          <w:rFonts w:hint="eastAsia" w:hAnsi="宋体"/>
          <w:color w:val="auto"/>
          <w:szCs w:val="21"/>
        </w:rPr>
        <w:t>终</w:t>
      </w:r>
      <w:r>
        <w:rPr>
          <w:rFonts w:hAnsi="宋体"/>
          <w:color w:val="auto"/>
          <w:szCs w:val="21"/>
        </w:rPr>
        <w:t>报价的供应商的响应文件和最</w:t>
      </w:r>
      <w:r>
        <w:rPr>
          <w:rFonts w:hint="eastAsia" w:hAnsi="宋体"/>
          <w:color w:val="auto"/>
          <w:szCs w:val="21"/>
        </w:rPr>
        <w:t>终</w:t>
      </w:r>
      <w:r>
        <w:rPr>
          <w:rFonts w:hAnsi="宋体"/>
          <w:color w:val="auto"/>
          <w:szCs w:val="21"/>
        </w:rPr>
        <w:t>报价进行综合评分。</w:t>
      </w:r>
    </w:p>
    <w:p w14:paraId="3C2D3F5F">
      <w:pPr>
        <w:spacing w:line="460" w:lineRule="exact"/>
        <w:ind w:firstLine="420" w:firstLineChars="200"/>
        <w:rPr>
          <w:rFonts w:ascii="宋体" w:hAnsi="宋体"/>
          <w:color w:val="auto"/>
          <w:szCs w:val="21"/>
        </w:rPr>
      </w:pPr>
      <w:r>
        <w:rPr>
          <w:rFonts w:hint="eastAsia" w:ascii="宋体" w:hAnsi="宋体"/>
          <w:color w:val="auto"/>
          <w:szCs w:val="21"/>
        </w:rPr>
        <w:t>22.1.8</w:t>
      </w:r>
      <w:r>
        <w:rPr>
          <w:rFonts w:ascii="宋体" w:hAnsi="宋体"/>
          <w:color w:val="auto"/>
          <w:szCs w:val="21"/>
        </w:rPr>
        <w:t>磋商</w:t>
      </w:r>
      <w:r>
        <w:rPr>
          <w:rFonts w:hint="eastAsia" w:ascii="宋体" w:hAnsi="宋体"/>
          <w:color w:val="auto"/>
          <w:szCs w:val="21"/>
        </w:rPr>
        <w:t>结束后，</w:t>
      </w:r>
      <w:r>
        <w:rPr>
          <w:rFonts w:ascii="宋体" w:hAnsi="宋体"/>
          <w:color w:val="auto"/>
          <w:szCs w:val="21"/>
        </w:rPr>
        <w:t>磋商</w:t>
      </w:r>
      <w:r>
        <w:rPr>
          <w:rFonts w:hint="eastAsia" w:ascii="宋体" w:hAnsi="宋体"/>
          <w:color w:val="auto"/>
          <w:szCs w:val="21"/>
        </w:rPr>
        <w:t>小组不得再与供应商进行任何形式的商谈。</w:t>
      </w:r>
    </w:p>
    <w:p w14:paraId="152F678D">
      <w:pPr>
        <w:spacing w:line="460" w:lineRule="exact"/>
        <w:ind w:firstLine="420" w:firstLineChars="200"/>
        <w:rPr>
          <w:rFonts w:ascii="宋体" w:hAnsi="宋体"/>
          <w:color w:val="auto"/>
          <w:szCs w:val="21"/>
        </w:rPr>
      </w:pPr>
      <w:r>
        <w:rPr>
          <w:rFonts w:hint="eastAsia" w:ascii="宋体" w:hAnsi="宋体"/>
          <w:color w:val="auto"/>
          <w:szCs w:val="21"/>
        </w:rPr>
        <w:t>22.1.9</w:t>
      </w:r>
      <w:r>
        <w:rPr>
          <w:rFonts w:ascii="宋体" w:hAnsi="宋体"/>
          <w:color w:val="auto"/>
          <w:szCs w:val="21"/>
        </w:rPr>
        <w:t>磋商</w:t>
      </w:r>
      <w:r>
        <w:rPr>
          <w:rFonts w:hint="eastAsia" w:ascii="宋体" w:hAnsi="宋体"/>
          <w:color w:val="auto"/>
          <w:szCs w:val="21"/>
        </w:rPr>
        <w:t>的任何一方不得透露与</w:t>
      </w:r>
      <w:r>
        <w:rPr>
          <w:rFonts w:ascii="宋体" w:hAnsi="宋体"/>
          <w:color w:val="auto"/>
          <w:szCs w:val="21"/>
        </w:rPr>
        <w:t>磋商</w:t>
      </w:r>
      <w:r>
        <w:rPr>
          <w:rFonts w:hint="eastAsia" w:ascii="宋体" w:hAnsi="宋体"/>
          <w:color w:val="auto"/>
          <w:szCs w:val="21"/>
        </w:rPr>
        <w:t>有关的其他供应商的技术资料、价格和其他信息。</w:t>
      </w:r>
    </w:p>
    <w:p w14:paraId="666CBE69">
      <w:pPr>
        <w:spacing w:line="460" w:lineRule="exact"/>
        <w:ind w:firstLine="420" w:firstLineChars="200"/>
        <w:rPr>
          <w:rFonts w:ascii="宋体" w:hAnsi="宋体"/>
          <w:color w:val="auto"/>
          <w:szCs w:val="21"/>
        </w:rPr>
      </w:pPr>
      <w:r>
        <w:rPr>
          <w:rFonts w:hint="eastAsia" w:ascii="宋体" w:hAnsi="宋体"/>
          <w:color w:val="auto"/>
          <w:szCs w:val="21"/>
        </w:rPr>
        <w:t>22.2 评审</w:t>
      </w:r>
    </w:p>
    <w:p w14:paraId="25FEADEA">
      <w:pPr>
        <w:spacing w:line="460" w:lineRule="exact"/>
        <w:ind w:firstLine="420" w:firstLineChars="200"/>
        <w:rPr>
          <w:rFonts w:ascii="宋体" w:hAnsi="宋体"/>
          <w:color w:val="auto"/>
          <w:szCs w:val="21"/>
        </w:rPr>
      </w:pPr>
      <w:r>
        <w:rPr>
          <w:rFonts w:hint="eastAsia" w:ascii="宋体" w:hAnsi="宋体"/>
          <w:color w:val="auto"/>
          <w:szCs w:val="21"/>
        </w:rPr>
        <w:t>22.2.1本采购项目</w:t>
      </w:r>
      <w:r>
        <w:rPr>
          <w:rFonts w:hint="eastAsia" w:ascii="宋体" w:hAnsi="宋体"/>
          <w:color w:val="auto"/>
          <w:spacing w:val="2"/>
          <w:szCs w:val="21"/>
        </w:rPr>
        <w:t>对通过资格审查和符合性审查评审为合格的响应文件</w:t>
      </w:r>
      <w:r>
        <w:rPr>
          <w:rFonts w:hint="eastAsia" w:ascii="宋体" w:hAnsi="宋体"/>
          <w:color w:val="auto"/>
          <w:szCs w:val="21"/>
        </w:rPr>
        <w:t>采用</w:t>
      </w:r>
      <w:r>
        <w:rPr>
          <w:rFonts w:hint="eastAsia" w:ascii="宋体" w:hAnsi="宋体"/>
          <w:color w:val="auto"/>
          <w:spacing w:val="2"/>
          <w:szCs w:val="21"/>
        </w:rPr>
        <w:t>综合评分</w:t>
      </w:r>
      <w:r>
        <w:rPr>
          <w:rFonts w:ascii="宋体" w:hAnsi="宋体"/>
          <w:color w:val="auto"/>
          <w:spacing w:val="2"/>
          <w:szCs w:val="21"/>
        </w:rPr>
        <w:t>法</w:t>
      </w:r>
      <w:r>
        <w:rPr>
          <w:rFonts w:hint="eastAsia" w:ascii="宋体" w:hAnsi="宋体"/>
          <w:color w:val="auto"/>
          <w:szCs w:val="21"/>
        </w:rPr>
        <w:t>，评标依据为磋商文件和响应文件及</w:t>
      </w:r>
      <w:r>
        <w:rPr>
          <w:rFonts w:ascii="宋体" w:hAnsi="宋体"/>
          <w:color w:val="auto"/>
          <w:szCs w:val="21"/>
        </w:rPr>
        <w:t>磋商</w:t>
      </w:r>
      <w:r>
        <w:rPr>
          <w:rFonts w:hint="eastAsia" w:ascii="宋体" w:hAnsi="宋体"/>
          <w:color w:val="auto"/>
          <w:szCs w:val="21"/>
        </w:rPr>
        <w:t>应答文件。</w:t>
      </w:r>
    </w:p>
    <w:p w14:paraId="16ACD4B3">
      <w:pPr>
        <w:spacing w:line="460" w:lineRule="exact"/>
        <w:ind w:firstLine="420" w:firstLineChars="200"/>
        <w:rPr>
          <w:rFonts w:ascii="宋体" w:hAnsi="宋体"/>
          <w:color w:val="auto"/>
          <w:szCs w:val="21"/>
        </w:rPr>
      </w:pPr>
      <w:r>
        <w:rPr>
          <w:rFonts w:hint="eastAsia" w:ascii="宋体" w:hAnsi="宋体"/>
          <w:color w:val="auto"/>
          <w:szCs w:val="21"/>
        </w:rPr>
        <w:t>22.2.2评标工作将采取封闭方式进行，</w:t>
      </w:r>
      <w:r>
        <w:rPr>
          <w:rFonts w:ascii="宋体" w:hAnsi="宋体"/>
          <w:color w:val="auto"/>
          <w:szCs w:val="21"/>
        </w:rPr>
        <w:t>磋商</w:t>
      </w:r>
      <w:r>
        <w:rPr>
          <w:rFonts w:hint="eastAsia" w:ascii="宋体" w:hAnsi="宋体"/>
          <w:color w:val="auto"/>
          <w:szCs w:val="21"/>
        </w:rPr>
        <w:t>小组成员和有关工作人员不得透露对响应文件的评审、比较和成交候选供应商的推荐情况以及与评标有关的其他情况。</w:t>
      </w:r>
    </w:p>
    <w:p w14:paraId="17A6644D">
      <w:pPr>
        <w:spacing w:line="460" w:lineRule="exact"/>
        <w:ind w:firstLine="420" w:firstLineChars="200"/>
        <w:rPr>
          <w:rFonts w:ascii="宋体" w:hAnsi="宋体"/>
          <w:color w:val="auto"/>
          <w:szCs w:val="21"/>
        </w:rPr>
      </w:pPr>
      <w:r>
        <w:rPr>
          <w:rFonts w:hint="eastAsia" w:ascii="宋体" w:hAnsi="宋体"/>
          <w:color w:val="auto"/>
          <w:szCs w:val="21"/>
        </w:rPr>
        <w:t>22.3供应商在评标过程中，所进行的力图影响评标结果公正性的活动，将可能导致其成交资格被取消。</w:t>
      </w:r>
    </w:p>
    <w:p w14:paraId="2A23028C">
      <w:pPr>
        <w:spacing w:line="460" w:lineRule="exact"/>
        <w:ind w:firstLine="420" w:firstLineChars="200"/>
        <w:rPr>
          <w:rFonts w:ascii="宋体" w:hAnsi="宋体"/>
          <w:color w:val="auto"/>
          <w:szCs w:val="21"/>
        </w:rPr>
      </w:pPr>
      <w:r>
        <w:rPr>
          <w:rFonts w:hint="eastAsia" w:ascii="宋体" w:hAnsi="宋体"/>
          <w:color w:val="auto"/>
          <w:szCs w:val="21"/>
        </w:rPr>
        <w:t>22.4供应商磋商报价超出采购上限控制价则磋商无效。如果全部供应商的磋商报价均超出采购上限控制价，采购人不能支付的，由采购单位重新组织采购。</w:t>
      </w:r>
    </w:p>
    <w:p w14:paraId="142E845C">
      <w:pPr>
        <w:bidi w:val="0"/>
        <w:rPr>
          <w:color w:val="auto"/>
        </w:rPr>
      </w:pPr>
      <w:bookmarkStart w:id="101" w:name="_Toc18682824"/>
      <w:bookmarkStart w:id="102" w:name="_Toc80818635"/>
      <w:r>
        <w:rPr>
          <w:rFonts w:hint="eastAsia"/>
          <w:color w:val="auto"/>
        </w:rPr>
        <w:t>23.</w:t>
      </w:r>
      <w:bookmarkEnd w:id="99"/>
      <w:bookmarkEnd w:id="101"/>
      <w:r>
        <w:rPr>
          <w:rFonts w:hint="eastAsia"/>
          <w:color w:val="auto"/>
        </w:rPr>
        <w:t xml:space="preserve"> 废标的情形</w:t>
      </w:r>
      <w:bookmarkEnd w:id="102"/>
    </w:p>
    <w:p w14:paraId="07F4A4D2">
      <w:pPr>
        <w:pStyle w:val="24"/>
        <w:spacing w:line="460" w:lineRule="exact"/>
        <w:ind w:left="525"/>
        <w:rPr>
          <w:rFonts w:hAnsi="宋体"/>
          <w:color w:val="auto"/>
          <w:szCs w:val="21"/>
        </w:rPr>
      </w:pPr>
      <w:r>
        <w:rPr>
          <w:rFonts w:hint="eastAsia" w:hAnsi="宋体"/>
          <w:color w:val="auto"/>
          <w:szCs w:val="21"/>
        </w:rPr>
        <w:t>属于下列情形之一的，应予废标：</w:t>
      </w:r>
    </w:p>
    <w:p w14:paraId="1C7CD699">
      <w:pPr>
        <w:tabs>
          <w:tab w:val="left" w:pos="975"/>
        </w:tabs>
        <w:snapToGrid w:val="0"/>
        <w:spacing w:line="440" w:lineRule="exact"/>
        <w:ind w:firstLine="411" w:firstLineChars="196"/>
        <w:jc w:val="left"/>
        <w:rPr>
          <w:rFonts w:ascii="宋体" w:hAnsi="宋体"/>
          <w:color w:val="auto"/>
          <w:szCs w:val="21"/>
        </w:rPr>
      </w:pPr>
      <w:r>
        <w:rPr>
          <w:rFonts w:hint="eastAsia" w:ascii="宋体" w:hAnsi="宋体"/>
          <w:color w:val="auto"/>
          <w:szCs w:val="21"/>
        </w:rPr>
        <w:t>（1）采购过程中符合要求的供应商或者报价未超过采购预算的供应商不足3家的；</w:t>
      </w:r>
    </w:p>
    <w:p w14:paraId="7D457393">
      <w:pPr>
        <w:tabs>
          <w:tab w:val="left" w:pos="975"/>
        </w:tabs>
        <w:snapToGrid w:val="0"/>
        <w:spacing w:line="440" w:lineRule="exact"/>
        <w:ind w:firstLine="411" w:firstLineChars="196"/>
        <w:jc w:val="left"/>
        <w:rPr>
          <w:rFonts w:ascii="宋体" w:hAnsi="宋体"/>
          <w:color w:val="auto"/>
          <w:szCs w:val="21"/>
        </w:rPr>
      </w:pPr>
      <w:r>
        <w:rPr>
          <w:rFonts w:hint="eastAsia" w:ascii="宋体" w:hAnsi="宋体"/>
          <w:color w:val="auto"/>
          <w:szCs w:val="21"/>
        </w:rPr>
        <w:t xml:space="preserve"> (2)出现影响采购公正的违法、违规行为的;</w:t>
      </w:r>
    </w:p>
    <w:p w14:paraId="39400EEC">
      <w:pPr>
        <w:tabs>
          <w:tab w:val="left" w:pos="975"/>
        </w:tabs>
        <w:snapToGrid w:val="0"/>
        <w:spacing w:line="440" w:lineRule="exact"/>
        <w:ind w:firstLine="411" w:firstLineChars="196"/>
        <w:jc w:val="left"/>
        <w:rPr>
          <w:rFonts w:ascii="宋体" w:hAnsi="宋体"/>
          <w:color w:val="auto"/>
          <w:szCs w:val="21"/>
        </w:rPr>
      </w:pPr>
      <w:r>
        <w:rPr>
          <w:rFonts w:hint="eastAsia" w:ascii="宋体" w:hAnsi="宋体"/>
          <w:color w:val="auto"/>
          <w:szCs w:val="21"/>
        </w:rPr>
        <w:t xml:space="preserve"> (3)磋商文件内容违反国家有关强制性规定的;</w:t>
      </w:r>
    </w:p>
    <w:p w14:paraId="2FBF8009">
      <w:pPr>
        <w:tabs>
          <w:tab w:val="left" w:pos="975"/>
        </w:tabs>
        <w:snapToGrid w:val="0"/>
        <w:spacing w:line="440" w:lineRule="exact"/>
        <w:ind w:firstLine="514" w:firstLineChars="245"/>
        <w:jc w:val="left"/>
        <w:rPr>
          <w:rFonts w:ascii="宋体" w:hAnsi="宋体"/>
          <w:color w:val="auto"/>
          <w:szCs w:val="21"/>
        </w:rPr>
      </w:pPr>
      <w:r>
        <w:rPr>
          <w:rFonts w:hint="eastAsia" w:ascii="宋体" w:hAnsi="宋体"/>
          <w:color w:val="auto"/>
          <w:szCs w:val="21"/>
        </w:rPr>
        <w:t>(4)因重大变故,采购任务取消的;</w:t>
      </w:r>
    </w:p>
    <w:p w14:paraId="71FB355F">
      <w:pPr>
        <w:bidi w:val="0"/>
        <w:rPr>
          <w:color w:val="auto"/>
        </w:rPr>
      </w:pPr>
      <w:bookmarkStart w:id="103" w:name="_Toc80818636"/>
      <w:bookmarkStart w:id="104" w:name="_Toc346264288"/>
      <w:bookmarkStart w:id="105" w:name="_Toc18682825"/>
      <w:r>
        <w:rPr>
          <w:color w:val="auto"/>
        </w:rPr>
        <w:t>2</w:t>
      </w:r>
      <w:r>
        <w:rPr>
          <w:rFonts w:hint="eastAsia"/>
          <w:color w:val="auto"/>
        </w:rPr>
        <w:t>4</w:t>
      </w:r>
      <w:r>
        <w:rPr>
          <w:color w:val="auto"/>
        </w:rPr>
        <w:t>.</w:t>
      </w:r>
      <w:r>
        <w:rPr>
          <w:rFonts w:hint="eastAsia"/>
          <w:color w:val="auto"/>
        </w:rPr>
        <w:t>成交</w:t>
      </w:r>
      <w:r>
        <w:rPr>
          <w:color w:val="auto"/>
        </w:rPr>
        <w:t>公告</w:t>
      </w:r>
      <w:bookmarkEnd w:id="100"/>
      <w:bookmarkEnd w:id="103"/>
      <w:bookmarkEnd w:id="104"/>
      <w:bookmarkEnd w:id="105"/>
    </w:p>
    <w:p w14:paraId="14EB67D6">
      <w:pPr>
        <w:pStyle w:val="24"/>
        <w:spacing w:line="460" w:lineRule="exact"/>
        <w:ind w:left="53" w:leftChars="25" w:firstLine="371" w:firstLineChars="177"/>
        <w:rPr>
          <w:rFonts w:hAnsi="宋体" w:cs="宋体"/>
          <w:color w:val="auto"/>
          <w:szCs w:val="21"/>
        </w:rPr>
      </w:pPr>
      <w:bookmarkStart w:id="106" w:name="_Toc346264289"/>
      <w:bookmarkStart w:id="107" w:name="_Toc239659116"/>
      <w:r>
        <w:rPr>
          <w:rFonts w:hint="eastAsia" w:hAnsi="宋体" w:cs="宋体"/>
          <w:color w:val="auto"/>
          <w:szCs w:val="21"/>
        </w:rPr>
        <w:t>24.1采购代理机构将在评审结束后2个工作日内将评审报告送采购人，采购人收到采购代理机构提交的评审报告后，2个工作日内确定成交供应商。采购人确认后，成交结果将在发布竞争性磋商公告的网站上公布，同时向成交人发出成交通知书。</w:t>
      </w:r>
    </w:p>
    <w:p w14:paraId="46E1DC16">
      <w:pPr>
        <w:spacing w:line="460" w:lineRule="exact"/>
        <w:rPr>
          <w:rFonts w:ascii="宋体" w:hAnsi="宋体" w:cs="宋体"/>
          <w:color w:val="auto"/>
          <w:szCs w:val="21"/>
        </w:rPr>
      </w:pPr>
      <w:r>
        <w:rPr>
          <w:rFonts w:hint="eastAsia" w:ascii="宋体" w:hAnsi="宋体" w:cs="宋体"/>
          <w:color w:val="auto"/>
          <w:szCs w:val="21"/>
        </w:rPr>
        <w:t xml:space="preserve">    24.2 供应商如对成交公告有异议，可以在成交公告期限届满之日起7个工作日内以书面形式向采购人或采购代理机构提出质疑。采购人或采购代理机构将在收到供应商的书面形式质疑后7个工作日内做出答复，但答复的内容不得涉及商业密秘。</w:t>
      </w:r>
    </w:p>
    <w:p w14:paraId="7AEE20CE">
      <w:pPr>
        <w:pStyle w:val="24"/>
        <w:spacing w:line="460" w:lineRule="exact"/>
        <w:ind w:left="53" w:leftChars="25" w:firstLine="371" w:firstLineChars="177"/>
        <w:rPr>
          <w:rFonts w:hAnsi="宋体" w:cs="宋体"/>
          <w:color w:val="auto"/>
          <w:szCs w:val="21"/>
        </w:rPr>
      </w:pPr>
      <w:r>
        <w:rPr>
          <w:rFonts w:hint="eastAsia" w:hAnsi="宋体" w:cs="宋体"/>
          <w:color w:val="auto"/>
          <w:szCs w:val="21"/>
        </w:rPr>
        <w:t>24.3 质疑供应商必须首先经过质疑程序，在对采购人或采购代理机构的答复不满意，或者采购人或采购代理机构未在规定的时间内做出答复的，可以在答复期满后15个工作日内书面向同级政府采购监督管理部门投诉。</w:t>
      </w:r>
    </w:p>
    <w:p w14:paraId="56F6E112">
      <w:pPr>
        <w:bidi w:val="0"/>
        <w:rPr>
          <w:color w:val="auto"/>
        </w:rPr>
      </w:pPr>
      <w:bookmarkStart w:id="108" w:name="_Toc18682826"/>
      <w:bookmarkStart w:id="109" w:name="_Toc80818637"/>
      <w:r>
        <w:rPr>
          <w:color w:val="auto"/>
        </w:rPr>
        <w:t>2</w:t>
      </w:r>
      <w:r>
        <w:rPr>
          <w:rFonts w:hint="eastAsia"/>
          <w:color w:val="auto"/>
        </w:rPr>
        <w:t>5</w:t>
      </w:r>
      <w:r>
        <w:rPr>
          <w:color w:val="auto"/>
        </w:rPr>
        <w:t>.</w:t>
      </w:r>
      <w:r>
        <w:rPr>
          <w:rFonts w:hint="eastAsia"/>
          <w:color w:val="auto"/>
        </w:rPr>
        <w:t>成交</w:t>
      </w:r>
      <w:r>
        <w:rPr>
          <w:color w:val="auto"/>
        </w:rPr>
        <w:t>通知书</w:t>
      </w:r>
      <w:bookmarkEnd w:id="106"/>
      <w:bookmarkEnd w:id="107"/>
      <w:bookmarkEnd w:id="108"/>
      <w:bookmarkEnd w:id="109"/>
    </w:p>
    <w:p w14:paraId="03BB58AB">
      <w:pPr>
        <w:spacing w:line="460" w:lineRule="exact"/>
        <w:ind w:left="229" w:leftChars="109" w:firstLine="210" w:firstLineChars="100"/>
        <w:rPr>
          <w:rFonts w:ascii="宋体" w:hAnsi="宋体"/>
          <w:color w:val="auto"/>
          <w:szCs w:val="21"/>
        </w:rPr>
      </w:pPr>
      <w:r>
        <w:rPr>
          <w:rFonts w:ascii="宋体" w:hAnsi="宋体"/>
          <w:color w:val="auto"/>
          <w:szCs w:val="21"/>
        </w:rPr>
        <w:t>2</w:t>
      </w:r>
      <w:r>
        <w:rPr>
          <w:rFonts w:hint="eastAsia" w:ascii="宋体" w:hAnsi="宋体"/>
          <w:color w:val="auto"/>
          <w:szCs w:val="21"/>
        </w:rPr>
        <w:t>5</w:t>
      </w:r>
      <w:r>
        <w:rPr>
          <w:rFonts w:ascii="宋体" w:hAnsi="宋体"/>
          <w:color w:val="auto"/>
          <w:szCs w:val="21"/>
        </w:rPr>
        <w:t>.1 在发布</w:t>
      </w:r>
      <w:r>
        <w:rPr>
          <w:rFonts w:hint="eastAsia" w:ascii="宋体" w:hAnsi="宋体"/>
          <w:color w:val="auto"/>
          <w:szCs w:val="21"/>
        </w:rPr>
        <w:t>成交</w:t>
      </w:r>
      <w:r>
        <w:rPr>
          <w:rFonts w:ascii="宋体" w:hAnsi="宋体"/>
          <w:color w:val="auto"/>
          <w:szCs w:val="21"/>
        </w:rPr>
        <w:t>公告的同时，向</w:t>
      </w:r>
      <w:r>
        <w:rPr>
          <w:rFonts w:hint="eastAsia" w:ascii="宋体" w:hAnsi="宋体"/>
          <w:color w:val="auto"/>
          <w:szCs w:val="21"/>
        </w:rPr>
        <w:t>成交</w:t>
      </w:r>
      <w:r>
        <w:rPr>
          <w:rFonts w:ascii="宋体" w:hAnsi="宋体"/>
          <w:color w:val="auto"/>
          <w:szCs w:val="21"/>
        </w:rPr>
        <w:t>单位发出书面成交通知书。</w:t>
      </w:r>
    </w:p>
    <w:p w14:paraId="14701AF5">
      <w:pPr>
        <w:spacing w:line="46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5</w:t>
      </w:r>
      <w:r>
        <w:rPr>
          <w:rFonts w:ascii="宋体" w:hAnsi="宋体"/>
          <w:color w:val="auto"/>
          <w:szCs w:val="21"/>
        </w:rPr>
        <w:t xml:space="preserve">.2 </w:t>
      </w:r>
      <w:r>
        <w:rPr>
          <w:rFonts w:hint="eastAsia" w:ascii="宋体" w:hAnsi="宋体"/>
          <w:color w:val="auto"/>
          <w:szCs w:val="21"/>
        </w:rPr>
        <w:t>成交</w:t>
      </w:r>
      <w:r>
        <w:rPr>
          <w:rFonts w:ascii="宋体" w:hAnsi="宋体"/>
          <w:color w:val="auto"/>
          <w:szCs w:val="21"/>
        </w:rPr>
        <w:t>通知书注明成交金额、</w:t>
      </w:r>
      <w:r>
        <w:rPr>
          <w:rFonts w:hint="eastAsia" w:ascii="宋体" w:hAnsi="宋体"/>
          <w:color w:val="auto"/>
          <w:szCs w:val="21"/>
        </w:rPr>
        <w:t>工期</w:t>
      </w:r>
      <w:r>
        <w:rPr>
          <w:rFonts w:ascii="宋体" w:hAnsi="宋体"/>
          <w:color w:val="auto"/>
          <w:szCs w:val="21"/>
        </w:rPr>
        <w:t>、质量及工程保修期等。</w:t>
      </w:r>
    </w:p>
    <w:p w14:paraId="7F982ADC">
      <w:pPr>
        <w:spacing w:line="46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5</w:t>
      </w:r>
      <w:r>
        <w:rPr>
          <w:rFonts w:ascii="宋体" w:hAnsi="宋体"/>
          <w:color w:val="auto"/>
          <w:szCs w:val="21"/>
        </w:rPr>
        <w:t xml:space="preserve">.3 </w:t>
      </w:r>
      <w:r>
        <w:rPr>
          <w:rFonts w:hint="eastAsia" w:ascii="宋体" w:hAnsi="宋体"/>
          <w:color w:val="auto"/>
          <w:szCs w:val="21"/>
        </w:rPr>
        <w:t>成交</w:t>
      </w:r>
      <w:r>
        <w:rPr>
          <w:rFonts w:ascii="宋体" w:hAnsi="宋体"/>
          <w:color w:val="auto"/>
          <w:szCs w:val="21"/>
        </w:rPr>
        <w:t>通知书为合同的组成部分。</w:t>
      </w:r>
    </w:p>
    <w:p w14:paraId="4F202D9E">
      <w:pPr>
        <w:bidi w:val="0"/>
        <w:rPr>
          <w:color w:val="auto"/>
        </w:rPr>
      </w:pPr>
      <w:bookmarkStart w:id="110" w:name="_Toc346264290"/>
      <w:bookmarkStart w:id="111" w:name="_Toc239659117"/>
      <w:bookmarkStart w:id="112" w:name="_Toc80818638"/>
      <w:bookmarkStart w:id="113" w:name="_Toc18682827"/>
      <w:r>
        <w:rPr>
          <w:color w:val="auto"/>
        </w:rPr>
        <w:t>26.合同签订</w:t>
      </w:r>
      <w:bookmarkEnd w:id="110"/>
      <w:bookmarkEnd w:id="111"/>
      <w:bookmarkEnd w:id="112"/>
      <w:bookmarkEnd w:id="113"/>
    </w:p>
    <w:p w14:paraId="7C416CF5">
      <w:pPr>
        <w:spacing w:line="460" w:lineRule="exact"/>
        <w:ind w:left="50" w:leftChars="24" w:firstLine="363" w:firstLineChars="173"/>
        <w:rPr>
          <w:rFonts w:ascii="宋体" w:hAnsi="宋体"/>
          <w:color w:val="auto"/>
          <w:szCs w:val="21"/>
        </w:rPr>
      </w:pPr>
      <w:r>
        <w:rPr>
          <w:rFonts w:ascii="宋体" w:hAnsi="宋体"/>
          <w:color w:val="auto"/>
          <w:szCs w:val="21"/>
        </w:rPr>
        <w:t>2</w:t>
      </w:r>
      <w:r>
        <w:rPr>
          <w:rFonts w:hint="eastAsia" w:ascii="宋体" w:hAnsi="宋体"/>
          <w:color w:val="auto"/>
          <w:szCs w:val="21"/>
        </w:rPr>
        <w:t>6</w:t>
      </w:r>
      <w:r>
        <w:rPr>
          <w:rFonts w:ascii="宋体" w:hAnsi="宋体"/>
          <w:color w:val="auto"/>
          <w:szCs w:val="21"/>
        </w:rPr>
        <w:t xml:space="preserve">.1 </w:t>
      </w:r>
      <w:r>
        <w:rPr>
          <w:rFonts w:hint="eastAsia" w:ascii="宋体" w:hAnsi="宋体"/>
          <w:color w:val="auto"/>
          <w:szCs w:val="21"/>
        </w:rPr>
        <w:t>成交</w:t>
      </w:r>
      <w:r>
        <w:rPr>
          <w:rFonts w:ascii="宋体" w:hAnsi="宋体"/>
          <w:color w:val="auto"/>
          <w:szCs w:val="21"/>
        </w:rPr>
        <w:t>单位应按约定的时间，由法定代表人或授权代表与</w:t>
      </w:r>
      <w:r>
        <w:rPr>
          <w:rFonts w:hint="eastAsia" w:ascii="宋体" w:hAnsi="宋体"/>
          <w:color w:val="auto"/>
          <w:szCs w:val="21"/>
        </w:rPr>
        <w:t>采购人</w:t>
      </w:r>
      <w:r>
        <w:rPr>
          <w:rFonts w:ascii="宋体" w:hAnsi="宋体"/>
          <w:color w:val="auto"/>
          <w:szCs w:val="21"/>
        </w:rPr>
        <w:t>代表签订合同。</w:t>
      </w:r>
      <w:r>
        <w:rPr>
          <w:rFonts w:hint="eastAsia" w:ascii="宋体" w:hAnsi="宋体"/>
          <w:color w:val="auto"/>
          <w:szCs w:val="21"/>
        </w:rPr>
        <w:t>如成交人不按规定签订合同，则采购人可以与排名在成交人之后的成交候选人依次递补签订合同或重新组织采购。拒绝签订政府采购合同的成交供应商不得参加对该项目重新开展的采购活动。</w:t>
      </w:r>
    </w:p>
    <w:p w14:paraId="03A10B97">
      <w:pPr>
        <w:spacing w:line="46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6</w:t>
      </w:r>
      <w:r>
        <w:rPr>
          <w:rFonts w:ascii="宋体" w:hAnsi="宋体"/>
          <w:color w:val="auto"/>
          <w:szCs w:val="21"/>
        </w:rPr>
        <w:t>.</w:t>
      </w:r>
      <w:r>
        <w:rPr>
          <w:rFonts w:hint="eastAsia" w:ascii="宋体" w:hAnsi="宋体"/>
          <w:color w:val="auto"/>
          <w:szCs w:val="21"/>
        </w:rPr>
        <w:t>2合同签订必须符合</w:t>
      </w:r>
      <w:r>
        <w:rPr>
          <w:rFonts w:hint="eastAsia" w:ascii="宋体" w:hAnsi="宋体" w:cs="宋体"/>
          <w:color w:val="auto"/>
          <w:szCs w:val="21"/>
        </w:rPr>
        <w:t>《中华人民共和国政府采购法》、</w:t>
      </w:r>
      <w:r>
        <w:rPr>
          <w:rFonts w:hint="eastAsia" w:ascii="宋体" w:hAnsi="宋体" w:cs="Arial"/>
          <w:color w:val="auto"/>
          <w:szCs w:val="21"/>
        </w:rPr>
        <w:t>《中华人民共和国政府采购法实施条例》、</w:t>
      </w:r>
      <w:r>
        <w:rPr>
          <w:rFonts w:hint="eastAsia" w:ascii="宋体" w:hAnsi="宋体"/>
          <w:color w:val="auto"/>
          <w:szCs w:val="21"/>
        </w:rPr>
        <w:t>《政府采购竞争性磋商采购方式管理暂行办法》及《中华人民共和国民法典》的规定，否则由此造成的后果由采购人负责。</w:t>
      </w:r>
    </w:p>
    <w:p w14:paraId="1A959D23">
      <w:pPr>
        <w:spacing w:line="460" w:lineRule="exact"/>
        <w:ind w:firstLine="420" w:firstLineChars="200"/>
        <w:rPr>
          <w:rFonts w:ascii="宋体" w:hAnsi="宋体"/>
          <w:color w:val="auto"/>
          <w:szCs w:val="21"/>
        </w:rPr>
      </w:pPr>
      <w:r>
        <w:rPr>
          <w:rFonts w:hint="eastAsia" w:ascii="宋体" w:hAnsi="宋体"/>
          <w:color w:val="auto"/>
          <w:szCs w:val="21"/>
        </w:rPr>
        <w:t>26.3财政部门根据已备案的政府采购合同办理合同款项的支付，对未正式备案的政府采购合同，将不予办理合同价款的支付。</w:t>
      </w:r>
    </w:p>
    <w:p w14:paraId="5CEA31D0">
      <w:pPr>
        <w:spacing w:line="460" w:lineRule="exact"/>
        <w:ind w:firstLine="420" w:firstLineChars="200"/>
        <w:rPr>
          <w:rFonts w:ascii="宋体" w:hAnsi="宋体"/>
          <w:color w:val="auto"/>
          <w:szCs w:val="21"/>
        </w:rPr>
      </w:pPr>
      <w:r>
        <w:rPr>
          <w:rFonts w:hint="eastAsia" w:ascii="宋体" w:hAnsi="宋体"/>
          <w:color w:val="auto"/>
          <w:szCs w:val="21"/>
        </w:rPr>
        <w:t>26.4</w:t>
      </w:r>
      <w:r>
        <w:rPr>
          <w:rFonts w:ascii="宋体" w:hAnsi="宋体"/>
          <w:color w:val="auto"/>
          <w:szCs w:val="21"/>
        </w:rPr>
        <w:t>如果</w:t>
      </w:r>
      <w:r>
        <w:rPr>
          <w:rFonts w:hint="eastAsia" w:ascii="宋体" w:hAnsi="宋体"/>
          <w:color w:val="auto"/>
          <w:szCs w:val="21"/>
        </w:rPr>
        <w:t>供应商</w:t>
      </w:r>
      <w:r>
        <w:rPr>
          <w:rFonts w:ascii="宋体" w:hAnsi="宋体"/>
          <w:color w:val="auto"/>
          <w:szCs w:val="21"/>
        </w:rPr>
        <w:t>不按本须知第2</w:t>
      </w:r>
      <w:r>
        <w:rPr>
          <w:rFonts w:hint="eastAsia" w:ascii="宋体" w:hAnsi="宋体"/>
          <w:color w:val="auto"/>
          <w:szCs w:val="21"/>
        </w:rPr>
        <w:t>6</w:t>
      </w:r>
      <w:r>
        <w:rPr>
          <w:rFonts w:ascii="宋体" w:hAnsi="宋体"/>
          <w:color w:val="auto"/>
          <w:szCs w:val="21"/>
        </w:rPr>
        <w:t>.1条的规定执行，采购人将有充分的理由废除授标。</w:t>
      </w:r>
    </w:p>
    <w:p w14:paraId="2BE503E2">
      <w:pPr>
        <w:bidi w:val="0"/>
        <w:rPr>
          <w:color w:val="auto"/>
        </w:rPr>
      </w:pPr>
      <w:bookmarkStart w:id="114" w:name="_Toc239659118"/>
      <w:bookmarkStart w:id="115" w:name="_Toc346264291"/>
      <w:bookmarkStart w:id="116" w:name="_Toc18682828"/>
      <w:bookmarkStart w:id="117" w:name="_Toc80818639"/>
      <w:r>
        <w:rPr>
          <w:color w:val="auto"/>
        </w:rPr>
        <w:t>2</w:t>
      </w:r>
      <w:bookmarkEnd w:id="114"/>
      <w:r>
        <w:rPr>
          <w:rFonts w:hint="eastAsia"/>
          <w:color w:val="auto"/>
        </w:rPr>
        <w:t>7</w:t>
      </w:r>
      <w:r>
        <w:rPr>
          <w:color w:val="auto"/>
        </w:rPr>
        <w:t>.履约保证金</w:t>
      </w:r>
      <w:bookmarkEnd w:id="115"/>
      <w:bookmarkEnd w:id="116"/>
      <w:bookmarkEnd w:id="117"/>
    </w:p>
    <w:p w14:paraId="6D0D0CF9">
      <w:pPr>
        <w:spacing w:line="460" w:lineRule="exact"/>
        <w:ind w:firstLine="420" w:firstLineChars="200"/>
        <w:jc w:val="left"/>
        <w:rPr>
          <w:rFonts w:ascii="宋体" w:hAnsi="宋体"/>
          <w:color w:val="auto"/>
          <w:szCs w:val="21"/>
        </w:rPr>
      </w:pPr>
      <w:bookmarkStart w:id="118" w:name="_Toc239659119"/>
      <w:r>
        <w:rPr>
          <w:rFonts w:hint="eastAsia" w:ascii="宋体" w:hAnsi="宋体"/>
          <w:color w:val="auto"/>
          <w:szCs w:val="21"/>
        </w:rPr>
        <w:t>27.1履约保证金按须知前附表的要求提交。如要求提交的，履约保证金如以</w:t>
      </w:r>
      <w:r>
        <w:rPr>
          <w:rFonts w:hint="eastAsia" w:ascii="宋体" w:hAnsi="宋体"/>
          <w:bCs/>
          <w:color w:val="auto"/>
          <w:szCs w:val="21"/>
        </w:rPr>
        <w:t>支票、汇票、本票、银行转帐、银行出具的保函或保险机构出具的保函、保险单、履约保证保险合同等非现金</w:t>
      </w:r>
      <w:r>
        <w:rPr>
          <w:rFonts w:hint="eastAsia" w:ascii="宋体" w:hAnsi="宋体"/>
          <w:color w:val="auto"/>
          <w:szCs w:val="21"/>
        </w:rPr>
        <w:t>方式提交，并在签订成交合同前一次性缴纳。如成交人未按规定缴纳履约保证金的，采购人有权取消其成交资格。</w:t>
      </w:r>
    </w:p>
    <w:p w14:paraId="5FD23F7F">
      <w:pPr>
        <w:spacing w:line="460" w:lineRule="exact"/>
        <w:ind w:firstLine="420" w:firstLineChars="200"/>
        <w:rPr>
          <w:rFonts w:ascii="宋体" w:hAnsi="宋体"/>
          <w:color w:val="auto"/>
          <w:szCs w:val="21"/>
        </w:rPr>
      </w:pPr>
      <w:r>
        <w:rPr>
          <w:rFonts w:hint="eastAsia" w:ascii="宋体" w:hAnsi="宋体"/>
          <w:color w:val="auto"/>
          <w:szCs w:val="21"/>
        </w:rPr>
        <w:t>27.2 成交人如不按本章第27.1条要求提交履约保证金的，采购人有充分理由取消其成交资格。</w:t>
      </w:r>
    </w:p>
    <w:p w14:paraId="56F30AAB">
      <w:pPr>
        <w:spacing w:line="460" w:lineRule="exact"/>
        <w:ind w:firstLine="420" w:firstLineChars="200"/>
        <w:rPr>
          <w:rFonts w:ascii="宋体" w:hAnsi="宋体" w:cs="Courier New"/>
          <w:color w:val="auto"/>
          <w:spacing w:val="2"/>
          <w:szCs w:val="21"/>
        </w:rPr>
      </w:pPr>
      <w:r>
        <w:rPr>
          <w:rFonts w:hint="eastAsia" w:ascii="宋体" w:hAnsi="宋体"/>
          <w:color w:val="auto"/>
          <w:szCs w:val="21"/>
        </w:rPr>
        <w:t>27.3 工程竣工验收合格后，成交人按合同履约的，由成交人向采购人提交履约保证金退还申请，经采购人确认审批后履约保证金如数退还（不计利息）。如成交人不按双方签订的合同履约，则对其全部履约保证金不予退还，履</w:t>
      </w:r>
      <w:r>
        <w:rPr>
          <w:rFonts w:hint="eastAsia" w:ascii="宋体" w:hAnsi="宋体" w:cs="Courier New"/>
          <w:color w:val="auto"/>
          <w:spacing w:val="2"/>
          <w:szCs w:val="21"/>
        </w:rPr>
        <w:t>约保证金不足以赔偿的，按实际损失赔偿。</w:t>
      </w:r>
    </w:p>
    <w:p w14:paraId="570FC52B">
      <w:pPr>
        <w:spacing w:line="460" w:lineRule="exact"/>
        <w:ind w:firstLine="428" w:firstLineChars="200"/>
        <w:rPr>
          <w:rFonts w:ascii="宋体" w:hAnsi="宋体"/>
          <w:color w:val="auto"/>
          <w:szCs w:val="21"/>
        </w:rPr>
      </w:pPr>
      <w:r>
        <w:rPr>
          <w:rFonts w:hint="eastAsia" w:ascii="宋体" w:hAnsi="宋体" w:cs="Courier New"/>
          <w:color w:val="auto"/>
          <w:spacing w:val="2"/>
          <w:szCs w:val="21"/>
        </w:rPr>
        <w:t>27.4 在履约保证金到期退还前，若成交人的开户名称、开户行、账号有更改的，请以书面形式通知</w:t>
      </w:r>
      <w:r>
        <w:rPr>
          <w:rFonts w:hint="eastAsia" w:ascii="宋体" w:hAnsi="宋体"/>
          <w:color w:val="auto"/>
          <w:szCs w:val="21"/>
        </w:rPr>
        <w:t>采购人</w:t>
      </w:r>
      <w:r>
        <w:rPr>
          <w:rFonts w:hint="eastAsia" w:ascii="宋体" w:hAnsi="宋体" w:cs="Courier New"/>
          <w:color w:val="auto"/>
          <w:spacing w:val="2"/>
          <w:szCs w:val="21"/>
        </w:rPr>
        <w:t>，否则由此产生的后果由成交人自行负责。</w:t>
      </w:r>
    </w:p>
    <w:p w14:paraId="22588F43">
      <w:pPr>
        <w:spacing w:line="460" w:lineRule="exact"/>
        <w:ind w:firstLine="420" w:firstLineChars="200"/>
        <w:rPr>
          <w:rFonts w:ascii="宋体" w:hAnsi="宋体"/>
          <w:color w:val="auto"/>
          <w:szCs w:val="21"/>
        </w:rPr>
      </w:pPr>
      <w:bookmarkStart w:id="119" w:name="_Toc346264292"/>
      <w:r>
        <w:rPr>
          <w:rFonts w:ascii="宋体" w:hAnsi="宋体"/>
          <w:color w:val="auto"/>
          <w:szCs w:val="21"/>
        </w:rPr>
        <w:t>2</w:t>
      </w:r>
      <w:r>
        <w:rPr>
          <w:rFonts w:hint="eastAsia" w:ascii="宋体" w:hAnsi="宋体"/>
          <w:color w:val="auto"/>
          <w:szCs w:val="21"/>
        </w:rPr>
        <w:t>8</w:t>
      </w:r>
      <w:r>
        <w:rPr>
          <w:rFonts w:ascii="宋体" w:hAnsi="宋体"/>
          <w:color w:val="auto"/>
          <w:szCs w:val="21"/>
        </w:rPr>
        <w:t>.解释权</w:t>
      </w:r>
      <w:bookmarkEnd w:id="118"/>
      <w:bookmarkEnd w:id="119"/>
    </w:p>
    <w:p w14:paraId="5D6F9C08">
      <w:pPr>
        <w:spacing w:line="460" w:lineRule="exact"/>
        <w:ind w:firstLine="420" w:firstLineChars="200"/>
        <w:rPr>
          <w:rFonts w:ascii="宋体" w:hAnsi="宋体"/>
          <w:color w:val="auto"/>
          <w:szCs w:val="21"/>
        </w:rPr>
      </w:pPr>
      <w:r>
        <w:rPr>
          <w:rFonts w:hint="eastAsia" w:ascii="宋体" w:hAnsi="宋体"/>
          <w:color w:val="auto"/>
          <w:szCs w:val="21"/>
        </w:rPr>
        <w:t xml:space="preserve">本磋商文件是根据《中华人民共和国政府采购法》、《中华人民共和国政府采购法实施条例》、《政府采购竞争性磋商采购方式管理暂行办法》及相关法律法规编制，解释权属代理公司 </w:t>
      </w:r>
      <w:r>
        <w:rPr>
          <w:rFonts w:ascii="宋体" w:hAnsi="宋体"/>
          <w:color w:val="auto"/>
          <w:szCs w:val="21"/>
        </w:rPr>
        <w:t>。</w:t>
      </w:r>
    </w:p>
    <w:p w14:paraId="44E4ADFB">
      <w:pPr>
        <w:pStyle w:val="24"/>
        <w:jc w:val="center"/>
        <w:rPr>
          <w:color w:val="auto"/>
          <w:szCs w:val="21"/>
        </w:rPr>
      </w:pPr>
      <w:bookmarkStart w:id="120" w:name="_Toc13050"/>
      <w:bookmarkStart w:id="121" w:name="_Toc144974826"/>
      <w:bookmarkStart w:id="122" w:name="_Toc337567543"/>
      <w:bookmarkStart w:id="123" w:name="_Toc229305402"/>
      <w:bookmarkStart w:id="124" w:name="_Toc168476286"/>
      <w:bookmarkStart w:id="125" w:name="_Toc168475883"/>
      <w:r>
        <w:rPr>
          <w:rFonts w:ascii="宋体" w:hAnsi="宋体" w:cs="宋体"/>
          <w:color w:val="auto"/>
        </w:rPr>
        <w:br w:type="page"/>
      </w:r>
      <w:bookmarkStart w:id="126" w:name="_Toc1817"/>
      <w:r>
        <w:rPr>
          <w:rStyle w:val="272"/>
          <w:rFonts w:hint="eastAsia"/>
          <w:color w:val="auto"/>
        </w:rPr>
        <w:t>第三章评标办法</w:t>
      </w:r>
      <w:bookmarkEnd w:id="126"/>
    </w:p>
    <w:p w14:paraId="058D102D">
      <w:pPr>
        <w:spacing w:line="360" w:lineRule="auto"/>
        <w:ind w:firstLine="435"/>
        <w:rPr>
          <w:b/>
          <w:bCs/>
          <w:color w:val="auto"/>
          <w:szCs w:val="21"/>
        </w:rPr>
      </w:pPr>
      <w:r>
        <w:rPr>
          <w:rFonts w:hint="eastAsia"/>
          <w:b/>
          <w:bCs/>
          <w:color w:val="auto"/>
          <w:szCs w:val="21"/>
        </w:rPr>
        <w:t>一、评标原则</w:t>
      </w:r>
    </w:p>
    <w:p w14:paraId="3675E619">
      <w:pPr>
        <w:spacing w:line="420" w:lineRule="exact"/>
        <w:ind w:firstLine="435"/>
        <w:rPr>
          <w:color w:val="auto"/>
          <w:szCs w:val="21"/>
        </w:rPr>
      </w:pPr>
      <w:r>
        <w:rPr>
          <w:rFonts w:hint="eastAsia"/>
          <w:color w:val="auto"/>
          <w:szCs w:val="21"/>
        </w:rPr>
        <w:t>磋商小组构成：本采购项目的磋商小组由评审专家三人以上（含3人）的单数组成，其中专家人数不得少于成员总数的三分之二。</w:t>
      </w:r>
    </w:p>
    <w:p w14:paraId="48EDB2CB">
      <w:pPr>
        <w:spacing w:line="420" w:lineRule="exact"/>
        <w:ind w:firstLine="435"/>
        <w:rPr>
          <w:color w:val="auto"/>
          <w:szCs w:val="21"/>
        </w:rPr>
      </w:pPr>
      <w:r>
        <w:rPr>
          <w:rFonts w:hint="eastAsia"/>
          <w:color w:val="auto"/>
          <w:szCs w:val="21"/>
        </w:rPr>
        <w:t>评标依据：采购文件和磋商响应文件为评定依据。</w:t>
      </w:r>
    </w:p>
    <w:p w14:paraId="04442490">
      <w:pPr>
        <w:spacing w:line="420" w:lineRule="exact"/>
        <w:ind w:firstLine="435"/>
        <w:rPr>
          <w:color w:val="auto"/>
          <w:szCs w:val="21"/>
        </w:rPr>
      </w:pPr>
      <w:r>
        <w:rPr>
          <w:rFonts w:hint="eastAsia"/>
          <w:color w:val="auto"/>
          <w:szCs w:val="21"/>
        </w:rPr>
        <w:t>评标办法：</w:t>
      </w:r>
      <w:r>
        <w:rPr>
          <w:rFonts w:hint="eastAsia" w:ascii="宋体" w:hAnsi="宋体" w:cs="Courier New"/>
          <w:color w:val="auto"/>
          <w:szCs w:val="21"/>
          <w:shd w:val="clear" w:color="auto" w:fill="FFFFFF"/>
        </w:rPr>
        <w:t>采用综合评分法</w:t>
      </w:r>
      <w:r>
        <w:rPr>
          <w:rFonts w:hint="eastAsia"/>
          <w:color w:val="auto"/>
          <w:szCs w:val="21"/>
        </w:rPr>
        <w:t>。</w:t>
      </w:r>
    </w:p>
    <w:p w14:paraId="67D7110E">
      <w:pPr>
        <w:numPr>
          <w:ilvl w:val="0"/>
          <w:numId w:val="3"/>
        </w:numPr>
        <w:spacing w:line="420" w:lineRule="exact"/>
        <w:ind w:firstLine="435"/>
        <w:rPr>
          <w:color w:val="auto"/>
          <w:szCs w:val="21"/>
        </w:rPr>
      </w:pPr>
      <w:r>
        <w:rPr>
          <w:rFonts w:hint="eastAsia"/>
          <w:b/>
          <w:bCs/>
          <w:color w:val="auto"/>
          <w:szCs w:val="21"/>
        </w:rPr>
        <w:t>评定方法：</w:t>
      </w:r>
      <w:r>
        <w:rPr>
          <w:rFonts w:hint="eastAsia"/>
          <w:color w:val="auto"/>
          <w:szCs w:val="21"/>
        </w:rPr>
        <w:t>对资格性和符合性检查合格的磋商响应文件，采用</w:t>
      </w:r>
      <w:r>
        <w:rPr>
          <w:rFonts w:hint="eastAsia" w:ascii="宋体" w:hAnsi="宋体" w:cs="Courier New"/>
          <w:color w:val="auto"/>
          <w:szCs w:val="21"/>
          <w:shd w:val="clear" w:color="auto" w:fill="FFFFFF"/>
        </w:rPr>
        <w:t>综合评分法</w:t>
      </w:r>
      <w:r>
        <w:rPr>
          <w:rFonts w:hint="eastAsia"/>
          <w:color w:val="auto"/>
          <w:szCs w:val="21"/>
        </w:rPr>
        <w:t>进行评审。只有通过了资格审查和符合性评审的供应商，才能进入详细评审程序。</w:t>
      </w:r>
    </w:p>
    <w:tbl>
      <w:tblPr>
        <w:tblStyle w:val="45"/>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276"/>
        <w:gridCol w:w="1559"/>
        <w:gridCol w:w="6078"/>
      </w:tblGrid>
      <w:tr w14:paraId="1264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693" w:type="dxa"/>
            <w:tcBorders>
              <w:right w:val="single" w:color="auto" w:sz="4" w:space="0"/>
            </w:tcBorders>
            <w:vAlign w:val="center"/>
          </w:tcPr>
          <w:p w14:paraId="081B4936">
            <w:pPr>
              <w:widowControl/>
              <w:spacing w:line="400" w:lineRule="exact"/>
              <w:jc w:val="center"/>
              <w:rPr>
                <w:rFonts w:ascii="宋体" w:hAnsi="宋体" w:cs="宋体"/>
                <w:b/>
                <w:bCs/>
                <w:color w:val="auto"/>
                <w:kern w:val="0"/>
                <w:szCs w:val="21"/>
              </w:rPr>
            </w:pPr>
            <w:r>
              <w:rPr>
                <w:rFonts w:hint="eastAsia" w:ascii="宋体" w:hAnsi="宋体" w:cs="宋体"/>
                <w:b/>
                <w:bCs/>
                <w:color w:val="auto"/>
                <w:kern w:val="0"/>
                <w:szCs w:val="21"/>
              </w:rPr>
              <w:t>序号</w:t>
            </w:r>
          </w:p>
        </w:tc>
        <w:tc>
          <w:tcPr>
            <w:tcW w:w="1276" w:type="dxa"/>
            <w:tcBorders>
              <w:top w:val="single" w:color="auto" w:sz="4" w:space="0"/>
              <w:left w:val="single" w:color="auto" w:sz="4" w:space="0"/>
              <w:bottom w:val="single" w:color="auto" w:sz="4" w:space="0"/>
              <w:right w:val="single" w:color="auto" w:sz="4" w:space="0"/>
            </w:tcBorders>
            <w:vAlign w:val="center"/>
          </w:tcPr>
          <w:p w14:paraId="0D70617A">
            <w:pPr>
              <w:widowControl/>
              <w:spacing w:line="400" w:lineRule="exact"/>
              <w:jc w:val="center"/>
              <w:rPr>
                <w:rFonts w:ascii="宋体" w:hAnsi="宋体" w:cs="宋体"/>
                <w:b/>
                <w:bCs/>
                <w:color w:val="auto"/>
                <w:kern w:val="0"/>
                <w:szCs w:val="21"/>
              </w:rPr>
            </w:pPr>
            <w:r>
              <w:rPr>
                <w:rFonts w:hint="eastAsia" w:ascii="宋体" w:hAnsi="宋体" w:cs="宋体"/>
                <w:b/>
                <w:bCs/>
                <w:color w:val="auto"/>
                <w:kern w:val="0"/>
                <w:szCs w:val="21"/>
              </w:rPr>
              <w:t>评审因素</w:t>
            </w:r>
          </w:p>
        </w:tc>
        <w:tc>
          <w:tcPr>
            <w:tcW w:w="7637" w:type="dxa"/>
            <w:gridSpan w:val="2"/>
            <w:tcBorders>
              <w:left w:val="single" w:color="auto" w:sz="4" w:space="0"/>
            </w:tcBorders>
            <w:vAlign w:val="center"/>
          </w:tcPr>
          <w:p w14:paraId="41D1321C">
            <w:pPr>
              <w:widowControl/>
              <w:spacing w:line="400" w:lineRule="exact"/>
              <w:jc w:val="center"/>
              <w:rPr>
                <w:rFonts w:ascii="宋体" w:hAnsi="宋体" w:cs="宋体"/>
                <w:b/>
                <w:bCs/>
                <w:color w:val="auto"/>
                <w:kern w:val="0"/>
                <w:szCs w:val="21"/>
              </w:rPr>
            </w:pPr>
            <w:r>
              <w:rPr>
                <w:rFonts w:hint="eastAsia" w:ascii="宋体" w:hAnsi="宋体" w:cs="宋体"/>
                <w:b/>
                <w:bCs/>
                <w:color w:val="auto"/>
                <w:kern w:val="0"/>
                <w:szCs w:val="21"/>
              </w:rPr>
              <w:t>评审因素具体内容</w:t>
            </w:r>
          </w:p>
        </w:tc>
      </w:tr>
      <w:tr w14:paraId="61B6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93" w:type="dxa"/>
            <w:tcBorders>
              <w:right w:val="single" w:color="auto" w:sz="4" w:space="0"/>
            </w:tcBorders>
            <w:vAlign w:val="center"/>
          </w:tcPr>
          <w:p w14:paraId="30E7ECEA">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1</w:t>
            </w:r>
          </w:p>
        </w:tc>
        <w:tc>
          <w:tcPr>
            <w:tcW w:w="1276" w:type="dxa"/>
            <w:tcBorders>
              <w:top w:val="single" w:color="auto" w:sz="4" w:space="0"/>
              <w:left w:val="single" w:color="auto" w:sz="4" w:space="0"/>
              <w:bottom w:val="single" w:color="auto" w:sz="4" w:space="0"/>
              <w:right w:val="single" w:color="auto" w:sz="4" w:space="0"/>
            </w:tcBorders>
            <w:vAlign w:val="center"/>
          </w:tcPr>
          <w:p w14:paraId="0B8BD60E">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价格分</w:t>
            </w:r>
          </w:p>
          <w:p w14:paraId="59CF388F">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（30分）</w:t>
            </w:r>
          </w:p>
        </w:tc>
        <w:tc>
          <w:tcPr>
            <w:tcW w:w="7637" w:type="dxa"/>
            <w:gridSpan w:val="2"/>
            <w:tcBorders>
              <w:left w:val="single" w:color="auto" w:sz="4" w:space="0"/>
            </w:tcBorders>
          </w:tcPr>
          <w:p w14:paraId="01F6EF6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本项目专门面向</w:t>
            </w:r>
            <w:r>
              <w:rPr>
                <w:rFonts w:hint="eastAsia" w:ascii="宋体" w:hAnsi="宋体" w:cs="宋体"/>
                <w:color w:val="auto"/>
                <w:sz w:val="21"/>
                <w:szCs w:val="21"/>
                <w:highlight w:val="none"/>
                <w:lang w:val="en-US" w:eastAsia="zh-CN"/>
              </w:rPr>
              <w:t>中小微</w:t>
            </w:r>
            <w:r>
              <w:rPr>
                <w:rFonts w:hint="eastAsia" w:ascii="宋体" w:hAnsi="宋体" w:eastAsia="宋体" w:cs="宋体"/>
                <w:color w:val="auto"/>
                <w:sz w:val="21"/>
                <w:szCs w:val="21"/>
                <w:highlight w:val="none"/>
                <w:lang w:val="en-US" w:eastAsia="zh-CN"/>
              </w:rPr>
              <w:t>企业采购，价格不再进行</w:t>
            </w:r>
            <w:r>
              <w:rPr>
                <w:rFonts w:hint="eastAsia" w:ascii="宋体" w:hAnsi="宋体" w:eastAsia="宋体" w:cs="宋体"/>
                <w:color w:val="auto"/>
                <w:sz w:val="21"/>
                <w:szCs w:val="21"/>
                <w:highlight w:val="none"/>
              </w:rPr>
              <w:t>政策性扣除</w:t>
            </w:r>
          </w:p>
          <w:p w14:paraId="22BFAE5D">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评审价＝最后报价。</w:t>
            </w:r>
          </w:p>
          <w:p w14:paraId="354AE4AB">
            <w:pPr>
              <w:pStyle w:val="24"/>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3.以进入比较与评价环节的最低的评审价为基准价，基准价得分为30分。</w:t>
            </w:r>
          </w:p>
          <w:p w14:paraId="7D2B1935">
            <w:pPr>
              <w:pStyle w:val="24"/>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4.价格分计算公式：</w:t>
            </w:r>
          </w:p>
          <w:p w14:paraId="4FBF8796">
            <w:pPr>
              <w:pStyle w:val="24"/>
              <w:spacing w:line="360" w:lineRule="auto"/>
              <w:ind w:firstLine="420" w:firstLineChars="200"/>
              <w:jc w:val="left"/>
              <w:rPr>
                <w:rFonts w:ascii="宋体" w:hAnsi="宋体" w:cs="宋体"/>
                <w:bCs/>
                <w:color w:val="auto"/>
                <w:szCs w:val="21"/>
              </w:rPr>
            </w:pPr>
            <w:r>
              <w:rPr>
                <w:rFonts w:hint="eastAsia" w:ascii="宋体" w:hAnsi="宋体" w:eastAsia="宋体" w:cs="宋体"/>
                <w:color w:val="auto"/>
                <w:sz w:val="21"/>
                <w:szCs w:val="21"/>
                <w:highlight w:val="none"/>
                <w:lang w:val="en-US" w:eastAsia="zh-CN"/>
              </w:rPr>
              <w:t>报价得分=（基准价/评审价）×30分</w:t>
            </w:r>
          </w:p>
        </w:tc>
      </w:tr>
      <w:tr w14:paraId="7D7F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693" w:type="dxa"/>
            <w:vMerge w:val="restart"/>
            <w:tcBorders>
              <w:right w:val="single" w:color="auto" w:sz="4" w:space="0"/>
            </w:tcBorders>
            <w:vAlign w:val="center"/>
          </w:tcPr>
          <w:p w14:paraId="4B1D7B21">
            <w:pPr>
              <w:autoSpaceDE w:val="0"/>
              <w:autoSpaceDN w:val="0"/>
              <w:spacing w:line="400" w:lineRule="exact"/>
              <w:jc w:val="left"/>
              <w:rPr>
                <w:rFonts w:ascii="宋体" w:hAnsi="宋体"/>
                <w:color w:val="auto"/>
                <w:kern w:val="0"/>
                <w:szCs w:val="21"/>
                <w:lang w:val="ru-RU"/>
              </w:rPr>
            </w:pPr>
            <w:r>
              <w:rPr>
                <w:rFonts w:hint="eastAsia" w:ascii="宋体" w:hAnsi="宋体" w:cs="宋体"/>
                <w:color w:val="auto"/>
                <w:kern w:val="0"/>
                <w:szCs w:val="21"/>
              </w:rPr>
              <w:t>2、</w:t>
            </w:r>
            <w:r>
              <w:rPr>
                <w:rFonts w:hint="eastAsia" w:ascii="宋体" w:hAnsi="宋体" w:cs="宋体"/>
                <w:color w:val="auto"/>
                <w:kern w:val="0"/>
                <w:szCs w:val="21"/>
                <w:lang w:val="ru-RU"/>
              </w:rPr>
              <w:t>技术部分（</w:t>
            </w:r>
            <w:r>
              <w:rPr>
                <w:rFonts w:hint="eastAsia" w:ascii="宋体" w:hAnsi="宋体" w:cs="宋体"/>
                <w:color w:val="auto"/>
                <w:spacing w:val="2"/>
                <w:kern w:val="0"/>
                <w:szCs w:val="21"/>
                <w:lang w:val="ru-RU"/>
              </w:rPr>
              <w:t>满分</w:t>
            </w:r>
            <w:r>
              <w:rPr>
                <w:rFonts w:hint="eastAsia"/>
                <w:color w:val="auto"/>
                <w:spacing w:val="1"/>
                <w:kern w:val="0"/>
                <w:szCs w:val="21"/>
              </w:rPr>
              <w:t>70</w:t>
            </w:r>
            <w:r>
              <w:rPr>
                <w:rFonts w:hint="eastAsia" w:ascii="宋体" w:hAnsi="宋体" w:cs="宋体"/>
                <w:color w:val="auto"/>
                <w:kern w:val="0"/>
                <w:szCs w:val="21"/>
                <w:lang w:val="ru-RU"/>
              </w:rPr>
              <w:t>分）</w:t>
            </w:r>
          </w:p>
        </w:tc>
        <w:tc>
          <w:tcPr>
            <w:tcW w:w="1276" w:type="dxa"/>
            <w:vMerge w:val="restart"/>
            <w:tcBorders>
              <w:top w:val="single" w:color="auto" w:sz="4" w:space="0"/>
              <w:left w:val="single" w:color="auto" w:sz="4" w:space="0"/>
              <w:right w:val="single" w:color="auto" w:sz="4" w:space="0"/>
            </w:tcBorders>
            <w:vAlign w:val="center"/>
          </w:tcPr>
          <w:p w14:paraId="28B5E190">
            <w:pPr>
              <w:autoSpaceDE w:val="0"/>
              <w:autoSpaceDN w:val="0"/>
              <w:spacing w:line="400" w:lineRule="exact"/>
              <w:jc w:val="left"/>
              <w:rPr>
                <w:rFonts w:ascii="宋体" w:hAnsi="宋体"/>
                <w:color w:val="auto"/>
                <w:kern w:val="0"/>
                <w:szCs w:val="21"/>
                <w:lang w:val="ru-RU"/>
              </w:rPr>
            </w:pPr>
            <w:r>
              <w:rPr>
                <w:rFonts w:hint="eastAsia" w:ascii="宋体" w:hAnsi="宋体" w:cs="宋体"/>
                <w:color w:val="auto"/>
                <w:spacing w:val="1"/>
                <w:kern w:val="0"/>
                <w:szCs w:val="21"/>
                <w:lang w:val="ru-RU"/>
              </w:rPr>
              <w:t>项目管理机构</w:t>
            </w:r>
            <w:r>
              <w:rPr>
                <w:rFonts w:hint="eastAsia" w:ascii="宋体" w:hAnsi="宋体" w:cs="宋体"/>
                <w:color w:val="auto"/>
                <w:spacing w:val="2"/>
                <w:kern w:val="0"/>
                <w:szCs w:val="21"/>
                <w:lang w:val="ru-RU"/>
              </w:rPr>
              <w:t>（满分</w:t>
            </w:r>
            <w:r>
              <w:rPr>
                <w:rFonts w:hint="eastAsia"/>
                <w:color w:val="auto"/>
                <w:kern w:val="0"/>
                <w:szCs w:val="21"/>
              </w:rPr>
              <w:t>2</w:t>
            </w:r>
            <w:r>
              <w:rPr>
                <w:color w:val="auto"/>
                <w:kern w:val="0"/>
                <w:szCs w:val="21"/>
                <w:lang w:val="ru-RU"/>
              </w:rPr>
              <w:t>0</w:t>
            </w:r>
            <w:r>
              <w:rPr>
                <w:rFonts w:hint="eastAsia" w:ascii="宋体" w:hAnsi="宋体" w:cs="宋体"/>
                <w:color w:val="auto"/>
                <w:kern w:val="0"/>
                <w:szCs w:val="21"/>
                <w:lang w:val="ru-RU"/>
              </w:rPr>
              <w:t>分）</w:t>
            </w:r>
          </w:p>
          <w:p w14:paraId="75094AC0">
            <w:pPr>
              <w:spacing w:line="400" w:lineRule="exact"/>
              <w:rPr>
                <w:rFonts w:ascii="宋体" w:hAnsi="宋体"/>
                <w:color w:val="auto"/>
                <w:szCs w:val="21"/>
                <w:lang w:val="ru-RU"/>
              </w:rPr>
            </w:pPr>
          </w:p>
        </w:tc>
        <w:tc>
          <w:tcPr>
            <w:tcW w:w="1559" w:type="dxa"/>
            <w:tcBorders>
              <w:left w:val="single" w:color="auto" w:sz="4" w:space="0"/>
            </w:tcBorders>
            <w:vAlign w:val="center"/>
          </w:tcPr>
          <w:p w14:paraId="476F87D7">
            <w:pPr>
              <w:spacing w:line="400" w:lineRule="exact"/>
              <w:rPr>
                <w:rFonts w:ascii="宋体" w:hAnsi="宋体"/>
                <w:color w:val="auto"/>
                <w:szCs w:val="21"/>
              </w:rPr>
            </w:pPr>
            <w:r>
              <w:rPr>
                <w:rFonts w:hint="eastAsia" w:ascii="宋体" w:hAnsi="宋体"/>
                <w:color w:val="auto"/>
                <w:szCs w:val="21"/>
              </w:rPr>
              <w:t>项目经理</w:t>
            </w:r>
            <w:r>
              <w:rPr>
                <w:rFonts w:hint="eastAsia" w:ascii="宋体" w:hAnsi="宋体"/>
                <w:color w:val="auto"/>
                <w:szCs w:val="21"/>
                <w:lang w:eastAsia="zh-CN"/>
              </w:rPr>
              <w:t>、技术负责人</w:t>
            </w:r>
            <w:r>
              <w:rPr>
                <w:rFonts w:hint="eastAsia" w:ascii="宋体" w:hAnsi="宋体"/>
                <w:color w:val="auto"/>
                <w:szCs w:val="21"/>
              </w:rPr>
              <w:t>任职资格与业绩、工作经历等（</w:t>
            </w:r>
            <w:r>
              <w:rPr>
                <w:rFonts w:hint="eastAsia" w:ascii="宋体" w:hAnsi="宋体" w:cs="宋体"/>
                <w:color w:val="auto"/>
                <w:spacing w:val="2"/>
                <w:szCs w:val="21"/>
              </w:rPr>
              <w:t>满分</w:t>
            </w:r>
            <w:r>
              <w:rPr>
                <w:rFonts w:hint="eastAsia" w:ascii="宋体" w:hAnsi="宋体"/>
                <w:color w:val="auto"/>
                <w:szCs w:val="21"/>
              </w:rPr>
              <w:t>10分）</w:t>
            </w:r>
          </w:p>
        </w:tc>
        <w:tc>
          <w:tcPr>
            <w:tcW w:w="6078" w:type="dxa"/>
            <w:vAlign w:val="center"/>
          </w:tcPr>
          <w:p w14:paraId="78D13F16">
            <w:pPr>
              <w:numPr>
                <w:ilvl w:val="0"/>
                <w:numId w:val="4"/>
              </w:numPr>
              <w:spacing w:line="400" w:lineRule="exact"/>
              <w:rPr>
                <w:rFonts w:ascii="宋体" w:hAnsi="宋体" w:cs="微软雅黑"/>
                <w:color w:val="auto"/>
                <w:kern w:val="0"/>
                <w:szCs w:val="21"/>
              </w:rPr>
            </w:pPr>
            <w:r>
              <w:rPr>
                <w:rFonts w:hint="eastAsia" w:ascii="宋体" w:hAnsi="宋体" w:cs="微软雅黑"/>
                <w:color w:val="auto"/>
                <w:kern w:val="0"/>
                <w:szCs w:val="21"/>
              </w:rPr>
              <w:t xml:space="preserve">项目经理资质：项目经理满足采购文件资格要求的得 </w:t>
            </w:r>
            <w:r>
              <w:rPr>
                <w:rFonts w:ascii="宋体" w:hAnsi="宋体" w:cs="微软雅黑"/>
                <w:color w:val="auto"/>
                <w:kern w:val="0"/>
                <w:szCs w:val="21"/>
              </w:rPr>
              <w:t>4</w:t>
            </w:r>
            <w:r>
              <w:rPr>
                <w:rFonts w:hint="eastAsia" w:ascii="宋体" w:hAnsi="宋体" w:cs="微软雅黑"/>
                <w:color w:val="auto"/>
                <w:kern w:val="0"/>
                <w:szCs w:val="21"/>
              </w:rPr>
              <w:t>分。（2）项目经理职称：具备初级或以上工程师职称的、或者具有大学专科或以上学历得3分。</w:t>
            </w:r>
          </w:p>
          <w:p w14:paraId="3FCFBC91">
            <w:pPr>
              <w:spacing w:line="400" w:lineRule="exact"/>
              <w:rPr>
                <w:rFonts w:ascii="宋体" w:hAnsi="宋体"/>
                <w:color w:val="auto"/>
                <w:szCs w:val="21"/>
              </w:rPr>
            </w:pPr>
            <w:r>
              <w:rPr>
                <w:rFonts w:hint="eastAsia" w:ascii="宋体" w:hAnsi="宋体"/>
                <w:color w:val="auto"/>
                <w:szCs w:val="21"/>
              </w:rPr>
              <w:t>（3）拟派任技术负责人具备中级及以上职称的得3 分。</w:t>
            </w:r>
          </w:p>
        </w:tc>
      </w:tr>
      <w:tr w14:paraId="5694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93" w:type="dxa"/>
            <w:vMerge w:val="continue"/>
            <w:tcBorders>
              <w:right w:val="single" w:color="auto" w:sz="4" w:space="0"/>
            </w:tcBorders>
            <w:vAlign w:val="center"/>
          </w:tcPr>
          <w:p w14:paraId="6CFC3CD7">
            <w:pPr>
              <w:autoSpaceDE w:val="0"/>
              <w:autoSpaceDN w:val="0"/>
              <w:spacing w:line="400" w:lineRule="exact"/>
              <w:jc w:val="left"/>
              <w:rPr>
                <w:rFonts w:ascii="宋体" w:hAnsi="宋体" w:cs="宋体"/>
                <w:color w:val="auto"/>
                <w:kern w:val="0"/>
                <w:szCs w:val="21"/>
                <w:lang w:val="ru-RU"/>
              </w:rPr>
            </w:pPr>
          </w:p>
        </w:tc>
        <w:tc>
          <w:tcPr>
            <w:tcW w:w="1276" w:type="dxa"/>
            <w:vMerge w:val="continue"/>
            <w:tcBorders>
              <w:left w:val="single" w:color="auto" w:sz="4" w:space="0"/>
              <w:right w:val="single" w:color="auto" w:sz="4" w:space="0"/>
            </w:tcBorders>
            <w:vAlign w:val="center"/>
          </w:tcPr>
          <w:p w14:paraId="37D5E39F">
            <w:pPr>
              <w:spacing w:line="400" w:lineRule="exact"/>
              <w:rPr>
                <w:rFonts w:ascii="宋体" w:hAnsi="宋体"/>
                <w:color w:val="auto"/>
                <w:szCs w:val="21"/>
              </w:rPr>
            </w:pPr>
          </w:p>
        </w:tc>
        <w:tc>
          <w:tcPr>
            <w:tcW w:w="1559" w:type="dxa"/>
            <w:tcBorders>
              <w:left w:val="single" w:color="auto" w:sz="4" w:space="0"/>
            </w:tcBorders>
            <w:vAlign w:val="center"/>
          </w:tcPr>
          <w:p w14:paraId="69947121">
            <w:pPr>
              <w:autoSpaceDE w:val="0"/>
              <w:autoSpaceDN w:val="0"/>
              <w:spacing w:line="400" w:lineRule="exact"/>
              <w:jc w:val="left"/>
              <w:rPr>
                <w:rFonts w:ascii="宋体" w:hAnsi="宋体" w:cs="宋体"/>
                <w:color w:val="auto"/>
                <w:spacing w:val="-21"/>
                <w:kern w:val="0"/>
                <w:szCs w:val="21"/>
                <w:lang w:val="ru-RU"/>
              </w:rPr>
            </w:pPr>
            <w:r>
              <w:rPr>
                <w:rFonts w:hint="eastAsia" w:ascii="宋体" w:hAnsi="宋体" w:cs="宋体"/>
                <w:color w:val="auto"/>
                <w:kern w:val="0"/>
                <w:szCs w:val="21"/>
                <w:lang w:val="ru-RU"/>
              </w:rPr>
              <w:t>其他主要</w:t>
            </w:r>
            <w:r>
              <w:rPr>
                <w:rFonts w:hint="eastAsia" w:ascii="宋体" w:hAnsi="宋体" w:cs="宋体"/>
                <w:color w:val="auto"/>
                <w:spacing w:val="-21"/>
                <w:kern w:val="0"/>
                <w:szCs w:val="21"/>
                <w:lang w:val="ru-RU"/>
              </w:rPr>
              <w:t>人员</w:t>
            </w:r>
          </w:p>
          <w:p w14:paraId="5ED2AC77">
            <w:pPr>
              <w:autoSpaceDE w:val="0"/>
              <w:autoSpaceDN w:val="0"/>
              <w:spacing w:line="400" w:lineRule="exact"/>
              <w:jc w:val="left"/>
              <w:rPr>
                <w:rFonts w:ascii="宋体" w:hAnsi="宋体"/>
                <w:color w:val="auto"/>
                <w:kern w:val="0"/>
                <w:szCs w:val="21"/>
                <w:lang w:val="ru-RU"/>
              </w:rPr>
            </w:pPr>
            <w:r>
              <w:rPr>
                <w:rFonts w:hint="eastAsia" w:ascii="宋体" w:hAnsi="宋体" w:cs="宋体"/>
                <w:color w:val="auto"/>
                <w:spacing w:val="-21"/>
                <w:kern w:val="0"/>
                <w:szCs w:val="21"/>
                <w:lang w:val="ru-RU"/>
              </w:rPr>
              <w:t>（</w:t>
            </w:r>
            <w:r>
              <w:rPr>
                <w:rFonts w:hint="eastAsia" w:ascii="宋体" w:hAnsi="宋体" w:cs="宋体"/>
                <w:color w:val="auto"/>
                <w:spacing w:val="2"/>
                <w:kern w:val="0"/>
                <w:szCs w:val="21"/>
                <w:lang w:val="ru-RU"/>
              </w:rPr>
              <w:t>满分</w:t>
            </w:r>
            <w:r>
              <w:rPr>
                <w:rFonts w:hint="eastAsia"/>
                <w:color w:val="auto"/>
                <w:kern w:val="0"/>
                <w:szCs w:val="21"/>
              </w:rPr>
              <w:t>10</w:t>
            </w:r>
            <w:r>
              <w:rPr>
                <w:rFonts w:hint="eastAsia" w:ascii="宋体" w:hAnsi="宋体" w:cs="宋体"/>
                <w:color w:val="auto"/>
                <w:spacing w:val="1"/>
                <w:kern w:val="0"/>
                <w:szCs w:val="21"/>
                <w:lang w:val="ru-RU"/>
              </w:rPr>
              <w:t>分）</w:t>
            </w:r>
          </w:p>
        </w:tc>
        <w:tc>
          <w:tcPr>
            <w:tcW w:w="6078" w:type="dxa"/>
            <w:vAlign w:val="center"/>
          </w:tcPr>
          <w:p w14:paraId="4DAD12FA">
            <w:pPr>
              <w:spacing w:line="360" w:lineRule="auto"/>
              <w:rPr>
                <w:color w:val="auto"/>
                <w:szCs w:val="21"/>
              </w:rPr>
            </w:pPr>
            <w:r>
              <w:rPr>
                <w:rFonts w:hint="eastAsia"/>
                <w:color w:val="auto"/>
                <w:szCs w:val="21"/>
              </w:rPr>
              <w:t>基本要求：</w:t>
            </w:r>
            <w:r>
              <w:rPr>
                <w:color w:val="auto"/>
                <w:szCs w:val="21"/>
              </w:rPr>
              <w:t>人员齐备、专业配套</w:t>
            </w:r>
            <w:r>
              <w:rPr>
                <w:rFonts w:hint="eastAsia"/>
                <w:color w:val="auto"/>
                <w:szCs w:val="21"/>
              </w:rPr>
              <w:t>应</w:t>
            </w:r>
            <w:r>
              <w:rPr>
                <w:rFonts w:hint="eastAsia" w:cs="宋体"/>
                <w:color w:val="auto"/>
                <w:szCs w:val="21"/>
              </w:rPr>
              <w:t>具备相关施工现场专业人员职业培训合格证书（拟派驻本项目的技术负责人应具有初级及以上职称证件，安全员、施工员、质量员、材料员应具有相应施工现场专业人员职业培训合格证书，且拟投入的项目管理人员符合国家及广西壮族自治区的规定）</w:t>
            </w:r>
          </w:p>
          <w:p w14:paraId="7349F6E2">
            <w:pPr>
              <w:spacing w:line="360" w:lineRule="auto"/>
              <w:rPr>
                <w:color w:val="auto"/>
                <w:szCs w:val="21"/>
              </w:rPr>
            </w:pPr>
            <w:r>
              <w:rPr>
                <w:rFonts w:hint="eastAsia"/>
                <w:color w:val="auto"/>
                <w:szCs w:val="21"/>
              </w:rPr>
              <w:t>评分内容：</w:t>
            </w:r>
          </w:p>
          <w:p w14:paraId="53B59B21">
            <w:pPr>
              <w:spacing w:line="360" w:lineRule="auto"/>
              <w:rPr>
                <w:color w:val="auto"/>
                <w:szCs w:val="21"/>
              </w:rPr>
            </w:pPr>
            <w:r>
              <w:rPr>
                <w:rFonts w:hint="eastAsia"/>
                <w:color w:val="auto"/>
                <w:szCs w:val="21"/>
              </w:rPr>
              <w:t>优（10.0分）：完全满足施工需要，管理人员配备齐全且经验及综合素质优秀。</w:t>
            </w:r>
          </w:p>
          <w:p w14:paraId="3DAC3013">
            <w:pPr>
              <w:spacing w:line="360" w:lineRule="auto"/>
              <w:rPr>
                <w:color w:val="auto"/>
                <w:szCs w:val="21"/>
              </w:rPr>
            </w:pPr>
            <w:r>
              <w:rPr>
                <w:rFonts w:hint="eastAsia"/>
                <w:color w:val="auto"/>
                <w:szCs w:val="21"/>
              </w:rPr>
              <w:t>良（6.0分）：基本满足施工需要，管理人员配备齐全。</w:t>
            </w:r>
          </w:p>
          <w:p w14:paraId="139BBD8F">
            <w:pPr>
              <w:spacing w:line="400" w:lineRule="exact"/>
              <w:rPr>
                <w:rFonts w:ascii="宋体" w:hAnsi="宋体"/>
                <w:color w:val="auto"/>
                <w:szCs w:val="21"/>
              </w:rPr>
            </w:pPr>
            <w:r>
              <w:rPr>
                <w:rFonts w:hint="eastAsia"/>
                <w:color w:val="auto"/>
                <w:szCs w:val="21"/>
              </w:rPr>
              <w:t> 差（3.0分）:不满足施工需要，管理人员配备不齐全。</w:t>
            </w:r>
          </w:p>
        </w:tc>
      </w:tr>
      <w:tr w14:paraId="5D39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jc w:val="center"/>
        </w:trPr>
        <w:tc>
          <w:tcPr>
            <w:tcW w:w="693" w:type="dxa"/>
            <w:vMerge w:val="continue"/>
            <w:tcBorders>
              <w:right w:val="single" w:color="auto" w:sz="4" w:space="0"/>
            </w:tcBorders>
            <w:vAlign w:val="center"/>
          </w:tcPr>
          <w:p w14:paraId="29938914">
            <w:pPr>
              <w:spacing w:line="400" w:lineRule="exact"/>
              <w:rPr>
                <w:rFonts w:ascii="宋体" w:hAnsi="宋体"/>
                <w:color w:val="auto"/>
                <w:szCs w:val="21"/>
              </w:rPr>
            </w:pPr>
          </w:p>
        </w:tc>
        <w:tc>
          <w:tcPr>
            <w:tcW w:w="1276" w:type="dxa"/>
            <w:vMerge w:val="restart"/>
            <w:tcBorders>
              <w:left w:val="single" w:color="auto" w:sz="4" w:space="0"/>
            </w:tcBorders>
            <w:vAlign w:val="center"/>
          </w:tcPr>
          <w:p w14:paraId="7DAB08DE">
            <w:pPr>
              <w:autoSpaceDE w:val="0"/>
              <w:autoSpaceDN w:val="0"/>
              <w:spacing w:line="400" w:lineRule="exact"/>
              <w:jc w:val="left"/>
              <w:rPr>
                <w:rFonts w:ascii="宋体" w:hAnsi="宋体"/>
                <w:color w:val="auto"/>
                <w:kern w:val="0"/>
                <w:szCs w:val="21"/>
                <w:lang w:val="ru-RU"/>
              </w:rPr>
            </w:pPr>
            <w:r>
              <w:rPr>
                <w:rFonts w:hint="eastAsia" w:ascii="宋体" w:hAnsi="宋体" w:cs="宋体"/>
                <w:color w:val="auto"/>
                <w:spacing w:val="1"/>
                <w:kern w:val="0"/>
                <w:szCs w:val="21"/>
                <w:lang w:val="ru-RU"/>
              </w:rPr>
              <w:t>施工组织设计</w:t>
            </w:r>
            <w:r>
              <w:rPr>
                <w:rFonts w:hint="eastAsia" w:ascii="宋体" w:hAnsi="宋体" w:cs="宋体"/>
                <w:color w:val="auto"/>
                <w:kern w:val="0"/>
                <w:szCs w:val="21"/>
                <w:lang w:val="ru-RU"/>
              </w:rPr>
              <w:t>（</w:t>
            </w:r>
            <w:r>
              <w:rPr>
                <w:rFonts w:hint="eastAsia" w:ascii="宋体" w:hAnsi="宋体" w:cs="宋体"/>
                <w:color w:val="auto"/>
                <w:spacing w:val="2"/>
                <w:kern w:val="0"/>
                <w:szCs w:val="21"/>
                <w:lang w:val="ru-RU"/>
              </w:rPr>
              <w:t>满分</w:t>
            </w:r>
            <w:r>
              <w:rPr>
                <w:color w:val="auto"/>
                <w:spacing w:val="-1"/>
                <w:kern w:val="0"/>
                <w:szCs w:val="21"/>
                <w:lang w:val="ru-RU"/>
              </w:rPr>
              <w:t>50</w:t>
            </w:r>
            <w:r>
              <w:rPr>
                <w:rFonts w:hint="eastAsia" w:ascii="宋体" w:hAnsi="宋体"/>
                <w:color w:val="auto"/>
                <w:spacing w:val="-1"/>
                <w:kern w:val="0"/>
                <w:szCs w:val="21"/>
                <w:lang w:val="ru-RU"/>
              </w:rPr>
              <w:t>分</w:t>
            </w:r>
            <w:r>
              <w:rPr>
                <w:rFonts w:hint="eastAsia" w:ascii="宋体" w:hAnsi="宋体" w:cs="宋体"/>
                <w:color w:val="auto"/>
                <w:kern w:val="0"/>
                <w:szCs w:val="21"/>
                <w:lang w:val="ru-RU"/>
              </w:rPr>
              <w:t>）</w:t>
            </w:r>
          </w:p>
          <w:p w14:paraId="52E18F72">
            <w:pPr>
              <w:spacing w:line="400" w:lineRule="exact"/>
              <w:rPr>
                <w:rFonts w:ascii="宋体" w:hAnsi="宋体"/>
                <w:color w:val="auto"/>
                <w:szCs w:val="21"/>
              </w:rPr>
            </w:pPr>
          </w:p>
        </w:tc>
        <w:tc>
          <w:tcPr>
            <w:tcW w:w="1559" w:type="dxa"/>
            <w:vAlign w:val="center"/>
          </w:tcPr>
          <w:p w14:paraId="3399A76F">
            <w:pPr>
              <w:spacing w:line="400" w:lineRule="exact"/>
              <w:rPr>
                <w:rFonts w:ascii="宋体" w:hAnsi="宋体" w:cs="微软雅黑"/>
                <w:color w:val="auto"/>
                <w:kern w:val="0"/>
                <w:szCs w:val="21"/>
              </w:rPr>
            </w:pPr>
            <w:r>
              <w:rPr>
                <w:rFonts w:hint="eastAsia" w:ascii="宋体" w:hAnsi="宋体" w:cs="微软雅黑"/>
                <w:color w:val="auto"/>
                <w:kern w:val="0"/>
                <w:szCs w:val="21"/>
              </w:rPr>
              <w:t>主要施工方法</w:t>
            </w:r>
          </w:p>
          <w:p w14:paraId="0A628CD6">
            <w:pPr>
              <w:spacing w:line="400" w:lineRule="exact"/>
              <w:rPr>
                <w:rFonts w:ascii="宋体" w:hAnsi="宋体" w:cs="微软雅黑"/>
                <w:color w:val="auto"/>
                <w:kern w:val="0"/>
                <w:szCs w:val="21"/>
              </w:rPr>
            </w:pPr>
            <w:r>
              <w:rPr>
                <w:rFonts w:hint="eastAsia" w:ascii="宋体" w:hAnsi="宋体" w:cs="微软雅黑"/>
                <w:color w:val="auto"/>
                <w:kern w:val="0"/>
                <w:szCs w:val="21"/>
              </w:rPr>
              <w:t>（满分</w:t>
            </w:r>
            <w:r>
              <w:rPr>
                <w:rFonts w:hint="eastAsia" w:ascii="宋体" w:hAnsi="宋体" w:cs="微软雅黑"/>
                <w:color w:val="auto"/>
                <w:kern w:val="0"/>
                <w:szCs w:val="21"/>
                <w:lang w:val="en-US" w:eastAsia="zh-CN"/>
              </w:rPr>
              <w:t>10</w:t>
            </w:r>
            <w:r>
              <w:rPr>
                <w:rFonts w:hint="eastAsia" w:ascii="宋体" w:hAnsi="宋体" w:cs="微软雅黑"/>
                <w:color w:val="auto"/>
                <w:kern w:val="0"/>
                <w:szCs w:val="21"/>
              </w:rPr>
              <w:t>分）</w:t>
            </w:r>
          </w:p>
          <w:p w14:paraId="64322A02">
            <w:pPr>
              <w:spacing w:line="400" w:lineRule="exact"/>
              <w:rPr>
                <w:rFonts w:ascii="宋体" w:hAnsi="宋体" w:cs="微软雅黑"/>
                <w:color w:val="auto"/>
                <w:kern w:val="0"/>
                <w:szCs w:val="21"/>
              </w:rPr>
            </w:pPr>
          </w:p>
        </w:tc>
        <w:tc>
          <w:tcPr>
            <w:tcW w:w="6078" w:type="dxa"/>
            <w:vAlign w:val="center"/>
          </w:tcPr>
          <w:p w14:paraId="21F2F298">
            <w:pPr>
              <w:spacing w:line="400" w:lineRule="exact"/>
              <w:rPr>
                <w:color w:val="auto"/>
                <w:szCs w:val="21"/>
              </w:rPr>
            </w:pPr>
            <w:r>
              <w:rPr>
                <w:rFonts w:hint="eastAsia" w:ascii="宋体" w:hAnsi="宋体" w:cs="微软雅黑"/>
                <w:color w:val="auto"/>
                <w:kern w:val="0"/>
                <w:szCs w:val="21"/>
              </w:rPr>
              <w:t>四档（</w:t>
            </w:r>
            <w:r>
              <w:rPr>
                <w:rFonts w:hint="eastAsia" w:ascii="宋体" w:hAnsi="宋体" w:cs="微软雅黑"/>
                <w:color w:val="auto"/>
                <w:kern w:val="0"/>
                <w:szCs w:val="21"/>
                <w:lang w:val="en-US" w:eastAsia="zh-CN"/>
              </w:rPr>
              <w:t>10</w:t>
            </w:r>
            <w:r>
              <w:rPr>
                <w:rFonts w:hint="eastAsia" w:ascii="宋体" w:hAnsi="宋体" w:cs="微软雅黑"/>
                <w:color w:val="auto"/>
                <w:kern w:val="0"/>
                <w:szCs w:val="21"/>
              </w:rPr>
              <w:t>分）</w:t>
            </w:r>
            <w:r>
              <w:rPr>
                <w:color w:val="auto"/>
                <w:szCs w:val="21"/>
              </w:rPr>
              <w:t>各主要分部施工方法针对性强，施工技术方案详尽周密，工艺先进、方法科学、可行，能很好的指导具体施工并确保安全。</w:t>
            </w:r>
          </w:p>
          <w:p w14:paraId="08D2D6EC">
            <w:pPr>
              <w:spacing w:line="400" w:lineRule="exact"/>
              <w:rPr>
                <w:rFonts w:ascii="宋体" w:hAnsi="宋体" w:cs="微软雅黑"/>
                <w:color w:val="auto"/>
                <w:kern w:val="0"/>
                <w:szCs w:val="21"/>
              </w:rPr>
            </w:pPr>
            <w:r>
              <w:rPr>
                <w:rFonts w:hint="eastAsia" w:ascii="宋体" w:hAnsi="宋体" w:cs="微软雅黑"/>
                <w:color w:val="auto"/>
                <w:kern w:val="0"/>
                <w:szCs w:val="21"/>
              </w:rPr>
              <w:t>三档（</w:t>
            </w:r>
            <w:r>
              <w:rPr>
                <w:rFonts w:hint="eastAsia" w:ascii="宋体" w:hAnsi="宋体" w:cs="微软雅黑"/>
                <w:color w:val="auto"/>
                <w:kern w:val="0"/>
                <w:szCs w:val="21"/>
                <w:lang w:val="en-US" w:eastAsia="zh-CN"/>
              </w:rPr>
              <w:t>7</w:t>
            </w:r>
            <w:r>
              <w:rPr>
                <w:rFonts w:hint="eastAsia" w:ascii="宋体" w:hAnsi="宋体" w:cs="微软雅黑"/>
                <w:color w:val="auto"/>
                <w:kern w:val="0"/>
                <w:szCs w:val="21"/>
              </w:rPr>
              <w:t>分）</w:t>
            </w:r>
            <w:r>
              <w:rPr>
                <w:color w:val="auto"/>
                <w:szCs w:val="21"/>
              </w:rPr>
              <w:t>各主要分部施工方法符合项目实际，施工技术方案齐全，工艺成熟、方法合理、可行，能指导具体施工并确保安全。</w:t>
            </w:r>
            <w:r>
              <w:rPr>
                <w:rFonts w:hint="eastAsia" w:ascii="宋体" w:hAnsi="宋体" w:cs="微软雅黑"/>
                <w:color w:val="auto"/>
                <w:kern w:val="0"/>
                <w:szCs w:val="21"/>
              </w:rPr>
              <w:t>。</w:t>
            </w:r>
          </w:p>
          <w:p w14:paraId="09F60D9D">
            <w:pPr>
              <w:spacing w:line="400" w:lineRule="exact"/>
              <w:rPr>
                <w:rFonts w:ascii="宋体" w:hAnsi="宋体" w:cs="微软雅黑"/>
                <w:color w:val="auto"/>
                <w:kern w:val="0"/>
                <w:szCs w:val="21"/>
              </w:rPr>
            </w:pPr>
            <w:r>
              <w:rPr>
                <w:rFonts w:hint="eastAsia" w:ascii="宋体" w:hAnsi="宋体" w:cs="微软雅黑"/>
                <w:color w:val="auto"/>
                <w:kern w:val="0"/>
                <w:szCs w:val="21"/>
              </w:rPr>
              <w:t>二档（</w:t>
            </w:r>
            <w:r>
              <w:rPr>
                <w:rFonts w:hint="eastAsia" w:ascii="宋体" w:hAnsi="宋体" w:cs="微软雅黑"/>
                <w:color w:val="auto"/>
                <w:kern w:val="0"/>
                <w:szCs w:val="21"/>
                <w:lang w:val="en-US" w:eastAsia="zh-CN"/>
              </w:rPr>
              <w:t>4</w:t>
            </w:r>
            <w:r>
              <w:rPr>
                <w:rFonts w:hint="eastAsia" w:ascii="宋体" w:hAnsi="宋体" w:cs="微软雅黑"/>
                <w:color w:val="auto"/>
                <w:kern w:val="0"/>
                <w:szCs w:val="21"/>
              </w:rPr>
              <w:t xml:space="preserve"> 分）</w:t>
            </w:r>
            <w:r>
              <w:rPr>
                <w:color w:val="auto"/>
                <w:szCs w:val="21"/>
              </w:rPr>
              <w:t>各主要分部施工方法基本符合项目实际，施工技术方案基本齐全，方法基本合理、基本可行，基本能指导具体施工并确保安全</w:t>
            </w:r>
            <w:r>
              <w:rPr>
                <w:rFonts w:hint="eastAsia" w:ascii="宋体" w:hAnsi="宋体" w:cs="微软雅黑"/>
                <w:color w:val="auto"/>
                <w:kern w:val="0"/>
                <w:szCs w:val="21"/>
              </w:rPr>
              <w:t>。</w:t>
            </w:r>
          </w:p>
          <w:p w14:paraId="074F5770">
            <w:pPr>
              <w:spacing w:line="400" w:lineRule="exact"/>
              <w:rPr>
                <w:rFonts w:ascii="宋体" w:hAnsi="宋体" w:cs="微软雅黑"/>
                <w:color w:val="auto"/>
                <w:kern w:val="0"/>
                <w:szCs w:val="21"/>
              </w:rPr>
            </w:pPr>
            <w:r>
              <w:rPr>
                <w:rFonts w:hint="eastAsia" w:ascii="宋体" w:hAnsi="宋体" w:cs="微软雅黑"/>
                <w:color w:val="auto"/>
                <w:kern w:val="0"/>
                <w:szCs w:val="21"/>
              </w:rPr>
              <w:t>一档（1 分）各主要分部施工方法不符合项目实际，有施工技术方案，工艺一般，不能指导具体施工并确保安全。</w:t>
            </w:r>
          </w:p>
        </w:tc>
      </w:tr>
      <w:tr w14:paraId="5DAD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693" w:type="dxa"/>
            <w:vMerge w:val="continue"/>
            <w:tcBorders>
              <w:right w:val="single" w:color="auto" w:sz="4" w:space="0"/>
            </w:tcBorders>
            <w:vAlign w:val="center"/>
          </w:tcPr>
          <w:p w14:paraId="23E8DD16">
            <w:pPr>
              <w:spacing w:line="400" w:lineRule="exact"/>
              <w:rPr>
                <w:rFonts w:ascii="宋体" w:hAnsi="宋体"/>
                <w:color w:val="auto"/>
                <w:szCs w:val="21"/>
              </w:rPr>
            </w:pPr>
          </w:p>
        </w:tc>
        <w:tc>
          <w:tcPr>
            <w:tcW w:w="1276" w:type="dxa"/>
            <w:vMerge w:val="continue"/>
            <w:tcBorders>
              <w:left w:val="single" w:color="auto" w:sz="4" w:space="0"/>
            </w:tcBorders>
            <w:vAlign w:val="center"/>
          </w:tcPr>
          <w:p w14:paraId="2375CC1B">
            <w:pPr>
              <w:spacing w:line="400" w:lineRule="exact"/>
              <w:rPr>
                <w:rFonts w:ascii="宋体" w:hAnsi="宋体"/>
                <w:color w:val="auto"/>
                <w:szCs w:val="21"/>
              </w:rPr>
            </w:pPr>
          </w:p>
        </w:tc>
        <w:tc>
          <w:tcPr>
            <w:tcW w:w="1559" w:type="dxa"/>
            <w:vAlign w:val="center"/>
          </w:tcPr>
          <w:p w14:paraId="2F193543">
            <w:pPr>
              <w:spacing w:line="400" w:lineRule="exact"/>
              <w:rPr>
                <w:rFonts w:ascii="宋体" w:hAnsi="宋体" w:cs="微软雅黑"/>
                <w:color w:val="auto"/>
                <w:kern w:val="0"/>
                <w:szCs w:val="21"/>
              </w:rPr>
            </w:pPr>
            <w:r>
              <w:rPr>
                <w:rFonts w:hint="eastAsia" w:ascii="宋体" w:hAnsi="宋体" w:cs="微软雅黑"/>
                <w:color w:val="auto"/>
                <w:kern w:val="0"/>
                <w:szCs w:val="21"/>
              </w:rPr>
              <w:t>拟投入的主要物资计划</w:t>
            </w:r>
          </w:p>
          <w:p w14:paraId="422BB3E3">
            <w:pPr>
              <w:spacing w:line="400" w:lineRule="exact"/>
              <w:rPr>
                <w:rFonts w:ascii="宋体" w:hAnsi="宋体" w:cs="微软雅黑"/>
                <w:color w:val="auto"/>
                <w:kern w:val="0"/>
                <w:szCs w:val="21"/>
              </w:rPr>
            </w:pPr>
            <w:r>
              <w:rPr>
                <w:rFonts w:hint="eastAsia" w:ascii="宋体" w:hAnsi="宋体" w:cs="微软雅黑"/>
                <w:color w:val="auto"/>
                <w:kern w:val="0"/>
                <w:szCs w:val="21"/>
              </w:rPr>
              <w:t>（满分6分）</w:t>
            </w:r>
          </w:p>
        </w:tc>
        <w:tc>
          <w:tcPr>
            <w:tcW w:w="6078" w:type="dxa"/>
            <w:vAlign w:val="center"/>
          </w:tcPr>
          <w:p w14:paraId="21E8679C">
            <w:pPr>
              <w:spacing w:line="400" w:lineRule="exact"/>
              <w:rPr>
                <w:rFonts w:ascii="宋体" w:hAnsi="宋体" w:cs="微软雅黑"/>
                <w:color w:val="auto"/>
                <w:kern w:val="0"/>
                <w:szCs w:val="21"/>
              </w:rPr>
            </w:pPr>
            <w:r>
              <w:rPr>
                <w:rFonts w:hint="eastAsia" w:ascii="宋体" w:hAnsi="宋体" w:cs="微软雅黑"/>
                <w:color w:val="auto"/>
                <w:kern w:val="0"/>
                <w:szCs w:val="21"/>
              </w:rPr>
              <w:t>四档（6分）投入的施工材料有详细的组织计划且计划周密，数量、选型配置、进场时间安排合理，满足施工需要。</w:t>
            </w:r>
          </w:p>
          <w:p w14:paraId="3B955BD5">
            <w:pPr>
              <w:spacing w:line="400" w:lineRule="exact"/>
              <w:rPr>
                <w:rFonts w:ascii="宋体" w:hAnsi="宋体" w:cs="微软雅黑"/>
                <w:color w:val="auto"/>
                <w:kern w:val="0"/>
                <w:szCs w:val="21"/>
              </w:rPr>
            </w:pPr>
            <w:r>
              <w:rPr>
                <w:rFonts w:hint="eastAsia" w:ascii="宋体" w:hAnsi="宋体" w:cs="微软雅黑"/>
                <w:color w:val="auto"/>
                <w:kern w:val="0"/>
                <w:szCs w:val="21"/>
              </w:rPr>
              <w:t>三档（4分）投入的施工材料有详细的组织计划但计划一般，数量、选型配置、进场时间安排合理，满足施工需要。</w:t>
            </w:r>
          </w:p>
          <w:p w14:paraId="6F4EA3AC">
            <w:pPr>
              <w:spacing w:line="400" w:lineRule="exact"/>
              <w:rPr>
                <w:rFonts w:ascii="宋体" w:hAnsi="宋体" w:cs="微软雅黑"/>
                <w:color w:val="auto"/>
                <w:kern w:val="0"/>
                <w:szCs w:val="21"/>
              </w:rPr>
            </w:pPr>
            <w:r>
              <w:rPr>
                <w:rFonts w:hint="eastAsia" w:ascii="宋体" w:hAnsi="宋体" w:cs="微软雅黑"/>
                <w:color w:val="auto"/>
                <w:kern w:val="0"/>
                <w:szCs w:val="21"/>
              </w:rPr>
              <w:t>二档（2 分）投入的施工材料有组织计划但计划一般，数量、选型配置、进场时间安排合理，基本满足施工需要。</w:t>
            </w:r>
          </w:p>
          <w:p w14:paraId="368A8F11">
            <w:pPr>
              <w:spacing w:line="400" w:lineRule="exact"/>
              <w:rPr>
                <w:rFonts w:ascii="宋体" w:hAnsi="宋体" w:cs="微软雅黑"/>
                <w:color w:val="auto"/>
                <w:kern w:val="0"/>
                <w:szCs w:val="21"/>
              </w:rPr>
            </w:pPr>
            <w:r>
              <w:rPr>
                <w:rFonts w:hint="eastAsia" w:ascii="宋体" w:hAnsi="宋体" w:cs="微软雅黑"/>
                <w:color w:val="auto"/>
                <w:kern w:val="0"/>
                <w:szCs w:val="21"/>
              </w:rPr>
              <w:t>一档（1 分）投入的施工材料无组织计划，数量、选型配置、进场时间安排不合理，不满足施工需要。</w:t>
            </w:r>
          </w:p>
        </w:tc>
      </w:tr>
      <w:tr w14:paraId="5AA1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93" w:type="dxa"/>
            <w:vMerge w:val="continue"/>
            <w:tcBorders>
              <w:right w:val="single" w:color="auto" w:sz="4" w:space="0"/>
            </w:tcBorders>
            <w:vAlign w:val="center"/>
          </w:tcPr>
          <w:p w14:paraId="22BD7AF2">
            <w:pPr>
              <w:spacing w:line="400" w:lineRule="exact"/>
              <w:rPr>
                <w:rFonts w:ascii="宋体" w:hAnsi="宋体"/>
                <w:color w:val="auto"/>
                <w:szCs w:val="21"/>
              </w:rPr>
            </w:pPr>
          </w:p>
        </w:tc>
        <w:tc>
          <w:tcPr>
            <w:tcW w:w="1276" w:type="dxa"/>
            <w:vMerge w:val="continue"/>
            <w:tcBorders>
              <w:left w:val="single" w:color="auto" w:sz="4" w:space="0"/>
            </w:tcBorders>
            <w:vAlign w:val="center"/>
          </w:tcPr>
          <w:p w14:paraId="6595AC85">
            <w:pPr>
              <w:spacing w:line="400" w:lineRule="exact"/>
              <w:rPr>
                <w:rFonts w:ascii="宋体" w:hAnsi="宋体"/>
                <w:color w:val="auto"/>
                <w:szCs w:val="21"/>
              </w:rPr>
            </w:pPr>
          </w:p>
        </w:tc>
        <w:tc>
          <w:tcPr>
            <w:tcW w:w="1559" w:type="dxa"/>
            <w:vAlign w:val="center"/>
          </w:tcPr>
          <w:p w14:paraId="6DA12606">
            <w:pPr>
              <w:spacing w:line="400" w:lineRule="exact"/>
              <w:rPr>
                <w:rFonts w:ascii="宋体" w:hAnsi="宋体" w:cs="微软雅黑"/>
                <w:color w:val="auto"/>
                <w:kern w:val="0"/>
                <w:szCs w:val="21"/>
              </w:rPr>
            </w:pPr>
            <w:r>
              <w:rPr>
                <w:rFonts w:hint="eastAsia" w:ascii="宋体" w:hAnsi="宋体" w:cs="微软雅黑"/>
                <w:color w:val="auto"/>
                <w:kern w:val="0"/>
                <w:szCs w:val="21"/>
              </w:rPr>
              <w:t>拟投入的主要施工机械、设备计划</w:t>
            </w:r>
          </w:p>
          <w:p w14:paraId="64718994">
            <w:pPr>
              <w:spacing w:line="400" w:lineRule="exact"/>
              <w:rPr>
                <w:rFonts w:ascii="宋体" w:hAnsi="宋体" w:cs="微软雅黑"/>
                <w:color w:val="auto"/>
                <w:kern w:val="0"/>
                <w:szCs w:val="21"/>
              </w:rPr>
            </w:pPr>
            <w:r>
              <w:rPr>
                <w:rFonts w:hint="eastAsia" w:ascii="宋体" w:hAnsi="宋体" w:cs="微软雅黑"/>
                <w:color w:val="auto"/>
                <w:kern w:val="0"/>
                <w:szCs w:val="21"/>
              </w:rPr>
              <w:t>（满分</w:t>
            </w:r>
            <w:r>
              <w:rPr>
                <w:rFonts w:ascii="宋体" w:hAnsi="宋体" w:cs="微软雅黑"/>
                <w:color w:val="auto"/>
                <w:kern w:val="0"/>
                <w:szCs w:val="21"/>
              </w:rPr>
              <w:t>6</w:t>
            </w:r>
            <w:r>
              <w:rPr>
                <w:rFonts w:hint="eastAsia" w:ascii="宋体" w:hAnsi="宋体" w:cs="微软雅黑"/>
                <w:color w:val="auto"/>
                <w:kern w:val="0"/>
                <w:szCs w:val="21"/>
              </w:rPr>
              <w:t>分）</w:t>
            </w:r>
          </w:p>
          <w:p w14:paraId="0AEC59DD">
            <w:pPr>
              <w:spacing w:line="400" w:lineRule="exact"/>
              <w:rPr>
                <w:rFonts w:ascii="宋体" w:hAnsi="宋体" w:cs="微软雅黑"/>
                <w:color w:val="auto"/>
                <w:kern w:val="0"/>
                <w:szCs w:val="21"/>
              </w:rPr>
            </w:pPr>
          </w:p>
        </w:tc>
        <w:tc>
          <w:tcPr>
            <w:tcW w:w="6078" w:type="dxa"/>
            <w:vAlign w:val="center"/>
          </w:tcPr>
          <w:p w14:paraId="66FF0021">
            <w:pPr>
              <w:spacing w:line="400" w:lineRule="exact"/>
              <w:rPr>
                <w:rFonts w:ascii="宋体" w:hAnsi="宋体" w:cs="微软雅黑"/>
                <w:color w:val="auto"/>
                <w:kern w:val="0"/>
                <w:szCs w:val="21"/>
              </w:rPr>
            </w:pPr>
            <w:r>
              <w:rPr>
                <w:rFonts w:hint="eastAsia" w:ascii="宋体" w:hAnsi="宋体" w:cs="微软雅黑"/>
                <w:color w:val="auto"/>
                <w:kern w:val="0"/>
                <w:szCs w:val="21"/>
              </w:rPr>
              <w:t>四档（</w:t>
            </w:r>
            <w:r>
              <w:rPr>
                <w:rFonts w:ascii="宋体" w:hAnsi="宋体" w:cs="微软雅黑"/>
                <w:color w:val="auto"/>
                <w:kern w:val="0"/>
                <w:szCs w:val="21"/>
              </w:rPr>
              <w:t>6</w:t>
            </w:r>
            <w:r>
              <w:rPr>
                <w:rFonts w:hint="eastAsia" w:ascii="宋体" w:hAnsi="宋体" w:cs="微软雅黑"/>
                <w:color w:val="auto"/>
                <w:kern w:val="0"/>
                <w:szCs w:val="21"/>
              </w:rPr>
              <w:t>分）投入的施工机械、设备、机具有详细的组织计划且计划周密，设备数量、选型配置、进场时间安排合理，满足施工需要。</w:t>
            </w:r>
          </w:p>
          <w:p w14:paraId="0C6A5C85">
            <w:pPr>
              <w:spacing w:line="400" w:lineRule="exact"/>
              <w:rPr>
                <w:rFonts w:ascii="宋体" w:hAnsi="宋体" w:cs="微软雅黑"/>
                <w:color w:val="auto"/>
                <w:kern w:val="0"/>
                <w:szCs w:val="21"/>
              </w:rPr>
            </w:pPr>
            <w:r>
              <w:rPr>
                <w:rFonts w:hint="eastAsia" w:ascii="宋体" w:hAnsi="宋体" w:cs="微软雅黑"/>
                <w:color w:val="auto"/>
                <w:kern w:val="0"/>
                <w:szCs w:val="21"/>
              </w:rPr>
              <w:t>三档（4 分）投入的施工机械、设备、机具有详细的组织计划但计划一般，设备数量、选型配置、进场时间安排合理，满足施工需要。</w:t>
            </w:r>
          </w:p>
          <w:p w14:paraId="7A202865">
            <w:pPr>
              <w:spacing w:line="400" w:lineRule="exact"/>
              <w:rPr>
                <w:rFonts w:ascii="宋体" w:hAnsi="宋体" w:cs="微软雅黑"/>
                <w:color w:val="auto"/>
                <w:kern w:val="0"/>
                <w:szCs w:val="21"/>
              </w:rPr>
            </w:pPr>
            <w:r>
              <w:rPr>
                <w:rFonts w:hint="eastAsia" w:ascii="宋体" w:hAnsi="宋体" w:cs="微软雅黑"/>
                <w:color w:val="auto"/>
                <w:kern w:val="0"/>
                <w:szCs w:val="21"/>
              </w:rPr>
              <w:t>二档（2 分）投入的施工机械、设备、机具有组织计划但计划一般，设备数量、选型配置、进场时间安排合理，基本满足施工需要。</w:t>
            </w:r>
          </w:p>
          <w:p w14:paraId="4F3979FE">
            <w:pPr>
              <w:spacing w:line="400" w:lineRule="exact"/>
              <w:rPr>
                <w:rFonts w:ascii="宋体" w:hAnsi="宋体" w:cs="微软雅黑"/>
                <w:color w:val="auto"/>
                <w:kern w:val="0"/>
                <w:szCs w:val="21"/>
              </w:rPr>
            </w:pPr>
            <w:r>
              <w:rPr>
                <w:rFonts w:hint="eastAsia" w:ascii="宋体" w:hAnsi="宋体" w:cs="微软雅黑"/>
                <w:color w:val="auto"/>
                <w:kern w:val="0"/>
                <w:szCs w:val="21"/>
              </w:rPr>
              <w:t>一档（1 分）投入的施工机械、设备、机具无组织计划，设备数量、选型配置、进场时间安排不合理，不满足施工需要。</w:t>
            </w:r>
          </w:p>
        </w:tc>
      </w:tr>
      <w:tr w14:paraId="72727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693" w:type="dxa"/>
            <w:vMerge w:val="continue"/>
            <w:tcBorders>
              <w:right w:val="single" w:color="auto" w:sz="4" w:space="0"/>
            </w:tcBorders>
            <w:vAlign w:val="center"/>
          </w:tcPr>
          <w:p w14:paraId="4FF4425A">
            <w:pPr>
              <w:spacing w:line="400" w:lineRule="exact"/>
              <w:rPr>
                <w:rFonts w:ascii="宋体" w:hAnsi="宋体"/>
                <w:color w:val="auto"/>
                <w:szCs w:val="21"/>
              </w:rPr>
            </w:pPr>
          </w:p>
        </w:tc>
        <w:tc>
          <w:tcPr>
            <w:tcW w:w="1276" w:type="dxa"/>
            <w:vMerge w:val="continue"/>
            <w:tcBorders>
              <w:left w:val="single" w:color="auto" w:sz="4" w:space="0"/>
            </w:tcBorders>
            <w:vAlign w:val="center"/>
          </w:tcPr>
          <w:p w14:paraId="2E67AA4F">
            <w:pPr>
              <w:spacing w:line="400" w:lineRule="exact"/>
              <w:rPr>
                <w:rFonts w:ascii="宋体" w:hAnsi="宋体"/>
                <w:color w:val="auto"/>
                <w:szCs w:val="21"/>
              </w:rPr>
            </w:pPr>
          </w:p>
        </w:tc>
        <w:tc>
          <w:tcPr>
            <w:tcW w:w="1559" w:type="dxa"/>
            <w:vAlign w:val="center"/>
          </w:tcPr>
          <w:p w14:paraId="64A0E139">
            <w:pPr>
              <w:spacing w:line="400" w:lineRule="exact"/>
              <w:rPr>
                <w:rFonts w:ascii="宋体" w:hAnsi="宋体" w:cs="微软雅黑"/>
                <w:color w:val="auto"/>
                <w:kern w:val="0"/>
                <w:szCs w:val="21"/>
              </w:rPr>
            </w:pPr>
            <w:r>
              <w:rPr>
                <w:rFonts w:hint="eastAsia" w:ascii="宋体" w:hAnsi="宋体" w:cs="微软雅黑"/>
                <w:color w:val="auto"/>
                <w:kern w:val="0"/>
                <w:szCs w:val="21"/>
              </w:rPr>
              <w:t>劳动力安排计划（满分6分）</w:t>
            </w:r>
          </w:p>
        </w:tc>
        <w:tc>
          <w:tcPr>
            <w:tcW w:w="6078" w:type="dxa"/>
            <w:vAlign w:val="center"/>
          </w:tcPr>
          <w:p w14:paraId="218C7687">
            <w:pPr>
              <w:spacing w:line="400" w:lineRule="exact"/>
              <w:rPr>
                <w:rFonts w:ascii="宋体" w:hAnsi="宋体" w:cs="微软雅黑"/>
                <w:color w:val="auto"/>
                <w:kern w:val="0"/>
                <w:szCs w:val="21"/>
              </w:rPr>
            </w:pPr>
            <w:r>
              <w:rPr>
                <w:rFonts w:hint="eastAsia" w:ascii="宋体" w:hAnsi="宋体" w:cs="微软雅黑"/>
                <w:color w:val="auto"/>
                <w:kern w:val="0"/>
                <w:szCs w:val="21"/>
              </w:rPr>
              <w:t>四档（6分）各主要施工工序有详细周密的劳动力安排计划，有各工种劳动力安排计划，劳动力投入合理，满足施工需要。</w:t>
            </w:r>
          </w:p>
          <w:p w14:paraId="24C49690">
            <w:pPr>
              <w:spacing w:line="400" w:lineRule="exact"/>
              <w:rPr>
                <w:rFonts w:ascii="宋体" w:hAnsi="宋体" w:cs="微软雅黑"/>
                <w:color w:val="auto"/>
                <w:kern w:val="0"/>
                <w:szCs w:val="21"/>
              </w:rPr>
            </w:pPr>
            <w:r>
              <w:rPr>
                <w:rFonts w:hint="eastAsia" w:ascii="宋体" w:hAnsi="宋体" w:cs="微软雅黑"/>
                <w:color w:val="auto"/>
                <w:kern w:val="0"/>
                <w:szCs w:val="21"/>
              </w:rPr>
              <w:t>三档（4分）各主要施工工序有劳动力安排计划，有各工种劳动力安排计划，劳动力投入合理，满足施工需要。</w:t>
            </w:r>
          </w:p>
          <w:p w14:paraId="7F8A5538">
            <w:pPr>
              <w:spacing w:line="400" w:lineRule="exact"/>
              <w:rPr>
                <w:rFonts w:ascii="宋体" w:hAnsi="宋体" w:cs="微软雅黑"/>
                <w:color w:val="auto"/>
                <w:kern w:val="0"/>
                <w:szCs w:val="21"/>
              </w:rPr>
            </w:pPr>
            <w:r>
              <w:rPr>
                <w:rFonts w:hint="eastAsia" w:ascii="宋体" w:hAnsi="宋体" w:cs="微软雅黑"/>
                <w:color w:val="auto"/>
                <w:kern w:val="0"/>
                <w:szCs w:val="21"/>
              </w:rPr>
              <w:t>二档（</w:t>
            </w:r>
            <w:r>
              <w:rPr>
                <w:rFonts w:ascii="宋体" w:hAnsi="宋体" w:cs="微软雅黑"/>
                <w:color w:val="auto"/>
                <w:kern w:val="0"/>
                <w:szCs w:val="21"/>
              </w:rPr>
              <w:t>2</w:t>
            </w:r>
            <w:r>
              <w:rPr>
                <w:rFonts w:hint="eastAsia" w:ascii="宋体" w:hAnsi="宋体" w:cs="微软雅黑"/>
                <w:color w:val="auto"/>
                <w:kern w:val="0"/>
                <w:szCs w:val="21"/>
              </w:rPr>
              <w:t>分）各主要施工工序只有劳动力安排计划，无各工种劳动力安排计划，劳动力投入合理，基本满足施工需要。</w:t>
            </w:r>
          </w:p>
          <w:p w14:paraId="387B97BA">
            <w:pPr>
              <w:spacing w:line="400" w:lineRule="exact"/>
              <w:rPr>
                <w:rFonts w:ascii="宋体" w:hAnsi="宋体" w:cs="微软雅黑"/>
                <w:color w:val="auto"/>
                <w:kern w:val="0"/>
                <w:szCs w:val="21"/>
              </w:rPr>
            </w:pPr>
            <w:r>
              <w:rPr>
                <w:rFonts w:hint="eastAsia" w:ascii="宋体" w:hAnsi="宋体" w:cs="微软雅黑"/>
                <w:color w:val="auto"/>
                <w:kern w:val="0"/>
                <w:szCs w:val="21"/>
              </w:rPr>
              <w:t>一档（</w:t>
            </w:r>
            <w:r>
              <w:rPr>
                <w:rFonts w:ascii="宋体" w:hAnsi="宋体" w:cs="微软雅黑"/>
                <w:color w:val="auto"/>
                <w:kern w:val="0"/>
                <w:szCs w:val="21"/>
              </w:rPr>
              <w:t>1</w:t>
            </w:r>
            <w:r>
              <w:rPr>
                <w:rFonts w:hint="eastAsia" w:ascii="宋体" w:hAnsi="宋体" w:cs="微软雅黑"/>
                <w:color w:val="auto"/>
                <w:kern w:val="0"/>
                <w:szCs w:val="21"/>
              </w:rPr>
              <w:t>分）各主要施工工序无劳动力安排计划，劳动力投入不合理，不满足施工需要。</w:t>
            </w:r>
          </w:p>
        </w:tc>
      </w:tr>
      <w:tr w14:paraId="4435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3" w:hRule="atLeast"/>
          <w:jc w:val="center"/>
        </w:trPr>
        <w:tc>
          <w:tcPr>
            <w:tcW w:w="693" w:type="dxa"/>
            <w:vMerge w:val="continue"/>
            <w:tcBorders>
              <w:right w:val="single" w:color="auto" w:sz="4" w:space="0"/>
            </w:tcBorders>
            <w:vAlign w:val="center"/>
          </w:tcPr>
          <w:p w14:paraId="23B312BE">
            <w:pPr>
              <w:spacing w:line="400" w:lineRule="exact"/>
              <w:rPr>
                <w:rFonts w:ascii="宋体" w:hAnsi="宋体"/>
                <w:color w:val="auto"/>
                <w:szCs w:val="21"/>
              </w:rPr>
            </w:pPr>
          </w:p>
        </w:tc>
        <w:tc>
          <w:tcPr>
            <w:tcW w:w="1276" w:type="dxa"/>
            <w:vMerge w:val="continue"/>
            <w:tcBorders>
              <w:left w:val="single" w:color="auto" w:sz="4" w:space="0"/>
            </w:tcBorders>
            <w:vAlign w:val="center"/>
          </w:tcPr>
          <w:p w14:paraId="68FA2EB6">
            <w:pPr>
              <w:spacing w:line="400" w:lineRule="exact"/>
              <w:rPr>
                <w:rFonts w:ascii="宋体" w:hAnsi="宋体"/>
                <w:color w:val="auto"/>
                <w:szCs w:val="21"/>
              </w:rPr>
            </w:pPr>
          </w:p>
        </w:tc>
        <w:tc>
          <w:tcPr>
            <w:tcW w:w="1559" w:type="dxa"/>
            <w:vAlign w:val="center"/>
          </w:tcPr>
          <w:p w14:paraId="72398F1A">
            <w:pPr>
              <w:spacing w:line="400" w:lineRule="exact"/>
              <w:rPr>
                <w:rFonts w:ascii="宋体" w:hAnsi="宋体" w:cs="微软雅黑"/>
                <w:color w:val="auto"/>
                <w:kern w:val="0"/>
                <w:szCs w:val="21"/>
              </w:rPr>
            </w:pPr>
            <w:r>
              <w:rPr>
                <w:rFonts w:hint="eastAsia" w:ascii="宋体" w:hAnsi="宋体" w:cs="微软雅黑"/>
                <w:color w:val="auto"/>
                <w:kern w:val="0"/>
                <w:szCs w:val="21"/>
              </w:rPr>
              <w:t>确保工程质量的技术组织措施（满分7分）</w:t>
            </w:r>
          </w:p>
          <w:p w14:paraId="5D97E5AD">
            <w:pPr>
              <w:spacing w:line="400" w:lineRule="exact"/>
              <w:rPr>
                <w:rFonts w:ascii="宋体" w:hAnsi="宋体" w:cs="微软雅黑"/>
                <w:color w:val="auto"/>
                <w:kern w:val="0"/>
                <w:szCs w:val="21"/>
              </w:rPr>
            </w:pPr>
          </w:p>
        </w:tc>
        <w:tc>
          <w:tcPr>
            <w:tcW w:w="6078" w:type="dxa"/>
            <w:vAlign w:val="center"/>
          </w:tcPr>
          <w:p w14:paraId="664EC523">
            <w:pPr>
              <w:spacing w:line="400" w:lineRule="exact"/>
              <w:rPr>
                <w:rFonts w:ascii="宋体" w:hAnsi="宋体" w:cs="微软雅黑"/>
                <w:color w:val="auto"/>
                <w:kern w:val="0"/>
                <w:szCs w:val="21"/>
              </w:rPr>
            </w:pPr>
            <w:r>
              <w:rPr>
                <w:rFonts w:hint="eastAsia" w:ascii="宋体" w:hAnsi="宋体" w:cs="微软雅黑"/>
                <w:color w:val="auto"/>
                <w:kern w:val="0"/>
                <w:szCs w:val="21"/>
              </w:rPr>
              <w:t>四档（7分）有专门的质量技术管理班子和制度，且人员配备合理，制度健全。主要工序有质量技术保证措施和手段，自控体系完整，能有效保证技术质量，达到承诺的质量标准。</w:t>
            </w:r>
          </w:p>
          <w:p w14:paraId="4315D41B">
            <w:pPr>
              <w:spacing w:line="400" w:lineRule="exact"/>
              <w:rPr>
                <w:rFonts w:ascii="宋体" w:hAnsi="宋体" w:cs="微软雅黑"/>
                <w:color w:val="auto"/>
                <w:kern w:val="0"/>
                <w:szCs w:val="21"/>
              </w:rPr>
            </w:pPr>
            <w:r>
              <w:rPr>
                <w:rFonts w:hint="eastAsia" w:ascii="宋体" w:hAnsi="宋体" w:cs="微软雅黑"/>
                <w:color w:val="auto"/>
                <w:kern w:val="0"/>
                <w:szCs w:val="21"/>
              </w:rPr>
              <w:t>三档（5分）有质量技术管理班子和制度，且人员配备合理，制度健全。主要工序有质量技术保证措施和手段，自控体系完整，能有效保证技术质量，达到承诺的质量标准。</w:t>
            </w:r>
          </w:p>
          <w:p w14:paraId="397BA6B8">
            <w:pPr>
              <w:spacing w:line="400" w:lineRule="exact"/>
              <w:rPr>
                <w:rFonts w:ascii="宋体" w:hAnsi="宋体" w:cs="微软雅黑"/>
                <w:color w:val="auto"/>
                <w:kern w:val="0"/>
                <w:szCs w:val="21"/>
              </w:rPr>
            </w:pPr>
            <w:r>
              <w:rPr>
                <w:rFonts w:hint="eastAsia" w:ascii="宋体" w:hAnsi="宋体" w:cs="微软雅黑"/>
                <w:color w:val="auto"/>
                <w:kern w:val="0"/>
                <w:szCs w:val="21"/>
              </w:rPr>
              <w:t>二档（3 分）有质量技术管理班子和制度。主要工序有质量技术保证措施和手段，自控体系一般，基本能保证技术质量，达到承诺的质量标准。</w:t>
            </w:r>
          </w:p>
          <w:p w14:paraId="04402A9B">
            <w:pPr>
              <w:spacing w:line="400" w:lineRule="exact"/>
              <w:rPr>
                <w:rFonts w:ascii="宋体" w:hAnsi="宋体" w:cs="微软雅黑"/>
                <w:color w:val="auto"/>
                <w:kern w:val="0"/>
                <w:szCs w:val="21"/>
              </w:rPr>
            </w:pPr>
            <w:r>
              <w:rPr>
                <w:rFonts w:hint="eastAsia" w:ascii="宋体" w:hAnsi="宋体" w:cs="微软雅黑"/>
                <w:color w:val="auto"/>
                <w:kern w:val="0"/>
                <w:szCs w:val="21"/>
              </w:rPr>
              <w:t>一档（</w:t>
            </w:r>
            <w:r>
              <w:rPr>
                <w:rFonts w:ascii="宋体" w:hAnsi="宋体" w:cs="微软雅黑"/>
                <w:color w:val="auto"/>
                <w:kern w:val="0"/>
                <w:szCs w:val="21"/>
              </w:rPr>
              <w:t xml:space="preserve">1 </w:t>
            </w:r>
            <w:r>
              <w:rPr>
                <w:rFonts w:hint="eastAsia" w:ascii="宋体" w:hAnsi="宋体" w:cs="微软雅黑"/>
                <w:color w:val="auto"/>
                <w:kern w:val="0"/>
                <w:szCs w:val="21"/>
              </w:rPr>
              <w:t>分）有质量技术管理班子和制度。主要工序无质量技术保证措施和手段，自控体系一般，不能有效保证技术质量。</w:t>
            </w:r>
          </w:p>
        </w:tc>
      </w:tr>
      <w:tr w14:paraId="169A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93" w:type="dxa"/>
            <w:vMerge w:val="continue"/>
            <w:tcBorders>
              <w:right w:val="single" w:color="auto" w:sz="4" w:space="0"/>
            </w:tcBorders>
            <w:vAlign w:val="center"/>
          </w:tcPr>
          <w:p w14:paraId="4C7306D6">
            <w:pPr>
              <w:spacing w:line="400" w:lineRule="exact"/>
              <w:rPr>
                <w:rFonts w:ascii="宋体" w:hAnsi="宋体"/>
                <w:color w:val="auto"/>
                <w:szCs w:val="21"/>
              </w:rPr>
            </w:pPr>
          </w:p>
        </w:tc>
        <w:tc>
          <w:tcPr>
            <w:tcW w:w="1276" w:type="dxa"/>
            <w:vMerge w:val="continue"/>
            <w:tcBorders>
              <w:left w:val="single" w:color="auto" w:sz="4" w:space="0"/>
            </w:tcBorders>
            <w:vAlign w:val="center"/>
          </w:tcPr>
          <w:p w14:paraId="5F61E397">
            <w:pPr>
              <w:spacing w:line="400" w:lineRule="exact"/>
              <w:rPr>
                <w:rFonts w:ascii="宋体" w:hAnsi="宋体"/>
                <w:color w:val="auto"/>
                <w:szCs w:val="21"/>
              </w:rPr>
            </w:pPr>
          </w:p>
        </w:tc>
        <w:tc>
          <w:tcPr>
            <w:tcW w:w="1559" w:type="dxa"/>
            <w:vAlign w:val="center"/>
          </w:tcPr>
          <w:p w14:paraId="4F5473F3">
            <w:pPr>
              <w:spacing w:line="400" w:lineRule="exact"/>
              <w:rPr>
                <w:rFonts w:ascii="宋体" w:hAnsi="宋体" w:cs="微软雅黑"/>
                <w:color w:val="auto"/>
                <w:kern w:val="0"/>
                <w:szCs w:val="21"/>
              </w:rPr>
            </w:pPr>
            <w:r>
              <w:rPr>
                <w:rFonts w:hint="eastAsia" w:ascii="宋体" w:hAnsi="宋体" w:cs="微软雅黑"/>
                <w:color w:val="auto"/>
                <w:kern w:val="0"/>
                <w:szCs w:val="21"/>
              </w:rPr>
              <w:t>确保安全生产的技术组织措施（满分</w:t>
            </w:r>
            <w:r>
              <w:rPr>
                <w:rFonts w:ascii="宋体" w:hAnsi="宋体" w:cs="微软雅黑"/>
                <w:color w:val="auto"/>
                <w:kern w:val="0"/>
                <w:szCs w:val="21"/>
              </w:rPr>
              <w:t>6</w:t>
            </w:r>
            <w:r>
              <w:rPr>
                <w:rFonts w:hint="eastAsia" w:ascii="宋体" w:hAnsi="宋体" w:cs="微软雅黑"/>
                <w:color w:val="auto"/>
                <w:kern w:val="0"/>
                <w:szCs w:val="21"/>
              </w:rPr>
              <w:t>分）</w:t>
            </w:r>
          </w:p>
          <w:p w14:paraId="64ED1692">
            <w:pPr>
              <w:spacing w:line="400" w:lineRule="exact"/>
              <w:rPr>
                <w:rFonts w:ascii="宋体" w:hAnsi="宋体" w:cs="微软雅黑"/>
                <w:color w:val="auto"/>
                <w:kern w:val="0"/>
                <w:szCs w:val="21"/>
              </w:rPr>
            </w:pPr>
          </w:p>
        </w:tc>
        <w:tc>
          <w:tcPr>
            <w:tcW w:w="6078" w:type="dxa"/>
            <w:vAlign w:val="center"/>
          </w:tcPr>
          <w:p w14:paraId="7AC830F5">
            <w:pPr>
              <w:spacing w:line="400" w:lineRule="exact"/>
              <w:rPr>
                <w:rFonts w:ascii="宋体" w:hAnsi="宋体" w:cs="微软雅黑"/>
                <w:color w:val="auto"/>
                <w:kern w:val="0"/>
                <w:szCs w:val="21"/>
              </w:rPr>
            </w:pPr>
            <w:r>
              <w:rPr>
                <w:rFonts w:hint="eastAsia" w:ascii="宋体" w:hAnsi="宋体" w:cs="微软雅黑"/>
                <w:color w:val="auto"/>
                <w:kern w:val="0"/>
                <w:szCs w:val="21"/>
              </w:rPr>
              <w:t>四档（</w:t>
            </w:r>
            <w:r>
              <w:rPr>
                <w:rFonts w:ascii="宋体" w:hAnsi="宋体" w:cs="微软雅黑"/>
                <w:color w:val="auto"/>
                <w:kern w:val="0"/>
                <w:szCs w:val="21"/>
              </w:rPr>
              <w:t xml:space="preserve">6 </w:t>
            </w:r>
            <w:r>
              <w:rPr>
                <w:rFonts w:hint="eastAsia" w:ascii="宋体" w:hAnsi="宋体" w:cs="微软雅黑"/>
                <w:color w:val="auto"/>
                <w:kern w:val="0"/>
                <w:szCs w:val="21"/>
              </w:rPr>
              <w:t>分）有专门的安全管理人员和制度，且人员配备合理，制度健全，各道工序安全技术措施针对性强，符合实际且满足有关安全技术标准要求。现场防火、应急救援、社会治安安全措施得力。</w:t>
            </w:r>
          </w:p>
          <w:p w14:paraId="450C7139">
            <w:pPr>
              <w:spacing w:line="400" w:lineRule="exact"/>
              <w:rPr>
                <w:rFonts w:ascii="宋体" w:hAnsi="宋体" w:cs="微软雅黑"/>
                <w:color w:val="auto"/>
                <w:kern w:val="0"/>
                <w:szCs w:val="21"/>
              </w:rPr>
            </w:pPr>
            <w:r>
              <w:rPr>
                <w:rFonts w:hint="eastAsia" w:ascii="宋体" w:hAnsi="宋体" w:cs="微软雅黑"/>
                <w:color w:val="auto"/>
                <w:kern w:val="0"/>
                <w:szCs w:val="21"/>
              </w:rPr>
              <w:t>三档（</w:t>
            </w:r>
            <w:r>
              <w:rPr>
                <w:rFonts w:ascii="宋体" w:hAnsi="宋体" w:cs="微软雅黑"/>
                <w:color w:val="auto"/>
                <w:kern w:val="0"/>
                <w:szCs w:val="21"/>
              </w:rPr>
              <w:t xml:space="preserve">4 </w:t>
            </w:r>
            <w:r>
              <w:rPr>
                <w:rFonts w:hint="eastAsia" w:ascii="宋体" w:hAnsi="宋体" w:cs="微软雅黑"/>
                <w:color w:val="auto"/>
                <w:kern w:val="0"/>
                <w:szCs w:val="21"/>
              </w:rPr>
              <w:t>分）有安全管理人员和制度，且人员配备合理，制度健全，各道工序安全技术措施有针对性，符合实际且满足有关安全技术标准要求。现场防火、应急救援、社会治安安全措施满足施工需求。</w:t>
            </w:r>
          </w:p>
          <w:p w14:paraId="39BE7898">
            <w:pPr>
              <w:spacing w:line="400" w:lineRule="exact"/>
              <w:rPr>
                <w:rFonts w:ascii="宋体" w:hAnsi="宋体" w:cs="微软雅黑"/>
                <w:color w:val="auto"/>
                <w:kern w:val="0"/>
                <w:szCs w:val="21"/>
              </w:rPr>
            </w:pPr>
            <w:r>
              <w:rPr>
                <w:rFonts w:hint="eastAsia" w:ascii="宋体" w:hAnsi="宋体" w:cs="微软雅黑"/>
                <w:color w:val="auto"/>
                <w:kern w:val="0"/>
                <w:szCs w:val="21"/>
              </w:rPr>
              <w:t>二档（2分）有安全管理人员和制度，人员配备一般，制度健全一般，各道工序安全技术措施针对性一般，基本满足有关安全技术标准要求。现场防火、应急救援、社会治安安全措施基本满足施工需求。</w:t>
            </w:r>
          </w:p>
          <w:p w14:paraId="7B112A2D">
            <w:pPr>
              <w:spacing w:line="400" w:lineRule="exact"/>
              <w:rPr>
                <w:rFonts w:ascii="宋体" w:hAnsi="宋体" w:cs="微软雅黑"/>
                <w:color w:val="auto"/>
                <w:kern w:val="0"/>
                <w:szCs w:val="21"/>
              </w:rPr>
            </w:pPr>
            <w:r>
              <w:rPr>
                <w:rFonts w:hint="eastAsia" w:ascii="宋体" w:hAnsi="宋体" w:cs="微软雅黑"/>
                <w:color w:val="auto"/>
                <w:kern w:val="0"/>
                <w:szCs w:val="21"/>
              </w:rPr>
              <w:t>一档（</w:t>
            </w:r>
            <w:r>
              <w:rPr>
                <w:rFonts w:ascii="宋体" w:hAnsi="宋体" w:cs="微软雅黑"/>
                <w:color w:val="auto"/>
                <w:kern w:val="0"/>
                <w:szCs w:val="21"/>
              </w:rPr>
              <w:t xml:space="preserve">1 </w:t>
            </w:r>
            <w:r>
              <w:rPr>
                <w:rFonts w:hint="eastAsia" w:ascii="宋体" w:hAnsi="宋体" w:cs="微软雅黑"/>
                <w:color w:val="auto"/>
                <w:kern w:val="0"/>
                <w:szCs w:val="21"/>
              </w:rPr>
              <w:t>分）有安全管理人员和制度，各道工序安全技术措施无针对性，满足有关安全技术标准要求。现场防火、应急救援、社会治安安全措施差。</w:t>
            </w:r>
          </w:p>
        </w:tc>
      </w:tr>
      <w:tr w14:paraId="596A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693" w:type="dxa"/>
            <w:vMerge w:val="continue"/>
            <w:tcBorders>
              <w:right w:val="single" w:color="auto" w:sz="4" w:space="0"/>
            </w:tcBorders>
            <w:vAlign w:val="center"/>
          </w:tcPr>
          <w:p w14:paraId="40D1AFAA">
            <w:pPr>
              <w:spacing w:line="400" w:lineRule="exact"/>
              <w:rPr>
                <w:rFonts w:ascii="宋体" w:hAnsi="宋体"/>
                <w:color w:val="auto"/>
                <w:szCs w:val="21"/>
              </w:rPr>
            </w:pPr>
          </w:p>
        </w:tc>
        <w:tc>
          <w:tcPr>
            <w:tcW w:w="1276" w:type="dxa"/>
            <w:vMerge w:val="continue"/>
            <w:tcBorders>
              <w:left w:val="single" w:color="auto" w:sz="4" w:space="0"/>
            </w:tcBorders>
            <w:vAlign w:val="center"/>
          </w:tcPr>
          <w:p w14:paraId="0BB60166">
            <w:pPr>
              <w:spacing w:line="400" w:lineRule="exact"/>
              <w:rPr>
                <w:rFonts w:ascii="宋体" w:hAnsi="宋体"/>
                <w:color w:val="auto"/>
                <w:szCs w:val="21"/>
              </w:rPr>
            </w:pPr>
          </w:p>
        </w:tc>
        <w:tc>
          <w:tcPr>
            <w:tcW w:w="1559" w:type="dxa"/>
            <w:vAlign w:val="center"/>
          </w:tcPr>
          <w:p w14:paraId="5BC8EA8E">
            <w:pPr>
              <w:spacing w:line="400" w:lineRule="exact"/>
              <w:rPr>
                <w:rFonts w:ascii="宋体" w:hAnsi="宋体" w:cs="微软雅黑"/>
                <w:color w:val="auto"/>
                <w:kern w:val="0"/>
                <w:szCs w:val="21"/>
              </w:rPr>
            </w:pPr>
            <w:r>
              <w:rPr>
                <w:rFonts w:hint="eastAsia" w:ascii="宋体" w:hAnsi="宋体" w:cs="微软雅黑"/>
                <w:color w:val="auto"/>
                <w:kern w:val="0"/>
                <w:szCs w:val="21"/>
              </w:rPr>
              <w:t>工程施工的重点和难点（满分</w:t>
            </w:r>
            <w:r>
              <w:rPr>
                <w:rFonts w:hint="eastAsia" w:ascii="宋体" w:hAnsi="宋体" w:cs="微软雅黑"/>
                <w:color w:val="auto"/>
                <w:kern w:val="0"/>
                <w:szCs w:val="21"/>
                <w:lang w:val="en-US" w:eastAsia="zh-CN"/>
              </w:rPr>
              <w:t>9</w:t>
            </w:r>
            <w:r>
              <w:rPr>
                <w:rFonts w:hint="eastAsia" w:ascii="宋体" w:hAnsi="宋体" w:cs="微软雅黑"/>
                <w:color w:val="auto"/>
                <w:kern w:val="0"/>
                <w:szCs w:val="21"/>
              </w:rPr>
              <w:t>分）</w:t>
            </w:r>
          </w:p>
        </w:tc>
        <w:tc>
          <w:tcPr>
            <w:tcW w:w="6078" w:type="dxa"/>
            <w:vAlign w:val="center"/>
          </w:tcPr>
          <w:p w14:paraId="2BFD61BA">
            <w:pPr>
              <w:spacing w:line="400" w:lineRule="exact"/>
              <w:ind w:left="315" w:hanging="315" w:hangingChars="150"/>
              <w:rPr>
                <w:rFonts w:ascii="宋体" w:hAnsi="宋体" w:cs="微软雅黑"/>
                <w:color w:val="auto"/>
                <w:kern w:val="0"/>
                <w:szCs w:val="21"/>
              </w:rPr>
            </w:pPr>
            <w:r>
              <w:rPr>
                <w:rFonts w:hint="eastAsia" w:ascii="宋体" w:hAnsi="宋体" w:cs="微软雅黑"/>
                <w:color w:val="auto"/>
                <w:kern w:val="0"/>
                <w:szCs w:val="21"/>
              </w:rPr>
              <w:t>四档（</w:t>
            </w:r>
            <w:r>
              <w:rPr>
                <w:rFonts w:hint="eastAsia" w:ascii="宋体" w:hAnsi="宋体" w:cs="微软雅黑"/>
                <w:color w:val="auto"/>
                <w:kern w:val="0"/>
                <w:szCs w:val="21"/>
                <w:lang w:val="en-US" w:eastAsia="zh-CN"/>
              </w:rPr>
              <w:t>9</w:t>
            </w:r>
            <w:r>
              <w:rPr>
                <w:rFonts w:hint="eastAsia" w:ascii="宋体" w:hAnsi="宋体" w:cs="微软雅黑"/>
                <w:color w:val="auto"/>
                <w:kern w:val="0"/>
                <w:szCs w:val="21"/>
              </w:rPr>
              <w:t>分）针对本工程的特点，详细阐述了本工程的重点和难点，解决重点和难点问题的方法合理、可行。</w:t>
            </w:r>
          </w:p>
          <w:p w14:paraId="3C3F6FC9">
            <w:pPr>
              <w:spacing w:line="400" w:lineRule="exact"/>
              <w:ind w:left="315" w:hanging="315" w:hangingChars="150"/>
              <w:rPr>
                <w:rFonts w:ascii="宋体" w:hAnsi="宋体" w:cs="微软雅黑"/>
                <w:color w:val="auto"/>
                <w:kern w:val="0"/>
                <w:szCs w:val="21"/>
              </w:rPr>
            </w:pPr>
            <w:r>
              <w:rPr>
                <w:rFonts w:hint="eastAsia" w:ascii="宋体" w:hAnsi="宋体" w:cs="微软雅黑"/>
                <w:color w:val="auto"/>
                <w:kern w:val="0"/>
                <w:szCs w:val="21"/>
              </w:rPr>
              <w:t>三档（</w:t>
            </w:r>
            <w:r>
              <w:rPr>
                <w:rFonts w:hint="eastAsia" w:ascii="宋体" w:hAnsi="宋体" w:cs="微软雅黑"/>
                <w:color w:val="auto"/>
                <w:kern w:val="0"/>
                <w:szCs w:val="21"/>
                <w:lang w:val="en-US" w:eastAsia="zh-CN"/>
              </w:rPr>
              <w:t>6</w:t>
            </w:r>
            <w:r>
              <w:rPr>
                <w:rFonts w:hint="eastAsia" w:ascii="宋体" w:hAnsi="宋体" w:cs="微软雅黑"/>
                <w:color w:val="auto"/>
                <w:kern w:val="0"/>
                <w:szCs w:val="21"/>
              </w:rPr>
              <w:t>分）针对本工程的特点，阐述了本工程的重点和难点，解决重点和难点问题的方法合理。</w:t>
            </w:r>
          </w:p>
          <w:p w14:paraId="010DF51E">
            <w:pPr>
              <w:spacing w:line="400" w:lineRule="exact"/>
              <w:ind w:left="315" w:hanging="315" w:hangingChars="150"/>
              <w:rPr>
                <w:rFonts w:ascii="宋体" w:hAnsi="宋体" w:cs="微软雅黑"/>
                <w:color w:val="auto"/>
                <w:kern w:val="0"/>
                <w:szCs w:val="21"/>
              </w:rPr>
            </w:pPr>
            <w:r>
              <w:rPr>
                <w:rFonts w:hint="eastAsia" w:ascii="宋体" w:hAnsi="宋体" w:cs="微软雅黑"/>
                <w:color w:val="auto"/>
                <w:kern w:val="0"/>
                <w:szCs w:val="21"/>
              </w:rPr>
              <w:t>二档（</w:t>
            </w:r>
            <w:r>
              <w:rPr>
                <w:rFonts w:hint="eastAsia" w:ascii="宋体" w:hAnsi="宋体" w:cs="微软雅黑"/>
                <w:color w:val="auto"/>
                <w:kern w:val="0"/>
                <w:szCs w:val="21"/>
                <w:lang w:val="en-US" w:eastAsia="zh-CN"/>
              </w:rPr>
              <w:t>3</w:t>
            </w:r>
            <w:r>
              <w:rPr>
                <w:rFonts w:hint="eastAsia" w:ascii="宋体" w:hAnsi="宋体" w:cs="微软雅黑"/>
                <w:color w:val="auto"/>
                <w:kern w:val="0"/>
                <w:szCs w:val="21"/>
              </w:rPr>
              <w:t>分）简单阐述了本工程的重点和难点，解决重点和难点问题的方法一般。</w:t>
            </w:r>
          </w:p>
          <w:p w14:paraId="61D8F64E">
            <w:pPr>
              <w:spacing w:line="400" w:lineRule="exact"/>
              <w:ind w:left="210" w:hanging="210" w:hangingChars="100"/>
              <w:rPr>
                <w:rFonts w:ascii="宋体" w:hAnsi="宋体" w:cs="微软雅黑"/>
                <w:color w:val="auto"/>
                <w:kern w:val="0"/>
                <w:szCs w:val="21"/>
              </w:rPr>
            </w:pPr>
            <w:r>
              <w:rPr>
                <w:rFonts w:hint="eastAsia" w:ascii="宋体" w:hAnsi="宋体" w:cs="微软雅黑"/>
                <w:color w:val="auto"/>
                <w:kern w:val="0"/>
                <w:szCs w:val="21"/>
              </w:rPr>
              <w:t>一档（</w:t>
            </w:r>
            <w:r>
              <w:rPr>
                <w:rFonts w:ascii="宋体" w:hAnsi="宋体" w:cs="微软雅黑"/>
                <w:color w:val="auto"/>
                <w:kern w:val="0"/>
                <w:szCs w:val="21"/>
              </w:rPr>
              <w:t xml:space="preserve">1 </w:t>
            </w:r>
            <w:r>
              <w:rPr>
                <w:rFonts w:hint="eastAsia" w:ascii="宋体" w:hAnsi="宋体" w:cs="微软雅黑"/>
                <w:color w:val="auto"/>
                <w:kern w:val="0"/>
                <w:szCs w:val="21"/>
              </w:rPr>
              <w:t>分）未阐述本工程的重点和难点，无解决及保证措施重点和难点问题的方法。</w:t>
            </w:r>
          </w:p>
        </w:tc>
      </w:tr>
      <w:tr w14:paraId="1650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606" w:type="dxa"/>
            <w:gridSpan w:val="4"/>
          </w:tcPr>
          <w:p w14:paraId="7C44C31B">
            <w:pPr>
              <w:widowControl/>
              <w:spacing w:line="400" w:lineRule="exact"/>
              <w:jc w:val="left"/>
              <w:rPr>
                <w:rFonts w:ascii="宋体" w:hAnsi="宋体" w:cs="宋体"/>
                <w:color w:val="auto"/>
                <w:kern w:val="0"/>
                <w:szCs w:val="21"/>
              </w:rPr>
            </w:pPr>
            <w:r>
              <w:rPr>
                <w:rFonts w:hint="eastAsia" w:hAnsi="宋体" w:cs="宋体"/>
                <w:bCs/>
                <w:color w:val="auto"/>
                <w:szCs w:val="21"/>
              </w:rPr>
              <w:t>总得分＝</w:t>
            </w:r>
            <w:r>
              <w:rPr>
                <w:rFonts w:hint="eastAsia"/>
                <w:color w:val="auto"/>
                <w:szCs w:val="21"/>
              </w:rPr>
              <w:t>价格</w:t>
            </w:r>
            <w:r>
              <w:rPr>
                <w:color w:val="auto"/>
                <w:szCs w:val="21"/>
              </w:rPr>
              <w:t>分</w:t>
            </w:r>
            <w:r>
              <w:rPr>
                <w:rFonts w:eastAsia="Times New Roman"/>
                <w:color w:val="auto"/>
                <w:szCs w:val="21"/>
              </w:rPr>
              <w:t>+</w:t>
            </w:r>
            <w:r>
              <w:rPr>
                <w:rFonts w:hint="eastAsia"/>
                <w:color w:val="auto"/>
                <w:szCs w:val="21"/>
              </w:rPr>
              <w:t>技术</w:t>
            </w:r>
            <w:r>
              <w:rPr>
                <w:color w:val="auto"/>
                <w:szCs w:val="21"/>
              </w:rPr>
              <w:t>分</w:t>
            </w:r>
          </w:p>
        </w:tc>
      </w:tr>
    </w:tbl>
    <w:p w14:paraId="05B17DF5">
      <w:pPr>
        <w:keepNext w:val="0"/>
        <w:keepLines w:val="0"/>
        <w:pageBreakBefore w:val="0"/>
        <w:widowControl w:val="0"/>
        <w:kinsoku/>
        <w:wordWrap/>
        <w:overflowPunct/>
        <w:topLinePunct w:val="0"/>
        <w:autoSpaceDE/>
        <w:autoSpaceDN/>
        <w:bidi w:val="0"/>
        <w:adjustRightInd/>
        <w:snapToGrid/>
        <w:spacing w:line="520" w:lineRule="exact"/>
        <w:ind w:firstLine="413" w:firstLineChars="196"/>
        <w:textAlignment w:val="auto"/>
        <w:rPr>
          <w:b/>
          <w:bCs/>
          <w:color w:val="auto"/>
          <w:szCs w:val="21"/>
        </w:rPr>
      </w:pPr>
      <w:r>
        <w:rPr>
          <w:rFonts w:hint="eastAsia"/>
          <w:b/>
          <w:bCs/>
          <w:color w:val="auto"/>
          <w:szCs w:val="21"/>
        </w:rPr>
        <w:t>三、总分（100分）</w:t>
      </w:r>
    </w:p>
    <w:p w14:paraId="5C8D6F40">
      <w:pPr>
        <w:keepNext w:val="0"/>
        <w:keepLines w:val="0"/>
        <w:pageBreakBefore w:val="0"/>
        <w:widowControl w:val="0"/>
        <w:kinsoku/>
        <w:wordWrap/>
        <w:overflowPunct/>
        <w:topLinePunct w:val="0"/>
        <w:autoSpaceDE/>
        <w:autoSpaceDN/>
        <w:bidi w:val="0"/>
        <w:adjustRightInd/>
        <w:snapToGrid/>
        <w:spacing w:line="520" w:lineRule="exact"/>
        <w:ind w:firstLine="411" w:firstLineChars="196"/>
        <w:textAlignment w:val="auto"/>
        <w:rPr>
          <w:rFonts w:hint="default" w:ascii="宋体" w:hAnsi="宋体" w:eastAsia="宋体" w:cs="宋体"/>
          <w:color w:val="auto"/>
          <w:szCs w:val="21"/>
          <w:lang w:val="en-US" w:eastAsia="zh-CN"/>
        </w:rPr>
      </w:pPr>
      <w:r>
        <w:rPr>
          <w:rFonts w:hint="eastAsia" w:ascii="宋体" w:hAnsi="宋体" w:cs="宋体"/>
          <w:color w:val="auto"/>
          <w:szCs w:val="21"/>
        </w:rPr>
        <w:t>计算公式：总分＝价格分+技术分</w:t>
      </w:r>
    </w:p>
    <w:p w14:paraId="3C44437F">
      <w:pPr>
        <w:keepNext w:val="0"/>
        <w:keepLines w:val="0"/>
        <w:pageBreakBefore w:val="0"/>
        <w:widowControl w:val="0"/>
        <w:kinsoku/>
        <w:wordWrap/>
        <w:overflowPunct/>
        <w:topLinePunct w:val="0"/>
        <w:autoSpaceDE/>
        <w:autoSpaceDN/>
        <w:bidi w:val="0"/>
        <w:adjustRightInd/>
        <w:snapToGrid/>
        <w:spacing w:line="520" w:lineRule="exact"/>
        <w:ind w:firstLine="411" w:firstLineChars="196"/>
        <w:textAlignment w:val="auto"/>
        <w:rPr>
          <w:rFonts w:ascii="宋体" w:hAnsi="宋体" w:cs="宋体"/>
          <w:color w:val="auto"/>
          <w:szCs w:val="21"/>
        </w:rPr>
      </w:pPr>
      <w:r>
        <w:rPr>
          <w:rFonts w:hint="eastAsia" w:ascii="宋体" w:hAnsi="宋体" w:cs="宋体"/>
          <w:color w:val="auto"/>
          <w:szCs w:val="21"/>
        </w:rPr>
        <w:t>备注：各项指标的分数计算四舍五入，取小数点后两位。</w:t>
      </w:r>
    </w:p>
    <w:p w14:paraId="32EE0889">
      <w:pPr>
        <w:keepNext w:val="0"/>
        <w:keepLines w:val="0"/>
        <w:pageBreakBefore w:val="0"/>
        <w:widowControl w:val="0"/>
        <w:kinsoku/>
        <w:wordWrap/>
        <w:overflowPunct/>
        <w:topLinePunct w:val="0"/>
        <w:autoSpaceDE/>
        <w:autoSpaceDN/>
        <w:bidi w:val="0"/>
        <w:adjustRightInd/>
        <w:snapToGrid/>
        <w:spacing w:line="520" w:lineRule="exact"/>
        <w:ind w:firstLine="413" w:firstLineChars="196"/>
        <w:textAlignment w:val="auto"/>
        <w:rPr>
          <w:b/>
          <w:bCs/>
          <w:color w:val="auto"/>
          <w:szCs w:val="21"/>
        </w:rPr>
      </w:pPr>
      <w:r>
        <w:rPr>
          <w:rFonts w:hint="eastAsia"/>
          <w:b/>
          <w:bCs/>
          <w:color w:val="auto"/>
          <w:szCs w:val="21"/>
        </w:rPr>
        <w:t>四、</w:t>
      </w:r>
      <w:r>
        <w:rPr>
          <w:rFonts w:hint="eastAsia" w:ascii="宋体" w:hAnsi="宋体" w:cs="宋体"/>
          <w:b/>
          <w:color w:val="auto"/>
          <w:szCs w:val="21"/>
        </w:rPr>
        <w:t>成交候选供应商推荐原则</w:t>
      </w:r>
    </w:p>
    <w:p w14:paraId="7BFFA6C5">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cs="宋体"/>
          <w:color w:val="auto"/>
          <w:szCs w:val="21"/>
        </w:rPr>
      </w:pPr>
      <w:r>
        <w:rPr>
          <w:rFonts w:ascii="宋体" w:hAnsi="宋体" w:cs="宋体"/>
          <w:color w:val="auto"/>
          <w:szCs w:val="21"/>
        </w:rPr>
        <w:t>磋商小组应当根据综合评分情况，按照评审得分由高到低顺序推荐3名以上成交候选供应商，并编写评审报告。评审得分相同的，按照最后报价由低到高的顺序推荐。评审得分且最后报价相同的，按照</w:t>
      </w:r>
      <w:r>
        <w:rPr>
          <w:rFonts w:hint="eastAsia" w:ascii="宋体" w:hAnsi="宋体" w:cs="宋体"/>
          <w:color w:val="auto"/>
          <w:szCs w:val="21"/>
        </w:rPr>
        <w:t>技术部分得分从高到低</w:t>
      </w:r>
      <w:r>
        <w:rPr>
          <w:rFonts w:ascii="宋体" w:hAnsi="宋体" w:cs="宋体"/>
          <w:color w:val="auto"/>
          <w:szCs w:val="21"/>
        </w:rPr>
        <w:t>顺序推荐。</w:t>
      </w:r>
    </w:p>
    <w:p w14:paraId="1C6B2267">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cs="宋体"/>
          <w:color w:val="auto"/>
          <w:szCs w:val="21"/>
        </w:rPr>
      </w:pPr>
      <w:r>
        <w:rPr>
          <w:rFonts w:ascii="宋体" w:hAnsi="宋体" w:cs="宋体"/>
          <w:color w:val="auto"/>
          <w:szCs w:val="21"/>
        </w:rPr>
        <w:t>采购人应当在收到评审报告后</w:t>
      </w:r>
      <w:r>
        <w:rPr>
          <w:rFonts w:hint="eastAsia" w:ascii="宋体" w:hAnsi="宋体" w:cs="宋体"/>
          <w:color w:val="auto"/>
          <w:szCs w:val="21"/>
        </w:rPr>
        <w:t>2</w:t>
      </w:r>
      <w:r>
        <w:rPr>
          <w:rFonts w:ascii="宋体" w:hAnsi="宋体" w:cs="宋体"/>
          <w:color w:val="auto"/>
          <w:szCs w:val="21"/>
        </w:rPr>
        <w:t>个工作日内，</w:t>
      </w:r>
      <w:r>
        <w:rPr>
          <w:rFonts w:hint="eastAsia" w:ascii="宋体" w:hAnsi="宋体" w:cs="宋体"/>
          <w:color w:val="auto"/>
          <w:szCs w:val="21"/>
        </w:rPr>
        <w:t>根据</w:t>
      </w:r>
      <w:r>
        <w:rPr>
          <w:rFonts w:ascii="宋体" w:hAnsi="宋体" w:cs="宋体"/>
          <w:color w:val="auto"/>
          <w:szCs w:val="21"/>
        </w:rPr>
        <w:t>评审报告按照</w:t>
      </w:r>
      <w:r>
        <w:rPr>
          <w:rFonts w:hint="eastAsia" w:ascii="宋体" w:hAnsi="宋体" w:cs="宋体"/>
          <w:color w:val="auto"/>
          <w:szCs w:val="21"/>
        </w:rPr>
        <w:t>评审总得分</w:t>
      </w:r>
      <w:r>
        <w:rPr>
          <w:rFonts w:ascii="宋体" w:hAnsi="宋体" w:cs="宋体"/>
          <w:color w:val="auto"/>
          <w:szCs w:val="21"/>
        </w:rPr>
        <w:t>排序由高到低的原则确定成交供应商。</w:t>
      </w:r>
      <w:r>
        <w:rPr>
          <w:rFonts w:hint="eastAsia" w:ascii="宋体" w:hAnsi="宋体" w:cs="宋体"/>
          <w:color w:val="auto"/>
          <w:szCs w:val="21"/>
        </w:rPr>
        <w:t>采购人逾期未确定成交供应商且不提出异议的，视为确定评审报告提出的排序第一的供应商为成交供应商。</w:t>
      </w:r>
    </w:p>
    <w:p w14:paraId="7EFD6840">
      <w:pPr>
        <w:bidi w:val="0"/>
        <w:rPr>
          <w:rFonts w:hint="eastAsia"/>
          <w:color w:val="auto"/>
          <w:lang w:val="en-US" w:eastAsia="zh-CN"/>
        </w:rPr>
      </w:pPr>
    </w:p>
    <w:p w14:paraId="28247F47">
      <w:pPr>
        <w:bidi w:val="0"/>
        <w:rPr>
          <w:rFonts w:hint="eastAsia"/>
          <w:color w:val="auto"/>
          <w:lang w:val="en-US" w:eastAsia="zh-CN"/>
        </w:rPr>
      </w:pPr>
    </w:p>
    <w:p w14:paraId="32876561">
      <w:pPr>
        <w:pStyle w:val="58"/>
        <w:rPr>
          <w:rFonts w:hint="eastAsia"/>
          <w:color w:val="auto"/>
          <w:lang w:val="en-US" w:eastAsia="zh-CN"/>
        </w:rPr>
      </w:pPr>
    </w:p>
    <w:p w14:paraId="1C3D382F">
      <w:pPr>
        <w:pStyle w:val="58"/>
        <w:rPr>
          <w:rFonts w:hint="eastAsia"/>
          <w:color w:val="auto"/>
          <w:lang w:val="en-US" w:eastAsia="zh-CN"/>
        </w:rPr>
      </w:pPr>
    </w:p>
    <w:p w14:paraId="2325F27B">
      <w:pPr>
        <w:pStyle w:val="58"/>
        <w:rPr>
          <w:rFonts w:hint="eastAsia"/>
          <w:color w:val="auto"/>
          <w:lang w:val="en-US" w:eastAsia="zh-CN"/>
        </w:rPr>
      </w:pPr>
    </w:p>
    <w:p w14:paraId="00C7121B">
      <w:pPr>
        <w:pStyle w:val="58"/>
        <w:rPr>
          <w:rFonts w:hint="eastAsia"/>
          <w:color w:val="auto"/>
          <w:lang w:val="en-US" w:eastAsia="zh-CN"/>
        </w:rPr>
      </w:pPr>
    </w:p>
    <w:p w14:paraId="67FFE092">
      <w:pPr>
        <w:pStyle w:val="58"/>
        <w:rPr>
          <w:rFonts w:hint="eastAsia"/>
          <w:color w:val="auto"/>
          <w:lang w:val="en-US" w:eastAsia="zh-CN"/>
        </w:rPr>
      </w:pPr>
    </w:p>
    <w:p w14:paraId="0A332815">
      <w:pPr>
        <w:rPr>
          <w:rFonts w:hint="eastAsia"/>
          <w:color w:val="auto"/>
          <w:lang w:val="en-US" w:eastAsia="zh-CN"/>
        </w:rPr>
      </w:pPr>
      <w:bookmarkStart w:id="127" w:name="_Toc18266"/>
      <w:r>
        <w:rPr>
          <w:rFonts w:hint="eastAsia"/>
          <w:color w:val="auto"/>
          <w:lang w:val="en-US" w:eastAsia="zh-CN"/>
        </w:rPr>
        <w:br w:type="page"/>
      </w:r>
    </w:p>
    <w:p w14:paraId="0E3851EB">
      <w:pPr>
        <w:pStyle w:val="2"/>
        <w:keepNext/>
        <w:keepLines/>
        <w:pageBreakBefore w:val="0"/>
        <w:widowControl w:val="0"/>
        <w:kinsoku/>
        <w:wordWrap/>
        <w:overflowPunct/>
        <w:topLinePunct w:val="0"/>
        <w:autoSpaceDE/>
        <w:autoSpaceDN/>
        <w:bidi w:val="0"/>
        <w:adjustRightInd/>
        <w:snapToGrid/>
        <w:spacing w:before="0" w:after="0" w:line="520" w:lineRule="exact"/>
        <w:ind w:firstLine="1767" w:firstLineChars="400"/>
        <w:textAlignment w:val="auto"/>
        <w:rPr>
          <w:color w:val="auto"/>
        </w:rPr>
      </w:pPr>
      <w:r>
        <w:rPr>
          <w:rFonts w:hint="eastAsia"/>
          <w:color w:val="auto"/>
          <w:lang w:val="en-US" w:eastAsia="zh-CN"/>
        </w:rPr>
        <w:t>第四章</w:t>
      </w:r>
      <w:r>
        <w:rPr>
          <w:rFonts w:hint="eastAsia"/>
          <w:color w:val="auto"/>
        </w:rPr>
        <w:t>合同条款及格式</w:t>
      </w:r>
      <w:bookmarkEnd w:id="120"/>
      <w:bookmarkEnd w:id="127"/>
    </w:p>
    <w:bookmarkEnd w:id="121"/>
    <w:bookmarkEnd w:id="122"/>
    <w:bookmarkEnd w:id="123"/>
    <w:bookmarkEnd w:id="124"/>
    <w:bookmarkEnd w:id="125"/>
    <w:p w14:paraId="7C8C9C4C">
      <w:pPr>
        <w:rPr>
          <w:color w:val="auto"/>
        </w:rPr>
      </w:pPr>
      <w:bookmarkStart w:id="128" w:name="_Toc346264358"/>
    </w:p>
    <w:p w14:paraId="73789085">
      <w:pPr>
        <w:rPr>
          <w:color w:val="auto"/>
        </w:rPr>
      </w:pPr>
    </w:p>
    <w:p w14:paraId="48185057">
      <w:pPr>
        <w:widowControl/>
        <w:jc w:val="center"/>
        <w:rPr>
          <w:color w:val="auto"/>
        </w:rPr>
      </w:pPr>
      <w:r>
        <w:rPr>
          <w:rFonts w:hint="eastAsia" w:ascii="宋体" w:hAnsi="宋体" w:cs="宋体"/>
          <w:b/>
          <w:color w:val="auto"/>
          <w:kern w:val="0"/>
          <w:sz w:val="44"/>
          <w:szCs w:val="44"/>
        </w:rPr>
        <w:t>__________________工程施工合同</w:t>
      </w:r>
    </w:p>
    <w:p w14:paraId="04DEDD3D">
      <w:pPr>
        <w:widowControl/>
        <w:jc w:val="left"/>
        <w:rPr>
          <w:rFonts w:ascii="宋体" w:hAnsi="宋体" w:cs="宋体"/>
          <w:color w:val="auto"/>
          <w:kern w:val="0"/>
          <w:sz w:val="30"/>
          <w:szCs w:val="30"/>
        </w:rPr>
      </w:pPr>
    </w:p>
    <w:p w14:paraId="204F6D0A">
      <w:pPr>
        <w:widowControl/>
        <w:jc w:val="left"/>
        <w:rPr>
          <w:rFonts w:ascii="宋体" w:hAnsi="宋体" w:cs="宋体"/>
          <w:color w:val="auto"/>
          <w:kern w:val="0"/>
          <w:sz w:val="30"/>
          <w:szCs w:val="30"/>
        </w:rPr>
      </w:pPr>
    </w:p>
    <w:p w14:paraId="2A15B9F5">
      <w:pPr>
        <w:widowControl/>
        <w:jc w:val="left"/>
        <w:rPr>
          <w:rFonts w:ascii="宋体" w:hAnsi="宋体" w:cs="宋体"/>
          <w:color w:val="auto"/>
          <w:kern w:val="0"/>
          <w:sz w:val="30"/>
          <w:szCs w:val="30"/>
        </w:rPr>
      </w:pPr>
    </w:p>
    <w:p w14:paraId="1CAF539D">
      <w:pPr>
        <w:widowControl/>
        <w:jc w:val="left"/>
        <w:rPr>
          <w:rFonts w:ascii="宋体" w:hAnsi="宋体" w:cs="宋体"/>
          <w:color w:val="auto"/>
          <w:kern w:val="0"/>
          <w:sz w:val="30"/>
          <w:szCs w:val="30"/>
        </w:rPr>
      </w:pPr>
    </w:p>
    <w:p w14:paraId="109D05DE">
      <w:pPr>
        <w:widowControl/>
        <w:jc w:val="left"/>
        <w:rPr>
          <w:rFonts w:ascii="宋体" w:hAnsi="宋体" w:cs="宋体"/>
          <w:color w:val="auto"/>
          <w:kern w:val="0"/>
          <w:sz w:val="30"/>
          <w:szCs w:val="30"/>
        </w:rPr>
      </w:pPr>
    </w:p>
    <w:p w14:paraId="31BFF6F7">
      <w:pPr>
        <w:widowControl/>
        <w:spacing w:line="720" w:lineRule="auto"/>
        <w:jc w:val="left"/>
        <w:rPr>
          <w:color w:val="auto"/>
        </w:rPr>
      </w:pPr>
      <w:r>
        <w:rPr>
          <w:rFonts w:hint="eastAsia" w:ascii="宋体" w:hAnsi="宋体" w:cs="宋体"/>
          <w:color w:val="auto"/>
          <w:kern w:val="0"/>
          <w:sz w:val="30"/>
          <w:szCs w:val="30"/>
        </w:rPr>
        <w:t>发包方：</w:t>
      </w:r>
      <w:r>
        <w:rPr>
          <w:rFonts w:hint="eastAsia" w:ascii="宋体" w:hAnsi="宋体" w:cs="宋体"/>
          <w:b/>
          <w:color w:val="auto"/>
          <w:kern w:val="0"/>
          <w:sz w:val="44"/>
          <w:szCs w:val="44"/>
        </w:rPr>
        <w:t>__________________</w:t>
      </w:r>
    </w:p>
    <w:p w14:paraId="5E181B7D">
      <w:pPr>
        <w:widowControl/>
        <w:spacing w:line="720" w:lineRule="auto"/>
        <w:jc w:val="left"/>
        <w:rPr>
          <w:color w:val="auto"/>
        </w:rPr>
      </w:pPr>
      <w:r>
        <w:rPr>
          <w:rFonts w:hint="eastAsia" w:ascii="宋体" w:hAnsi="宋体" w:cs="宋体"/>
          <w:color w:val="auto"/>
          <w:kern w:val="0"/>
          <w:sz w:val="30"/>
          <w:szCs w:val="30"/>
        </w:rPr>
        <w:t>承包方：</w:t>
      </w:r>
      <w:r>
        <w:rPr>
          <w:rFonts w:hint="eastAsia" w:ascii="宋体" w:hAnsi="宋体" w:cs="宋体"/>
          <w:b/>
          <w:color w:val="auto"/>
          <w:kern w:val="0"/>
          <w:sz w:val="44"/>
          <w:szCs w:val="44"/>
        </w:rPr>
        <w:t>__________________</w:t>
      </w:r>
    </w:p>
    <w:p w14:paraId="34703812">
      <w:pPr>
        <w:widowControl/>
        <w:spacing w:line="720" w:lineRule="auto"/>
        <w:jc w:val="left"/>
        <w:rPr>
          <w:color w:val="auto"/>
        </w:rPr>
      </w:pPr>
      <w:r>
        <w:rPr>
          <w:rFonts w:hint="eastAsia" w:ascii="宋体" w:hAnsi="宋体" w:cs="宋体"/>
          <w:color w:val="auto"/>
          <w:kern w:val="0"/>
          <w:sz w:val="30"/>
          <w:szCs w:val="30"/>
        </w:rPr>
        <w:t>工程地点：</w:t>
      </w:r>
      <w:r>
        <w:rPr>
          <w:rFonts w:hint="eastAsia" w:ascii="宋体" w:hAnsi="宋体" w:cs="宋体"/>
          <w:b/>
          <w:color w:val="auto"/>
          <w:kern w:val="0"/>
          <w:sz w:val="44"/>
          <w:szCs w:val="44"/>
        </w:rPr>
        <w:t>__________________</w:t>
      </w:r>
    </w:p>
    <w:p w14:paraId="413F7F9C">
      <w:pPr>
        <w:widowControl/>
        <w:spacing w:line="720" w:lineRule="auto"/>
        <w:jc w:val="left"/>
        <w:rPr>
          <w:rFonts w:ascii="宋体" w:hAnsi="宋体" w:cs="宋体"/>
          <w:b/>
          <w:color w:val="auto"/>
          <w:kern w:val="0"/>
          <w:sz w:val="32"/>
          <w:szCs w:val="32"/>
        </w:rPr>
        <w:sectPr>
          <w:footerReference r:id="rId3" w:type="default"/>
          <w:pgSz w:w="11906" w:h="16838"/>
          <w:pgMar w:top="1304" w:right="1344" w:bottom="1134" w:left="1304" w:header="851" w:footer="992" w:gutter="0"/>
          <w:pgNumType w:start="1"/>
          <w:cols w:space="720" w:num="1"/>
          <w:docGrid w:linePitch="312" w:charSpace="0"/>
        </w:sectPr>
      </w:pPr>
      <w:r>
        <w:rPr>
          <w:rFonts w:hint="eastAsia" w:ascii="宋体" w:hAnsi="宋体" w:cs="宋体"/>
          <w:color w:val="auto"/>
          <w:kern w:val="0"/>
          <w:sz w:val="30"/>
          <w:szCs w:val="30"/>
        </w:rPr>
        <w:t>签订日期：</w:t>
      </w:r>
      <w:r>
        <w:rPr>
          <w:rFonts w:hint="eastAsia" w:ascii="宋体" w:hAnsi="宋体" w:cs="宋体"/>
          <w:color w:val="auto"/>
          <w:kern w:val="0"/>
          <w:sz w:val="30"/>
          <w:szCs w:val="30"/>
          <w:lang w:val="en-US" w:eastAsia="zh-CN"/>
        </w:rPr>
        <w:t xml:space="preserve">  </w:t>
      </w:r>
      <w:r>
        <w:rPr>
          <w:rFonts w:hint="eastAsia" w:ascii="宋体" w:hAnsi="宋体" w:cs="宋体"/>
          <w:color w:val="auto"/>
          <w:kern w:val="0"/>
          <w:sz w:val="30"/>
          <w:szCs w:val="30"/>
        </w:rPr>
        <w:t>年</w:t>
      </w:r>
      <w:r>
        <w:rPr>
          <w:rFonts w:hint="eastAsia" w:ascii="宋体" w:hAnsi="宋体" w:cs="宋体"/>
          <w:color w:val="auto"/>
          <w:kern w:val="0"/>
          <w:sz w:val="30"/>
          <w:szCs w:val="30"/>
          <w:lang w:val="en-US" w:eastAsia="zh-CN"/>
        </w:rPr>
        <w:t xml:space="preserve">  </w:t>
      </w:r>
      <w:r>
        <w:rPr>
          <w:rFonts w:hint="eastAsia" w:ascii="宋体" w:hAnsi="宋体" w:cs="宋体"/>
          <w:color w:val="auto"/>
          <w:kern w:val="0"/>
          <w:sz w:val="30"/>
          <w:szCs w:val="30"/>
        </w:rPr>
        <w:t>月</w:t>
      </w:r>
      <w:r>
        <w:rPr>
          <w:rFonts w:hint="eastAsia" w:ascii="宋体" w:hAnsi="宋体" w:cs="宋体"/>
          <w:color w:val="auto"/>
          <w:kern w:val="0"/>
          <w:sz w:val="30"/>
          <w:szCs w:val="30"/>
          <w:lang w:val="en-US" w:eastAsia="zh-CN"/>
        </w:rPr>
        <w:t xml:space="preserve">  </w:t>
      </w:r>
      <w:r>
        <w:rPr>
          <w:rFonts w:hint="eastAsia" w:ascii="宋体" w:hAnsi="宋体" w:cs="宋体"/>
          <w:color w:val="auto"/>
          <w:kern w:val="0"/>
          <w:sz w:val="30"/>
          <w:szCs w:val="30"/>
        </w:rPr>
        <w:t>日</w:t>
      </w:r>
    </w:p>
    <w:p w14:paraId="23098BA4">
      <w:pPr>
        <w:rPr>
          <w:color w:val="auto"/>
        </w:rPr>
      </w:pPr>
    </w:p>
    <w:p w14:paraId="456E68A1">
      <w:pPr>
        <w:bidi w:val="0"/>
        <w:jc w:val="center"/>
        <w:rPr>
          <w:color w:val="auto"/>
          <w:sz w:val="32"/>
          <w:szCs w:val="32"/>
        </w:rPr>
      </w:pPr>
      <w:r>
        <w:rPr>
          <w:color w:val="auto"/>
          <w:sz w:val="32"/>
          <w:szCs w:val="32"/>
        </w:rPr>
        <w:t>合同主要条款</w:t>
      </w:r>
    </w:p>
    <w:p w14:paraId="3F2D5B22">
      <w:pPr>
        <w:bidi w:val="0"/>
        <w:jc w:val="center"/>
        <w:rPr>
          <w:color w:val="auto"/>
          <w:sz w:val="32"/>
          <w:szCs w:val="32"/>
        </w:rPr>
      </w:pPr>
      <w:bookmarkStart w:id="129" w:name="第一部分_合同协议书"/>
      <w:bookmarkEnd w:id="129"/>
      <w:r>
        <w:rPr>
          <w:color w:val="auto"/>
          <w:sz w:val="32"/>
          <w:szCs w:val="32"/>
        </w:rPr>
        <w:t>第一部分合同协议书</w:t>
      </w:r>
    </w:p>
    <w:p w14:paraId="012D6CEA">
      <w:pPr>
        <w:spacing w:line="420" w:lineRule="exact"/>
        <w:jc w:val="center"/>
        <w:rPr>
          <w:color w:val="auto"/>
          <w:sz w:val="32"/>
          <w:szCs w:val="32"/>
        </w:rPr>
      </w:pPr>
      <w:bookmarkStart w:id="130" w:name="_Toc184635071"/>
    </w:p>
    <w:bookmarkEnd w:id="130"/>
    <w:p w14:paraId="53AD7286">
      <w:pPr>
        <w:spacing w:line="360" w:lineRule="auto"/>
        <w:rPr>
          <w:color w:val="auto"/>
          <w:szCs w:val="21"/>
          <w:u w:val="single"/>
        </w:rPr>
      </w:pPr>
      <w:r>
        <w:rPr>
          <w:color w:val="auto"/>
          <w:szCs w:val="21"/>
        </w:rPr>
        <w:t>发包人（全称）：</w:t>
      </w:r>
      <w:r>
        <w:rPr>
          <w:rFonts w:hint="eastAsia"/>
          <w:color w:val="auto"/>
          <w:szCs w:val="21"/>
          <w:u w:val="single"/>
          <w:lang w:eastAsia="zh-CN"/>
        </w:rPr>
        <w:t>龙州县教育局</w:t>
      </w:r>
      <w:r>
        <w:rPr>
          <w:rFonts w:hint="eastAsia"/>
          <w:color w:val="auto"/>
          <w:szCs w:val="21"/>
          <w:u w:val="single"/>
          <w:lang w:val="en-US" w:eastAsia="zh-CN"/>
        </w:rPr>
        <w:t xml:space="preserve">     </w:t>
      </w:r>
      <w:r>
        <w:rPr>
          <w:rFonts w:hint="eastAsia"/>
          <w:color w:val="auto"/>
          <w:szCs w:val="21"/>
          <w:u w:val="none"/>
          <w:lang w:val="en-US" w:eastAsia="zh-CN"/>
        </w:rPr>
        <w:t xml:space="preserve">                   </w:t>
      </w:r>
      <w:r>
        <w:rPr>
          <w:color w:val="auto"/>
          <w:szCs w:val="21"/>
        </w:rPr>
        <w:t>承包人（全称）：</w:t>
      </w:r>
      <w:r>
        <w:rPr>
          <w:color w:val="auto"/>
          <w:szCs w:val="21"/>
          <w:u w:val="single"/>
        </w:rPr>
        <w:t></w:t>
      </w:r>
    </w:p>
    <w:p w14:paraId="3AF80C51">
      <w:pPr>
        <w:pStyle w:val="249"/>
        <w:spacing w:line="360" w:lineRule="auto"/>
        <w:ind w:firstLine="525" w:firstLineChars="250"/>
        <w:rPr>
          <w:color w:val="auto"/>
        </w:rPr>
      </w:pPr>
      <w:r>
        <w:rPr>
          <w:color w:val="auto"/>
        </w:rPr>
        <w:t>根据《中华人民共和国合同法》、《中华人民共和国建筑法》及有关法律规定，遵循平等、自愿、公平和诚实信用的原则，双方就</w:t>
      </w:r>
      <w:r>
        <w:rPr>
          <w:rFonts w:hint="eastAsia"/>
          <w:color w:val="auto"/>
          <w:u w:val="single"/>
          <w:lang w:val="en-US" w:eastAsia="zh-CN"/>
        </w:rPr>
        <w:t xml:space="preserve">  本项目</w:t>
      </w:r>
      <w:r>
        <w:rPr>
          <w:rFonts w:hint="eastAsia"/>
          <w:color w:val="auto"/>
          <w:u w:val="single"/>
        </w:rPr>
        <w:t>工程</w:t>
      </w:r>
      <w:r>
        <w:rPr>
          <w:rFonts w:hint="eastAsia"/>
          <w:color w:val="auto"/>
          <w:u w:val="single"/>
          <w:lang w:val="en-US" w:eastAsia="zh-CN"/>
        </w:rPr>
        <w:t xml:space="preserve"> </w:t>
      </w:r>
      <w:r>
        <w:rPr>
          <w:color w:val="auto"/>
        </w:rPr>
        <w:t>施工及有关事项协商一致，共同达成如下协议：</w:t>
      </w:r>
      <w:bookmarkStart w:id="131" w:name="_Toc351203481"/>
    </w:p>
    <w:p w14:paraId="0D8192BB">
      <w:pPr>
        <w:pStyle w:val="249"/>
        <w:spacing w:line="360" w:lineRule="auto"/>
        <w:ind w:firstLine="525" w:firstLineChars="250"/>
        <w:rPr>
          <w:color w:val="auto"/>
        </w:rPr>
      </w:pPr>
      <w:r>
        <w:rPr>
          <w:color w:val="auto"/>
        </w:rPr>
        <w:t>一、工程概况</w:t>
      </w:r>
      <w:bookmarkEnd w:id="131"/>
      <w:r>
        <w:rPr>
          <w:rFonts w:hint="eastAsia"/>
          <w:color w:val="auto"/>
          <w:u w:val="single"/>
        </w:rPr>
        <w:t xml:space="preserve">                       。</w:t>
      </w:r>
    </w:p>
    <w:p w14:paraId="0F518DF0">
      <w:pPr>
        <w:pStyle w:val="249"/>
        <w:spacing w:line="360" w:lineRule="auto"/>
        <w:rPr>
          <w:color w:val="auto"/>
        </w:rPr>
      </w:pPr>
      <w:r>
        <w:rPr>
          <w:color w:val="auto"/>
        </w:rPr>
        <w:t>1. 工程名称：</w:t>
      </w:r>
      <w:r>
        <w:rPr>
          <w:rFonts w:hint="eastAsia"/>
          <w:color w:val="auto"/>
          <w:u w:val="single"/>
          <w:lang w:val="en-US" w:eastAsia="zh-CN"/>
        </w:rPr>
        <w:t xml:space="preserve">    </w:t>
      </w:r>
      <w:r>
        <w:rPr>
          <w:color w:val="auto"/>
        </w:rPr>
        <w:t>。</w:t>
      </w:r>
    </w:p>
    <w:p w14:paraId="0DBE63AC">
      <w:pPr>
        <w:pStyle w:val="249"/>
        <w:spacing w:line="360" w:lineRule="auto"/>
        <w:rPr>
          <w:color w:val="auto"/>
        </w:rPr>
      </w:pPr>
      <w:r>
        <w:rPr>
          <w:color w:val="auto"/>
        </w:rPr>
        <w:t>2. 工程地点</w:t>
      </w:r>
      <w:r>
        <w:rPr>
          <w:color w:val="auto"/>
          <w:u w:val="none"/>
        </w:rPr>
        <w:t>：</w:t>
      </w:r>
      <w:r>
        <w:rPr>
          <w:color w:val="auto"/>
          <w:u w:val="single"/>
        </w:rPr>
        <w:t>。</w:t>
      </w:r>
    </w:p>
    <w:p w14:paraId="717BB38D">
      <w:pPr>
        <w:spacing w:line="360" w:lineRule="auto"/>
        <w:rPr>
          <w:bCs/>
          <w:color w:val="auto"/>
          <w:szCs w:val="21"/>
        </w:rPr>
      </w:pPr>
      <w:r>
        <w:rPr>
          <w:bCs/>
          <w:color w:val="auto"/>
          <w:szCs w:val="21"/>
        </w:rPr>
        <w:t>3. 工程立项批准文号：</w:t>
      </w:r>
      <w:r>
        <w:rPr>
          <w:color w:val="auto"/>
          <w:szCs w:val="21"/>
          <w:u w:val="single"/>
        </w:rPr>
        <w:t xml:space="preserve">              </w:t>
      </w:r>
      <w:r>
        <w:rPr>
          <w:bCs/>
          <w:color w:val="auto"/>
          <w:szCs w:val="21"/>
        </w:rPr>
        <w:t>。</w:t>
      </w:r>
    </w:p>
    <w:p w14:paraId="6AAE77E2">
      <w:pPr>
        <w:spacing w:line="360" w:lineRule="auto"/>
        <w:rPr>
          <w:bCs/>
          <w:color w:val="auto"/>
          <w:szCs w:val="21"/>
        </w:rPr>
      </w:pPr>
      <w:r>
        <w:rPr>
          <w:bCs/>
          <w:color w:val="auto"/>
          <w:szCs w:val="21"/>
        </w:rPr>
        <w:t>4. 资金来源：</w:t>
      </w:r>
      <w:r>
        <w:rPr>
          <w:rFonts w:hint="eastAsia"/>
          <w:bCs/>
          <w:color w:val="auto"/>
          <w:szCs w:val="21"/>
        </w:rPr>
        <w:t xml:space="preserve"> 财政资金</w:t>
      </w:r>
      <w:r>
        <w:rPr>
          <w:bCs/>
          <w:color w:val="auto"/>
          <w:szCs w:val="21"/>
        </w:rPr>
        <w:t>。</w:t>
      </w:r>
    </w:p>
    <w:p w14:paraId="7708E9A6">
      <w:pPr>
        <w:spacing w:line="360" w:lineRule="auto"/>
        <w:rPr>
          <w:bCs/>
          <w:color w:val="auto"/>
          <w:szCs w:val="21"/>
        </w:rPr>
      </w:pPr>
      <w:r>
        <w:rPr>
          <w:bCs/>
          <w:color w:val="auto"/>
          <w:szCs w:val="21"/>
        </w:rPr>
        <w:t>5. 工程内容</w:t>
      </w:r>
      <w:r>
        <w:rPr>
          <w:bCs/>
          <w:color w:val="auto"/>
          <w:szCs w:val="21"/>
          <w:u w:val="single"/>
        </w:rPr>
        <w:t>：</w:t>
      </w:r>
    </w:p>
    <w:p w14:paraId="427A3406">
      <w:pPr>
        <w:spacing w:line="360" w:lineRule="auto"/>
        <w:rPr>
          <w:bCs/>
          <w:color w:val="auto"/>
          <w:szCs w:val="21"/>
        </w:rPr>
      </w:pPr>
      <w:r>
        <w:rPr>
          <w:bCs/>
          <w:color w:val="auto"/>
          <w:szCs w:val="21"/>
        </w:rPr>
        <w:t>6. 工程承包范围</w:t>
      </w:r>
      <w:r>
        <w:rPr>
          <w:bCs/>
          <w:color w:val="auto"/>
          <w:szCs w:val="21"/>
          <w:u w:val="single"/>
        </w:rPr>
        <w:t>：</w:t>
      </w:r>
    </w:p>
    <w:p w14:paraId="694EB224">
      <w:pPr>
        <w:spacing w:line="360" w:lineRule="auto"/>
        <w:ind w:firstLine="407" w:firstLineChars="193"/>
        <w:rPr>
          <w:b/>
          <w:bCs/>
          <w:color w:val="auto"/>
          <w:szCs w:val="21"/>
        </w:rPr>
      </w:pPr>
      <w:bookmarkStart w:id="132" w:name="_Toc351203482"/>
      <w:r>
        <w:rPr>
          <w:b/>
          <w:bCs/>
          <w:color w:val="auto"/>
          <w:szCs w:val="21"/>
        </w:rPr>
        <w:t>二、合同工期</w:t>
      </w:r>
      <w:bookmarkEnd w:id="132"/>
    </w:p>
    <w:p w14:paraId="2F92AE37">
      <w:pPr>
        <w:spacing w:line="360" w:lineRule="auto"/>
        <w:ind w:firstLine="459"/>
        <w:rPr>
          <w:color w:val="auto"/>
          <w:szCs w:val="21"/>
        </w:rPr>
      </w:pPr>
      <w:r>
        <w:rPr>
          <w:color w:val="auto"/>
          <w:szCs w:val="21"/>
        </w:rPr>
        <w:t>开工日期：</w:t>
      </w:r>
      <w:r>
        <w:rPr>
          <w:color w:val="auto"/>
        </w:rPr>
        <w:t>年月日</w:t>
      </w:r>
      <w:r>
        <w:rPr>
          <w:color w:val="auto"/>
          <w:szCs w:val="21"/>
        </w:rPr>
        <w:t>。（具体以发包人书面通知为准）</w:t>
      </w:r>
    </w:p>
    <w:p w14:paraId="65833372">
      <w:pPr>
        <w:spacing w:line="360" w:lineRule="auto"/>
        <w:ind w:firstLine="525" w:firstLineChars="250"/>
        <w:rPr>
          <w:color w:val="auto"/>
        </w:rPr>
      </w:pPr>
      <w:r>
        <w:rPr>
          <w:color w:val="auto"/>
          <w:szCs w:val="21"/>
        </w:rPr>
        <w:t>竣工日期：</w:t>
      </w:r>
      <w:r>
        <w:rPr>
          <w:color w:val="auto"/>
        </w:rPr>
        <w:t>年月日</w:t>
      </w:r>
      <w:r>
        <w:rPr>
          <w:color w:val="auto"/>
          <w:szCs w:val="21"/>
        </w:rPr>
        <w:t>。</w:t>
      </w:r>
    </w:p>
    <w:p w14:paraId="5E426887">
      <w:pPr>
        <w:spacing w:line="360" w:lineRule="auto"/>
        <w:ind w:firstLine="459"/>
        <w:rPr>
          <w:color w:val="auto"/>
          <w:szCs w:val="21"/>
        </w:rPr>
      </w:pPr>
      <w:r>
        <w:rPr>
          <w:color w:val="auto"/>
          <w:szCs w:val="21"/>
        </w:rPr>
        <w:t>工期总日历天数：</w:t>
      </w:r>
      <w:r>
        <w:rPr>
          <w:color w:val="auto"/>
          <w:szCs w:val="21"/>
          <w:u w:val="single"/>
        </w:rPr>
        <w:t></w:t>
      </w:r>
      <w:r>
        <w:rPr>
          <w:rFonts w:hint="eastAsia"/>
          <w:color w:val="auto"/>
          <w:szCs w:val="21"/>
          <w:u w:val="single"/>
        </w:rPr>
        <w:t>工期</w:t>
      </w:r>
      <w:r>
        <w:rPr>
          <w:rFonts w:hint="eastAsia"/>
          <w:color w:val="auto"/>
          <w:szCs w:val="21"/>
          <w:u w:val="single"/>
          <w:lang w:val="en-US" w:eastAsia="zh-CN"/>
        </w:rPr>
        <w:t>60</w:t>
      </w:r>
      <w:r>
        <w:rPr>
          <w:rFonts w:hint="eastAsia"/>
          <w:color w:val="auto"/>
          <w:szCs w:val="21"/>
          <w:u w:val="single"/>
        </w:rPr>
        <w:t>日历</w:t>
      </w:r>
      <w:r>
        <w:rPr>
          <w:color w:val="auto"/>
          <w:szCs w:val="21"/>
        </w:rPr>
        <w:t>天。工期总日历天数与根据前述计划开竣工日期计算的工期天数不一致的，以工期总日历天数为准。</w:t>
      </w:r>
    </w:p>
    <w:p w14:paraId="5A86F674">
      <w:pPr>
        <w:spacing w:line="360" w:lineRule="auto"/>
        <w:ind w:firstLine="459"/>
        <w:rPr>
          <w:b/>
          <w:bCs/>
          <w:color w:val="auto"/>
          <w:szCs w:val="21"/>
        </w:rPr>
      </w:pPr>
      <w:bookmarkStart w:id="133" w:name="_Toc351203483"/>
      <w:r>
        <w:rPr>
          <w:b/>
          <w:bCs/>
          <w:color w:val="auto"/>
          <w:szCs w:val="21"/>
        </w:rPr>
        <w:t>三、质量标准</w:t>
      </w:r>
      <w:bookmarkEnd w:id="133"/>
    </w:p>
    <w:p w14:paraId="3B757132">
      <w:pPr>
        <w:spacing w:line="360" w:lineRule="auto"/>
        <w:ind w:firstLine="459"/>
        <w:rPr>
          <w:color w:val="auto"/>
          <w:szCs w:val="21"/>
        </w:rPr>
      </w:pPr>
      <w:r>
        <w:rPr>
          <w:color w:val="auto"/>
          <w:szCs w:val="21"/>
        </w:rPr>
        <w:t>工程质量符合</w:t>
      </w:r>
      <w:r>
        <w:rPr>
          <w:color w:val="auto"/>
          <w:szCs w:val="21"/>
          <w:u w:val="single"/>
        </w:rPr>
        <w:t></w:t>
      </w:r>
      <w:r>
        <w:rPr>
          <w:rFonts w:hint="eastAsia"/>
          <w:color w:val="auto"/>
          <w:szCs w:val="21"/>
          <w:u w:val="single"/>
        </w:rPr>
        <w:t>合格</w:t>
      </w:r>
      <w:r>
        <w:rPr>
          <w:color w:val="auto"/>
          <w:szCs w:val="21"/>
          <w:u w:val="single"/>
        </w:rPr>
        <w:t></w:t>
      </w:r>
      <w:r>
        <w:rPr>
          <w:color w:val="auto"/>
          <w:szCs w:val="21"/>
        </w:rPr>
        <w:t>标准。</w:t>
      </w:r>
    </w:p>
    <w:p w14:paraId="3700C3AC">
      <w:pPr>
        <w:spacing w:line="360" w:lineRule="auto"/>
        <w:ind w:firstLine="459"/>
        <w:rPr>
          <w:b/>
          <w:bCs/>
          <w:color w:val="auto"/>
          <w:szCs w:val="21"/>
        </w:rPr>
      </w:pPr>
      <w:bookmarkStart w:id="134" w:name="_Toc351203484"/>
      <w:r>
        <w:rPr>
          <w:b/>
          <w:bCs/>
          <w:color w:val="auto"/>
          <w:szCs w:val="21"/>
        </w:rPr>
        <w:t>四、签约合同价与合同价格形式</w:t>
      </w:r>
      <w:bookmarkEnd w:id="134"/>
    </w:p>
    <w:p w14:paraId="36C8D816">
      <w:pPr>
        <w:spacing w:line="360" w:lineRule="auto"/>
        <w:ind w:firstLine="459"/>
        <w:rPr>
          <w:color w:val="auto"/>
          <w:szCs w:val="21"/>
        </w:rPr>
      </w:pPr>
      <w:r>
        <w:rPr>
          <w:color w:val="auto"/>
          <w:szCs w:val="21"/>
        </w:rPr>
        <w:t>1. 签约合同价为</w:t>
      </w:r>
      <w:r>
        <w:rPr>
          <w:rFonts w:hint="eastAsia"/>
          <w:color w:val="auto"/>
          <w:szCs w:val="21"/>
        </w:rPr>
        <w:t>总价格包干</w:t>
      </w:r>
      <w:r>
        <w:rPr>
          <w:color w:val="auto"/>
          <w:szCs w:val="21"/>
        </w:rPr>
        <w:t>：</w:t>
      </w:r>
    </w:p>
    <w:p w14:paraId="76F4154A">
      <w:pPr>
        <w:spacing w:line="360" w:lineRule="auto"/>
        <w:ind w:firstLine="525" w:firstLineChars="250"/>
        <w:rPr>
          <w:color w:val="auto"/>
          <w:szCs w:val="21"/>
        </w:rPr>
      </w:pPr>
      <w:r>
        <w:rPr>
          <w:color w:val="auto"/>
          <w:szCs w:val="21"/>
        </w:rPr>
        <w:t>人民币（大写）（¥元）；</w:t>
      </w:r>
    </w:p>
    <w:p w14:paraId="670594BC">
      <w:pPr>
        <w:spacing w:line="360" w:lineRule="auto"/>
        <w:ind w:firstLine="420" w:firstLineChars="200"/>
        <w:rPr>
          <w:color w:val="auto"/>
          <w:szCs w:val="21"/>
        </w:rPr>
      </w:pPr>
      <w:r>
        <w:rPr>
          <w:color w:val="auto"/>
          <w:szCs w:val="21"/>
        </w:rPr>
        <w:t>2. 合同价格形式：</w:t>
      </w:r>
      <w:r>
        <w:rPr>
          <w:color w:val="auto"/>
          <w:szCs w:val="21"/>
          <w:u w:val="single"/>
        </w:rPr>
        <w:t xml:space="preserve">固定综合单价，包工包料 </w:t>
      </w:r>
      <w:r>
        <w:rPr>
          <w:color w:val="auto"/>
          <w:szCs w:val="21"/>
        </w:rPr>
        <w:t>。</w:t>
      </w:r>
    </w:p>
    <w:p w14:paraId="1E302003">
      <w:pPr>
        <w:spacing w:line="360" w:lineRule="auto"/>
        <w:ind w:firstLine="422" w:firstLineChars="200"/>
        <w:rPr>
          <w:b/>
          <w:bCs/>
          <w:color w:val="auto"/>
          <w:szCs w:val="21"/>
        </w:rPr>
      </w:pPr>
      <w:bookmarkStart w:id="135" w:name="_Toc351203485"/>
      <w:r>
        <w:rPr>
          <w:b/>
          <w:bCs/>
          <w:color w:val="auto"/>
          <w:szCs w:val="21"/>
        </w:rPr>
        <w:t>五、</w:t>
      </w:r>
      <w:bookmarkEnd w:id="135"/>
      <w:r>
        <w:rPr>
          <w:b/>
          <w:bCs/>
          <w:color w:val="auto"/>
          <w:szCs w:val="21"/>
        </w:rPr>
        <w:t>项目经理</w:t>
      </w:r>
    </w:p>
    <w:p w14:paraId="66E5F715">
      <w:pPr>
        <w:spacing w:line="360" w:lineRule="auto"/>
        <w:ind w:firstLine="420" w:firstLineChars="200"/>
        <w:rPr>
          <w:color w:val="auto"/>
          <w:szCs w:val="21"/>
        </w:rPr>
      </w:pPr>
      <w:r>
        <w:rPr>
          <w:color w:val="auto"/>
          <w:szCs w:val="21"/>
        </w:rPr>
        <w:t>承包人项目经理：</w:t>
      </w:r>
      <w:r>
        <w:rPr>
          <w:color w:val="auto"/>
          <w:szCs w:val="21"/>
          <w:u w:val="single"/>
        </w:rPr>
        <w:t></w:t>
      </w:r>
      <w:r>
        <w:rPr>
          <w:color w:val="auto"/>
          <w:szCs w:val="21"/>
        </w:rPr>
        <w:t>。</w:t>
      </w:r>
    </w:p>
    <w:p w14:paraId="2849D146">
      <w:pPr>
        <w:spacing w:line="360" w:lineRule="auto"/>
        <w:ind w:firstLine="422" w:firstLineChars="200"/>
        <w:rPr>
          <w:b/>
          <w:bCs/>
          <w:color w:val="auto"/>
          <w:szCs w:val="21"/>
        </w:rPr>
      </w:pPr>
      <w:bookmarkStart w:id="136" w:name="_Toc351203486"/>
      <w:r>
        <w:rPr>
          <w:b/>
          <w:bCs/>
          <w:color w:val="auto"/>
          <w:szCs w:val="21"/>
        </w:rPr>
        <w:t>六、合同文件构成</w:t>
      </w:r>
      <w:bookmarkEnd w:id="136"/>
    </w:p>
    <w:p w14:paraId="31E93EE3">
      <w:pPr>
        <w:spacing w:line="360" w:lineRule="auto"/>
        <w:ind w:firstLine="420" w:firstLineChars="200"/>
        <w:rPr>
          <w:bCs/>
          <w:color w:val="auto"/>
          <w:szCs w:val="21"/>
        </w:rPr>
      </w:pPr>
      <w:r>
        <w:rPr>
          <w:bCs/>
          <w:color w:val="auto"/>
          <w:szCs w:val="21"/>
        </w:rPr>
        <w:t>本协议书与下列文件一起构成合同文件：</w:t>
      </w:r>
    </w:p>
    <w:p w14:paraId="7171BF67">
      <w:pPr>
        <w:adjustRightInd w:val="0"/>
        <w:spacing w:line="360" w:lineRule="auto"/>
        <w:ind w:firstLine="420" w:firstLineChars="200"/>
        <w:rPr>
          <w:color w:val="auto"/>
          <w:szCs w:val="21"/>
        </w:rPr>
      </w:pPr>
      <w:r>
        <w:rPr>
          <w:color w:val="auto"/>
          <w:szCs w:val="21"/>
        </w:rPr>
        <w:t>（1）中标通知书（如有）；</w:t>
      </w:r>
    </w:p>
    <w:p w14:paraId="21801B8E">
      <w:pPr>
        <w:adjustRightInd w:val="0"/>
        <w:spacing w:line="360" w:lineRule="auto"/>
        <w:ind w:firstLine="420" w:firstLineChars="200"/>
        <w:rPr>
          <w:color w:val="auto"/>
          <w:szCs w:val="21"/>
        </w:rPr>
      </w:pPr>
      <w:r>
        <w:rPr>
          <w:color w:val="auto"/>
          <w:szCs w:val="21"/>
        </w:rPr>
        <w:t xml:space="preserve">（2）投标函及其附录（如有）； </w:t>
      </w:r>
    </w:p>
    <w:p w14:paraId="24069F30">
      <w:pPr>
        <w:adjustRightInd w:val="0"/>
        <w:spacing w:line="360" w:lineRule="auto"/>
        <w:ind w:firstLine="420" w:firstLineChars="200"/>
        <w:rPr>
          <w:color w:val="auto"/>
          <w:szCs w:val="21"/>
        </w:rPr>
      </w:pPr>
      <w:r>
        <w:rPr>
          <w:color w:val="auto"/>
          <w:szCs w:val="21"/>
        </w:rPr>
        <w:t>（3）专用合同条款及其附件；</w:t>
      </w:r>
    </w:p>
    <w:p w14:paraId="681E043E">
      <w:pPr>
        <w:adjustRightInd w:val="0"/>
        <w:spacing w:line="360" w:lineRule="auto"/>
        <w:ind w:firstLine="420" w:firstLineChars="200"/>
        <w:rPr>
          <w:color w:val="auto"/>
          <w:szCs w:val="21"/>
        </w:rPr>
      </w:pPr>
      <w:r>
        <w:rPr>
          <w:color w:val="auto"/>
          <w:szCs w:val="21"/>
        </w:rPr>
        <w:t xml:space="preserve">（4）已标价工程量清单或预算书； </w:t>
      </w:r>
    </w:p>
    <w:p w14:paraId="1A16958D">
      <w:pPr>
        <w:adjustRightInd w:val="0"/>
        <w:spacing w:line="360" w:lineRule="auto"/>
        <w:ind w:firstLine="420" w:firstLineChars="200"/>
        <w:rPr>
          <w:color w:val="auto"/>
          <w:szCs w:val="21"/>
        </w:rPr>
      </w:pPr>
      <w:r>
        <w:rPr>
          <w:color w:val="auto"/>
          <w:szCs w:val="21"/>
        </w:rPr>
        <w:t>在合同订立及履行过程中形成的与合同有关的文件均构成合同文件组成部分。</w:t>
      </w:r>
    </w:p>
    <w:p w14:paraId="371F12D2">
      <w:pPr>
        <w:adjustRightInd w:val="0"/>
        <w:spacing w:line="360" w:lineRule="auto"/>
        <w:ind w:firstLine="420" w:firstLineChars="200"/>
        <w:rPr>
          <w:color w:val="auto"/>
          <w:szCs w:val="21"/>
        </w:rPr>
      </w:pPr>
      <w:r>
        <w:rPr>
          <w:color w:val="auto"/>
          <w:szCs w:val="21"/>
        </w:rPr>
        <w:t>上述各项合同文件包括合同当事人就该项合同文件所作出的补充和修改，属于同一类内容的文件，应以最新签署的为准。专用合同条款及其附件须经合同当事人签字或盖章。</w:t>
      </w:r>
    </w:p>
    <w:p w14:paraId="0E2E0D0F">
      <w:pPr>
        <w:adjustRightInd w:val="0"/>
        <w:spacing w:line="360" w:lineRule="auto"/>
        <w:ind w:firstLine="422" w:firstLineChars="200"/>
        <w:rPr>
          <w:b/>
          <w:bCs/>
          <w:color w:val="auto"/>
          <w:szCs w:val="21"/>
        </w:rPr>
      </w:pPr>
      <w:bookmarkStart w:id="137" w:name="_Toc351203487"/>
      <w:r>
        <w:rPr>
          <w:b/>
          <w:bCs/>
          <w:color w:val="auto"/>
          <w:szCs w:val="21"/>
        </w:rPr>
        <w:t>七、承诺</w:t>
      </w:r>
      <w:bookmarkEnd w:id="137"/>
    </w:p>
    <w:p w14:paraId="2612744C">
      <w:pPr>
        <w:spacing w:line="360" w:lineRule="auto"/>
        <w:ind w:firstLine="420" w:firstLineChars="200"/>
        <w:rPr>
          <w:bCs/>
          <w:color w:val="auto"/>
          <w:szCs w:val="21"/>
        </w:rPr>
      </w:pPr>
      <w:r>
        <w:rPr>
          <w:bCs/>
          <w:color w:val="auto"/>
          <w:szCs w:val="21"/>
        </w:rPr>
        <w:t>1. 发包人承诺按照法律规定履行项目审批手续、筹集工程建设资金并按照合同约定的期限和方式支付合同价款。</w:t>
      </w:r>
    </w:p>
    <w:p w14:paraId="63F18857">
      <w:pPr>
        <w:spacing w:line="360" w:lineRule="auto"/>
        <w:ind w:firstLine="420" w:firstLineChars="200"/>
        <w:rPr>
          <w:bCs/>
          <w:color w:val="auto"/>
          <w:szCs w:val="21"/>
        </w:rPr>
      </w:pPr>
      <w:r>
        <w:rPr>
          <w:bCs/>
          <w:color w:val="auto"/>
          <w:szCs w:val="21"/>
        </w:rPr>
        <w:t>2. 承包人承诺按照法律规定及合同约定组织完成工程施工，确保工程质量和安全，不进行转包及违法分包，并在缺陷责任期及保修期内承担相应的工程维修责任。</w:t>
      </w:r>
    </w:p>
    <w:p w14:paraId="40C1AAAC">
      <w:pPr>
        <w:spacing w:line="360" w:lineRule="auto"/>
        <w:ind w:firstLine="420" w:firstLineChars="200"/>
        <w:rPr>
          <w:bCs/>
          <w:color w:val="auto"/>
          <w:szCs w:val="21"/>
        </w:rPr>
      </w:pPr>
      <w:r>
        <w:rPr>
          <w:bCs/>
          <w:color w:val="auto"/>
          <w:szCs w:val="21"/>
        </w:rPr>
        <w:t>3. 发包人和承包人通过招投标形式签订合同的，双方理解并承诺不再就同一工程另行签订与合同实质性内容相背离的协议。</w:t>
      </w:r>
      <w:bookmarkStart w:id="138" w:name="_Toc351203488"/>
    </w:p>
    <w:p w14:paraId="31077731">
      <w:pPr>
        <w:spacing w:line="360" w:lineRule="auto"/>
        <w:ind w:firstLine="422" w:firstLineChars="200"/>
        <w:rPr>
          <w:b/>
          <w:bCs/>
          <w:color w:val="auto"/>
          <w:szCs w:val="21"/>
        </w:rPr>
      </w:pPr>
      <w:r>
        <w:rPr>
          <w:b/>
          <w:bCs/>
          <w:color w:val="auto"/>
          <w:szCs w:val="21"/>
        </w:rPr>
        <w:t>八、词语含义</w:t>
      </w:r>
      <w:bookmarkEnd w:id="138"/>
    </w:p>
    <w:p w14:paraId="7309065D">
      <w:pPr>
        <w:spacing w:line="360" w:lineRule="auto"/>
        <w:ind w:firstLine="420" w:firstLineChars="200"/>
        <w:rPr>
          <w:bCs/>
          <w:color w:val="auto"/>
          <w:szCs w:val="21"/>
        </w:rPr>
      </w:pPr>
      <w:r>
        <w:rPr>
          <w:bCs/>
          <w:color w:val="auto"/>
          <w:szCs w:val="21"/>
        </w:rPr>
        <w:t>本协议书中词语含义与第二部分通用合同条款中赋予的含义相同。</w:t>
      </w:r>
    </w:p>
    <w:p w14:paraId="385D00FD">
      <w:pPr>
        <w:spacing w:line="360" w:lineRule="auto"/>
        <w:ind w:firstLine="422" w:firstLineChars="200"/>
        <w:rPr>
          <w:b/>
          <w:bCs/>
          <w:color w:val="auto"/>
          <w:szCs w:val="21"/>
        </w:rPr>
      </w:pPr>
      <w:bookmarkStart w:id="139" w:name="_Toc351203489"/>
      <w:r>
        <w:rPr>
          <w:b/>
          <w:bCs/>
          <w:color w:val="auto"/>
          <w:szCs w:val="21"/>
        </w:rPr>
        <w:t>九、签订时间</w:t>
      </w:r>
      <w:bookmarkEnd w:id="139"/>
    </w:p>
    <w:p w14:paraId="079C8214">
      <w:pPr>
        <w:spacing w:line="360" w:lineRule="auto"/>
        <w:ind w:firstLine="420" w:firstLineChars="200"/>
        <w:rPr>
          <w:bCs/>
          <w:color w:val="auto"/>
          <w:szCs w:val="21"/>
        </w:rPr>
      </w:pPr>
      <w:r>
        <w:rPr>
          <w:bCs/>
          <w:color w:val="auto"/>
          <w:szCs w:val="21"/>
        </w:rPr>
        <w:t>本合同于</w:t>
      </w:r>
      <w:r>
        <w:rPr>
          <w:bCs/>
          <w:color w:val="auto"/>
          <w:szCs w:val="21"/>
          <w:u w:val="single"/>
        </w:rPr>
        <w:t xml:space="preserve"> 20</w:t>
      </w:r>
      <w:r>
        <w:rPr>
          <w:rFonts w:hint="eastAsia"/>
          <w:bCs/>
          <w:color w:val="auto"/>
          <w:szCs w:val="21"/>
          <w:u w:val="single"/>
        </w:rPr>
        <w:t>2</w:t>
      </w:r>
      <w:r>
        <w:rPr>
          <w:rFonts w:hint="eastAsia"/>
          <w:bCs/>
          <w:color w:val="auto"/>
          <w:szCs w:val="21"/>
          <w:u w:val="single"/>
          <w:lang w:val="en-US" w:eastAsia="zh-CN"/>
        </w:rPr>
        <w:t>5</w:t>
      </w:r>
      <w:r>
        <w:rPr>
          <w:bCs/>
          <w:color w:val="auto"/>
          <w:szCs w:val="21"/>
        </w:rPr>
        <w:t>年</w:t>
      </w:r>
      <w:r>
        <w:rPr>
          <w:rFonts w:hint="eastAsia"/>
          <w:bCs/>
          <w:color w:val="auto"/>
          <w:szCs w:val="21"/>
          <w:u w:val="single"/>
          <w:lang w:val="en-US" w:eastAsia="zh-CN"/>
        </w:rPr>
        <w:t xml:space="preserve"> 11</w:t>
      </w:r>
      <w:r>
        <w:rPr>
          <w:bCs/>
          <w:color w:val="auto"/>
          <w:szCs w:val="21"/>
        </w:rPr>
        <w:t>月</w:t>
      </w:r>
      <w:r>
        <w:rPr>
          <w:rFonts w:hint="eastAsia"/>
          <w:bCs/>
          <w:color w:val="auto"/>
          <w:szCs w:val="21"/>
          <w:lang w:val="en-US" w:eastAsia="zh-CN"/>
        </w:rPr>
        <w:t xml:space="preserve">   </w:t>
      </w:r>
      <w:r>
        <w:rPr>
          <w:bCs/>
          <w:color w:val="auto"/>
          <w:szCs w:val="21"/>
        </w:rPr>
        <w:t>日签订。</w:t>
      </w:r>
    </w:p>
    <w:p w14:paraId="1D3B1F94">
      <w:pPr>
        <w:spacing w:line="360" w:lineRule="auto"/>
        <w:ind w:firstLine="422" w:firstLineChars="200"/>
        <w:rPr>
          <w:b/>
          <w:bCs/>
          <w:color w:val="auto"/>
          <w:szCs w:val="21"/>
        </w:rPr>
      </w:pPr>
      <w:bookmarkStart w:id="140" w:name="_Toc351203490"/>
      <w:r>
        <w:rPr>
          <w:b/>
          <w:bCs/>
          <w:color w:val="auto"/>
          <w:szCs w:val="21"/>
        </w:rPr>
        <w:t>十、签订地点</w:t>
      </w:r>
      <w:bookmarkEnd w:id="140"/>
    </w:p>
    <w:p w14:paraId="74FC267F">
      <w:pPr>
        <w:spacing w:line="360" w:lineRule="auto"/>
        <w:ind w:firstLine="420" w:firstLineChars="200"/>
        <w:rPr>
          <w:bCs/>
          <w:color w:val="auto"/>
          <w:szCs w:val="21"/>
        </w:rPr>
      </w:pPr>
      <w:r>
        <w:rPr>
          <w:bCs/>
          <w:color w:val="auto"/>
          <w:szCs w:val="21"/>
        </w:rPr>
        <w:t>本合同在</w:t>
      </w:r>
      <w:r>
        <w:rPr>
          <w:rFonts w:hint="eastAsia"/>
          <w:color w:val="auto"/>
          <w:szCs w:val="21"/>
          <w:u w:val="single"/>
          <w:lang w:eastAsia="zh-CN"/>
        </w:rPr>
        <w:t>龙州县教育局</w:t>
      </w:r>
      <w:r>
        <w:rPr>
          <w:bCs/>
          <w:color w:val="auto"/>
          <w:szCs w:val="21"/>
        </w:rPr>
        <w:t>签订。</w:t>
      </w:r>
    </w:p>
    <w:p w14:paraId="40BF99AC">
      <w:pPr>
        <w:spacing w:line="360" w:lineRule="auto"/>
        <w:ind w:firstLine="422" w:firstLineChars="200"/>
        <w:rPr>
          <w:b/>
          <w:bCs/>
          <w:color w:val="auto"/>
          <w:szCs w:val="21"/>
        </w:rPr>
      </w:pPr>
      <w:bookmarkStart w:id="141" w:name="_Toc351203491"/>
      <w:r>
        <w:rPr>
          <w:b/>
          <w:bCs/>
          <w:color w:val="auto"/>
          <w:szCs w:val="21"/>
        </w:rPr>
        <w:t>十一、补充协议</w:t>
      </w:r>
      <w:bookmarkEnd w:id="141"/>
    </w:p>
    <w:p w14:paraId="339D459A">
      <w:pPr>
        <w:spacing w:line="360" w:lineRule="auto"/>
        <w:ind w:firstLine="420" w:firstLineChars="200"/>
        <w:rPr>
          <w:bCs/>
          <w:color w:val="auto"/>
          <w:szCs w:val="21"/>
        </w:rPr>
      </w:pPr>
      <w:r>
        <w:rPr>
          <w:bCs/>
          <w:color w:val="auto"/>
          <w:szCs w:val="21"/>
        </w:rPr>
        <w:t>合同未尽事宜，合同当事人另行签订补充协议，补充协议是合同的组成部分。</w:t>
      </w:r>
    </w:p>
    <w:p w14:paraId="08D1A5F7">
      <w:pPr>
        <w:spacing w:line="360" w:lineRule="auto"/>
        <w:ind w:firstLine="422" w:firstLineChars="200"/>
        <w:rPr>
          <w:b/>
          <w:bCs/>
          <w:color w:val="auto"/>
          <w:szCs w:val="21"/>
        </w:rPr>
      </w:pPr>
      <w:bookmarkStart w:id="142" w:name="_Toc351203492"/>
      <w:r>
        <w:rPr>
          <w:b/>
          <w:bCs/>
          <w:color w:val="auto"/>
          <w:szCs w:val="21"/>
        </w:rPr>
        <w:t>十二、合同生效</w:t>
      </w:r>
      <w:bookmarkEnd w:id="142"/>
    </w:p>
    <w:p w14:paraId="4C3B9B89">
      <w:pPr>
        <w:spacing w:line="360" w:lineRule="auto"/>
        <w:ind w:firstLine="420" w:firstLineChars="200"/>
        <w:rPr>
          <w:bCs/>
          <w:color w:val="auto"/>
          <w:szCs w:val="21"/>
        </w:rPr>
      </w:pPr>
      <w:r>
        <w:rPr>
          <w:bCs/>
          <w:color w:val="auto"/>
          <w:szCs w:val="21"/>
        </w:rPr>
        <w:t>本合同自</w:t>
      </w:r>
      <w:r>
        <w:rPr>
          <w:b/>
          <w:color w:val="auto"/>
          <w:kern w:val="1"/>
          <w:szCs w:val="21"/>
          <w:u w:val="single"/>
        </w:rPr>
        <w:t>双方法定代表人或授权委托人签字并加盖单位公章</w:t>
      </w:r>
      <w:r>
        <w:rPr>
          <w:bCs/>
          <w:color w:val="auto"/>
          <w:szCs w:val="21"/>
        </w:rPr>
        <w:t>生效。</w:t>
      </w:r>
    </w:p>
    <w:p w14:paraId="4171D447">
      <w:pPr>
        <w:spacing w:line="360" w:lineRule="auto"/>
        <w:ind w:firstLine="422" w:firstLineChars="200"/>
        <w:rPr>
          <w:b/>
          <w:bCs/>
          <w:color w:val="auto"/>
          <w:szCs w:val="21"/>
        </w:rPr>
      </w:pPr>
      <w:bookmarkStart w:id="143" w:name="_Toc351203493"/>
      <w:r>
        <w:rPr>
          <w:b/>
          <w:bCs/>
          <w:color w:val="auto"/>
          <w:szCs w:val="21"/>
        </w:rPr>
        <w:t>十三、合同份数</w:t>
      </w:r>
      <w:bookmarkEnd w:id="143"/>
    </w:p>
    <w:p w14:paraId="4B90B3D5">
      <w:pPr>
        <w:spacing w:line="360" w:lineRule="auto"/>
        <w:ind w:firstLine="420" w:firstLineChars="200"/>
        <w:rPr>
          <w:color w:val="auto"/>
        </w:rPr>
      </w:pPr>
      <w:r>
        <w:rPr>
          <w:bCs/>
          <w:color w:val="auto"/>
          <w:szCs w:val="21"/>
        </w:rPr>
        <w:t>本合同一式</w:t>
      </w:r>
      <w:r>
        <w:rPr>
          <w:rFonts w:hint="eastAsia"/>
          <w:bCs/>
          <w:color w:val="auto"/>
          <w:szCs w:val="21"/>
          <w:u w:val="single"/>
        </w:rPr>
        <w:t>伍</w:t>
      </w:r>
      <w:r>
        <w:rPr>
          <w:bCs/>
          <w:color w:val="auto"/>
          <w:szCs w:val="21"/>
        </w:rPr>
        <w:t>份，均具有同等法律效力，发包人执</w:t>
      </w:r>
      <w:r>
        <w:rPr>
          <w:rFonts w:hint="eastAsia"/>
          <w:bCs/>
          <w:color w:val="auto"/>
          <w:szCs w:val="21"/>
          <w:u w:val="single"/>
        </w:rPr>
        <w:t>俩</w:t>
      </w:r>
      <w:r>
        <w:rPr>
          <w:bCs/>
          <w:color w:val="auto"/>
          <w:szCs w:val="21"/>
        </w:rPr>
        <w:t>份，承包人执</w:t>
      </w:r>
      <w:r>
        <w:rPr>
          <w:rFonts w:hint="eastAsia"/>
          <w:bCs/>
          <w:color w:val="auto"/>
          <w:szCs w:val="21"/>
          <w:u w:val="single"/>
        </w:rPr>
        <w:t>俩</w:t>
      </w:r>
      <w:r>
        <w:rPr>
          <w:bCs/>
          <w:color w:val="auto"/>
          <w:szCs w:val="21"/>
        </w:rPr>
        <w:t>份</w:t>
      </w:r>
      <w:r>
        <w:rPr>
          <w:rFonts w:hint="eastAsia"/>
          <w:bCs/>
          <w:color w:val="auto"/>
          <w:szCs w:val="21"/>
        </w:rPr>
        <w:t>、代理机构壹份</w:t>
      </w:r>
      <w:r>
        <w:rPr>
          <w:bCs/>
          <w:color w:val="auto"/>
          <w:szCs w:val="21"/>
        </w:rPr>
        <w:t>。</w:t>
      </w:r>
    </w:p>
    <w:tbl>
      <w:tblPr>
        <w:tblStyle w:val="45"/>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5A04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4516" w:type="dxa"/>
            <w:vAlign w:val="center"/>
          </w:tcPr>
          <w:p w14:paraId="50744FE0">
            <w:pPr>
              <w:snapToGrid w:val="0"/>
              <w:spacing w:line="400" w:lineRule="exact"/>
              <w:rPr>
                <w:color w:val="auto"/>
                <w:szCs w:val="21"/>
              </w:rPr>
            </w:pPr>
            <w:r>
              <w:rPr>
                <w:color w:val="auto"/>
                <w:szCs w:val="21"/>
              </w:rPr>
              <w:t xml:space="preserve">甲方（章）           </w:t>
            </w:r>
          </w:p>
          <w:p w14:paraId="021612D0">
            <w:pPr>
              <w:snapToGrid w:val="0"/>
              <w:spacing w:line="400" w:lineRule="exact"/>
              <w:rPr>
                <w:color w:val="auto"/>
                <w:szCs w:val="21"/>
              </w:rPr>
            </w:pPr>
          </w:p>
          <w:p w14:paraId="4D00F038">
            <w:pPr>
              <w:snapToGrid w:val="0"/>
              <w:spacing w:line="400" w:lineRule="exact"/>
              <w:ind w:firstLine="945" w:firstLineChars="450"/>
              <w:jc w:val="right"/>
              <w:rPr>
                <w:color w:val="auto"/>
                <w:szCs w:val="21"/>
              </w:rPr>
            </w:pPr>
            <w:r>
              <w:rPr>
                <w:color w:val="auto"/>
                <w:szCs w:val="21"/>
              </w:rPr>
              <w:t>年  月  日</w:t>
            </w:r>
          </w:p>
        </w:tc>
        <w:tc>
          <w:tcPr>
            <w:tcW w:w="4517" w:type="dxa"/>
            <w:vAlign w:val="center"/>
          </w:tcPr>
          <w:p w14:paraId="006CF57D">
            <w:pPr>
              <w:snapToGrid w:val="0"/>
              <w:spacing w:line="400" w:lineRule="exact"/>
              <w:rPr>
                <w:color w:val="auto"/>
                <w:szCs w:val="21"/>
              </w:rPr>
            </w:pPr>
            <w:r>
              <w:rPr>
                <w:color w:val="auto"/>
                <w:szCs w:val="21"/>
              </w:rPr>
              <w:t xml:space="preserve">乙方（章）              </w:t>
            </w:r>
          </w:p>
          <w:p w14:paraId="1C9EAA57">
            <w:pPr>
              <w:snapToGrid w:val="0"/>
              <w:spacing w:line="400" w:lineRule="exact"/>
              <w:rPr>
                <w:color w:val="auto"/>
                <w:szCs w:val="21"/>
              </w:rPr>
            </w:pPr>
          </w:p>
          <w:p w14:paraId="08D494CC">
            <w:pPr>
              <w:snapToGrid w:val="0"/>
              <w:spacing w:line="400" w:lineRule="exact"/>
              <w:jc w:val="right"/>
              <w:rPr>
                <w:color w:val="auto"/>
                <w:szCs w:val="21"/>
              </w:rPr>
            </w:pPr>
            <w:r>
              <w:rPr>
                <w:color w:val="auto"/>
                <w:szCs w:val="21"/>
              </w:rPr>
              <w:t>年  月  日</w:t>
            </w:r>
          </w:p>
        </w:tc>
      </w:tr>
      <w:tr w14:paraId="5E73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vAlign w:val="center"/>
          </w:tcPr>
          <w:p w14:paraId="54D2B89E">
            <w:pPr>
              <w:snapToGrid w:val="0"/>
              <w:spacing w:line="400" w:lineRule="exact"/>
              <w:rPr>
                <w:color w:val="auto"/>
                <w:szCs w:val="21"/>
              </w:rPr>
            </w:pPr>
            <w:r>
              <w:rPr>
                <w:color w:val="auto"/>
                <w:szCs w:val="21"/>
              </w:rPr>
              <w:t xml:space="preserve">单位地址： </w:t>
            </w:r>
          </w:p>
        </w:tc>
        <w:tc>
          <w:tcPr>
            <w:tcW w:w="4517" w:type="dxa"/>
            <w:vAlign w:val="center"/>
          </w:tcPr>
          <w:p w14:paraId="19F46747">
            <w:pPr>
              <w:snapToGrid w:val="0"/>
              <w:spacing w:line="400" w:lineRule="exact"/>
              <w:rPr>
                <w:color w:val="auto"/>
                <w:szCs w:val="21"/>
              </w:rPr>
            </w:pPr>
            <w:r>
              <w:rPr>
                <w:color w:val="auto"/>
                <w:szCs w:val="21"/>
              </w:rPr>
              <w:t>单位地址：</w:t>
            </w:r>
          </w:p>
        </w:tc>
      </w:tr>
      <w:tr w14:paraId="15B09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4516" w:type="dxa"/>
            <w:vAlign w:val="center"/>
          </w:tcPr>
          <w:p w14:paraId="2E15B60F">
            <w:pPr>
              <w:snapToGrid w:val="0"/>
              <w:spacing w:line="400" w:lineRule="exact"/>
              <w:rPr>
                <w:color w:val="auto"/>
                <w:szCs w:val="21"/>
              </w:rPr>
            </w:pPr>
            <w:r>
              <w:rPr>
                <w:color w:val="auto"/>
                <w:szCs w:val="21"/>
              </w:rPr>
              <w:t>法定代表人：</w:t>
            </w:r>
          </w:p>
        </w:tc>
        <w:tc>
          <w:tcPr>
            <w:tcW w:w="4517" w:type="dxa"/>
            <w:vAlign w:val="center"/>
          </w:tcPr>
          <w:p w14:paraId="2BEF9C99">
            <w:pPr>
              <w:snapToGrid w:val="0"/>
              <w:spacing w:line="400" w:lineRule="exact"/>
              <w:rPr>
                <w:color w:val="auto"/>
                <w:szCs w:val="21"/>
              </w:rPr>
            </w:pPr>
            <w:r>
              <w:rPr>
                <w:color w:val="auto"/>
                <w:szCs w:val="21"/>
              </w:rPr>
              <w:t>法定代表人：</w:t>
            </w:r>
          </w:p>
        </w:tc>
      </w:tr>
      <w:tr w14:paraId="6B20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16" w:type="dxa"/>
            <w:vAlign w:val="center"/>
          </w:tcPr>
          <w:p w14:paraId="3A58D868">
            <w:pPr>
              <w:snapToGrid w:val="0"/>
              <w:spacing w:line="400" w:lineRule="exact"/>
              <w:rPr>
                <w:color w:val="auto"/>
                <w:szCs w:val="21"/>
              </w:rPr>
            </w:pPr>
            <w:r>
              <w:rPr>
                <w:color w:val="auto"/>
                <w:szCs w:val="21"/>
              </w:rPr>
              <w:t>委托代理人：</w:t>
            </w:r>
          </w:p>
        </w:tc>
        <w:tc>
          <w:tcPr>
            <w:tcW w:w="4517" w:type="dxa"/>
            <w:vAlign w:val="center"/>
          </w:tcPr>
          <w:p w14:paraId="01F3C92E">
            <w:pPr>
              <w:snapToGrid w:val="0"/>
              <w:spacing w:line="400" w:lineRule="exact"/>
              <w:rPr>
                <w:color w:val="auto"/>
                <w:szCs w:val="21"/>
              </w:rPr>
            </w:pPr>
            <w:r>
              <w:rPr>
                <w:color w:val="auto"/>
                <w:szCs w:val="21"/>
              </w:rPr>
              <w:t>委托代理人</w:t>
            </w:r>
          </w:p>
        </w:tc>
      </w:tr>
      <w:tr w14:paraId="77411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jc w:val="center"/>
        </w:trPr>
        <w:tc>
          <w:tcPr>
            <w:tcW w:w="4516" w:type="dxa"/>
            <w:vAlign w:val="center"/>
          </w:tcPr>
          <w:p w14:paraId="38D081FC">
            <w:pPr>
              <w:snapToGrid w:val="0"/>
              <w:spacing w:line="400" w:lineRule="exact"/>
              <w:rPr>
                <w:color w:val="auto"/>
                <w:szCs w:val="21"/>
              </w:rPr>
            </w:pPr>
            <w:r>
              <w:rPr>
                <w:color w:val="auto"/>
                <w:szCs w:val="21"/>
              </w:rPr>
              <w:t xml:space="preserve">电话： </w:t>
            </w:r>
          </w:p>
        </w:tc>
        <w:tc>
          <w:tcPr>
            <w:tcW w:w="4517" w:type="dxa"/>
            <w:vAlign w:val="center"/>
          </w:tcPr>
          <w:p w14:paraId="6E2BB336">
            <w:pPr>
              <w:snapToGrid w:val="0"/>
              <w:spacing w:line="400" w:lineRule="exact"/>
              <w:rPr>
                <w:color w:val="auto"/>
                <w:szCs w:val="21"/>
              </w:rPr>
            </w:pPr>
            <w:r>
              <w:rPr>
                <w:color w:val="auto"/>
                <w:szCs w:val="21"/>
              </w:rPr>
              <w:t>电话：</w:t>
            </w:r>
          </w:p>
        </w:tc>
      </w:tr>
      <w:tr w14:paraId="7587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vAlign w:val="center"/>
          </w:tcPr>
          <w:p w14:paraId="71D16BB3">
            <w:pPr>
              <w:snapToGrid w:val="0"/>
              <w:spacing w:line="400" w:lineRule="exact"/>
              <w:rPr>
                <w:color w:val="auto"/>
                <w:szCs w:val="21"/>
              </w:rPr>
            </w:pPr>
            <w:r>
              <w:rPr>
                <w:color w:val="auto"/>
                <w:szCs w:val="21"/>
              </w:rPr>
              <w:t>电子邮箱：</w:t>
            </w:r>
          </w:p>
        </w:tc>
        <w:tc>
          <w:tcPr>
            <w:tcW w:w="4517" w:type="dxa"/>
            <w:vAlign w:val="center"/>
          </w:tcPr>
          <w:p w14:paraId="27DE1B5F">
            <w:pPr>
              <w:snapToGrid w:val="0"/>
              <w:spacing w:line="400" w:lineRule="exact"/>
              <w:rPr>
                <w:color w:val="auto"/>
                <w:szCs w:val="21"/>
              </w:rPr>
            </w:pPr>
            <w:r>
              <w:rPr>
                <w:color w:val="auto"/>
                <w:szCs w:val="21"/>
              </w:rPr>
              <w:t>电子邮箱：</w:t>
            </w:r>
          </w:p>
        </w:tc>
      </w:tr>
      <w:tr w14:paraId="3A36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4516" w:type="dxa"/>
            <w:vAlign w:val="center"/>
          </w:tcPr>
          <w:p w14:paraId="4FFC14E1">
            <w:pPr>
              <w:snapToGrid w:val="0"/>
              <w:spacing w:line="400" w:lineRule="exact"/>
              <w:rPr>
                <w:color w:val="auto"/>
                <w:szCs w:val="21"/>
              </w:rPr>
            </w:pPr>
            <w:r>
              <w:rPr>
                <w:color w:val="auto"/>
                <w:szCs w:val="21"/>
              </w:rPr>
              <w:t xml:space="preserve">开户银行： </w:t>
            </w:r>
          </w:p>
        </w:tc>
        <w:tc>
          <w:tcPr>
            <w:tcW w:w="4517" w:type="dxa"/>
            <w:vAlign w:val="center"/>
          </w:tcPr>
          <w:p w14:paraId="085BF47D">
            <w:pPr>
              <w:snapToGrid w:val="0"/>
              <w:spacing w:line="400" w:lineRule="exact"/>
              <w:rPr>
                <w:color w:val="auto"/>
                <w:szCs w:val="21"/>
              </w:rPr>
            </w:pPr>
            <w:r>
              <w:rPr>
                <w:color w:val="auto"/>
                <w:szCs w:val="21"/>
              </w:rPr>
              <w:t>开户银行：</w:t>
            </w:r>
          </w:p>
        </w:tc>
      </w:tr>
      <w:tr w14:paraId="56626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4516" w:type="dxa"/>
            <w:vAlign w:val="center"/>
          </w:tcPr>
          <w:p w14:paraId="3AB289C3">
            <w:pPr>
              <w:snapToGrid w:val="0"/>
              <w:spacing w:line="400" w:lineRule="exact"/>
              <w:rPr>
                <w:color w:val="auto"/>
                <w:szCs w:val="21"/>
              </w:rPr>
            </w:pPr>
            <w:r>
              <w:rPr>
                <w:color w:val="auto"/>
                <w:szCs w:val="21"/>
              </w:rPr>
              <w:t xml:space="preserve">税号： </w:t>
            </w:r>
          </w:p>
        </w:tc>
        <w:tc>
          <w:tcPr>
            <w:tcW w:w="4517" w:type="dxa"/>
            <w:vAlign w:val="center"/>
          </w:tcPr>
          <w:p w14:paraId="272864FB">
            <w:pPr>
              <w:snapToGrid w:val="0"/>
              <w:spacing w:line="400" w:lineRule="exact"/>
              <w:rPr>
                <w:color w:val="auto"/>
                <w:szCs w:val="21"/>
              </w:rPr>
            </w:pPr>
            <w:r>
              <w:rPr>
                <w:color w:val="auto"/>
                <w:szCs w:val="21"/>
              </w:rPr>
              <w:t>税号：</w:t>
            </w:r>
          </w:p>
        </w:tc>
      </w:tr>
      <w:tr w14:paraId="57F6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vAlign w:val="center"/>
          </w:tcPr>
          <w:p w14:paraId="34DF838D">
            <w:pPr>
              <w:snapToGrid w:val="0"/>
              <w:spacing w:line="400" w:lineRule="exact"/>
              <w:rPr>
                <w:color w:val="auto"/>
                <w:szCs w:val="21"/>
              </w:rPr>
            </w:pPr>
            <w:r>
              <w:rPr>
                <w:color w:val="auto"/>
                <w:szCs w:val="21"/>
              </w:rPr>
              <w:t xml:space="preserve">账号： </w:t>
            </w:r>
          </w:p>
        </w:tc>
        <w:tc>
          <w:tcPr>
            <w:tcW w:w="4517" w:type="dxa"/>
            <w:vAlign w:val="center"/>
          </w:tcPr>
          <w:p w14:paraId="1557C29A">
            <w:pPr>
              <w:snapToGrid w:val="0"/>
              <w:spacing w:line="400" w:lineRule="exact"/>
              <w:rPr>
                <w:color w:val="auto"/>
                <w:szCs w:val="21"/>
              </w:rPr>
            </w:pPr>
            <w:r>
              <w:rPr>
                <w:color w:val="auto"/>
                <w:szCs w:val="21"/>
              </w:rPr>
              <w:t>账号：</w:t>
            </w:r>
          </w:p>
        </w:tc>
      </w:tr>
      <w:tr w14:paraId="2D8B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vAlign w:val="center"/>
          </w:tcPr>
          <w:p w14:paraId="46575C28">
            <w:pPr>
              <w:snapToGrid w:val="0"/>
              <w:spacing w:line="400" w:lineRule="exact"/>
              <w:rPr>
                <w:color w:val="auto"/>
                <w:szCs w:val="21"/>
              </w:rPr>
            </w:pPr>
            <w:r>
              <w:rPr>
                <w:color w:val="auto"/>
                <w:szCs w:val="21"/>
              </w:rPr>
              <w:t xml:space="preserve">邮政编码： </w:t>
            </w:r>
          </w:p>
        </w:tc>
        <w:tc>
          <w:tcPr>
            <w:tcW w:w="4517" w:type="dxa"/>
            <w:vAlign w:val="center"/>
          </w:tcPr>
          <w:p w14:paraId="2557BDFF">
            <w:pPr>
              <w:snapToGrid w:val="0"/>
              <w:spacing w:line="400" w:lineRule="exact"/>
              <w:rPr>
                <w:color w:val="auto"/>
                <w:szCs w:val="21"/>
              </w:rPr>
            </w:pPr>
            <w:r>
              <w:rPr>
                <w:color w:val="auto"/>
                <w:szCs w:val="21"/>
              </w:rPr>
              <w:t>邮政编码：</w:t>
            </w:r>
          </w:p>
        </w:tc>
      </w:tr>
    </w:tbl>
    <w:p w14:paraId="299D252F">
      <w:pPr>
        <w:rPr>
          <w:color w:val="auto"/>
          <w:szCs w:val="21"/>
          <w:u w:val="single"/>
        </w:rPr>
      </w:pPr>
    </w:p>
    <w:p w14:paraId="66053CD5">
      <w:pPr>
        <w:rPr>
          <w:color w:val="auto"/>
        </w:rPr>
      </w:pPr>
      <w:r>
        <w:rPr>
          <w:color w:val="auto"/>
          <w:szCs w:val="21"/>
        </w:rPr>
        <w:br w:type="page"/>
      </w:r>
    </w:p>
    <w:p w14:paraId="07A9BDB6">
      <w:pPr>
        <w:bidi w:val="0"/>
        <w:jc w:val="center"/>
        <w:rPr>
          <w:b/>
          <w:bCs/>
          <w:color w:val="auto"/>
          <w:sz w:val="28"/>
          <w:szCs w:val="28"/>
        </w:rPr>
      </w:pPr>
      <w:bookmarkStart w:id="144" w:name="_Toc351203494"/>
      <w:bookmarkStart w:id="145" w:name="_Toc533611448"/>
      <w:r>
        <w:rPr>
          <w:rFonts w:hint="eastAsia"/>
          <w:b/>
          <w:bCs/>
          <w:color w:val="auto"/>
          <w:sz w:val="28"/>
          <w:szCs w:val="28"/>
        </w:rPr>
        <w:t>第二部分 通用合同条款</w:t>
      </w:r>
      <w:bookmarkEnd w:id="144"/>
      <w:bookmarkEnd w:id="145"/>
      <w:bookmarkStart w:id="146" w:name="_Toc337558727"/>
    </w:p>
    <w:bookmarkEnd w:id="146"/>
    <w:p w14:paraId="7329452C">
      <w:pPr>
        <w:spacing w:line="360" w:lineRule="auto"/>
        <w:ind w:firstLine="420" w:firstLineChars="200"/>
        <w:rPr>
          <w:rFonts w:ascii="仿宋_GB2312" w:eastAsia="仿宋_GB2312"/>
          <w:color w:val="auto"/>
          <w:szCs w:val="21"/>
        </w:rPr>
      </w:pPr>
    </w:p>
    <w:p w14:paraId="31601A19">
      <w:pPr>
        <w:spacing w:line="360" w:lineRule="auto"/>
        <w:ind w:firstLine="482" w:firstLineChars="200"/>
        <w:rPr>
          <w:rFonts w:ascii="仿宋_GB2312" w:eastAsia="仿宋_GB2312"/>
          <w:b/>
          <w:color w:val="auto"/>
          <w:sz w:val="24"/>
        </w:rPr>
      </w:pPr>
      <w:r>
        <w:rPr>
          <w:rFonts w:ascii="仿宋_GB2312" w:eastAsia="仿宋_GB2312"/>
          <w:b/>
          <w:color w:val="auto"/>
          <w:sz w:val="24"/>
        </w:rPr>
        <w:t>采用《建设工程施工合同（示范文本）》（GF—2013—0201）。</w:t>
      </w:r>
    </w:p>
    <w:p w14:paraId="1FE8D893">
      <w:pPr>
        <w:rPr>
          <w:color w:val="auto"/>
        </w:rPr>
      </w:pPr>
    </w:p>
    <w:p w14:paraId="48136008">
      <w:pPr>
        <w:rPr>
          <w:b/>
          <w:bCs/>
          <w:color w:val="auto"/>
          <w:sz w:val="28"/>
          <w:szCs w:val="28"/>
        </w:rPr>
      </w:pPr>
    </w:p>
    <w:p w14:paraId="2A584F3C">
      <w:pPr>
        <w:bidi w:val="0"/>
        <w:jc w:val="center"/>
        <w:rPr>
          <w:b/>
          <w:bCs/>
          <w:color w:val="auto"/>
          <w:sz w:val="28"/>
          <w:szCs w:val="28"/>
        </w:rPr>
      </w:pPr>
      <w:bookmarkStart w:id="147" w:name="_Toc389065257"/>
      <w:bookmarkStart w:id="148" w:name="_Toc487632690"/>
      <w:bookmarkStart w:id="149" w:name="_Toc533611449"/>
      <w:bookmarkStart w:id="150" w:name="_Toc407135193"/>
      <w:r>
        <w:rPr>
          <w:rFonts w:hint="eastAsia"/>
          <w:b/>
          <w:bCs/>
          <w:color w:val="auto"/>
          <w:sz w:val="28"/>
          <w:szCs w:val="28"/>
        </w:rPr>
        <w:t>第三部分专用合同条款</w:t>
      </w:r>
      <w:bookmarkEnd w:id="147"/>
      <w:bookmarkEnd w:id="148"/>
      <w:bookmarkEnd w:id="149"/>
      <w:bookmarkEnd w:id="150"/>
    </w:p>
    <w:p w14:paraId="5AAE6BD1">
      <w:pPr>
        <w:pStyle w:val="3"/>
        <w:rPr>
          <w:rFonts w:hint="eastAsia" w:ascii="宋体" w:hAnsi="宋体" w:eastAsia="宋体" w:cs="宋体"/>
          <w:color w:val="auto"/>
          <w:sz w:val="21"/>
          <w:szCs w:val="21"/>
        </w:rPr>
      </w:pPr>
      <w:bookmarkStart w:id="151" w:name="_Toc2377"/>
      <w:bookmarkStart w:id="152" w:name="_Toc19141"/>
      <w:bookmarkStart w:id="153" w:name="_Toc533611450"/>
      <w:bookmarkStart w:id="154" w:name="_Toc373227692"/>
      <w:bookmarkStart w:id="155" w:name="_Toc373478339"/>
      <w:bookmarkStart w:id="156" w:name="_Toc389065258"/>
      <w:bookmarkStart w:id="157" w:name="_Toc395382494"/>
      <w:r>
        <w:rPr>
          <w:rFonts w:hint="eastAsia" w:ascii="宋体" w:hAnsi="宋体" w:eastAsia="宋体" w:cs="宋体"/>
          <w:color w:val="auto"/>
          <w:sz w:val="21"/>
          <w:szCs w:val="21"/>
        </w:rPr>
        <w:t>1. 一般约定</w:t>
      </w:r>
      <w:bookmarkEnd w:id="151"/>
    </w:p>
    <w:p w14:paraId="6816FC48">
      <w:pPr>
        <w:pStyle w:val="4"/>
        <w:rPr>
          <w:rFonts w:hint="eastAsia" w:ascii="宋体" w:hAnsi="宋体" w:eastAsia="宋体" w:cs="宋体"/>
          <w:color w:val="auto"/>
          <w:sz w:val="21"/>
          <w:szCs w:val="21"/>
        </w:rPr>
      </w:pPr>
      <w:bookmarkStart w:id="158" w:name="_Toc19604"/>
      <w:r>
        <w:rPr>
          <w:rFonts w:hint="eastAsia" w:ascii="宋体" w:hAnsi="宋体" w:eastAsia="宋体" w:cs="宋体"/>
          <w:color w:val="auto"/>
          <w:sz w:val="21"/>
          <w:szCs w:val="21"/>
        </w:rPr>
        <w:t>1.1 词语定义</w:t>
      </w:r>
      <w:bookmarkEnd w:id="158"/>
    </w:p>
    <w:p w14:paraId="25B6B5D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 合同</w:t>
      </w:r>
    </w:p>
    <w:p w14:paraId="2431DA7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1.1.1.10 其他合同文件包括：</w:t>
      </w:r>
      <w:r>
        <w:rPr>
          <w:rFonts w:hint="eastAsia" w:ascii="宋体" w:hAnsi="宋体" w:eastAsia="宋体" w:cs="宋体"/>
          <w:color w:val="auto"/>
          <w:sz w:val="21"/>
          <w:szCs w:val="21"/>
          <w:u w:val="single"/>
        </w:rPr>
        <w:t xml:space="preserve"> 施工组织设计、专项方案、图纸会审记录、会议纪要、工程联系单、签证单、双方有关工程的洽商、变更、补充协议等双方约定的与工程施工有关的具有合同约束力的文件或书面协议</w:t>
      </w:r>
      <w:r>
        <w:rPr>
          <w:rFonts w:hint="eastAsia" w:ascii="宋体" w:hAnsi="宋体" w:eastAsia="宋体" w:cs="宋体"/>
          <w:color w:val="auto"/>
          <w:sz w:val="21"/>
          <w:szCs w:val="21"/>
        </w:rPr>
        <w:t>。</w:t>
      </w:r>
    </w:p>
    <w:p w14:paraId="4EBFCC6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 合同当事人及其他相关方</w:t>
      </w:r>
    </w:p>
    <w:p w14:paraId="1917442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1.1.2.4 监理人：</w:t>
      </w:r>
    </w:p>
    <w:p w14:paraId="2B04215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总监理工程师：</w:t>
      </w:r>
    </w:p>
    <w:p w14:paraId="4CDE04C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姓    名：</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02B58A3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职    务：</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5F43201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监理工程师执业资格证书号：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6B9916F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联系电话：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29F195D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电子信箱：</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495AD43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通信地址：；</w:t>
      </w:r>
    </w:p>
    <w:p w14:paraId="38211A9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1.1.3 工程和设备</w:t>
      </w:r>
    </w:p>
    <w:p w14:paraId="0389A36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1.1.3.7 作为施工现场组成部分的其他场所包括： </w:t>
      </w:r>
      <w:r>
        <w:rPr>
          <w:rFonts w:hint="eastAsia" w:ascii="宋体" w:hAnsi="宋体" w:eastAsia="宋体" w:cs="宋体"/>
          <w:color w:val="auto"/>
          <w:sz w:val="21"/>
          <w:szCs w:val="21"/>
          <w:u w:val="single"/>
        </w:rPr>
        <w:t xml:space="preserve"> 按本合同《通用条款》</w:t>
      </w:r>
      <w:r>
        <w:rPr>
          <w:rFonts w:hint="eastAsia" w:ascii="宋体" w:hAnsi="宋体" w:eastAsia="宋体" w:cs="宋体"/>
          <w:color w:val="auto"/>
          <w:sz w:val="21"/>
          <w:szCs w:val="21"/>
        </w:rPr>
        <w:t xml:space="preserve"> 。</w:t>
      </w:r>
    </w:p>
    <w:p w14:paraId="6B35E58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1.1.3.9 永久占地包括：</w:t>
      </w:r>
      <w:r>
        <w:rPr>
          <w:rFonts w:hint="eastAsia" w:ascii="宋体" w:hAnsi="宋体" w:eastAsia="宋体" w:cs="宋体"/>
          <w:color w:val="auto"/>
          <w:sz w:val="21"/>
          <w:szCs w:val="21"/>
          <w:u w:val="single"/>
        </w:rPr>
        <w:t>具体内容见双方确认的本工程规划红线图为准</w:t>
      </w:r>
      <w:r>
        <w:rPr>
          <w:rFonts w:hint="eastAsia" w:ascii="宋体" w:hAnsi="宋体" w:eastAsia="宋体" w:cs="宋体"/>
          <w:color w:val="auto"/>
          <w:sz w:val="21"/>
          <w:szCs w:val="21"/>
        </w:rPr>
        <w:t>。</w:t>
      </w:r>
    </w:p>
    <w:p w14:paraId="24121EC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1.1.3.10 临时占地包括：</w:t>
      </w:r>
      <w:r>
        <w:rPr>
          <w:rFonts w:hint="eastAsia" w:ascii="宋体" w:hAnsi="宋体" w:eastAsia="宋体" w:cs="宋体"/>
          <w:color w:val="auto"/>
          <w:sz w:val="21"/>
          <w:szCs w:val="21"/>
          <w:u w:val="single"/>
        </w:rPr>
        <w:t>发包人用地范围或发包人指定场地。</w:t>
      </w:r>
    </w:p>
    <w:p w14:paraId="35F69A19">
      <w:pPr>
        <w:pStyle w:val="4"/>
        <w:rPr>
          <w:rFonts w:hint="eastAsia" w:ascii="宋体" w:hAnsi="宋体" w:eastAsia="宋体" w:cs="宋体"/>
          <w:color w:val="auto"/>
          <w:sz w:val="21"/>
          <w:szCs w:val="21"/>
        </w:rPr>
      </w:pPr>
      <w:bookmarkStart w:id="159" w:name="_Toc29660"/>
      <w:r>
        <w:rPr>
          <w:rFonts w:hint="eastAsia" w:ascii="宋体" w:hAnsi="宋体" w:eastAsia="宋体" w:cs="宋体"/>
          <w:color w:val="auto"/>
          <w:sz w:val="21"/>
          <w:szCs w:val="21"/>
        </w:rPr>
        <w:t>1.3 法律</w:t>
      </w:r>
      <w:bookmarkEnd w:id="159"/>
    </w:p>
    <w:p w14:paraId="72772084">
      <w:pPr>
        <w:adjustRightIn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适用于合同的其他规范性文件：</w:t>
      </w:r>
      <w:r>
        <w:rPr>
          <w:rFonts w:hint="eastAsia" w:ascii="宋体" w:hAnsi="宋体" w:eastAsia="宋体" w:cs="宋体"/>
          <w:color w:val="auto"/>
          <w:sz w:val="21"/>
          <w:szCs w:val="21"/>
          <w:u w:val="single"/>
        </w:rPr>
        <w:t xml:space="preserve">   执行通用条款    </w:t>
      </w:r>
      <w:r>
        <w:rPr>
          <w:rFonts w:hint="eastAsia" w:ascii="宋体" w:hAnsi="宋体" w:eastAsia="宋体" w:cs="宋体"/>
          <w:color w:val="auto"/>
          <w:sz w:val="21"/>
          <w:szCs w:val="21"/>
        </w:rPr>
        <w:t>。</w:t>
      </w:r>
    </w:p>
    <w:p w14:paraId="1A0B8133">
      <w:pPr>
        <w:pStyle w:val="4"/>
        <w:rPr>
          <w:rFonts w:hint="eastAsia" w:ascii="宋体" w:hAnsi="宋体" w:eastAsia="宋体" w:cs="宋体"/>
          <w:color w:val="auto"/>
          <w:sz w:val="21"/>
          <w:szCs w:val="21"/>
        </w:rPr>
      </w:pPr>
      <w:bookmarkStart w:id="160" w:name="_Toc17728"/>
      <w:r>
        <w:rPr>
          <w:rFonts w:hint="eastAsia" w:ascii="宋体" w:hAnsi="宋体" w:eastAsia="宋体" w:cs="宋体"/>
          <w:color w:val="auto"/>
          <w:sz w:val="21"/>
          <w:szCs w:val="21"/>
        </w:rPr>
        <w:t>1.4 标准和规范</w:t>
      </w:r>
      <w:bookmarkEnd w:id="160"/>
    </w:p>
    <w:p w14:paraId="7ACFC33D">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1.4.1 适用于工程的标准规范包括：</w:t>
      </w:r>
      <w:r>
        <w:rPr>
          <w:rFonts w:hint="eastAsia" w:ascii="宋体" w:hAnsi="宋体" w:eastAsia="宋体" w:cs="宋体"/>
          <w:color w:val="auto"/>
          <w:sz w:val="21"/>
          <w:szCs w:val="21"/>
          <w:u w:val="single"/>
        </w:rPr>
        <w:t xml:space="preserve">   国家和地方现行的施工规范及技术标准   </w:t>
      </w:r>
      <w:r>
        <w:rPr>
          <w:rFonts w:hint="eastAsia" w:ascii="宋体" w:hAnsi="宋体" w:eastAsia="宋体" w:cs="宋体"/>
          <w:color w:val="auto"/>
          <w:sz w:val="21"/>
          <w:szCs w:val="21"/>
        </w:rPr>
        <w:t>。</w:t>
      </w:r>
    </w:p>
    <w:p w14:paraId="47196215">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1.4.2 发包人提供国外标准、规范的名称：</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2091D33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发包人提供国外标准、规范的份数：</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784977F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发包人提供国外标准、规范的名称：</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57B27E9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1.4.3 发包人对工程的技术标准和功能要求的特殊要求：</w:t>
      </w:r>
      <w:r>
        <w:rPr>
          <w:rFonts w:hint="eastAsia" w:ascii="宋体" w:hAnsi="宋体" w:eastAsia="宋体" w:cs="宋体"/>
          <w:color w:val="auto"/>
          <w:sz w:val="21"/>
          <w:szCs w:val="21"/>
          <w:u w:val="single"/>
        </w:rPr>
        <w:t>如有，双方另行协商</w:t>
      </w:r>
      <w:r>
        <w:rPr>
          <w:rFonts w:hint="eastAsia" w:ascii="宋体" w:hAnsi="宋体" w:eastAsia="宋体" w:cs="宋体"/>
          <w:color w:val="auto"/>
          <w:sz w:val="21"/>
          <w:szCs w:val="21"/>
        </w:rPr>
        <w:t>。</w:t>
      </w:r>
    </w:p>
    <w:p w14:paraId="7D2D7EF4">
      <w:pPr>
        <w:pStyle w:val="4"/>
        <w:rPr>
          <w:rFonts w:hint="eastAsia" w:ascii="宋体" w:hAnsi="宋体" w:eastAsia="宋体" w:cs="宋体"/>
          <w:color w:val="auto"/>
          <w:sz w:val="21"/>
          <w:szCs w:val="21"/>
        </w:rPr>
      </w:pPr>
      <w:bookmarkStart w:id="161" w:name="_Toc27474"/>
      <w:r>
        <w:rPr>
          <w:rFonts w:hint="eastAsia" w:ascii="宋体" w:hAnsi="宋体" w:eastAsia="宋体" w:cs="宋体"/>
          <w:color w:val="auto"/>
          <w:sz w:val="21"/>
          <w:szCs w:val="21"/>
        </w:rPr>
        <w:t>1.5 合同文件的优先顺序</w:t>
      </w:r>
      <w:bookmarkEnd w:id="161"/>
    </w:p>
    <w:p w14:paraId="724C861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合同文件组成及优先顺序为：</w:t>
      </w:r>
    </w:p>
    <w:p w14:paraId="3C9B877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（1）中标通知书（如果有）；</w:t>
      </w:r>
    </w:p>
    <w:p w14:paraId="070D1BF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（2）投标函及其附录（如果有）；</w:t>
      </w:r>
    </w:p>
    <w:p w14:paraId="0C8EB65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（3）专用合同条款及其附件；</w:t>
      </w:r>
    </w:p>
    <w:p w14:paraId="60837F6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（4）通用合同条款；</w:t>
      </w:r>
    </w:p>
    <w:p w14:paraId="40108C0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u w:val="single"/>
        </w:rPr>
        <w:t xml:space="preserve">    技术标准和要求     </w:t>
      </w:r>
      <w:r>
        <w:rPr>
          <w:rFonts w:hint="eastAsia" w:ascii="宋体" w:hAnsi="宋体" w:eastAsia="宋体" w:cs="宋体"/>
          <w:color w:val="auto"/>
          <w:sz w:val="21"/>
          <w:szCs w:val="21"/>
        </w:rPr>
        <w:t>；</w:t>
      </w:r>
    </w:p>
    <w:p w14:paraId="06D2461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w:t>
      </w:r>
      <w:r>
        <w:rPr>
          <w:rFonts w:hint="eastAsia" w:ascii="宋体" w:hAnsi="宋体" w:eastAsia="宋体" w:cs="宋体"/>
          <w:color w:val="auto"/>
          <w:sz w:val="21"/>
          <w:szCs w:val="21"/>
          <w:u w:val="single"/>
        </w:rPr>
        <w:t xml:space="preserve">    图纸  </w:t>
      </w:r>
      <w:r>
        <w:rPr>
          <w:rFonts w:hint="eastAsia" w:ascii="宋体" w:hAnsi="宋体" w:eastAsia="宋体" w:cs="宋体"/>
          <w:color w:val="auto"/>
          <w:sz w:val="21"/>
          <w:szCs w:val="21"/>
        </w:rPr>
        <w:t>；</w:t>
      </w:r>
    </w:p>
    <w:p w14:paraId="5B4D399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u w:val="single"/>
        </w:rPr>
        <w:t xml:space="preserve">    已标价工程量清单或预算书    </w:t>
      </w:r>
      <w:r>
        <w:rPr>
          <w:rFonts w:hint="eastAsia" w:ascii="宋体" w:hAnsi="宋体" w:eastAsia="宋体" w:cs="宋体"/>
          <w:color w:val="auto"/>
          <w:sz w:val="21"/>
          <w:szCs w:val="21"/>
        </w:rPr>
        <w:t>；</w:t>
      </w:r>
    </w:p>
    <w:p w14:paraId="49BF3B5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w:t>
      </w:r>
      <w:r>
        <w:rPr>
          <w:rFonts w:hint="eastAsia" w:ascii="宋体" w:hAnsi="宋体" w:eastAsia="宋体" w:cs="宋体"/>
          <w:color w:val="auto"/>
          <w:sz w:val="21"/>
          <w:szCs w:val="21"/>
          <w:u w:val="single"/>
        </w:rPr>
        <w:t xml:space="preserve">    其他合同文件     </w:t>
      </w:r>
      <w:r>
        <w:rPr>
          <w:rFonts w:hint="eastAsia" w:ascii="宋体" w:hAnsi="宋体" w:eastAsia="宋体" w:cs="宋体"/>
          <w:color w:val="auto"/>
          <w:sz w:val="21"/>
          <w:szCs w:val="21"/>
        </w:rPr>
        <w:t>。</w:t>
      </w:r>
    </w:p>
    <w:p w14:paraId="00FB0A5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（9）《建设工程工程量清单计价规范（GB5050-2013）》及其广西实施细则、《建设工程工程量清单计算规范（GB5854~50862-2013）》及其广西实施细则。</w:t>
      </w:r>
    </w:p>
    <w:p w14:paraId="4418E3D7">
      <w:pPr>
        <w:pStyle w:val="4"/>
        <w:rPr>
          <w:rFonts w:hint="eastAsia" w:ascii="宋体" w:hAnsi="宋体" w:eastAsia="宋体" w:cs="宋体"/>
          <w:color w:val="auto"/>
          <w:sz w:val="21"/>
          <w:szCs w:val="21"/>
        </w:rPr>
      </w:pPr>
      <w:bookmarkStart w:id="162" w:name="_Toc6800"/>
      <w:r>
        <w:rPr>
          <w:rFonts w:hint="eastAsia" w:ascii="宋体" w:hAnsi="宋体" w:eastAsia="宋体" w:cs="宋体"/>
          <w:color w:val="auto"/>
          <w:sz w:val="21"/>
          <w:szCs w:val="21"/>
        </w:rPr>
        <w:t>1.6 图纸和承包人文件</w:t>
      </w:r>
      <w:bookmarkEnd w:id="162"/>
      <w:r>
        <w:rPr>
          <w:rFonts w:hint="eastAsia" w:ascii="宋体" w:hAnsi="宋体" w:eastAsia="宋体" w:cs="宋体"/>
          <w:color w:val="auto"/>
          <w:sz w:val="21"/>
          <w:szCs w:val="21"/>
        </w:rPr>
        <w:tab/>
      </w:r>
    </w:p>
    <w:p w14:paraId="1C8B13E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1.6.1 图纸的提供</w:t>
      </w:r>
    </w:p>
    <w:p w14:paraId="48AD800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发包人向承包人提供图纸的期限：</w:t>
      </w:r>
      <w:r>
        <w:rPr>
          <w:rFonts w:hint="eastAsia" w:ascii="宋体" w:hAnsi="宋体" w:eastAsia="宋体" w:cs="宋体"/>
          <w:bCs/>
          <w:color w:val="auto"/>
          <w:sz w:val="21"/>
          <w:szCs w:val="21"/>
          <w:u w:val="single"/>
        </w:rPr>
        <w:t>合同生效后7天内</w:t>
      </w:r>
      <w:r>
        <w:rPr>
          <w:rFonts w:hint="eastAsia" w:ascii="宋体" w:hAnsi="宋体" w:eastAsia="宋体" w:cs="宋体"/>
          <w:color w:val="auto"/>
          <w:sz w:val="21"/>
          <w:szCs w:val="21"/>
        </w:rPr>
        <w:t>；</w:t>
      </w:r>
    </w:p>
    <w:p w14:paraId="3BB1D74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发包人向承包人提供图纸的数量</w:t>
      </w:r>
      <w:r>
        <w:rPr>
          <w:rFonts w:hint="eastAsia" w:ascii="宋体" w:hAnsi="宋体" w:eastAsia="宋体" w:cs="宋体"/>
          <w:b/>
          <w:color w:val="auto"/>
          <w:sz w:val="21"/>
          <w:szCs w:val="21"/>
        </w:rPr>
        <w:t>：</w:t>
      </w:r>
      <w:r>
        <w:rPr>
          <w:rFonts w:hint="eastAsia" w:ascii="宋体" w:hAnsi="宋体" w:eastAsia="宋体" w:cs="宋体"/>
          <w:b/>
          <w:color w:val="auto"/>
          <w:sz w:val="21"/>
          <w:szCs w:val="21"/>
          <w:u w:val="single"/>
        </w:rPr>
        <w:t>贰套，</w:t>
      </w:r>
      <w:r>
        <w:rPr>
          <w:rFonts w:hint="eastAsia" w:ascii="宋体" w:hAnsi="宋体" w:eastAsia="宋体" w:cs="宋体"/>
          <w:color w:val="auto"/>
          <w:sz w:val="21"/>
          <w:szCs w:val="21"/>
          <w:u w:val="single"/>
        </w:rPr>
        <w:t>承包人需要增加图纸套数的，发包人应代为复制，复制费用由承包人承担</w:t>
      </w:r>
      <w:r>
        <w:rPr>
          <w:rFonts w:hint="eastAsia" w:ascii="宋体" w:hAnsi="宋体" w:eastAsia="宋体" w:cs="宋体"/>
          <w:color w:val="auto"/>
          <w:sz w:val="21"/>
          <w:szCs w:val="21"/>
        </w:rPr>
        <w:t>；</w:t>
      </w:r>
    </w:p>
    <w:p w14:paraId="30559A6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发包人向承包人提供图纸的内容：</w:t>
      </w:r>
      <w:r>
        <w:rPr>
          <w:rFonts w:hint="eastAsia" w:ascii="宋体" w:hAnsi="宋体" w:eastAsia="宋体" w:cs="宋体"/>
          <w:color w:val="auto"/>
          <w:sz w:val="21"/>
          <w:szCs w:val="21"/>
          <w:u w:val="single"/>
        </w:rPr>
        <w:t xml:space="preserve">    全套完整施工图     </w:t>
      </w:r>
      <w:r>
        <w:rPr>
          <w:rFonts w:hint="eastAsia" w:ascii="宋体" w:hAnsi="宋体" w:eastAsia="宋体" w:cs="宋体"/>
          <w:color w:val="auto"/>
          <w:sz w:val="21"/>
          <w:szCs w:val="21"/>
        </w:rPr>
        <w:t>。</w:t>
      </w:r>
    </w:p>
    <w:p w14:paraId="009AEAC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1.6.4 承包人文件</w:t>
      </w:r>
    </w:p>
    <w:p w14:paraId="53CDFC3F">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需要由承包人提供的文件，包括：</w:t>
      </w:r>
      <w:r>
        <w:rPr>
          <w:rFonts w:hint="eastAsia" w:ascii="宋体" w:hAnsi="宋体" w:eastAsia="宋体" w:cs="宋体"/>
          <w:color w:val="auto"/>
          <w:sz w:val="21"/>
          <w:szCs w:val="21"/>
          <w:u w:val="single"/>
        </w:rPr>
        <w:t>提供项目部组成人员名单及身份证明、项目部用章授权书、项目经理亲笔签字及盖执业印章图样（施工过程中来往文件均需项目经理签字和盖章）</w:t>
      </w:r>
      <w:r>
        <w:rPr>
          <w:rFonts w:hint="eastAsia" w:ascii="宋体" w:hAnsi="宋体" w:eastAsia="宋体" w:cs="宋体"/>
          <w:color w:val="auto"/>
          <w:sz w:val="21"/>
          <w:szCs w:val="21"/>
        </w:rPr>
        <w:t>；</w:t>
      </w:r>
    </w:p>
    <w:p w14:paraId="65D8711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承包人提供的文件的期限为：</w:t>
      </w:r>
      <w:r>
        <w:rPr>
          <w:rFonts w:hint="eastAsia" w:ascii="宋体" w:hAnsi="宋体" w:eastAsia="宋体" w:cs="宋体"/>
          <w:bCs/>
          <w:color w:val="auto"/>
          <w:sz w:val="21"/>
          <w:szCs w:val="21"/>
          <w:u w:val="single"/>
        </w:rPr>
        <w:t>合同生效后7天内</w:t>
      </w:r>
      <w:r>
        <w:rPr>
          <w:rFonts w:hint="eastAsia" w:ascii="宋体" w:hAnsi="宋体" w:eastAsia="宋体" w:cs="宋体"/>
          <w:color w:val="auto"/>
          <w:sz w:val="21"/>
          <w:szCs w:val="21"/>
        </w:rPr>
        <w:t>；</w:t>
      </w:r>
    </w:p>
    <w:p w14:paraId="17F80C9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承包人提供的文件的数量为：</w:t>
      </w:r>
      <w:r>
        <w:rPr>
          <w:rFonts w:hint="eastAsia" w:ascii="宋体" w:hAnsi="宋体" w:eastAsia="宋体" w:cs="宋体"/>
          <w:color w:val="auto"/>
          <w:sz w:val="21"/>
          <w:szCs w:val="21"/>
          <w:u w:val="single"/>
        </w:rPr>
        <w:t xml:space="preserve">  　    　</w:t>
      </w:r>
      <w:r>
        <w:rPr>
          <w:rFonts w:hint="eastAsia" w:ascii="宋体" w:hAnsi="宋体" w:eastAsia="宋体" w:cs="宋体"/>
          <w:b/>
          <w:color w:val="auto"/>
          <w:sz w:val="21"/>
          <w:szCs w:val="21"/>
          <w:u w:val="single"/>
        </w:rPr>
        <w:t>肆套</w:t>
      </w:r>
      <w:r>
        <w:rPr>
          <w:rFonts w:hint="eastAsia" w:ascii="宋体" w:hAnsi="宋体" w:eastAsia="宋体" w:cs="宋体"/>
          <w:color w:val="auto"/>
          <w:sz w:val="21"/>
          <w:szCs w:val="21"/>
        </w:rPr>
        <w:t>；</w:t>
      </w:r>
    </w:p>
    <w:p w14:paraId="6364040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承包人提供的文件的形式为：</w:t>
      </w:r>
      <w:r>
        <w:rPr>
          <w:rFonts w:hint="eastAsia" w:ascii="宋体" w:hAnsi="宋体" w:eastAsia="宋体" w:cs="宋体"/>
          <w:color w:val="auto"/>
          <w:sz w:val="21"/>
          <w:szCs w:val="21"/>
          <w:u w:val="single"/>
        </w:rPr>
        <w:t xml:space="preserve">        文本和电子版                  </w:t>
      </w:r>
      <w:r>
        <w:rPr>
          <w:rFonts w:hint="eastAsia" w:ascii="宋体" w:hAnsi="宋体" w:eastAsia="宋体" w:cs="宋体"/>
          <w:color w:val="auto"/>
          <w:sz w:val="21"/>
          <w:szCs w:val="21"/>
        </w:rPr>
        <w:t>；</w:t>
      </w:r>
    </w:p>
    <w:p w14:paraId="7AECEDD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发包人审批承包人文件的期限：</w:t>
      </w:r>
      <w:r>
        <w:rPr>
          <w:rFonts w:hint="eastAsia" w:ascii="宋体" w:hAnsi="宋体" w:eastAsia="宋体" w:cs="宋体"/>
          <w:color w:val="auto"/>
          <w:sz w:val="21"/>
          <w:szCs w:val="21"/>
          <w:u w:val="single"/>
        </w:rPr>
        <w:t xml:space="preserve">   收到之日起7日内　              </w:t>
      </w:r>
      <w:r>
        <w:rPr>
          <w:rFonts w:hint="eastAsia" w:ascii="宋体" w:hAnsi="宋体" w:eastAsia="宋体" w:cs="宋体"/>
          <w:color w:val="auto"/>
          <w:sz w:val="21"/>
          <w:szCs w:val="21"/>
        </w:rPr>
        <w:t>。</w:t>
      </w:r>
    </w:p>
    <w:p w14:paraId="0BA25A7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1.6.5 现场图纸准备</w:t>
      </w:r>
    </w:p>
    <w:p w14:paraId="4F73A92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关于现场图纸准备的约定：</w:t>
      </w:r>
      <w:r>
        <w:rPr>
          <w:rFonts w:hint="eastAsia" w:ascii="宋体" w:hAnsi="宋体" w:eastAsia="宋体" w:cs="宋体"/>
          <w:color w:val="auto"/>
          <w:sz w:val="21"/>
          <w:szCs w:val="21"/>
          <w:u w:val="single"/>
        </w:rPr>
        <w:t>按《通用条款》执行</w:t>
      </w:r>
      <w:r>
        <w:rPr>
          <w:rFonts w:hint="eastAsia" w:ascii="宋体" w:hAnsi="宋体" w:eastAsia="宋体" w:cs="宋体"/>
          <w:color w:val="auto"/>
          <w:sz w:val="21"/>
          <w:szCs w:val="21"/>
        </w:rPr>
        <w:t>。</w:t>
      </w:r>
    </w:p>
    <w:p w14:paraId="5AFBC2E8">
      <w:pPr>
        <w:pStyle w:val="4"/>
        <w:rPr>
          <w:rFonts w:hint="eastAsia" w:ascii="宋体" w:hAnsi="宋体" w:eastAsia="宋体" w:cs="宋体"/>
          <w:color w:val="auto"/>
          <w:sz w:val="21"/>
          <w:szCs w:val="21"/>
        </w:rPr>
      </w:pPr>
      <w:bookmarkStart w:id="163" w:name="_Toc6118"/>
      <w:r>
        <w:rPr>
          <w:rFonts w:hint="eastAsia" w:ascii="宋体" w:hAnsi="宋体" w:eastAsia="宋体" w:cs="宋体"/>
          <w:color w:val="auto"/>
          <w:sz w:val="21"/>
          <w:szCs w:val="21"/>
        </w:rPr>
        <w:t>1.7 联络</w:t>
      </w:r>
      <w:bookmarkEnd w:id="163"/>
    </w:p>
    <w:p w14:paraId="533A8FE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1.7.1发包人和承包人应当在</w:t>
      </w:r>
      <w:r>
        <w:rPr>
          <w:rFonts w:hint="eastAsia" w:ascii="宋体" w:hAnsi="宋体" w:eastAsia="宋体" w:cs="宋体"/>
          <w:color w:val="auto"/>
          <w:sz w:val="21"/>
          <w:szCs w:val="21"/>
          <w:u w:val="single"/>
        </w:rPr>
        <w:t xml:space="preserve">   7   </w:t>
      </w:r>
      <w:r>
        <w:rPr>
          <w:rFonts w:hint="eastAsia" w:ascii="宋体" w:hAnsi="宋体" w:eastAsia="宋体" w:cs="宋体"/>
          <w:color w:val="auto"/>
          <w:sz w:val="21"/>
          <w:szCs w:val="21"/>
        </w:rPr>
        <w:t>天内将与合同有关的通知、批准、证明、证书、指示、指令、要求、请求、同意、意见、确定和决定等书面函件送达对方当事人。</w:t>
      </w:r>
    </w:p>
    <w:p w14:paraId="3B6600D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1.7.2 发包人接收文件的地点：</w:t>
      </w:r>
      <w:r>
        <w:rPr>
          <w:rFonts w:hint="eastAsia" w:ascii="宋体" w:hAnsi="宋体" w:eastAsia="宋体" w:cs="宋体"/>
          <w:color w:val="auto"/>
          <w:sz w:val="21"/>
          <w:szCs w:val="21"/>
          <w:u w:val="single"/>
        </w:rPr>
        <w:t>发包人单位办公所在地</w:t>
      </w:r>
      <w:r>
        <w:rPr>
          <w:rFonts w:hint="eastAsia" w:ascii="宋体" w:hAnsi="宋体" w:eastAsia="宋体" w:cs="宋体"/>
          <w:color w:val="auto"/>
          <w:sz w:val="21"/>
          <w:szCs w:val="21"/>
        </w:rPr>
        <w:t>；</w:t>
      </w:r>
    </w:p>
    <w:p w14:paraId="572AF27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发包人指定的接收人为：</w:t>
      </w:r>
      <w:r>
        <w:rPr>
          <w:rFonts w:hint="eastAsia" w:ascii="宋体" w:hAnsi="宋体" w:eastAsia="宋体" w:cs="宋体"/>
          <w:color w:val="auto"/>
          <w:sz w:val="21"/>
          <w:szCs w:val="21"/>
          <w:u w:val="single"/>
        </w:rPr>
        <w:t>发包人派驻现场代表</w:t>
      </w:r>
      <w:r>
        <w:rPr>
          <w:rFonts w:hint="eastAsia" w:ascii="宋体" w:hAnsi="宋体" w:eastAsia="宋体" w:cs="宋体"/>
          <w:color w:val="auto"/>
          <w:sz w:val="21"/>
          <w:szCs w:val="21"/>
        </w:rPr>
        <w:t xml:space="preserve">  。</w:t>
      </w:r>
    </w:p>
    <w:p w14:paraId="74EB171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承包人接收文件的地点： </w:t>
      </w:r>
      <w:r>
        <w:rPr>
          <w:rFonts w:hint="eastAsia" w:ascii="宋体" w:hAnsi="宋体" w:eastAsia="宋体" w:cs="宋体"/>
          <w:color w:val="auto"/>
          <w:sz w:val="21"/>
          <w:szCs w:val="21"/>
          <w:u w:val="single"/>
        </w:rPr>
        <w:t xml:space="preserve">施工现场项目部 </w:t>
      </w:r>
      <w:r>
        <w:rPr>
          <w:rFonts w:hint="eastAsia" w:ascii="宋体" w:hAnsi="宋体" w:eastAsia="宋体" w:cs="宋体"/>
          <w:color w:val="auto"/>
          <w:sz w:val="21"/>
          <w:szCs w:val="21"/>
        </w:rPr>
        <w:t xml:space="preserve">  ；</w:t>
      </w:r>
    </w:p>
    <w:p w14:paraId="5699FC2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承包人指定的接收人为：</w:t>
      </w:r>
      <w:r>
        <w:rPr>
          <w:rFonts w:hint="eastAsia" w:ascii="宋体" w:hAnsi="宋体" w:eastAsia="宋体" w:cs="宋体"/>
          <w:color w:val="auto"/>
          <w:sz w:val="21"/>
          <w:szCs w:val="21"/>
          <w:u w:val="single"/>
        </w:rPr>
        <w:t xml:space="preserve">承包人现场管理人员  </w:t>
      </w:r>
      <w:r>
        <w:rPr>
          <w:rFonts w:hint="eastAsia" w:ascii="宋体" w:hAnsi="宋体" w:eastAsia="宋体" w:cs="宋体"/>
          <w:color w:val="auto"/>
          <w:sz w:val="21"/>
          <w:szCs w:val="21"/>
        </w:rPr>
        <w:t>。</w:t>
      </w:r>
    </w:p>
    <w:p w14:paraId="6A606FA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监理人接收文件的地点：</w:t>
      </w:r>
      <w:r>
        <w:rPr>
          <w:rFonts w:hint="eastAsia" w:ascii="宋体" w:hAnsi="宋体" w:eastAsia="宋体" w:cs="宋体"/>
          <w:color w:val="auto"/>
          <w:sz w:val="21"/>
          <w:szCs w:val="21"/>
          <w:u w:val="single"/>
        </w:rPr>
        <w:t xml:space="preserve">施工现场项目监理部  </w:t>
      </w:r>
      <w:r>
        <w:rPr>
          <w:rFonts w:hint="eastAsia" w:ascii="宋体" w:hAnsi="宋体" w:eastAsia="宋体" w:cs="宋体"/>
          <w:color w:val="auto"/>
          <w:sz w:val="21"/>
          <w:szCs w:val="21"/>
        </w:rPr>
        <w:t>；</w:t>
      </w:r>
    </w:p>
    <w:p w14:paraId="60F3C7E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监理人指定的接收人为：</w:t>
      </w:r>
      <w:r>
        <w:rPr>
          <w:rFonts w:hint="eastAsia" w:ascii="宋体" w:hAnsi="宋体" w:eastAsia="宋体" w:cs="宋体"/>
          <w:color w:val="auto"/>
          <w:sz w:val="21"/>
          <w:szCs w:val="21"/>
          <w:u w:val="single"/>
        </w:rPr>
        <w:t>总监或总监代表   。</w:t>
      </w:r>
    </w:p>
    <w:p w14:paraId="157B60A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1.10 交通运输</w:t>
      </w:r>
    </w:p>
    <w:p w14:paraId="6F6B3DC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1.10.1 出入现场的权利</w:t>
      </w:r>
    </w:p>
    <w:p w14:paraId="32CFFA35">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关于出入现场的权利的约定：</w:t>
      </w:r>
      <w:r>
        <w:rPr>
          <w:rFonts w:hint="eastAsia" w:ascii="宋体" w:hAnsi="宋体" w:eastAsia="宋体" w:cs="宋体"/>
          <w:color w:val="auto"/>
          <w:sz w:val="21"/>
          <w:szCs w:val="21"/>
          <w:u w:val="single"/>
        </w:rPr>
        <w:t>开工前七天，发包人只需要负责办理完临时用地</w:t>
      </w:r>
      <w:r>
        <w:rPr>
          <w:rFonts w:hint="eastAsia" w:ascii="宋体" w:hAnsi="宋体" w:eastAsia="宋体" w:cs="宋体"/>
          <w:bCs/>
          <w:color w:val="auto"/>
          <w:sz w:val="21"/>
          <w:szCs w:val="21"/>
          <w:u w:val="single"/>
        </w:rPr>
        <w:t>申请批准手续即可</w:t>
      </w:r>
      <w:r>
        <w:rPr>
          <w:rFonts w:hint="eastAsia" w:ascii="宋体" w:hAnsi="宋体" w:eastAsia="宋体" w:cs="宋体"/>
          <w:color w:val="auto"/>
          <w:sz w:val="21"/>
          <w:szCs w:val="21"/>
        </w:rPr>
        <w:t>。</w:t>
      </w:r>
    </w:p>
    <w:p w14:paraId="714ABDA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1.10.3 场内交通</w:t>
      </w:r>
    </w:p>
    <w:p w14:paraId="4EE4C8C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关于场外交通和场内交通的边界的约定：以双方确认的建筑红线为边界，公共道路的通道为现有道路施工条件，如果无现有的公用道路的，另外做好施工道路作为本次招标工程的施工道路。</w:t>
      </w:r>
    </w:p>
    <w:p w14:paraId="27F882E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关于发包人向承包人免费提供满足工程施工需要的场内道路和交通设施的约定：开工前7天，公共道路的通道开通至施工场地外边缘即可，其余由承包人负责修建及保养等   。</w:t>
      </w:r>
    </w:p>
    <w:p w14:paraId="53A34B6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1.10.4 超大件和超重件的运输</w:t>
      </w:r>
    </w:p>
    <w:p w14:paraId="29471F6F">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运输超大件或超重件所需的道路和桥梁临时加固改造费用和其他有关费用由</w:t>
      </w:r>
      <w:r>
        <w:rPr>
          <w:rFonts w:hint="eastAsia" w:ascii="宋体" w:hAnsi="宋体" w:eastAsia="宋体" w:cs="宋体"/>
          <w:color w:val="auto"/>
          <w:sz w:val="21"/>
          <w:szCs w:val="21"/>
          <w:u w:val="single"/>
        </w:rPr>
        <w:t xml:space="preserve">   承包人   </w:t>
      </w:r>
      <w:r>
        <w:rPr>
          <w:rFonts w:hint="eastAsia" w:ascii="宋体" w:hAnsi="宋体" w:eastAsia="宋体" w:cs="宋体"/>
          <w:color w:val="auto"/>
          <w:sz w:val="21"/>
          <w:szCs w:val="21"/>
        </w:rPr>
        <w:t>承担。</w:t>
      </w:r>
    </w:p>
    <w:p w14:paraId="2A2CDAF1">
      <w:pPr>
        <w:pStyle w:val="4"/>
        <w:rPr>
          <w:rFonts w:hint="eastAsia" w:ascii="宋体" w:hAnsi="宋体" w:eastAsia="宋体" w:cs="宋体"/>
          <w:color w:val="auto"/>
          <w:sz w:val="21"/>
          <w:szCs w:val="21"/>
        </w:rPr>
      </w:pPr>
      <w:bookmarkStart w:id="164" w:name="_Toc28771"/>
      <w:r>
        <w:rPr>
          <w:rFonts w:hint="eastAsia" w:ascii="宋体" w:hAnsi="宋体" w:eastAsia="宋体" w:cs="宋体"/>
          <w:color w:val="auto"/>
          <w:sz w:val="21"/>
          <w:szCs w:val="21"/>
        </w:rPr>
        <w:t>1.11 知识产权</w:t>
      </w:r>
      <w:bookmarkEnd w:id="164"/>
    </w:p>
    <w:p w14:paraId="794AD41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u w:val="single"/>
        </w:rPr>
        <w:t>属于发包人</w:t>
      </w:r>
      <w:r>
        <w:rPr>
          <w:rFonts w:hint="eastAsia" w:ascii="宋体" w:hAnsi="宋体" w:eastAsia="宋体" w:cs="宋体"/>
          <w:color w:val="auto"/>
          <w:sz w:val="21"/>
          <w:szCs w:val="21"/>
        </w:rPr>
        <w:t>。</w:t>
      </w:r>
    </w:p>
    <w:p w14:paraId="0E65AB8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关于发包人提供的上述文件的使用限制的要求：</w:t>
      </w:r>
      <w:r>
        <w:rPr>
          <w:rFonts w:hint="eastAsia" w:ascii="宋体" w:hAnsi="宋体" w:eastAsia="宋体" w:cs="宋体"/>
          <w:color w:val="auto"/>
          <w:sz w:val="21"/>
          <w:szCs w:val="21"/>
          <w:u w:val="single"/>
        </w:rPr>
        <w:t>未经发包人同意，不得提供给任何第三方</w:t>
      </w:r>
      <w:r>
        <w:rPr>
          <w:rFonts w:hint="eastAsia" w:ascii="宋体" w:hAnsi="宋体" w:eastAsia="宋体" w:cs="宋体"/>
          <w:color w:val="auto"/>
          <w:sz w:val="21"/>
          <w:szCs w:val="21"/>
        </w:rPr>
        <w:t>。</w:t>
      </w:r>
    </w:p>
    <w:p w14:paraId="6FF91F6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1.11.2 关于承包人为实施工程所编制文件的著作权的归属：</w:t>
      </w:r>
      <w:r>
        <w:rPr>
          <w:rFonts w:hint="eastAsia" w:ascii="宋体" w:hAnsi="宋体" w:eastAsia="宋体" w:cs="宋体"/>
          <w:color w:val="auto"/>
          <w:sz w:val="21"/>
          <w:szCs w:val="21"/>
          <w:u w:val="single"/>
        </w:rPr>
        <w:t xml:space="preserve">  属于发包人    </w:t>
      </w:r>
      <w:r>
        <w:rPr>
          <w:rFonts w:hint="eastAsia" w:ascii="宋体" w:hAnsi="宋体" w:eastAsia="宋体" w:cs="宋体"/>
          <w:color w:val="auto"/>
          <w:sz w:val="21"/>
          <w:szCs w:val="21"/>
        </w:rPr>
        <w:t>。</w:t>
      </w:r>
    </w:p>
    <w:p w14:paraId="5EA8CC29">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关于承包人提供的上述文件的使用限制的要求：</w:t>
      </w:r>
      <w:r>
        <w:rPr>
          <w:rFonts w:hint="eastAsia" w:ascii="宋体" w:hAnsi="宋体" w:eastAsia="宋体" w:cs="宋体"/>
          <w:color w:val="auto"/>
          <w:sz w:val="21"/>
          <w:szCs w:val="21"/>
          <w:u w:val="single"/>
        </w:rPr>
        <w:t>未经发包人同意，不得提供给任何第三方</w:t>
      </w:r>
      <w:r>
        <w:rPr>
          <w:rFonts w:hint="eastAsia" w:ascii="宋体" w:hAnsi="宋体" w:eastAsia="宋体" w:cs="宋体"/>
          <w:color w:val="auto"/>
          <w:sz w:val="21"/>
          <w:szCs w:val="21"/>
        </w:rPr>
        <w:t>。</w:t>
      </w:r>
    </w:p>
    <w:p w14:paraId="7015206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1.11.4 承包人在施工过程中所采用的专利、专有技术、技术秘密的使用费的承担方式：</w:t>
      </w:r>
      <w:r>
        <w:rPr>
          <w:rFonts w:hint="eastAsia" w:ascii="宋体" w:hAnsi="宋体" w:eastAsia="宋体" w:cs="宋体"/>
          <w:color w:val="auto"/>
          <w:sz w:val="21"/>
          <w:szCs w:val="21"/>
          <w:u w:val="single"/>
        </w:rPr>
        <w:t xml:space="preserve">                      由承包人承担  </w:t>
      </w:r>
      <w:r>
        <w:rPr>
          <w:rFonts w:hint="eastAsia" w:ascii="宋体" w:hAnsi="宋体" w:eastAsia="宋体" w:cs="宋体"/>
          <w:color w:val="auto"/>
          <w:sz w:val="21"/>
          <w:szCs w:val="21"/>
        </w:rPr>
        <w:t>。</w:t>
      </w:r>
    </w:p>
    <w:p w14:paraId="5C7088F9">
      <w:pPr>
        <w:pStyle w:val="4"/>
        <w:rPr>
          <w:rFonts w:hint="eastAsia" w:ascii="宋体" w:hAnsi="宋体" w:eastAsia="宋体" w:cs="宋体"/>
          <w:color w:val="auto"/>
          <w:sz w:val="21"/>
          <w:szCs w:val="21"/>
        </w:rPr>
      </w:pPr>
      <w:bookmarkStart w:id="165" w:name="_Toc24674"/>
      <w:r>
        <w:rPr>
          <w:rFonts w:hint="eastAsia" w:ascii="宋体" w:hAnsi="宋体" w:eastAsia="宋体" w:cs="宋体"/>
          <w:color w:val="auto"/>
          <w:sz w:val="21"/>
          <w:szCs w:val="21"/>
        </w:rPr>
        <w:t>1.13工程量清单错误的修正</w:t>
      </w:r>
      <w:bookmarkEnd w:id="165"/>
    </w:p>
    <w:p w14:paraId="18C512D1">
      <w:pPr>
        <w:pStyle w:val="18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出现工程量清单工程量偏差时，是否调整合同价格：</w:t>
      </w:r>
      <w:r>
        <w:rPr>
          <w:rFonts w:hint="eastAsia" w:ascii="宋体" w:hAnsi="宋体" w:eastAsia="宋体" w:cs="宋体"/>
          <w:color w:val="auto"/>
          <w:sz w:val="21"/>
          <w:szCs w:val="21"/>
          <w:u w:val="single"/>
        </w:rPr>
        <w:t xml:space="preserve">合同履行期间，由于招标工程量清单缺项、漏项，新增分部分项工程清单项目的，按照以下规定确定单价，并调整合同价格：（1）合同中已有适用的综合单价，按合同中已有的综合单价确定；（2）合同中有类似的综合单价，参照类似的综合单价确定；（3）合同中没有适用或类似的综合单价，由承包人提出综合单价，经发包人确认。由于招标工程量清单项目多列或重复列项的，按照投标人投标综合单价确定单价，并调整合同价格。除以上情况之外出现工程量清单错误的，不调整合同价格 </w:t>
      </w:r>
      <w:r>
        <w:rPr>
          <w:rFonts w:hint="eastAsia" w:ascii="宋体" w:hAnsi="宋体" w:eastAsia="宋体" w:cs="宋体"/>
          <w:color w:val="auto"/>
          <w:kern w:val="0"/>
          <w:sz w:val="21"/>
          <w:szCs w:val="21"/>
        </w:rPr>
        <w:t>。</w:t>
      </w:r>
    </w:p>
    <w:p w14:paraId="0343C55C">
      <w:pPr>
        <w:pStyle w:val="18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允许调整合同价格的工程量偏差范围及其调整办法：</w:t>
      </w:r>
    </w:p>
    <w:p w14:paraId="7DD25739">
      <w:pPr>
        <w:pStyle w:val="18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u w:val="single"/>
        </w:rPr>
        <w:t>工程量按实调整，综合单价不变</w:t>
      </w:r>
      <w:r>
        <w:rPr>
          <w:rFonts w:hint="eastAsia" w:ascii="宋体" w:hAnsi="宋体" w:eastAsia="宋体" w:cs="宋体"/>
          <w:color w:val="auto"/>
          <w:kern w:val="0"/>
          <w:sz w:val="21"/>
          <w:szCs w:val="21"/>
        </w:rPr>
        <w:t>。</w:t>
      </w:r>
    </w:p>
    <w:p w14:paraId="5C0CFE1A">
      <w:pPr>
        <w:rPr>
          <w:rFonts w:hint="eastAsia" w:ascii="宋体" w:hAnsi="宋体" w:eastAsia="宋体" w:cs="宋体"/>
          <w:color w:val="auto"/>
          <w:sz w:val="21"/>
          <w:szCs w:val="21"/>
        </w:rPr>
      </w:pPr>
    </w:p>
    <w:p w14:paraId="7F00F41D">
      <w:pPr>
        <w:rPr>
          <w:rFonts w:hint="eastAsia" w:ascii="宋体" w:hAnsi="宋体" w:eastAsia="宋体" w:cs="宋体"/>
          <w:color w:val="auto"/>
          <w:sz w:val="21"/>
          <w:szCs w:val="21"/>
        </w:rPr>
      </w:pPr>
    </w:p>
    <w:p w14:paraId="2B9E9330">
      <w:pPr>
        <w:pStyle w:val="3"/>
        <w:rPr>
          <w:rFonts w:hint="eastAsia" w:ascii="宋体" w:hAnsi="宋体" w:eastAsia="宋体" w:cs="宋体"/>
          <w:color w:val="auto"/>
          <w:sz w:val="21"/>
          <w:szCs w:val="21"/>
        </w:rPr>
      </w:pPr>
      <w:bookmarkStart w:id="166" w:name="_Toc9010"/>
      <w:r>
        <w:rPr>
          <w:rFonts w:hint="eastAsia" w:ascii="宋体" w:hAnsi="宋体" w:eastAsia="宋体" w:cs="宋体"/>
          <w:color w:val="auto"/>
          <w:sz w:val="21"/>
          <w:szCs w:val="21"/>
        </w:rPr>
        <w:t>2. 发包人</w:t>
      </w:r>
      <w:bookmarkEnd w:id="166"/>
    </w:p>
    <w:p w14:paraId="1BC5607B">
      <w:pPr>
        <w:pStyle w:val="4"/>
        <w:rPr>
          <w:rFonts w:hint="eastAsia" w:ascii="宋体" w:hAnsi="宋体" w:eastAsia="宋体" w:cs="宋体"/>
          <w:color w:val="auto"/>
          <w:sz w:val="21"/>
          <w:szCs w:val="21"/>
        </w:rPr>
      </w:pPr>
      <w:bookmarkStart w:id="167" w:name="_Toc25800"/>
      <w:r>
        <w:rPr>
          <w:rFonts w:hint="eastAsia" w:ascii="宋体" w:hAnsi="宋体" w:eastAsia="宋体" w:cs="宋体"/>
          <w:color w:val="auto"/>
          <w:sz w:val="21"/>
          <w:szCs w:val="21"/>
        </w:rPr>
        <w:t>2.2 发包人代表</w:t>
      </w:r>
      <w:bookmarkEnd w:id="167"/>
    </w:p>
    <w:p w14:paraId="6A0C144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发包人代表：</w:t>
      </w:r>
    </w:p>
    <w:p w14:paraId="4E5DE9E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姓    名：；</w:t>
      </w:r>
    </w:p>
    <w:p w14:paraId="4BE1693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职    务：；</w:t>
      </w:r>
    </w:p>
    <w:p w14:paraId="26A8234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联系电话：；</w:t>
      </w:r>
    </w:p>
    <w:p w14:paraId="06FBE78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电子信箱：；</w:t>
      </w:r>
    </w:p>
    <w:p w14:paraId="21B8E66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通信地址：</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eastAsia="zh-CN"/>
        </w:rPr>
        <w:t>龙州县教育局</w:t>
      </w:r>
      <w:r>
        <w:rPr>
          <w:rFonts w:hint="eastAsia" w:ascii="宋体" w:hAnsi="宋体" w:eastAsia="宋体" w:cs="宋体"/>
          <w:color w:val="auto"/>
          <w:sz w:val="21"/>
          <w:szCs w:val="21"/>
        </w:rPr>
        <w:t>。</w:t>
      </w:r>
    </w:p>
    <w:p w14:paraId="2EA81D14">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发包人对发包人代表的授权范围如下：</w:t>
      </w:r>
      <w:r>
        <w:rPr>
          <w:rFonts w:hint="eastAsia" w:ascii="宋体" w:hAnsi="宋体" w:eastAsia="宋体" w:cs="宋体"/>
          <w:color w:val="auto"/>
          <w:sz w:val="21"/>
          <w:szCs w:val="21"/>
          <w:u w:val="single"/>
        </w:rPr>
        <w:t xml:space="preserve">    对工程建设进行全过程管理    </w:t>
      </w:r>
      <w:r>
        <w:rPr>
          <w:rFonts w:hint="eastAsia" w:ascii="宋体" w:hAnsi="宋体" w:eastAsia="宋体" w:cs="宋体"/>
          <w:color w:val="auto"/>
          <w:sz w:val="21"/>
          <w:szCs w:val="21"/>
        </w:rPr>
        <w:t>。</w:t>
      </w:r>
    </w:p>
    <w:p w14:paraId="184DBAD7">
      <w:pPr>
        <w:pStyle w:val="4"/>
        <w:rPr>
          <w:rFonts w:hint="eastAsia" w:ascii="宋体" w:hAnsi="宋体" w:eastAsia="宋体" w:cs="宋体"/>
          <w:color w:val="auto"/>
          <w:sz w:val="21"/>
          <w:szCs w:val="21"/>
        </w:rPr>
      </w:pPr>
      <w:bookmarkStart w:id="168" w:name="_Toc31395"/>
      <w:r>
        <w:rPr>
          <w:rFonts w:hint="eastAsia" w:ascii="宋体" w:hAnsi="宋体" w:eastAsia="宋体" w:cs="宋体"/>
          <w:color w:val="auto"/>
          <w:sz w:val="21"/>
          <w:szCs w:val="21"/>
        </w:rPr>
        <w:t>2.4 施工现场、施工条件和基础资料的提供</w:t>
      </w:r>
      <w:bookmarkEnd w:id="168"/>
    </w:p>
    <w:p w14:paraId="79208F5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2.4.1 提供施工现场</w:t>
      </w:r>
    </w:p>
    <w:p w14:paraId="46A40D9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关于发包人移交施工现场的期限要求：</w:t>
      </w:r>
      <w:r>
        <w:rPr>
          <w:rFonts w:hint="eastAsia" w:ascii="宋体" w:hAnsi="宋体" w:eastAsia="宋体" w:cs="宋体"/>
          <w:color w:val="auto"/>
          <w:sz w:val="21"/>
          <w:szCs w:val="21"/>
          <w:u w:val="single"/>
        </w:rPr>
        <w:t xml:space="preserve">   　　承包人进场前7日        </w:t>
      </w:r>
      <w:r>
        <w:rPr>
          <w:rFonts w:hint="eastAsia" w:ascii="宋体" w:hAnsi="宋体" w:eastAsia="宋体" w:cs="宋体"/>
          <w:color w:val="auto"/>
          <w:sz w:val="21"/>
          <w:szCs w:val="21"/>
        </w:rPr>
        <w:t>。</w:t>
      </w:r>
    </w:p>
    <w:p w14:paraId="6980302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2.4.2 提供施工条件</w:t>
      </w:r>
    </w:p>
    <w:p w14:paraId="67EAD27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关于发包人应负责提供施工所需要的条件，包括：</w:t>
      </w:r>
    </w:p>
    <w:p w14:paraId="76502D2D">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（1）将施工所需的水、电、接至施工场地的时间、地点和供应要求：</w:t>
      </w:r>
      <w:r>
        <w:rPr>
          <w:rFonts w:hint="eastAsia" w:ascii="宋体" w:hAnsi="宋体" w:eastAsia="宋体" w:cs="宋体"/>
          <w:color w:val="auto"/>
          <w:sz w:val="21"/>
          <w:szCs w:val="21"/>
          <w:u w:val="single"/>
        </w:rPr>
        <w:t xml:space="preserve"> 发包人仅提供水电接口，费用承包人自理。   </w:t>
      </w:r>
    </w:p>
    <w:p w14:paraId="6E78AFAC">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（2）施工场地与公共道路的通道开通时间和要求：</w:t>
      </w:r>
      <w:r>
        <w:rPr>
          <w:rFonts w:hint="eastAsia" w:ascii="宋体" w:hAnsi="宋体" w:eastAsia="宋体" w:cs="宋体"/>
          <w:color w:val="auto"/>
          <w:sz w:val="21"/>
          <w:szCs w:val="21"/>
          <w:u w:val="single"/>
        </w:rPr>
        <w:t xml:space="preserve">  施工场地与公共道路的通道由承包人自行解决，费用承包人自理。 </w:t>
      </w:r>
    </w:p>
    <w:p w14:paraId="23BD7F15">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（3）工程地质和地下管线资料的提供时间：</w:t>
      </w:r>
      <w:r>
        <w:rPr>
          <w:rFonts w:hint="eastAsia" w:ascii="宋体" w:hAnsi="宋体" w:eastAsia="宋体" w:cs="宋体"/>
          <w:color w:val="auto"/>
          <w:sz w:val="21"/>
          <w:szCs w:val="21"/>
          <w:u w:val="single"/>
        </w:rPr>
        <w:t xml:space="preserve">  进场后三天内。已交底的场地内地下管线由承包人负责保护 。   </w:t>
      </w:r>
    </w:p>
    <w:p w14:paraId="0DE43CA1">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（4）由发包人办理的施工所需证件、批件的名称和完成时间：</w:t>
      </w:r>
      <w:r>
        <w:rPr>
          <w:rFonts w:hint="eastAsia" w:ascii="宋体" w:hAnsi="宋体" w:eastAsia="宋体" w:cs="宋体"/>
          <w:color w:val="auto"/>
          <w:sz w:val="21"/>
          <w:szCs w:val="21"/>
          <w:u w:val="single"/>
        </w:rPr>
        <w:t xml:space="preserve"> 有关批件由发包人按规定完成。   </w:t>
      </w:r>
    </w:p>
    <w:p w14:paraId="35EBC67D">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（5）水准点与座标控制点交验要求：</w:t>
      </w:r>
      <w:r>
        <w:rPr>
          <w:rFonts w:hint="eastAsia" w:ascii="宋体" w:hAnsi="宋体" w:eastAsia="宋体" w:cs="宋体"/>
          <w:color w:val="auto"/>
          <w:sz w:val="21"/>
          <w:szCs w:val="21"/>
          <w:u w:val="single"/>
        </w:rPr>
        <w:t xml:space="preserve"> 承包人进入工地后进行现场、书面交桩，承包人负责复核，承包人并对水准点和坐标控制点加以保护。 </w:t>
      </w:r>
    </w:p>
    <w:p w14:paraId="6430362A">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（6）图纸会审和设计交底时间：</w:t>
      </w:r>
      <w:r>
        <w:rPr>
          <w:rFonts w:hint="eastAsia" w:ascii="宋体" w:hAnsi="宋体" w:eastAsia="宋体" w:cs="宋体"/>
          <w:color w:val="auto"/>
          <w:sz w:val="21"/>
          <w:szCs w:val="21"/>
          <w:u w:val="single"/>
        </w:rPr>
        <w:t xml:space="preserve"> 图纸发出7天内，发包人负责组织设计单位、监理工程师向承包人进行技术交底。  </w:t>
      </w:r>
    </w:p>
    <w:p w14:paraId="0E8F0D47">
      <w:pPr>
        <w:spacing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（7）协调处理施工场地周围地下管线和邻近建筑物、构筑物（含文物保护建筑）、古树名木的保护工作：</w:t>
      </w:r>
      <w:r>
        <w:rPr>
          <w:rFonts w:hint="eastAsia" w:ascii="宋体" w:hAnsi="宋体" w:eastAsia="宋体" w:cs="宋体"/>
          <w:color w:val="auto"/>
          <w:sz w:val="21"/>
          <w:szCs w:val="21"/>
          <w:u w:val="single"/>
        </w:rPr>
        <w:t xml:space="preserve">   由发包人负责按实际需要协调。 </w:t>
      </w:r>
    </w:p>
    <w:p w14:paraId="3C4E20EB">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（8）双方约定发包人应做的其他工作：</w:t>
      </w:r>
      <w:r>
        <w:rPr>
          <w:rFonts w:hint="eastAsia" w:ascii="宋体" w:hAnsi="宋体" w:eastAsia="宋体" w:cs="宋体"/>
          <w:color w:val="auto"/>
          <w:sz w:val="21"/>
          <w:szCs w:val="21"/>
          <w:u w:val="single"/>
        </w:rPr>
        <w:t xml:space="preserve">在开工前向承包人提供壹份监理合同。 </w:t>
      </w:r>
    </w:p>
    <w:p w14:paraId="3194EB80">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（9）发包人委托承包人办理的工作：</w:t>
      </w:r>
      <w:r>
        <w:rPr>
          <w:rFonts w:hint="eastAsia" w:ascii="宋体" w:hAnsi="宋体" w:eastAsia="宋体" w:cs="宋体"/>
          <w:color w:val="auto"/>
          <w:sz w:val="21"/>
          <w:szCs w:val="21"/>
          <w:u w:val="single"/>
        </w:rPr>
        <w:t xml:space="preserve">    双方另行协商。    </w:t>
      </w:r>
    </w:p>
    <w:p w14:paraId="6B90FFB9">
      <w:pPr>
        <w:rPr>
          <w:rFonts w:hint="eastAsia" w:ascii="宋体" w:hAnsi="宋体" w:eastAsia="宋体" w:cs="宋体"/>
          <w:color w:val="auto"/>
          <w:sz w:val="21"/>
          <w:szCs w:val="21"/>
        </w:rPr>
      </w:pPr>
    </w:p>
    <w:p w14:paraId="2BF5BA5A">
      <w:pPr>
        <w:pStyle w:val="3"/>
        <w:rPr>
          <w:rFonts w:hint="eastAsia" w:ascii="宋体" w:hAnsi="宋体" w:eastAsia="宋体" w:cs="宋体"/>
          <w:color w:val="auto"/>
          <w:sz w:val="21"/>
          <w:szCs w:val="21"/>
        </w:rPr>
      </w:pPr>
      <w:bookmarkStart w:id="169" w:name="_Toc32558"/>
      <w:r>
        <w:rPr>
          <w:rFonts w:hint="eastAsia" w:ascii="宋体" w:hAnsi="宋体" w:eastAsia="宋体" w:cs="宋体"/>
          <w:color w:val="auto"/>
          <w:sz w:val="21"/>
          <w:szCs w:val="21"/>
        </w:rPr>
        <w:t>3. 承包人</w:t>
      </w:r>
      <w:bookmarkEnd w:id="169"/>
    </w:p>
    <w:p w14:paraId="390CC052">
      <w:pPr>
        <w:pStyle w:val="4"/>
        <w:rPr>
          <w:rFonts w:hint="eastAsia" w:ascii="宋体" w:hAnsi="宋体" w:eastAsia="宋体" w:cs="宋体"/>
          <w:color w:val="auto"/>
          <w:sz w:val="21"/>
          <w:szCs w:val="21"/>
        </w:rPr>
      </w:pPr>
      <w:bookmarkStart w:id="170" w:name="_Toc23919"/>
      <w:r>
        <w:rPr>
          <w:rFonts w:hint="eastAsia" w:ascii="宋体" w:hAnsi="宋体" w:eastAsia="宋体" w:cs="宋体"/>
          <w:color w:val="auto"/>
          <w:sz w:val="21"/>
          <w:szCs w:val="21"/>
        </w:rPr>
        <w:t>3.1 承包人的一般义务</w:t>
      </w:r>
      <w:bookmarkEnd w:id="170"/>
    </w:p>
    <w:p w14:paraId="39FD44D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3.1.1承包人提交的竣工资料的内容：</w:t>
      </w:r>
    </w:p>
    <w:p w14:paraId="314A47FD">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 xml:space="preserve">包括工程质量保证资料、验收备案资料、竣工图等完整的竣工档案资料         </w:t>
      </w:r>
      <w:r>
        <w:rPr>
          <w:rFonts w:hint="eastAsia" w:ascii="宋体" w:hAnsi="宋体" w:eastAsia="宋体" w:cs="宋体"/>
          <w:color w:val="auto"/>
          <w:sz w:val="21"/>
          <w:szCs w:val="21"/>
        </w:rPr>
        <w:t>。</w:t>
      </w:r>
    </w:p>
    <w:p w14:paraId="532EA17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承包人需要提交的竣工资料套数：</w:t>
      </w:r>
      <w:r>
        <w:rPr>
          <w:rFonts w:hint="eastAsia" w:ascii="宋体" w:hAnsi="宋体" w:eastAsia="宋体" w:cs="宋体"/>
          <w:color w:val="auto"/>
          <w:sz w:val="21"/>
          <w:szCs w:val="21"/>
          <w:u w:val="single"/>
        </w:rPr>
        <w:t xml:space="preserve">伍套（施工、监理、建设、接收单位、档案馆各一套）   </w:t>
      </w:r>
      <w:r>
        <w:rPr>
          <w:rFonts w:hint="eastAsia" w:ascii="宋体" w:hAnsi="宋体" w:eastAsia="宋体" w:cs="宋体"/>
          <w:color w:val="auto"/>
          <w:sz w:val="21"/>
          <w:szCs w:val="21"/>
        </w:rPr>
        <w:t>。</w:t>
      </w:r>
    </w:p>
    <w:p w14:paraId="03968CC4">
      <w:pPr>
        <w:spacing w:line="360" w:lineRule="auto"/>
        <w:ind w:left="424" w:leftChars="202"/>
        <w:rPr>
          <w:rFonts w:hint="eastAsia" w:ascii="宋体" w:hAnsi="宋体" w:eastAsia="宋体" w:cs="宋体"/>
          <w:color w:val="auto"/>
          <w:sz w:val="21"/>
          <w:szCs w:val="21"/>
        </w:rPr>
      </w:pPr>
      <w:r>
        <w:rPr>
          <w:rFonts w:hint="eastAsia" w:ascii="宋体" w:hAnsi="宋体" w:eastAsia="宋体" w:cs="宋体"/>
          <w:color w:val="auto"/>
          <w:sz w:val="21"/>
          <w:szCs w:val="21"/>
        </w:rPr>
        <w:t>承包人提交的竣工资料的费用承担：</w:t>
      </w:r>
      <w:r>
        <w:rPr>
          <w:rFonts w:hint="eastAsia" w:ascii="宋体" w:hAnsi="宋体" w:eastAsia="宋体" w:cs="宋体"/>
          <w:color w:val="auto"/>
          <w:sz w:val="21"/>
          <w:szCs w:val="21"/>
          <w:u w:val="single"/>
        </w:rPr>
        <w:t xml:space="preserve">     全部承担        </w:t>
      </w:r>
      <w:r>
        <w:rPr>
          <w:rFonts w:hint="eastAsia" w:ascii="宋体" w:hAnsi="宋体" w:eastAsia="宋体" w:cs="宋体"/>
          <w:color w:val="auto"/>
          <w:sz w:val="21"/>
          <w:szCs w:val="21"/>
        </w:rPr>
        <w:t>。</w:t>
      </w:r>
    </w:p>
    <w:p w14:paraId="018FF146">
      <w:pPr>
        <w:spacing w:line="360" w:lineRule="auto"/>
        <w:ind w:left="424" w:leftChars="202"/>
        <w:rPr>
          <w:rFonts w:hint="eastAsia" w:ascii="宋体" w:hAnsi="宋体" w:eastAsia="宋体" w:cs="宋体"/>
          <w:color w:val="auto"/>
          <w:sz w:val="21"/>
          <w:szCs w:val="21"/>
        </w:rPr>
      </w:pPr>
      <w:r>
        <w:rPr>
          <w:rFonts w:hint="eastAsia" w:ascii="宋体" w:hAnsi="宋体" w:eastAsia="宋体" w:cs="宋体"/>
          <w:color w:val="auto"/>
          <w:sz w:val="21"/>
          <w:szCs w:val="21"/>
        </w:rPr>
        <w:t>承包人提交的竣工资料移交时间：</w:t>
      </w:r>
      <w:r>
        <w:rPr>
          <w:rFonts w:hint="eastAsia" w:ascii="宋体" w:hAnsi="宋体" w:eastAsia="宋体" w:cs="宋体"/>
          <w:color w:val="auto"/>
          <w:sz w:val="21"/>
          <w:szCs w:val="21"/>
          <w:u w:val="single"/>
        </w:rPr>
        <w:t xml:space="preserve">  竣工验收合格后28天内  </w:t>
      </w:r>
      <w:r>
        <w:rPr>
          <w:rFonts w:hint="eastAsia" w:ascii="宋体" w:hAnsi="宋体" w:eastAsia="宋体" w:cs="宋体"/>
          <w:color w:val="auto"/>
          <w:sz w:val="21"/>
          <w:szCs w:val="21"/>
        </w:rPr>
        <w:t>。</w:t>
      </w:r>
    </w:p>
    <w:p w14:paraId="1E01DED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承包人提交的竣工资料形式要求：</w:t>
      </w:r>
      <w:r>
        <w:rPr>
          <w:rFonts w:hint="eastAsia" w:ascii="宋体" w:hAnsi="宋体" w:eastAsia="宋体" w:cs="宋体"/>
          <w:color w:val="auto"/>
          <w:sz w:val="21"/>
          <w:szCs w:val="21"/>
          <w:u w:val="single"/>
        </w:rPr>
        <w:t xml:space="preserve">           文本            </w:t>
      </w:r>
      <w:r>
        <w:rPr>
          <w:rFonts w:hint="eastAsia" w:ascii="宋体" w:hAnsi="宋体" w:eastAsia="宋体" w:cs="宋体"/>
          <w:color w:val="auto"/>
          <w:sz w:val="21"/>
          <w:szCs w:val="21"/>
        </w:rPr>
        <w:t>。</w:t>
      </w:r>
    </w:p>
    <w:p w14:paraId="6F318DC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3.1.2承包人应履行的其他义务：</w:t>
      </w:r>
    </w:p>
    <w:p w14:paraId="1EEA17E4">
      <w:pPr>
        <w:spacing w:line="360" w:lineRule="auto"/>
        <w:ind w:firstLine="420" w:firstLineChars="200"/>
        <w:rPr>
          <w:rFonts w:hint="eastAsia" w:ascii="宋体" w:hAnsi="宋体" w:eastAsia="宋体" w:cs="宋体"/>
          <w:bCs/>
          <w:color w:val="auto"/>
          <w:sz w:val="21"/>
          <w:szCs w:val="21"/>
          <w:u w:val="single"/>
        </w:rPr>
      </w:pPr>
      <w:r>
        <w:rPr>
          <w:rFonts w:hint="eastAsia" w:ascii="宋体" w:hAnsi="宋体" w:eastAsia="宋体" w:cs="宋体"/>
          <w:bCs/>
          <w:color w:val="auto"/>
          <w:sz w:val="21"/>
          <w:szCs w:val="21"/>
        </w:rPr>
        <w:t>（1）施工场地周围地下管线和邻近建筑物、构筑物（含文物保护建筑）、古树名木的保护要求及费用承担：</w:t>
      </w:r>
      <w:r>
        <w:rPr>
          <w:rFonts w:hint="eastAsia" w:ascii="宋体" w:hAnsi="宋体" w:eastAsia="宋体" w:cs="宋体"/>
          <w:bCs/>
          <w:color w:val="auto"/>
          <w:sz w:val="21"/>
          <w:szCs w:val="21"/>
          <w:u w:val="single"/>
        </w:rPr>
        <w:t>承包人施工时应探明并负责保护且承包费用，施工时如损坏地下管线、邻近建筑物、构筑物，所发生费用由承包人承担。</w:t>
      </w:r>
    </w:p>
    <w:p w14:paraId="1BEF7CA3">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u w:val="single"/>
        </w:rPr>
        <w:t>取土场及弃土场由承包人自行解决，但不得违反相关管理规定，并承担相关费用。</w:t>
      </w:r>
    </w:p>
    <w:p w14:paraId="35B5B55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3.1.3承包人应按约定时间和要求，完成以下工作：</w:t>
      </w:r>
    </w:p>
    <w:p w14:paraId="698D5058">
      <w:pPr>
        <w:pStyle w:val="250"/>
        <w:snapToGrid w:val="0"/>
        <w:spacing w:before="0" w:after="0" w:line="360" w:lineRule="auto"/>
        <w:ind w:left="0" w:right="30" w:firstLine="502"/>
        <w:rPr>
          <w:rFonts w:hint="eastAsia" w:ascii="宋体" w:hAnsi="宋体" w:eastAsia="宋体" w:cs="宋体"/>
          <w:color w:val="auto"/>
          <w:sz w:val="21"/>
          <w:szCs w:val="21"/>
        </w:rPr>
      </w:pPr>
      <w:r>
        <w:rPr>
          <w:rFonts w:hint="eastAsia" w:ascii="宋体" w:hAnsi="宋体" w:eastAsia="宋体" w:cs="宋体"/>
          <w:color w:val="auto"/>
          <w:sz w:val="21"/>
          <w:szCs w:val="21"/>
        </w:rPr>
        <w:t>（1）需由设计资质等级和业务范围允许的承包人完成的设计文件提交时间：</w:t>
      </w:r>
      <w:r>
        <w:rPr>
          <w:rFonts w:hint="eastAsia" w:ascii="宋体" w:hAnsi="宋体" w:eastAsia="宋体" w:cs="宋体"/>
          <w:color w:val="auto"/>
          <w:sz w:val="21"/>
          <w:szCs w:val="21"/>
          <w:u w:val="single"/>
        </w:rPr>
        <w:t xml:space="preserve"> 无        </w:t>
      </w:r>
    </w:p>
    <w:p w14:paraId="43C50040">
      <w:pPr>
        <w:pStyle w:val="24"/>
        <w:adjustRightInd w:val="0"/>
        <w:snapToGrid w:val="0"/>
        <w:spacing w:line="360" w:lineRule="auto"/>
        <w:ind w:firstLine="502"/>
        <w:rPr>
          <w:rFonts w:hint="eastAsia" w:ascii="宋体" w:hAnsi="宋体" w:eastAsia="宋体" w:cs="宋体"/>
          <w:color w:val="auto"/>
          <w:sz w:val="21"/>
          <w:szCs w:val="21"/>
        </w:rPr>
      </w:pPr>
      <w:r>
        <w:rPr>
          <w:rFonts w:hint="eastAsia" w:ascii="宋体" w:hAnsi="宋体" w:eastAsia="宋体" w:cs="宋体"/>
          <w:color w:val="auto"/>
          <w:sz w:val="21"/>
          <w:szCs w:val="21"/>
        </w:rPr>
        <w:t>（2）应提供计划、报表的名称及完成时间：</w:t>
      </w:r>
      <w:r>
        <w:rPr>
          <w:rFonts w:hint="eastAsia" w:ascii="宋体" w:hAnsi="宋体" w:eastAsia="宋体" w:cs="宋体"/>
          <w:color w:val="auto"/>
          <w:sz w:val="21"/>
          <w:szCs w:val="21"/>
          <w:u w:val="single"/>
        </w:rPr>
        <w:t xml:space="preserve"> 合同签订后7天内向监理工程师和发包人提交符合合同工期要求的1、施工组织设计，2、工程进度计划3、管理人员名单、职称、职务、上岗证等（注：领取中标通知书前提交建设管理部门），4、安全文明施工措施，5、质量保证体系。每月25日提供当月完成工程量报表、次月计划完成工程量报表各两份。 </w:t>
      </w:r>
    </w:p>
    <w:p w14:paraId="7D792A57">
      <w:pPr>
        <w:pStyle w:val="24"/>
        <w:adjustRightInd w:val="0"/>
        <w:snapToGrid w:val="0"/>
        <w:spacing w:line="360" w:lineRule="auto"/>
        <w:ind w:firstLine="480"/>
        <w:rPr>
          <w:rFonts w:hint="eastAsia" w:ascii="宋体" w:hAnsi="宋体" w:eastAsia="宋体" w:cs="宋体"/>
          <w:color w:val="auto"/>
          <w:sz w:val="21"/>
          <w:szCs w:val="21"/>
          <w:u w:val="single"/>
        </w:rPr>
      </w:pPr>
      <w:r>
        <w:rPr>
          <w:rFonts w:hint="eastAsia" w:ascii="宋体" w:hAnsi="宋体" w:eastAsia="宋体" w:cs="宋体"/>
          <w:color w:val="auto"/>
          <w:sz w:val="21"/>
          <w:szCs w:val="21"/>
        </w:rPr>
        <w:t>（3）承担施工安全保卫工作及非夜间施工照明的责任和要求：</w:t>
      </w:r>
      <w:r>
        <w:rPr>
          <w:rFonts w:hint="eastAsia" w:ascii="宋体" w:hAnsi="宋体" w:eastAsia="宋体" w:cs="宋体"/>
          <w:color w:val="auto"/>
          <w:sz w:val="21"/>
          <w:szCs w:val="21"/>
          <w:u w:val="single"/>
        </w:rPr>
        <w:t xml:space="preserve">  提供和维修非夜间施工使用的照明、安全标识、围栏等设施，保证过往车辆、行人安全，并负责施工现场安全保卫，费用由承包人承担。按国家及地方对施工防护的有关规定及通用条款9.1（3）条内容。</w:t>
      </w:r>
    </w:p>
    <w:p w14:paraId="686904EB">
      <w:pPr>
        <w:pStyle w:val="24"/>
        <w:adjustRightInd w:val="0"/>
        <w:snapToGrid w:val="0"/>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（4）向发包人提供的办公和生活房屋及设施的要求：</w:t>
      </w:r>
      <w:r>
        <w:rPr>
          <w:rFonts w:hint="eastAsia" w:ascii="宋体" w:hAnsi="宋体" w:eastAsia="宋体" w:cs="宋体"/>
          <w:color w:val="auto"/>
          <w:sz w:val="21"/>
          <w:szCs w:val="21"/>
          <w:u w:val="single"/>
        </w:rPr>
        <w:t>由承包人提供1间施工现场办公室及生活宿舍 。</w:t>
      </w:r>
    </w:p>
    <w:p w14:paraId="186F6D3C">
      <w:pPr>
        <w:pStyle w:val="24"/>
        <w:adjustRightInd w:val="0"/>
        <w:snapToGrid w:val="0"/>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（5）需承包人办理的有关施工场地交通、环卫和施工噪音管理等手续：</w:t>
      </w:r>
      <w:r>
        <w:rPr>
          <w:rFonts w:hint="eastAsia" w:ascii="宋体" w:hAnsi="宋体" w:eastAsia="宋体" w:cs="宋体"/>
          <w:color w:val="auto"/>
          <w:sz w:val="21"/>
          <w:szCs w:val="21"/>
          <w:u w:val="single"/>
        </w:rPr>
        <w:t xml:space="preserve"> 1、通行证，2、环卫部门规定的施工场地卫生手续，3、城管部门手续，4、建设行政部门手续，5、施工噪音超标手续，6、项目临时工会手续。并承担相关费用。</w:t>
      </w:r>
    </w:p>
    <w:p w14:paraId="30950139">
      <w:pPr>
        <w:pStyle w:val="24"/>
        <w:adjustRightInd w:val="0"/>
        <w:snapToGrid w:val="0"/>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（6）已完工程成品保护的特殊要求及费用承担：</w:t>
      </w:r>
      <w:r>
        <w:rPr>
          <w:rFonts w:hint="eastAsia" w:ascii="宋体" w:hAnsi="宋体" w:eastAsia="宋体" w:cs="宋体"/>
          <w:color w:val="auto"/>
          <w:sz w:val="21"/>
          <w:szCs w:val="21"/>
          <w:u w:val="single"/>
        </w:rPr>
        <w:t xml:space="preserve"> 从开工之日起，承包人应全面负责照管本合同工程及将用于和安装在本合同工程中的材料、设备直到本合同工程竣工并达到约定的质量标准，验收移交招标人管理部门之日为止，并承担相关费用。  </w:t>
      </w:r>
    </w:p>
    <w:p w14:paraId="7F78D6E6">
      <w:pPr>
        <w:pStyle w:val="24"/>
        <w:adjustRightInd w:val="0"/>
        <w:snapToGrid w:val="0"/>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（7）施工场地周围地下管线和邻近建筑物、构筑物（含文物保护建筑）、古树名木的保护要求及费用承担：</w:t>
      </w:r>
      <w:r>
        <w:rPr>
          <w:rFonts w:hint="eastAsia" w:ascii="宋体" w:hAnsi="宋体" w:eastAsia="宋体" w:cs="宋体"/>
          <w:color w:val="auto"/>
          <w:sz w:val="21"/>
          <w:szCs w:val="21"/>
          <w:u w:val="single"/>
        </w:rPr>
        <w:t xml:space="preserve">由承包人保护，费用按通用条款8.1.（8）执行。施工时如损坏地下管线、邻近建筑物、构筑物，所发生的费用由承包人承担。 </w:t>
      </w:r>
    </w:p>
    <w:p w14:paraId="27C10F01">
      <w:pPr>
        <w:pStyle w:val="24"/>
        <w:adjustRightInd w:val="0"/>
        <w:snapToGrid w:val="0"/>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（8）施工场地清洁卫生的要求：</w:t>
      </w:r>
      <w:r>
        <w:rPr>
          <w:rFonts w:hint="eastAsia" w:ascii="宋体" w:hAnsi="宋体" w:eastAsia="宋体" w:cs="宋体"/>
          <w:color w:val="auto"/>
          <w:sz w:val="21"/>
          <w:szCs w:val="21"/>
          <w:u w:val="single"/>
        </w:rPr>
        <w:t xml:space="preserve"> 在施工期间对环境主要影响是机械声和废水、废渣、尘埃，对此承包人应采取相应的防治措施和严格管理，严格控制污染物排放，污染物排放前必须处理，达到排污标准后再排放。控制标准：《地面环境质量标准》GB3838-88Ⅱ。施工完毕后，承包人应及时将被破坏的场地，遵照监理工程师的指示进行清理、修正，并根据实际情况将场地恢复到原有状态。     </w:t>
      </w:r>
    </w:p>
    <w:p w14:paraId="6374AF6B">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（9）双方约定承包人应做的其他工作：</w:t>
      </w:r>
      <w:r>
        <w:rPr>
          <w:rFonts w:hint="eastAsia" w:ascii="宋体" w:hAnsi="宋体" w:eastAsia="宋体" w:cs="宋体"/>
          <w:color w:val="auto"/>
          <w:sz w:val="21"/>
          <w:szCs w:val="21"/>
          <w:u w:val="single"/>
        </w:rPr>
        <w:t xml:space="preserve"> 承包人在中标通知书发出之后三日内须提供相关证件（除中标通知书发放前已提交的除外），由发包人办理报建手续。否则发包人视为承包人自动放弃合同。 </w:t>
      </w:r>
    </w:p>
    <w:p w14:paraId="6DDAF4FA">
      <w:pPr>
        <w:spacing w:line="400" w:lineRule="exact"/>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（10）</w:t>
      </w:r>
      <w:r>
        <w:rPr>
          <w:rFonts w:hint="eastAsia" w:ascii="宋体" w:hAnsi="宋体" w:eastAsia="宋体" w:cs="宋体"/>
          <w:bCs/>
          <w:color w:val="auto"/>
          <w:sz w:val="21"/>
          <w:szCs w:val="21"/>
          <w:u w:val="single"/>
        </w:rPr>
        <w:t>因施工问题涉及交通、公路等部门的，承包人有义务与发包人一起协调。</w:t>
      </w:r>
    </w:p>
    <w:p w14:paraId="57F9B10D">
      <w:pPr>
        <w:spacing w:line="400" w:lineRule="exact"/>
        <w:ind w:firstLine="420" w:firstLineChars="200"/>
        <w:rPr>
          <w:rFonts w:hint="eastAsia" w:ascii="宋体" w:hAnsi="宋体" w:eastAsia="宋体" w:cs="宋体"/>
          <w:bCs/>
          <w:color w:val="auto"/>
          <w:sz w:val="21"/>
          <w:szCs w:val="21"/>
          <w:u w:val="single"/>
        </w:rPr>
      </w:pPr>
      <w:r>
        <w:rPr>
          <w:rFonts w:hint="eastAsia" w:ascii="宋体" w:hAnsi="宋体" w:eastAsia="宋体" w:cs="宋体"/>
          <w:bCs/>
          <w:color w:val="auto"/>
          <w:sz w:val="21"/>
          <w:szCs w:val="21"/>
        </w:rPr>
        <w:t>（11）</w:t>
      </w:r>
      <w:r>
        <w:rPr>
          <w:rFonts w:hint="eastAsia" w:ascii="宋体" w:hAnsi="宋体" w:eastAsia="宋体" w:cs="宋体"/>
          <w:bCs/>
          <w:color w:val="auto"/>
          <w:sz w:val="21"/>
          <w:szCs w:val="21"/>
          <w:u w:val="single"/>
        </w:rPr>
        <w:t>合同当事人对文明施工的要求：安全防护、文明施工设施须按有关标准及制度执行。</w:t>
      </w:r>
    </w:p>
    <w:p w14:paraId="2C9297D3">
      <w:pPr>
        <w:pStyle w:val="4"/>
        <w:rPr>
          <w:rFonts w:hint="eastAsia" w:ascii="宋体" w:hAnsi="宋体" w:eastAsia="宋体" w:cs="宋体"/>
          <w:color w:val="auto"/>
          <w:sz w:val="21"/>
          <w:szCs w:val="21"/>
        </w:rPr>
      </w:pPr>
      <w:bookmarkStart w:id="171" w:name="_Toc1138"/>
      <w:r>
        <w:rPr>
          <w:rFonts w:hint="eastAsia" w:ascii="宋体" w:hAnsi="宋体" w:eastAsia="宋体" w:cs="宋体"/>
          <w:color w:val="auto"/>
          <w:sz w:val="21"/>
          <w:szCs w:val="21"/>
        </w:rPr>
        <w:t>3.2 项目经理</w:t>
      </w:r>
      <w:bookmarkEnd w:id="171"/>
    </w:p>
    <w:p w14:paraId="6D0ADEE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3.2.1 项目经理：</w:t>
      </w:r>
    </w:p>
    <w:p w14:paraId="173D644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姓    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AFEAE1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身份证号：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4923D51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建造师执业资格等级：</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2E92FA8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建造师注册证书号：；</w:t>
      </w:r>
    </w:p>
    <w:p w14:paraId="30FF540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建造师执业印章号：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0F048D8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安全生产考核合格证书号：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7B8908B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联系电话：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6634634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电子信箱：</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034E615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通信地址：</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00015D1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承包人对项目经理的授权范围如下：  </w:t>
      </w:r>
      <w:r>
        <w:rPr>
          <w:rFonts w:hint="eastAsia" w:ascii="宋体" w:hAnsi="宋体" w:eastAsia="宋体" w:cs="宋体"/>
          <w:color w:val="auto"/>
          <w:sz w:val="21"/>
          <w:szCs w:val="21"/>
          <w:u w:val="single"/>
        </w:rPr>
        <w:t xml:space="preserve">　项目经理仅限于对本工程的施工现场全面管理，包括质量、技术、安全、进度管理，与发包人、监理工程师有关工程联系单、函件往来的签收，但未经承包人盖章同意授权下不得以承包人名义向外采购材料设备、租用建筑周转材料、雇佣劳动力、签订分包合同等从事一切为承包人设立义务或责任的行为　　 </w:t>
      </w:r>
      <w:r>
        <w:rPr>
          <w:rFonts w:hint="eastAsia" w:ascii="宋体" w:hAnsi="宋体" w:eastAsia="宋体" w:cs="宋体"/>
          <w:color w:val="auto"/>
          <w:sz w:val="21"/>
          <w:szCs w:val="21"/>
        </w:rPr>
        <w:t>。</w:t>
      </w:r>
    </w:p>
    <w:p w14:paraId="7440957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关于项目经理每月在施工现场的时间要求：</w:t>
      </w:r>
      <w:r>
        <w:rPr>
          <w:rFonts w:hint="eastAsia" w:ascii="宋体" w:hAnsi="宋体" w:eastAsia="宋体" w:cs="宋体"/>
          <w:color w:val="auto"/>
          <w:sz w:val="21"/>
          <w:szCs w:val="21"/>
          <w:u w:val="single"/>
        </w:rPr>
        <w:t xml:space="preserve">   　双方另行确定          　</w:t>
      </w:r>
      <w:r>
        <w:rPr>
          <w:rFonts w:hint="eastAsia" w:ascii="宋体" w:hAnsi="宋体" w:eastAsia="宋体" w:cs="宋体"/>
          <w:color w:val="auto"/>
          <w:sz w:val="21"/>
          <w:szCs w:val="21"/>
        </w:rPr>
        <w:t>。</w:t>
      </w:r>
    </w:p>
    <w:p w14:paraId="648C7AF5">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承包人未提交劳动合同，以及没有为项目经理缴纳社会保险证明的违约责任：</w:t>
      </w:r>
      <w:r>
        <w:rPr>
          <w:rFonts w:hint="eastAsia" w:ascii="宋体" w:hAnsi="宋体" w:eastAsia="宋体" w:cs="宋体"/>
          <w:color w:val="auto"/>
          <w:sz w:val="21"/>
          <w:szCs w:val="21"/>
          <w:u w:val="single"/>
        </w:rPr>
        <w:t xml:space="preserve">项目经理无权履行职责，发包人有权要求更换项目经理，由此增加的费用和（或）延误的工期由承包人承担，并按3.2.3条款处罚   </w:t>
      </w:r>
      <w:r>
        <w:rPr>
          <w:rFonts w:hint="eastAsia" w:ascii="宋体" w:hAnsi="宋体" w:eastAsia="宋体" w:cs="宋体"/>
          <w:color w:val="auto"/>
          <w:sz w:val="21"/>
          <w:szCs w:val="21"/>
        </w:rPr>
        <w:t>。</w:t>
      </w:r>
    </w:p>
    <w:p w14:paraId="4BA28BA8">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项目经理和安全员未经批准，擅自离开施工现场的违约责任：项目经理和安全员每月在岗带班时间不得少于22个工作日，并做好考勤记录，随时接受发包人的不定期检查。如发现项目经理和安全员违约或不在岗，发包人有权处违约金 3000元/日（人民币） ，从当月（季）进度款中扣除 。</w:t>
      </w:r>
      <w:r>
        <w:rPr>
          <w:rFonts w:hint="eastAsia" w:ascii="宋体" w:hAnsi="宋体" w:eastAsia="宋体" w:cs="宋体"/>
          <w:color w:val="auto"/>
          <w:sz w:val="21"/>
          <w:szCs w:val="21"/>
        </w:rPr>
        <w:t>。</w:t>
      </w:r>
    </w:p>
    <w:p w14:paraId="1D74212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3.2.3 承包人擅自更换项目经理的违约责任：</w:t>
      </w:r>
      <w:r>
        <w:rPr>
          <w:rFonts w:hint="eastAsia" w:ascii="宋体" w:hAnsi="宋体" w:eastAsia="宋体" w:cs="宋体"/>
          <w:color w:val="auto"/>
          <w:sz w:val="21"/>
          <w:szCs w:val="21"/>
          <w:u w:val="single"/>
        </w:rPr>
        <w:t>承包人项目经理必须与承包人投标时所承诺的人员一致，并在  （开工日期）  前到任。在监理人向承包人颁发（竣工证明材料名称）前，项目经理不得同时兼任其他任何项目的项目经理（符合桂建管﹝2013﹞17号和桂建管﹝2014﹞25号文除外）。未经发包人书面同意，承包人擅自更换项目经理的视为违约，违约金处 10万元/人•次（人民币）</w:t>
      </w:r>
      <w:r>
        <w:rPr>
          <w:rFonts w:hint="eastAsia" w:ascii="宋体" w:hAnsi="宋体" w:eastAsia="宋体" w:cs="宋体"/>
          <w:color w:val="auto"/>
          <w:sz w:val="21"/>
          <w:szCs w:val="21"/>
        </w:rPr>
        <w:t>。</w:t>
      </w:r>
    </w:p>
    <w:p w14:paraId="7C1D7BD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3.2.4 承包人无正当理由拒绝更换项目经理的违约责任：</w:t>
      </w:r>
      <w:r>
        <w:rPr>
          <w:rFonts w:hint="eastAsia" w:ascii="宋体" w:hAnsi="宋体" w:eastAsia="宋体" w:cs="宋体"/>
          <w:color w:val="auto"/>
          <w:sz w:val="21"/>
          <w:szCs w:val="21"/>
          <w:u w:val="single"/>
        </w:rPr>
        <w:t>因承包人项目经理不称职，发包人要求调换而未及时调换的，视为承包人违约，必须向发包人交纳处罚金 10万元/人•次（人民币）</w:t>
      </w:r>
      <w:r>
        <w:rPr>
          <w:rFonts w:hint="eastAsia" w:ascii="宋体" w:hAnsi="宋体" w:eastAsia="宋体" w:cs="宋体"/>
          <w:color w:val="auto"/>
          <w:sz w:val="21"/>
          <w:szCs w:val="21"/>
        </w:rPr>
        <w:t>。</w:t>
      </w:r>
    </w:p>
    <w:p w14:paraId="0ED95E66">
      <w:pPr>
        <w:pStyle w:val="4"/>
        <w:rPr>
          <w:rFonts w:hint="eastAsia" w:ascii="宋体" w:hAnsi="宋体" w:eastAsia="宋体" w:cs="宋体"/>
          <w:color w:val="auto"/>
          <w:sz w:val="21"/>
          <w:szCs w:val="21"/>
        </w:rPr>
      </w:pPr>
      <w:bookmarkStart w:id="172" w:name="_Toc31168"/>
      <w:r>
        <w:rPr>
          <w:rFonts w:hint="eastAsia" w:ascii="宋体" w:hAnsi="宋体" w:eastAsia="宋体" w:cs="宋体"/>
          <w:color w:val="auto"/>
          <w:sz w:val="21"/>
          <w:szCs w:val="21"/>
        </w:rPr>
        <w:t>3.3 承包人人员</w:t>
      </w:r>
      <w:bookmarkEnd w:id="172"/>
    </w:p>
    <w:p w14:paraId="2D2ABEF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3.3.1 承包人提交项目管理机构及施工现场管理人员安排报告（格式见合同附件3）的期限：</w:t>
      </w:r>
      <w:r>
        <w:rPr>
          <w:rFonts w:hint="eastAsia" w:ascii="宋体" w:hAnsi="宋体" w:eastAsia="宋体" w:cs="宋体"/>
          <w:color w:val="auto"/>
          <w:sz w:val="21"/>
          <w:szCs w:val="21"/>
          <w:u w:val="single"/>
        </w:rPr>
        <w:t xml:space="preserve">   在中标通知书发出之后三日 </w:t>
      </w:r>
      <w:r>
        <w:rPr>
          <w:rFonts w:hint="eastAsia" w:ascii="宋体" w:hAnsi="宋体" w:eastAsia="宋体" w:cs="宋体"/>
          <w:color w:val="auto"/>
          <w:sz w:val="21"/>
          <w:szCs w:val="21"/>
        </w:rPr>
        <w:t>。</w:t>
      </w:r>
    </w:p>
    <w:p w14:paraId="65F8987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3.3.3 承包人无正当理由拒绝撤换主要施工管理人员的违约责任：</w:t>
      </w:r>
      <w:r>
        <w:rPr>
          <w:rFonts w:hint="eastAsia" w:ascii="宋体" w:hAnsi="宋体" w:eastAsia="宋体" w:cs="宋体"/>
          <w:color w:val="auto"/>
          <w:sz w:val="21"/>
          <w:szCs w:val="21"/>
          <w:u w:val="single"/>
        </w:rPr>
        <w:t>因承包人主要施工管理人员不称职，发包人要求调换而无正当理由拒绝撤换或未及时调换的，视为承包人违约，必须向发包人交纳处罚金，处罚标准：技术负责人 8万 元/人•次（人民币）；专业工程师 5万元/人•次（人民币）</w:t>
      </w:r>
      <w:r>
        <w:rPr>
          <w:rFonts w:hint="eastAsia" w:ascii="宋体" w:hAnsi="宋体" w:eastAsia="宋体" w:cs="宋体"/>
          <w:color w:val="auto"/>
          <w:sz w:val="21"/>
          <w:szCs w:val="21"/>
        </w:rPr>
        <w:t>。</w:t>
      </w:r>
    </w:p>
    <w:p w14:paraId="05D8B5CC">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3.3.4 承包人主要施工管理人员离开施工现场的批准要求：</w:t>
      </w:r>
      <w:r>
        <w:rPr>
          <w:rFonts w:hint="eastAsia" w:ascii="宋体" w:hAnsi="宋体" w:eastAsia="宋体" w:cs="宋体"/>
          <w:color w:val="auto"/>
          <w:sz w:val="21"/>
          <w:szCs w:val="21"/>
          <w:u w:val="single"/>
        </w:rPr>
        <w:t xml:space="preserve">   经业主代表批准   </w:t>
      </w:r>
      <w:r>
        <w:rPr>
          <w:rFonts w:hint="eastAsia" w:ascii="宋体" w:hAnsi="宋体" w:eastAsia="宋体" w:cs="宋体"/>
          <w:color w:val="auto"/>
          <w:sz w:val="21"/>
          <w:szCs w:val="21"/>
        </w:rPr>
        <w:t>。</w:t>
      </w:r>
    </w:p>
    <w:p w14:paraId="7A5F900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3.3.5 承包人擅自更换主要施工管理人员的违约责任：</w:t>
      </w:r>
      <w:r>
        <w:rPr>
          <w:rFonts w:hint="eastAsia" w:ascii="宋体" w:hAnsi="宋体" w:eastAsia="宋体" w:cs="宋体"/>
          <w:color w:val="auto"/>
          <w:sz w:val="21"/>
          <w:szCs w:val="21"/>
          <w:u w:val="single"/>
        </w:rPr>
        <w:t>项目技术负责人、专职安全员及其承诺的其它在场管理人员未经发包人书面同意不准擅自更换，擅自更换项目技术负责人处 8万元/人•次（人民币）违约金；擅自更换专职安全员处 5万元/人•次（人民币）违约金；擅自更换其它在场管理人员处 3万元/人•次（人民币）违约金</w:t>
      </w:r>
      <w:r>
        <w:rPr>
          <w:rFonts w:hint="eastAsia" w:ascii="宋体" w:hAnsi="宋体" w:eastAsia="宋体" w:cs="宋体"/>
          <w:color w:val="auto"/>
          <w:sz w:val="21"/>
          <w:szCs w:val="21"/>
        </w:rPr>
        <w:t>。</w:t>
      </w:r>
    </w:p>
    <w:p w14:paraId="19FB153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承包人主要施工管理人员擅自离开施工现场的违约责任：</w:t>
      </w:r>
      <w:r>
        <w:rPr>
          <w:rFonts w:hint="eastAsia" w:ascii="宋体" w:hAnsi="宋体" w:eastAsia="宋体" w:cs="宋体"/>
          <w:color w:val="auto"/>
          <w:sz w:val="21"/>
          <w:szCs w:val="21"/>
          <w:u w:val="single"/>
        </w:rPr>
        <w:t>未经发包人同意，项目技术负责人擅自离岗的，视为承包人违约，发包人有权处违约金 2000元/人•次（人民币）；未经发包人同意，专职安全员擅自离岗的，视为承包人违约，发包人有权处违约金 1000元/人•次（人民币）；其它在场管理人员擅自离岗的，视为承包人违约，发包人有权处违约金 800元/人•次（人民币）</w:t>
      </w:r>
      <w:r>
        <w:rPr>
          <w:rFonts w:hint="eastAsia" w:ascii="宋体" w:hAnsi="宋体" w:eastAsia="宋体" w:cs="宋体"/>
          <w:color w:val="auto"/>
          <w:sz w:val="21"/>
          <w:szCs w:val="21"/>
        </w:rPr>
        <w:t>。</w:t>
      </w:r>
    </w:p>
    <w:p w14:paraId="1810843F">
      <w:pPr>
        <w:pStyle w:val="4"/>
        <w:rPr>
          <w:rFonts w:hint="eastAsia" w:ascii="宋体" w:hAnsi="宋体" w:eastAsia="宋体" w:cs="宋体"/>
          <w:color w:val="auto"/>
          <w:sz w:val="21"/>
          <w:szCs w:val="21"/>
        </w:rPr>
      </w:pPr>
      <w:bookmarkStart w:id="173" w:name="_Toc3009"/>
      <w:r>
        <w:rPr>
          <w:rFonts w:hint="eastAsia" w:ascii="宋体" w:hAnsi="宋体" w:eastAsia="宋体" w:cs="宋体"/>
          <w:color w:val="auto"/>
          <w:sz w:val="21"/>
          <w:szCs w:val="21"/>
        </w:rPr>
        <w:t>3.5 分包</w:t>
      </w:r>
      <w:bookmarkEnd w:id="173"/>
    </w:p>
    <w:p w14:paraId="4A4A225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本项目不允许分包</w:t>
      </w:r>
    </w:p>
    <w:p w14:paraId="0559561E">
      <w:pPr>
        <w:pStyle w:val="4"/>
        <w:rPr>
          <w:rFonts w:hint="eastAsia" w:ascii="宋体" w:hAnsi="宋体" w:eastAsia="宋体" w:cs="宋体"/>
          <w:color w:val="auto"/>
          <w:sz w:val="21"/>
          <w:szCs w:val="21"/>
        </w:rPr>
      </w:pPr>
      <w:bookmarkStart w:id="174" w:name="_Toc11569"/>
      <w:r>
        <w:rPr>
          <w:rFonts w:hint="eastAsia" w:ascii="宋体" w:hAnsi="宋体" w:eastAsia="宋体" w:cs="宋体"/>
          <w:color w:val="auto"/>
          <w:sz w:val="21"/>
          <w:szCs w:val="21"/>
        </w:rPr>
        <w:t>3.6 工程照管与成品、半成品保护</w:t>
      </w:r>
      <w:bookmarkEnd w:id="174"/>
    </w:p>
    <w:p w14:paraId="4D2A1251">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承包人负责照管工程及工程相关的材料、工程设备的起始时间：</w:t>
      </w:r>
      <w:r>
        <w:rPr>
          <w:rFonts w:hint="eastAsia" w:ascii="宋体" w:hAnsi="宋体" w:eastAsia="宋体" w:cs="宋体"/>
          <w:color w:val="auto"/>
          <w:sz w:val="21"/>
          <w:szCs w:val="21"/>
          <w:u w:val="single"/>
        </w:rPr>
        <w:t xml:space="preserve"> 从开工之日起，承包人应全面负责照管本合同工程及将用于和安装在本合同工程中的材料、设备直到本合同工程竣工并达到约定的质量标准，验收移交招标人管理部门之日为止，并承担相关费用。  </w:t>
      </w:r>
      <w:r>
        <w:rPr>
          <w:rFonts w:hint="eastAsia" w:ascii="宋体" w:hAnsi="宋体" w:eastAsia="宋体" w:cs="宋体"/>
          <w:color w:val="auto"/>
          <w:sz w:val="21"/>
          <w:szCs w:val="21"/>
        </w:rPr>
        <w:t>。</w:t>
      </w:r>
    </w:p>
    <w:p w14:paraId="008CCABB">
      <w:pPr>
        <w:pStyle w:val="251"/>
        <w:spacing w:before="139"/>
        <w:rPr>
          <w:rFonts w:hint="eastAsia" w:ascii="宋体" w:hAnsi="宋体" w:eastAsia="宋体" w:cs="宋体"/>
          <w:color w:val="auto"/>
          <w:sz w:val="21"/>
          <w:szCs w:val="21"/>
        </w:rPr>
      </w:pPr>
      <w:r>
        <w:rPr>
          <w:rFonts w:hint="eastAsia" w:ascii="宋体" w:hAnsi="宋体" w:eastAsia="宋体" w:cs="宋体"/>
          <w:color w:val="auto"/>
          <w:sz w:val="21"/>
          <w:szCs w:val="21"/>
        </w:rPr>
        <w:t>3.7承包人提供履约担保的形式、金额及期限的：</w:t>
      </w:r>
      <w:r>
        <w:rPr>
          <w:rFonts w:hint="eastAsia" w:ascii="宋体" w:hAnsi="宋体" w:eastAsia="宋体" w:cs="宋体"/>
          <w:color w:val="auto"/>
          <w:sz w:val="21"/>
          <w:szCs w:val="21"/>
          <w:u w:val="single"/>
          <w:lang w:eastAsia="zh-CN"/>
        </w:rPr>
        <w:t>不收取</w:t>
      </w:r>
      <w:r>
        <w:rPr>
          <w:rFonts w:hint="eastAsia" w:ascii="宋体" w:hAnsi="宋体" w:eastAsia="宋体" w:cs="宋体"/>
          <w:color w:val="auto"/>
          <w:sz w:val="21"/>
          <w:szCs w:val="21"/>
          <w:u w:val="single"/>
        </w:rPr>
        <w:t>履约保证金；（注：免收中型、小型、微型企业履约保证金，同时不收取没有法律依据的质量保证金）履约担保的有效期应当自本合同生效之日起至发包人签认并由监理人向承包人出具 《建设工程质量竣工验收意见书》之日止。如果承包人无法获得一份不带具体截止日期的担保，履约担保中应当有“变更工程竣工日期的，保证期间按照变更后的竣工日期做相应调整”或类似约定的条款。</w:t>
      </w:r>
    </w:p>
    <w:p w14:paraId="1FD950DE">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工程竣工验收合格无异议并完成竣工资料移交手续后，承包人可向发包人申请退还履约保证金，发包人应在收到申请之日起28个日历天内,将履约金退还给承包人（无息）。如果中标人仍欠有农民工工资和材料款并由此造成怠工、停工等影响工程进度的，则发包人有权用履约金支付。</w:t>
      </w:r>
    </w:p>
    <w:p w14:paraId="25166363">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承包人在中标后7个工作日内，按</w:t>
      </w:r>
      <w:r>
        <w:rPr>
          <w:rFonts w:hint="eastAsia" w:ascii="宋体" w:hAnsi="宋体" w:cs="宋体"/>
          <w:color w:val="auto"/>
          <w:sz w:val="21"/>
          <w:szCs w:val="21"/>
          <w:u w:val="single"/>
          <w:lang w:val="en-US" w:eastAsia="zh-CN"/>
        </w:rPr>
        <w:t>龙州</w:t>
      </w:r>
      <w:r>
        <w:rPr>
          <w:rFonts w:hint="eastAsia" w:ascii="宋体" w:hAnsi="宋体" w:eastAsia="宋体" w:cs="宋体"/>
          <w:color w:val="auto"/>
          <w:sz w:val="21"/>
          <w:szCs w:val="21"/>
          <w:u w:val="single"/>
        </w:rPr>
        <w:t>县住房城乡建设行政主管部门规定将农民工工资保障金存入帐户。工程竣工验收结算经审定后，按照规定程序，将农民工工资保障金没有使用或剩余的金额退还给承包人。</w:t>
      </w:r>
    </w:p>
    <w:p w14:paraId="35767E41">
      <w:pPr>
        <w:pStyle w:val="18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承包人提供履约担保的形式、金额及期限的：</w:t>
      </w:r>
      <w:r>
        <w:rPr>
          <w:rFonts w:hint="eastAsia" w:ascii="宋体" w:hAnsi="宋体" w:eastAsia="宋体" w:cs="宋体"/>
          <w:color w:val="auto"/>
          <w:sz w:val="21"/>
          <w:szCs w:val="21"/>
          <w:u w:val="single"/>
        </w:rPr>
        <w:t>承包人在收到中标通知书后，须在30日内向发包人提交合同价款扣除建安劳保费、发包人材料价款、暂估专业工程、暂列金额后的</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的履约担保（格式见合同附件5）。</w:t>
      </w:r>
    </w:p>
    <w:p w14:paraId="11BAA03E">
      <w:pPr>
        <w:pStyle w:val="18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工程主体验收合格并对验收发现的问题完成整改后的7个日历天内，发包人支付履约保证金的50%；工程竣工验收合格并对验收发现的问题完成整改后的7个日历天内，可向发包人申请退还剩余履约保证金，发包人应在收到申请之日起28个日历天内扣减承包人赔偿金和其他应从承包人扣回的款项后，将履约保证金的余额退还给承包人（无息）。</w:t>
      </w:r>
    </w:p>
    <w:p w14:paraId="4B6AADD7">
      <w:pPr>
        <w:pStyle w:val="18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承包人在中标后7个工作日内，按</w:t>
      </w:r>
      <w:r>
        <w:rPr>
          <w:rFonts w:hint="eastAsia" w:ascii="宋体" w:hAnsi="宋体" w:cs="宋体"/>
          <w:color w:val="auto"/>
          <w:sz w:val="21"/>
          <w:szCs w:val="21"/>
          <w:u w:val="single"/>
          <w:lang w:val="en-US" w:eastAsia="zh-CN"/>
        </w:rPr>
        <w:t>龙州</w:t>
      </w:r>
      <w:r>
        <w:rPr>
          <w:rFonts w:hint="eastAsia" w:ascii="宋体" w:hAnsi="宋体" w:eastAsia="宋体" w:cs="宋体"/>
          <w:color w:val="auto"/>
          <w:sz w:val="21"/>
          <w:szCs w:val="21"/>
          <w:u w:val="single"/>
        </w:rPr>
        <w:t>县（各市住房城乡建设行政主管部门规定）规定将农民工工资保障金存入指定银行帐户。工程竣工验收结算经审定后，按照规定程序，将农民工工资保障金没有使用或剩余的金额退还给承包人。</w:t>
      </w:r>
    </w:p>
    <w:p w14:paraId="65023FF2">
      <w:pPr>
        <w:pStyle w:val="18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低价风险保证金在工程竣工验收合格之日起7个日历天内，发包人一次性退还给承包人（无息）。</w:t>
      </w:r>
    </w:p>
    <w:p w14:paraId="34A75B2A">
      <w:pPr>
        <w:spacing w:line="360" w:lineRule="auto"/>
        <w:ind w:firstLine="420" w:firstLineChars="200"/>
        <w:rPr>
          <w:rFonts w:hint="eastAsia" w:ascii="宋体" w:hAnsi="宋体" w:eastAsia="宋体" w:cs="宋体"/>
          <w:color w:val="auto"/>
          <w:sz w:val="21"/>
          <w:szCs w:val="21"/>
          <w:u w:val="single"/>
        </w:rPr>
      </w:pPr>
    </w:p>
    <w:p w14:paraId="2D1789DC">
      <w:pPr>
        <w:pStyle w:val="3"/>
        <w:rPr>
          <w:rFonts w:hint="eastAsia" w:ascii="宋体" w:hAnsi="宋体" w:eastAsia="宋体" w:cs="宋体"/>
          <w:color w:val="auto"/>
          <w:sz w:val="21"/>
          <w:szCs w:val="21"/>
        </w:rPr>
      </w:pPr>
      <w:bookmarkStart w:id="175" w:name="_Toc31479"/>
      <w:r>
        <w:rPr>
          <w:rFonts w:hint="eastAsia" w:ascii="宋体" w:hAnsi="宋体" w:eastAsia="宋体" w:cs="宋体"/>
          <w:color w:val="auto"/>
          <w:sz w:val="21"/>
          <w:szCs w:val="21"/>
        </w:rPr>
        <w:t>4. 监理人</w:t>
      </w:r>
      <w:bookmarkEnd w:id="175"/>
    </w:p>
    <w:p w14:paraId="2C11D563">
      <w:pPr>
        <w:pStyle w:val="4"/>
        <w:rPr>
          <w:rFonts w:hint="eastAsia" w:ascii="宋体" w:hAnsi="宋体" w:eastAsia="宋体" w:cs="宋体"/>
          <w:color w:val="auto"/>
          <w:sz w:val="21"/>
          <w:szCs w:val="21"/>
        </w:rPr>
      </w:pPr>
      <w:bookmarkStart w:id="176" w:name="_Toc4626"/>
      <w:r>
        <w:rPr>
          <w:rFonts w:hint="eastAsia" w:ascii="宋体" w:hAnsi="宋体" w:eastAsia="宋体" w:cs="宋体"/>
          <w:color w:val="auto"/>
          <w:sz w:val="21"/>
          <w:szCs w:val="21"/>
        </w:rPr>
        <w:t>4.1 监理人的一般规定</w:t>
      </w:r>
      <w:bookmarkEnd w:id="176"/>
    </w:p>
    <w:p w14:paraId="210B52C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关于监理人的监理内容：</w:t>
      </w:r>
      <w:r>
        <w:rPr>
          <w:rFonts w:hint="eastAsia" w:ascii="宋体" w:hAnsi="宋体" w:eastAsia="宋体" w:cs="宋体"/>
          <w:color w:val="auto"/>
          <w:sz w:val="21"/>
          <w:szCs w:val="21"/>
          <w:u w:val="single"/>
        </w:rPr>
        <w:t xml:space="preserve"> 质量、进度、投资三控制、合同、信息两管理、安全文明施工管理、工程建设各相关方的关系协调 </w:t>
      </w:r>
      <w:r>
        <w:rPr>
          <w:rFonts w:hint="eastAsia" w:ascii="宋体" w:hAnsi="宋体" w:eastAsia="宋体" w:cs="宋体"/>
          <w:color w:val="auto"/>
          <w:sz w:val="21"/>
          <w:szCs w:val="21"/>
        </w:rPr>
        <w:t>。</w:t>
      </w:r>
    </w:p>
    <w:p w14:paraId="6339079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关于监理人的监理权限：</w:t>
      </w:r>
      <w:r>
        <w:rPr>
          <w:rFonts w:hint="eastAsia" w:ascii="宋体" w:hAnsi="宋体" w:eastAsia="宋体" w:cs="宋体"/>
          <w:color w:val="auto"/>
          <w:sz w:val="21"/>
          <w:szCs w:val="21"/>
          <w:u w:val="single"/>
        </w:rPr>
        <w:t xml:space="preserve"> 1、在发出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认之前应得到发包人的书面批准。4、工程内容和材料变更签证单监理只有证明权，无确认权  </w:t>
      </w:r>
      <w:r>
        <w:rPr>
          <w:rFonts w:hint="eastAsia" w:ascii="宋体" w:hAnsi="宋体" w:eastAsia="宋体" w:cs="宋体"/>
          <w:color w:val="auto"/>
          <w:sz w:val="21"/>
          <w:szCs w:val="21"/>
        </w:rPr>
        <w:t xml:space="preserve">。 </w:t>
      </w:r>
    </w:p>
    <w:p w14:paraId="24237B83">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关于监理人在施工现场的办公场所、生活场所的提供和费用承担的约定：</w:t>
      </w:r>
    </w:p>
    <w:p w14:paraId="7268125D">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由承包人提供，监理人无偿使用         </w:t>
      </w:r>
      <w:r>
        <w:rPr>
          <w:rFonts w:hint="eastAsia" w:ascii="宋体" w:hAnsi="宋体" w:eastAsia="宋体" w:cs="宋体"/>
          <w:color w:val="auto"/>
          <w:sz w:val="21"/>
          <w:szCs w:val="21"/>
        </w:rPr>
        <w:t>。</w:t>
      </w:r>
    </w:p>
    <w:p w14:paraId="16D8FA7B">
      <w:pPr>
        <w:pStyle w:val="4"/>
        <w:rPr>
          <w:rFonts w:hint="eastAsia" w:ascii="宋体" w:hAnsi="宋体" w:eastAsia="宋体" w:cs="宋体"/>
          <w:color w:val="auto"/>
          <w:sz w:val="21"/>
          <w:szCs w:val="21"/>
        </w:rPr>
      </w:pPr>
      <w:bookmarkStart w:id="177" w:name="_Toc18279"/>
      <w:r>
        <w:rPr>
          <w:rFonts w:hint="eastAsia" w:ascii="宋体" w:hAnsi="宋体" w:eastAsia="宋体" w:cs="宋体"/>
          <w:color w:val="auto"/>
          <w:sz w:val="21"/>
          <w:szCs w:val="21"/>
        </w:rPr>
        <w:t>4.2 监理人员</w:t>
      </w:r>
      <w:bookmarkEnd w:id="177"/>
    </w:p>
    <w:p w14:paraId="063365B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总监理工程师：</w:t>
      </w:r>
    </w:p>
    <w:p w14:paraId="6D55C26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姓    名：</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6D1EBB9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职    务：</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0FD3405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监理工程师执业资格证书号：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1FD7C53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广西建筑市场诚信卡卡号：；</w:t>
      </w:r>
    </w:p>
    <w:p w14:paraId="055AB7A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联系电话：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2844509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电子信箱：</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2BB39ED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通信地址：；</w:t>
      </w:r>
    </w:p>
    <w:p w14:paraId="537460F4">
      <w:pPr>
        <w:pStyle w:val="4"/>
        <w:rPr>
          <w:rFonts w:hint="eastAsia" w:ascii="宋体" w:hAnsi="宋体" w:eastAsia="宋体" w:cs="宋体"/>
          <w:color w:val="auto"/>
          <w:sz w:val="21"/>
          <w:szCs w:val="21"/>
        </w:rPr>
      </w:pPr>
      <w:bookmarkStart w:id="178" w:name="_Toc937"/>
      <w:r>
        <w:rPr>
          <w:rFonts w:hint="eastAsia" w:ascii="宋体" w:hAnsi="宋体" w:eastAsia="宋体" w:cs="宋体"/>
          <w:color w:val="auto"/>
          <w:sz w:val="21"/>
          <w:szCs w:val="21"/>
        </w:rPr>
        <w:t>4.4 商定或确定</w:t>
      </w:r>
      <w:bookmarkEnd w:id="178"/>
    </w:p>
    <w:p w14:paraId="6D5DEF7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在发包人和承包人不能通过协商达成一致意见时，发包人授权监理人对以下事项进行确定：</w:t>
      </w:r>
    </w:p>
    <w:p w14:paraId="42427C6D">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7D790719">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75ADA571">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45EF47C7">
      <w:pPr>
        <w:pStyle w:val="3"/>
        <w:rPr>
          <w:rFonts w:hint="eastAsia" w:ascii="宋体" w:hAnsi="宋体" w:eastAsia="宋体" w:cs="宋体"/>
          <w:color w:val="auto"/>
          <w:sz w:val="21"/>
          <w:szCs w:val="21"/>
        </w:rPr>
      </w:pPr>
      <w:bookmarkStart w:id="179" w:name="_Toc5521"/>
      <w:r>
        <w:rPr>
          <w:rFonts w:hint="eastAsia" w:ascii="宋体" w:hAnsi="宋体" w:eastAsia="宋体" w:cs="宋体"/>
          <w:color w:val="auto"/>
          <w:sz w:val="21"/>
          <w:szCs w:val="21"/>
        </w:rPr>
        <w:t>5. 工程质量</w:t>
      </w:r>
      <w:bookmarkEnd w:id="179"/>
    </w:p>
    <w:p w14:paraId="7FA6F9FF">
      <w:pPr>
        <w:pStyle w:val="4"/>
        <w:rPr>
          <w:rFonts w:hint="eastAsia" w:ascii="宋体" w:hAnsi="宋体" w:eastAsia="宋体" w:cs="宋体"/>
          <w:color w:val="auto"/>
          <w:sz w:val="21"/>
          <w:szCs w:val="21"/>
        </w:rPr>
      </w:pPr>
      <w:bookmarkStart w:id="180" w:name="_Toc14715"/>
      <w:r>
        <w:rPr>
          <w:rFonts w:hint="eastAsia" w:ascii="宋体" w:hAnsi="宋体" w:eastAsia="宋体" w:cs="宋体"/>
          <w:color w:val="auto"/>
          <w:sz w:val="21"/>
          <w:szCs w:val="21"/>
        </w:rPr>
        <w:t>5.1 质量要求</w:t>
      </w:r>
      <w:bookmarkEnd w:id="180"/>
    </w:p>
    <w:p w14:paraId="121831D1">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5.1.1 特殊质量标准和要求：</w:t>
      </w:r>
      <w:r>
        <w:rPr>
          <w:rFonts w:hint="eastAsia" w:ascii="宋体" w:hAnsi="宋体" w:eastAsia="宋体" w:cs="宋体"/>
          <w:color w:val="auto"/>
          <w:sz w:val="21"/>
          <w:szCs w:val="21"/>
          <w:u w:val="single"/>
        </w:rPr>
        <w:t>按本合同《通用条款》相关条款规定执行</w:t>
      </w:r>
      <w:r>
        <w:rPr>
          <w:rFonts w:hint="eastAsia" w:ascii="宋体" w:hAnsi="宋体" w:eastAsia="宋体" w:cs="宋体"/>
          <w:color w:val="auto"/>
          <w:sz w:val="21"/>
          <w:szCs w:val="21"/>
        </w:rPr>
        <w:t>。</w:t>
      </w:r>
    </w:p>
    <w:p w14:paraId="733F7A1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关于工程奖项的约定：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12C975B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5.3 隐蔽工程检查</w:t>
      </w:r>
    </w:p>
    <w:p w14:paraId="18891EC0">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5.3.2承包人提前通知监理人隐蔽工程检查的期限的约定：</w:t>
      </w:r>
      <w:r>
        <w:rPr>
          <w:rFonts w:hint="eastAsia" w:ascii="宋体" w:hAnsi="宋体" w:eastAsia="宋体" w:cs="宋体"/>
          <w:bCs/>
          <w:color w:val="auto"/>
          <w:sz w:val="21"/>
          <w:szCs w:val="21"/>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50146E0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监理人不能按时进行检查时，应提前</w:t>
      </w:r>
      <w:r>
        <w:rPr>
          <w:rFonts w:hint="eastAsia" w:ascii="宋体" w:hAnsi="宋体" w:eastAsia="宋体" w:cs="宋体"/>
          <w:color w:val="auto"/>
          <w:sz w:val="21"/>
          <w:szCs w:val="21"/>
          <w:u w:val="single"/>
        </w:rPr>
        <w:t xml:space="preserve">    6   </w:t>
      </w:r>
      <w:r>
        <w:rPr>
          <w:rFonts w:hint="eastAsia" w:ascii="宋体" w:hAnsi="宋体" w:eastAsia="宋体" w:cs="宋体"/>
          <w:color w:val="auto"/>
          <w:sz w:val="21"/>
          <w:szCs w:val="21"/>
        </w:rPr>
        <w:t>小时提交书面延期要求。</w:t>
      </w:r>
    </w:p>
    <w:p w14:paraId="0F19242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关于延期最长不得超过：</w:t>
      </w:r>
      <w:r>
        <w:rPr>
          <w:rFonts w:hint="eastAsia" w:ascii="宋体" w:hAnsi="宋体" w:eastAsia="宋体" w:cs="宋体"/>
          <w:color w:val="auto"/>
          <w:sz w:val="21"/>
          <w:szCs w:val="21"/>
          <w:u w:val="single"/>
        </w:rPr>
        <w:t xml:space="preserve">    12     </w:t>
      </w:r>
      <w:r>
        <w:rPr>
          <w:rFonts w:hint="eastAsia" w:ascii="宋体" w:hAnsi="宋体" w:eastAsia="宋体" w:cs="宋体"/>
          <w:color w:val="auto"/>
          <w:sz w:val="21"/>
          <w:szCs w:val="21"/>
        </w:rPr>
        <w:t>小时。</w:t>
      </w:r>
    </w:p>
    <w:p w14:paraId="70BC6A6D">
      <w:pPr>
        <w:pStyle w:val="3"/>
        <w:rPr>
          <w:rFonts w:hint="eastAsia" w:ascii="宋体" w:hAnsi="宋体" w:eastAsia="宋体" w:cs="宋体"/>
          <w:color w:val="auto"/>
          <w:sz w:val="21"/>
          <w:szCs w:val="21"/>
        </w:rPr>
      </w:pPr>
      <w:bookmarkStart w:id="181" w:name="_Toc30666"/>
      <w:r>
        <w:rPr>
          <w:rFonts w:hint="eastAsia" w:ascii="宋体" w:hAnsi="宋体" w:eastAsia="宋体" w:cs="宋体"/>
          <w:color w:val="auto"/>
          <w:sz w:val="21"/>
          <w:szCs w:val="21"/>
        </w:rPr>
        <w:t>6. 安全文明施工与环境保护</w:t>
      </w:r>
      <w:bookmarkEnd w:id="181"/>
    </w:p>
    <w:p w14:paraId="2349E7BB">
      <w:pPr>
        <w:pStyle w:val="4"/>
        <w:rPr>
          <w:rFonts w:hint="eastAsia" w:ascii="宋体" w:hAnsi="宋体" w:eastAsia="宋体" w:cs="宋体"/>
          <w:color w:val="auto"/>
          <w:sz w:val="21"/>
          <w:szCs w:val="21"/>
        </w:rPr>
      </w:pPr>
      <w:bookmarkStart w:id="182" w:name="_Toc23015"/>
      <w:r>
        <w:rPr>
          <w:rFonts w:hint="eastAsia" w:ascii="宋体" w:hAnsi="宋体" w:eastAsia="宋体" w:cs="宋体"/>
          <w:color w:val="auto"/>
          <w:sz w:val="21"/>
          <w:szCs w:val="21"/>
        </w:rPr>
        <w:t>6.1 安全文明施工</w:t>
      </w:r>
      <w:bookmarkEnd w:id="182"/>
    </w:p>
    <w:p w14:paraId="3ADA6E5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6.1.1 项目安全生产的达标目标及相应事项的约定：</w:t>
      </w:r>
      <w:r>
        <w:rPr>
          <w:rFonts w:hint="eastAsia" w:ascii="宋体" w:hAnsi="宋体" w:eastAsia="宋体" w:cs="宋体"/>
          <w:color w:val="auto"/>
          <w:sz w:val="21"/>
          <w:szCs w:val="21"/>
          <w:u w:val="single"/>
        </w:rPr>
        <w:t xml:space="preserve">  要求达到《建筑施工安全检查标准》（JGJ59-2011）的标准和符合《广西壮族自治区建筑工程安全防护、文明施工措施费及使用管理细则》（桂建质〔2015〕16号文）的要求</w:t>
      </w:r>
      <w:r>
        <w:rPr>
          <w:rFonts w:hint="eastAsia" w:ascii="宋体" w:hAnsi="宋体" w:eastAsia="宋体" w:cs="宋体"/>
          <w:color w:val="auto"/>
          <w:sz w:val="21"/>
          <w:szCs w:val="21"/>
        </w:rPr>
        <w:t>。</w:t>
      </w:r>
    </w:p>
    <w:p w14:paraId="1FEA339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关于安全文明施工奖项的约定：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4CA63D8C">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6.1.4 关于治安保卫的特别约定：</w:t>
      </w:r>
      <w:r>
        <w:rPr>
          <w:rFonts w:hint="eastAsia" w:ascii="宋体" w:hAnsi="宋体" w:eastAsia="宋体" w:cs="宋体"/>
          <w:color w:val="auto"/>
          <w:sz w:val="21"/>
          <w:szCs w:val="21"/>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0D537E7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关于编制施工场地治安管理计划的约定：</w:t>
      </w:r>
      <w:r>
        <w:rPr>
          <w:rFonts w:hint="eastAsia" w:ascii="宋体" w:hAnsi="宋体" w:eastAsia="宋体" w:cs="宋体"/>
          <w:color w:val="auto"/>
          <w:sz w:val="21"/>
          <w:szCs w:val="21"/>
          <w:u w:val="single"/>
        </w:rPr>
        <w:t>承包人开工前三天提供施工场地治安管理计划</w:t>
      </w:r>
      <w:r>
        <w:rPr>
          <w:rFonts w:hint="eastAsia" w:ascii="宋体" w:hAnsi="宋体" w:eastAsia="宋体" w:cs="宋体"/>
          <w:color w:val="auto"/>
          <w:sz w:val="21"/>
          <w:szCs w:val="21"/>
        </w:rPr>
        <w:t>。</w:t>
      </w:r>
    </w:p>
    <w:p w14:paraId="79EB550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6.1.5 文明施工</w:t>
      </w:r>
    </w:p>
    <w:p w14:paraId="2B9C03B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合同当事人对文明施工的要求：</w:t>
      </w:r>
      <w:r>
        <w:rPr>
          <w:rFonts w:hint="eastAsia" w:ascii="宋体" w:hAnsi="宋体" w:eastAsia="宋体" w:cs="宋体"/>
          <w:bCs/>
          <w:color w:val="auto"/>
          <w:sz w:val="21"/>
          <w:szCs w:val="21"/>
          <w:u w:val="single"/>
        </w:rPr>
        <w:t>安全防护、文明施工设施须按有关标准及制度执行。</w:t>
      </w:r>
      <w:r>
        <w:rPr>
          <w:rFonts w:hint="eastAsia" w:ascii="宋体" w:hAnsi="宋体" w:eastAsia="宋体" w:cs="宋体"/>
          <w:color w:val="auto"/>
          <w:sz w:val="21"/>
          <w:szCs w:val="21"/>
        </w:rPr>
        <w:t>。</w:t>
      </w:r>
    </w:p>
    <w:p w14:paraId="7CA187F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6.1.6 关于安全文明施工费支付比例和支付期限的约定：</w:t>
      </w:r>
    </w:p>
    <w:p w14:paraId="260F3D1E">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6.1.6</w:t>
      </w:r>
      <w:r>
        <w:rPr>
          <w:rFonts w:hint="eastAsia" w:ascii="宋体" w:hAnsi="宋体" w:eastAsia="宋体" w:cs="宋体"/>
          <w:color w:val="auto"/>
          <w:kern w:val="0"/>
          <w:sz w:val="21"/>
          <w:szCs w:val="21"/>
        </w:rPr>
        <w:t>关于安全生产费总额、支付比例、支付期限、转入和结余收回的约定：</w:t>
      </w:r>
    </w:p>
    <w:p w14:paraId="114951D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（1）本合同价款已包含安全文明施工费</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元。</w:t>
      </w:r>
    </w:p>
    <w:p w14:paraId="379667B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（2）使用要求：专款专用。具体按</w:t>
      </w:r>
      <w:r>
        <w:rPr>
          <w:rFonts w:hint="eastAsia" w:ascii="宋体" w:hAnsi="宋体" w:eastAsia="宋体" w:cs="宋体"/>
          <w:color w:val="auto"/>
          <w:kern w:val="0"/>
          <w:sz w:val="21"/>
          <w:szCs w:val="21"/>
          <w:u w:val="single"/>
        </w:rPr>
        <w:t>《广西壮族自治区建设工程安全文明施工费使用管理细则》（桂建质〔2015〕16号）</w:t>
      </w:r>
      <w:r>
        <w:rPr>
          <w:rFonts w:hint="eastAsia" w:ascii="宋体" w:hAnsi="宋体" w:eastAsia="宋体" w:cs="宋体"/>
          <w:color w:val="auto"/>
          <w:kern w:val="0"/>
          <w:sz w:val="21"/>
          <w:szCs w:val="21"/>
        </w:rPr>
        <w:t>和</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市相关规定执行。</w:t>
      </w:r>
    </w:p>
    <w:p w14:paraId="670FF14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（3）支付约定：在本合同签订后    个工作日内，预付安全文明施工费总额的   %，其余部分与进度款同期支付，安全文明施工费预付款在工程进度款累计金额超过合同价的   %时开始起扣，每月从支付给承包商的工程款内按安全文明预付款占合同总价的同一百分比扣回。</w:t>
      </w:r>
    </w:p>
    <w:p w14:paraId="5BEF18A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（4）建设单位按规定将安全生产费用转入施工单位设立的安全生产费用专户。</w:t>
      </w:r>
    </w:p>
    <w:p w14:paraId="21C0193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（5）工程施工完成后安全生产费用尚有结余的，结余部分由建设单位收回。</w:t>
      </w:r>
    </w:p>
    <w:p w14:paraId="3BCED52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（6）施工单位将安全生产费用使用情况定期报告建设单位和监理单位，并提供相应的材料接受建设行政主管部门对此事项监管。</w:t>
      </w:r>
    </w:p>
    <w:p w14:paraId="765F7C9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（7）安全生产费用专户：××××公司安全生产费用专户。账号： </w:t>
      </w:r>
    </w:p>
    <w:p w14:paraId="581F50F4">
      <w:pPr>
        <w:adjustRightIn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（1）本合同价款已包含安全文明施工费元。</w:t>
      </w:r>
    </w:p>
    <w:p w14:paraId="18206873">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（2）使用要求：专款专用。具体按《广西壮族自治区建筑工程安全防护、文明施工措施费及管理细则》（桂建质〔2015〕16号）和</w:t>
      </w:r>
      <w:r>
        <w:rPr>
          <w:rFonts w:hint="eastAsia" w:ascii="宋体" w:hAnsi="宋体" w:cs="宋体"/>
          <w:color w:val="auto"/>
          <w:sz w:val="21"/>
          <w:szCs w:val="21"/>
          <w:u w:val="single"/>
          <w:lang w:val="en-US" w:eastAsia="zh-CN"/>
        </w:rPr>
        <w:t>龙州</w:t>
      </w:r>
      <w:r>
        <w:rPr>
          <w:rFonts w:hint="eastAsia" w:ascii="宋体" w:hAnsi="宋体" w:eastAsia="宋体" w:cs="宋体"/>
          <w:color w:val="auto"/>
          <w:sz w:val="21"/>
          <w:szCs w:val="21"/>
          <w:u w:val="single"/>
        </w:rPr>
        <w:t>县</w:t>
      </w:r>
      <w:r>
        <w:rPr>
          <w:rFonts w:hint="eastAsia" w:ascii="宋体" w:hAnsi="宋体" w:eastAsia="宋体" w:cs="宋体"/>
          <w:color w:val="auto"/>
          <w:sz w:val="21"/>
          <w:szCs w:val="21"/>
        </w:rPr>
        <w:t>相关规定执行。</w:t>
      </w:r>
    </w:p>
    <w:p w14:paraId="588DA6FA">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（3）支付约定</w:t>
      </w:r>
      <w:r>
        <w:rPr>
          <w:rFonts w:hint="eastAsia" w:ascii="宋体" w:hAnsi="宋体" w:eastAsia="宋体" w:cs="宋体"/>
          <w:color w:val="auto"/>
          <w:sz w:val="21"/>
          <w:szCs w:val="21"/>
          <w:u w:val="single"/>
        </w:rPr>
        <w:t>：</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w:t>
      </w:r>
    </w:p>
    <w:p w14:paraId="59C949D6">
      <w:pPr>
        <w:pStyle w:val="4"/>
        <w:rPr>
          <w:rFonts w:hint="eastAsia" w:ascii="宋体" w:hAnsi="宋体" w:eastAsia="宋体" w:cs="宋体"/>
          <w:color w:val="auto"/>
          <w:sz w:val="21"/>
          <w:szCs w:val="21"/>
        </w:rPr>
      </w:pPr>
      <w:bookmarkStart w:id="183" w:name="_Toc19173"/>
      <w:r>
        <w:rPr>
          <w:rFonts w:hint="eastAsia" w:ascii="宋体" w:hAnsi="宋体" w:eastAsia="宋体" w:cs="宋体"/>
          <w:color w:val="auto"/>
          <w:sz w:val="21"/>
          <w:szCs w:val="21"/>
        </w:rPr>
        <w:t>6.3 环境保护</w:t>
      </w:r>
      <w:bookmarkEnd w:id="183"/>
    </w:p>
    <w:p w14:paraId="3E25DF87">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因施工需要，经发包人批准，由承包人办理有关施工场地交通、环卫和施工噪音管理等手续，费用由承包人负责。</w:t>
      </w:r>
    </w:p>
    <w:p w14:paraId="24E0489C">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经过城市道路的施工车辆，必须按交警、城管、运输等部门相关规定执行。由于施工车辆造成的道路、环境等污染，其责任和费用均由承包人承担。</w:t>
      </w:r>
    </w:p>
    <w:p w14:paraId="6DA4519C">
      <w:pPr>
        <w:pStyle w:val="3"/>
        <w:rPr>
          <w:rFonts w:hint="eastAsia" w:ascii="宋体" w:hAnsi="宋体" w:eastAsia="宋体" w:cs="宋体"/>
          <w:color w:val="auto"/>
          <w:sz w:val="21"/>
          <w:szCs w:val="21"/>
        </w:rPr>
      </w:pPr>
      <w:bookmarkStart w:id="184" w:name="_Toc9883"/>
      <w:r>
        <w:rPr>
          <w:rFonts w:hint="eastAsia" w:ascii="宋体" w:hAnsi="宋体" w:eastAsia="宋体" w:cs="宋体"/>
          <w:color w:val="auto"/>
          <w:sz w:val="21"/>
          <w:szCs w:val="21"/>
        </w:rPr>
        <w:t>7. 工期和进度</w:t>
      </w:r>
      <w:bookmarkEnd w:id="184"/>
    </w:p>
    <w:p w14:paraId="60624EA2">
      <w:pPr>
        <w:pStyle w:val="4"/>
        <w:rPr>
          <w:rFonts w:hint="eastAsia" w:ascii="宋体" w:hAnsi="宋体" w:eastAsia="宋体" w:cs="宋体"/>
          <w:color w:val="auto"/>
          <w:sz w:val="21"/>
          <w:szCs w:val="21"/>
        </w:rPr>
      </w:pPr>
      <w:bookmarkStart w:id="185" w:name="_Toc26971"/>
      <w:r>
        <w:rPr>
          <w:rFonts w:hint="eastAsia" w:ascii="宋体" w:hAnsi="宋体" w:eastAsia="宋体" w:cs="宋体"/>
          <w:color w:val="auto"/>
          <w:sz w:val="21"/>
          <w:szCs w:val="21"/>
        </w:rPr>
        <w:t>7.1 施工组织设计</w:t>
      </w:r>
      <w:bookmarkEnd w:id="185"/>
    </w:p>
    <w:p w14:paraId="3EFDE40B">
      <w:pPr>
        <w:adjustRightIn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7.1.1 合同当事人约定的施工组织设计应包括的其他内容：</w:t>
      </w:r>
      <w:r>
        <w:rPr>
          <w:rFonts w:hint="eastAsia" w:ascii="宋体" w:hAnsi="宋体" w:eastAsia="宋体" w:cs="宋体"/>
          <w:color w:val="auto"/>
          <w:sz w:val="21"/>
          <w:szCs w:val="21"/>
          <w:u w:val="single"/>
        </w:rPr>
        <w:t>按本合同《通用条款》相关规定执行</w:t>
      </w:r>
      <w:r>
        <w:rPr>
          <w:rFonts w:hint="eastAsia" w:ascii="宋体" w:hAnsi="宋体" w:eastAsia="宋体" w:cs="宋体"/>
          <w:color w:val="auto"/>
          <w:sz w:val="21"/>
          <w:szCs w:val="21"/>
        </w:rPr>
        <w:t>。</w:t>
      </w:r>
    </w:p>
    <w:p w14:paraId="76A9DB0C">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7.1.2 施工组织设计的提交和修改</w:t>
      </w:r>
    </w:p>
    <w:p w14:paraId="5B63423D">
      <w:pPr>
        <w:adjustRightIn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承包人提交详细施工组织设计的期限的约定：</w:t>
      </w:r>
      <w:r>
        <w:rPr>
          <w:rFonts w:hint="eastAsia" w:ascii="宋体" w:hAnsi="宋体" w:eastAsia="宋体" w:cs="宋体"/>
          <w:color w:val="auto"/>
          <w:sz w:val="21"/>
          <w:szCs w:val="21"/>
          <w:u w:val="single"/>
        </w:rPr>
        <w:t xml:space="preserve">  承包人在收到中标通知书与发包人签订合同后 7 天内提交详细的施工组织设计和进度计划  </w:t>
      </w:r>
      <w:r>
        <w:rPr>
          <w:rFonts w:hint="eastAsia" w:ascii="宋体" w:hAnsi="宋体" w:eastAsia="宋体" w:cs="宋体"/>
          <w:color w:val="auto"/>
          <w:sz w:val="21"/>
          <w:szCs w:val="21"/>
        </w:rPr>
        <w:t>。</w:t>
      </w:r>
    </w:p>
    <w:p w14:paraId="6F9F022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发包人和监理人在收到详细的施工组织设计后确认或提出修改意见的期限：</w:t>
      </w:r>
      <w:r>
        <w:rPr>
          <w:rFonts w:hint="eastAsia" w:ascii="宋体" w:hAnsi="宋体" w:eastAsia="宋体" w:cs="宋体"/>
          <w:color w:val="auto"/>
          <w:sz w:val="21"/>
          <w:szCs w:val="21"/>
          <w:u w:val="single"/>
        </w:rPr>
        <w:t xml:space="preserve"> 如有重大异议则应在3日内以书面形式送达承包人。监理工程师和发包人如在7日内未提供出异议的，自第8日开始视为同意 </w:t>
      </w:r>
      <w:r>
        <w:rPr>
          <w:rFonts w:hint="eastAsia" w:ascii="宋体" w:hAnsi="宋体" w:eastAsia="宋体" w:cs="宋体"/>
          <w:color w:val="auto"/>
          <w:sz w:val="21"/>
          <w:szCs w:val="21"/>
        </w:rPr>
        <w:t>。</w:t>
      </w:r>
    </w:p>
    <w:p w14:paraId="0A9EB7E5">
      <w:pPr>
        <w:pStyle w:val="4"/>
        <w:rPr>
          <w:rFonts w:hint="eastAsia" w:ascii="宋体" w:hAnsi="宋体" w:eastAsia="宋体" w:cs="宋体"/>
          <w:color w:val="auto"/>
          <w:sz w:val="21"/>
          <w:szCs w:val="21"/>
        </w:rPr>
      </w:pPr>
      <w:bookmarkStart w:id="186" w:name="_Toc14760"/>
      <w:r>
        <w:rPr>
          <w:rFonts w:hint="eastAsia" w:ascii="宋体" w:hAnsi="宋体" w:eastAsia="宋体" w:cs="宋体"/>
          <w:color w:val="auto"/>
          <w:sz w:val="21"/>
          <w:szCs w:val="21"/>
        </w:rPr>
        <w:t>7.2 施工进度计划</w:t>
      </w:r>
      <w:bookmarkEnd w:id="186"/>
    </w:p>
    <w:p w14:paraId="2771C0E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7.2.2 施工进度计划的修订</w:t>
      </w:r>
    </w:p>
    <w:p w14:paraId="637DC07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发包人和监理人在收到修订的施工进度计划后确认或提出修改意见的期限：</w:t>
      </w:r>
      <w:r>
        <w:rPr>
          <w:rFonts w:hint="eastAsia" w:ascii="宋体" w:hAnsi="宋体" w:eastAsia="宋体" w:cs="宋体"/>
          <w:color w:val="auto"/>
          <w:sz w:val="21"/>
          <w:szCs w:val="21"/>
          <w:u w:val="single"/>
        </w:rPr>
        <w:t xml:space="preserve"> 如有重大异议则应在3日内以书面形式送达承包人。监理工程师和发包人如在7日内未提供出异议的，自第8日开始视为同意 </w:t>
      </w:r>
      <w:r>
        <w:rPr>
          <w:rFonts w:hint="eastAsia" w:ascii="宋体" w:hAnsi="宋体" w:eastAsia="宋体" w:cs="宋体"/>
          <w:color w:val="auto"/>
          <w:sz w:val="21"/>
          <w:szCs w:val="21"/>
        </w:rPr>
        <w:t>。</w:t>
      </w:r>
    </w:p>
    <w:p w14:paraId="6658F9D6">
      <w:pPr>
        <w:pStyle w:val="4"/>
        <w:rPr>
          <w:rFonts w:hint="eastAsia" w:ascii="宋体" w:hAnsi="宋体" w:eastAsia="宋体" w:cs="宋体"/>
          <w:color w:val="auto"/>
          <w:sz w:val="21"/>
          <w:szCs w:val="21"/>
        </w:rPr>
      </w:pPr>
      <w:bookmarkStart w:id="187" w:name="_Toc28808"/>
      <w:r>
        <w:rPr>
          <w:rFonts w:hint="eastAsia" w:ascii="宋体" w:hAnsi="宋体" w:eastAsia="宋体" w:cs="宋体"/>
          <w:color w:val="auto"/>
          <w:sz w:val="21"/>
          <w:szCs w:val="21"/>
        </w:rPr>
        <w:t>7.3 开工</w:t>
      </w:r>
      <w:bookmarkEnd w:id="187"/>
    </w:p>
    <w:p w14:paraId="3424AC5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7.3.1 开工准备</w:t>
      </w:r>
    </w:p>
    <w:p w14:paraId="6F541C81">
      <w:pPr>
        <w:spacing w:line="360" w:lineRule="auto"/>
        <w:ind w:firstLine="426"/>
        <w:rPr>
          <w:rFonts w:hint="eastAsia" w:ascii="宋体" w:hAnsi="宋体" w:eastAsia="宋体" w:cs="宋体"/>
          <w:color w:val="auto"/>
          <w:sz w:val="21"/>
          <w:szCs w:val="21"/>
          <w:u w:val="single"/>
        </w:rPr>
      </w:pPr>
      <w:r>
        <w:rPr>
          <w:rFonts w:hint="eastAsia" w:ascii="宋体" w:hAnsi="宋体" w:eastAsia="宋体" w:cs="宋体"/>
          <w:color w:val="auto"/>
          <w:sz w:val="21"/>
          <w:szCs w:val="21"/>
        </w:rPr>
        <w:t>关于承包人提交工程开工报审表的期限：</w:t>
      </w:r>
      <w:r>
        <w:rPr>
          <w:rFonts w:hint="eastAsia" w:ascii="宋体" w:hAnsi="宋体" w:eastAsia="宋体" w:cs="宋体"/>
          <w:color w:val="auto"/>
          <w:sz w:val="21"/>
          <w:szCs w:val="21"/>
          <w:u w:val="single"/>
        </w:rPr>
        <w:t xml:space="preserve">   开工前14天内  </w:t>
      </w:r>
      <w:r>
        <w:rPr>
          <w:rFonts w:hint="eastAsia" w:ascii="宋体" w:hAnsi="宋体" w:eastAsia="宋体" w:cs="宋体"/>
          <w:color w:val="auto"/>
          <w:sz w:val="21"/>
          <w:szCs w:val="21"/>
        </w:rPr>
        <w:t>。</w:t>
      </w:r>
    </w:p>
    <w:p w14:paraId="5A6308CA">
      <w:pPr>
        <w:spacing w:line="360" w:lineRule="auto"/>
        <w:ind w:firstLine="426"/>
        <w:rPr>
          <w:rFonts w:hint="eastAsia" w:ascii="宋体" w:hAnsi="宋体" w:eastAsia="宋体" w:cs="宋体"/>
          <w:color w:val="auto"/>
          <w:sz w:val="21"/>
          <w:szCs w:val="21"/>
          <w:u w:val="single"/>
        </w:rPr>
      </w:pPr>
      <w:r>
        <w:rPr>
          <w:rFonts w:hint="eastAsia" w:ascii="宋体" w:hAnsi="宋体" w:eastAsia="宋体" w:cs="宋体"/>
          <w:color w:val="auto"/>
          <w:sz w:val="21"/>
          <w:szCs w:val="21"/>
        </w:rPr>
        <w:t>关于发包人应完成的其他开工准备工作及期限：</w:t>
      </w:r>
      <w:r>
        <w:rPr>
          <w:rFonts w:hint="eastAsia" w:ascii="宋体" w:hAnsi="宋体" w:eastAsia="宋体" w:cs="宋体"/>
          <w:color w:val="auto"/>
          <w:sz w:val="21"/>
          <w:szCs w:val="21"/>
          <w:u w:val="single"/>
        </w:rPr>
        <w:t xml:space="preserve">  开工前7天内 </w:t>
      </w:r>
      <w:r>
        <w:rPr>
          <w:rFonts w:hint="eastAsia" w:ascii="宋体" w:hAnsi="宋体" w:eastAsia="宋体" w:cs="宋体"/>
          <w:color w:val="auto"/>
          <w:sz w:val="21"/>
          <w:szCs w:val="21"/>
        </w:rPr>
        <w:t>。</w:t>
      </w:r>
    </w:p>
    <w:p w14:paraId="7D260975">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关于承包人应完成的其他开工准备工作及期限：</w:t>
      </w:r>
      <w:r>
        <w:rPr>
          <w:rFonts w:hint="eastAsia" w:ascii="宋体" w:hAnsi="宋体" w:eastAsia="宋体" w:cs="宋体"/>
          <w:color w:val="auto"/>
          <w:sz w:val="21"/>
          <w:szCs w:val="21"/>
          <w:u w:val="single"/>
        </w:rPr>
        <w:t xml:space="preserve"> 开工前7天内 </w:t>
      </w:r>
      <w:r>
        <w:rPr>
          <w:rFonts w:hint="eastAsia" w:ascii="宋体" w:hAnsi="宋体" w:eastAsia="宋体" w:cs="宋体"/>
          <w:color w:val="auto"/>
          <w:sz w:val="21"/>
          <w:szCs w:val="21"/>
        </w:rPr>
        <w:t>。</w:t>
      </w:r>
    </w:p>
    <w:p w14:paraId="01DB8E1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7.3.2 开工通知</w:t>
      </w:r>
    </w:p>
    <w:p w14:paraId="4F07B5F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因发包人原因造成监理人未能在计划开工日期之日起</w:t>
      </w:r>
      <w:r>
        <w:rPr>
          <w:rFonts w:hint="eastAsia" w:ascii="宋体" w:hAnsi="宋体" w:eastAsia="宋体" w:cs="宋体"/>
          <w:color w:val="auto"/>
          <w:sz w:val="21"/>
          <w:szCs w:val="21"/>
          <w:u w:val="single"/>
        </w:rPr>
        <w:t xml:space="preserve"> 90 </w:t>
      </w:r>
      <w:r>
        <w:rPr>
          <w:rFonts w:hint="eastAsia" w:ascii="宋体" w:hAnsi="宋体" w:eastAsia="宋体" w:cs="宋体"/>
          <w:color w:val="auto"/>
          <w:sz w:val="21"/>
          <w:szCs w:val="21"/>
        </w:rPr>
        <w:t>天内发出开工通知的，承包人有权提出价格调整要求，或者解除合同。</w:t>
      </w:r>
    </w:p>
    <w:p w14:paraId="5F7D58AC">
      <w:pPr>
        <w:pStyle w:val="4"/>
        <w:rPr>
          <w:rFonts w:hint="eastAsia" w:ascii="宋体" w:hAnsi="宋体" w:eastAsia="宋体" w:cs="宋体"/>
          <w:color w:val="auto"/>
          <w:sz w:val="21"/>
          <w:szCs w:val="21"/>
        </w:rPr>
      </w:pPr>
      <w:bookmarkStart w:id="188" w:name="_Toc16450"/>
      <w:r>
        <w:rPr>
          <w:rFonts w:hint="eastAsia" w:ascii="宋体" w:hAnsi="宋体" w:eastAsia="宋体" w:cs="宋体"/>
          <w:color w:val="auto"/>
          <w:sz w:val="21"/>
          <w:szCs w:val="21"/>
        </w:rPr>
        <w:t>7.4 测量放线</w:t>
      </w:r>
      <w:bookmarkEnd w:id="188"/>
    </w:p>
    <w:p w14:paraId="4BA9F33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7.4.1发包人通过监理人向承包人提供测量基准点、基准线和水准点及其书面资料的期限：</w:t>
      </w:r>
    </w:p>
    <w:p w14:paraId="6961DB1D">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 xml:space="preserve">承包人进入工地后进行现场、书面交桩，承包人负责复核，承包人并对水准点和坐标控制点加以保护  </w:t>
      </w:r>
      <w:r>
        <w:rPr>
          <w:rFonts w:hint="eastAsia" w:ascii="宋体" w:hAnsi="宋体" w:eastAsia="宋体" w:cs="宋体"/>
          <w:color w:val="auto"/>
          <w:sz w:val="21"/>
          <w:szCs w:val="21"/>
        </w:rPr>
        <w:t>。</w:t>
      </w:r>
    </w:p>
    <w:p w14:paraId="3567A5D1">
      <w:pPr>
        <w:pStyle w:val="4"/>
        <w:rPr>
          <w:rFonts w:hint="eastAsia" w:ascii="宋体" w:hAnsi="宋体" w:eastAsia="宋体" w:cs="宋体"/>
          <w:color w:val="auto"/>
          <w:sz w:val="21"/>
          <w:szCs w:val="21"/>
        </w:rPr>
      </w:pPr>
      <w:bookmarkStart w:id="189" w:name="_Toc28915"/>
      <w:r>
        <w:rPr>
          <w:rFonts w:hint="eastAsia" w:ascii="宋体" w:hAnsi="宋体" w:eastAsia="宋体" w:cs="宋体"/>
          <w:color w:val="auto"/>
          <w:sz w:val="21"/>
          <w:szCs w:val="21"/>
        </w:rPr>
        <w:t>7.5 工期延误</w:t>
      </w:r>
      <w:bookmarkEnd w:id="189"/>
    </w:p>
    <w:p w14:paraId="3D7F03D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7.5.1 因发包人原因导致工期延误</w:t>
      </w:r>
    </w:p>
    <w:p w14:paraId="3D058A4D">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（7）因发包人原因导致工期延误的其他情形：</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6A20B13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7.5.2 因承包人原因导致工期延误</w:t>
      </w:r>
    </w:p>
    <w:p w14:paraId="4AD9A428">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双方约定经监理工程师确认，工期相应顺延的情况：</w:t>
      </w:r>
    </w:p>
    <w:p w14:paraId="6D89182F">
      <w:pPr>
        <w:spacing w:line="360" w:lineRule="auto"/>
        <w:ind w:firstLine="42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 xml:space="preserve">  （1）每日白天（8：00—18：00）非承包人原因停水停电连续超过6个小时，经双方签字确认后，工期相应顺延。</w:t>
      </w:r>
    </w:p>
    <w:p w14:paraId="2CC22711">
      <w:pPr>
        <w:numPr>
          <w:ilvl w:val="0"/>
          <w:numId w:val="5"/>
        </w:numPr>
        <w:spacing w:line="360" w:lineRule="auto"/>
        <w:ind w:firstLine="42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因政府行为连续停工一天以上的，工期可顺延。</w:t>
      </w:r>
    </w:p>
    <w:p w14:paraId="05414200">
      <w:pPr>
        <w:numPr>
          <w:ilvl w:val="0"/>
          <w:numId w:val="5"/>
        </w:num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u w:val="single"/>
        </w:rPr>
        <w:t>通用条款7.5款约定的情况。</w:t>
      </w:r>
    </w:p>
    <w:p w14:paraId="79AD3481">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因承包人原因造成工期延误，逾期竣工违约金的计算方法为：</w:t>
      </w:r>
      <w:r>
        <w:rPr>
          <w:rFonts w:hint="eastAsia" w:ascii="宋体" w:hAnsi="宋体" w:eastAsia="宋体" w:cs="宋体"/>
          <w:color w:val="auto"/>
          <w:sz w:val="21"/>
          <w:szCs w:val="21"/>
          <w:u w:val="single"/>
        </w:rPr>
        <w:t xml:space="preserve">非上述原因，承包人不能按合同约定的时间竣工，承包人应承担违约责任。应向发包人支付误期赔偿费（每天赔偿金额为壹万元整 ），误期时间从规定竣工日期起直到全部工程或相应部分工程竣工验收各方签章日期之间的天数。发包人可从应向承包人支付的任何金额中扣除此项赔款费或其他方式收回此款，此赔偿款的支付并不能解除承包人应完成工程的责任或合同规定的其他责任。 </w:t>
      </w:r>
    </w:p>
    <w:p w14:paraId="72A655C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因承包人原因造成工期延误，逾期竣工违约金的上限：</w:t>
      </w:r>
      <w:r>
        <w:rPr>
          <w:rFonts w:hint="eastAsia" w:ascii="宋体" w:hAnsi="宋体" w:eastAsia="宋体" w:cs="宋体"/>
          <w:color w:val="auto"/>
          <w:sz w:val="21"/>
          <w:szCs w:val="21"/>
          <w:u w:val="single"/>
        </w:rPr>
        <w:t>合同价款的</w:t>
      </w:r>
      <w:r>
        <w:rPr>
          <w:rFonts w:hint="eastAsia" w:ascii="宋体" w:hAnsi="宋体" w:cs="宋体"/>
          <w:color w:val="auto"/>
          <w:sz w:val="21"/>
          <w:szCs w:val="21"/>
          <w:u w:val="single"/>
          <w:lang w:val="en-US" w:eastAsia="zh-CN"/>
        </w:rPr>
        <w:t>3</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0D1275E2">
      <w:pPr>
        <w:pStyle w:val="4"/>
        <w:rPr>
          <w:rFonts w:hint="eastAsia" w:ascii="宋体" w:hAnsi="宋体" w:eastAsia="宋体" w:cs="宋体"/>
          <w:color w:val="auto"/>
          <w:sz w:val="21"/>
          <w:szCs w:val="21"/>
        </w:rPr>
      </w:pPr>
      <w:bookmarkStart w:id="190" w:name="_Toc18543"/>
      <w:r>
        <w:rPr>
          <w:rFonts w:hint="eastAsia" w:ascii="宋体" w:hAnsi="宋体" w:eastAsia="宋体" w:cs="宋体"/>
          <w:color w:val="auto"/>
          <w:sz w:val="21"/>
          <w:szCs w:val="21"/>
        </w:rPr>
        <w:t>7.6 不利物质条件</w:t>
      </w:r>
      <w:bookmarkEnd w:id="190"/>
    </w:p>
    <w:p w14:paraId="6439807E">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不利物质条件的其他情形和有关约定：</w:t>
      </w:r>
      <w:r>
        <w:rPr>
          <w:rFonts w:hint="eastAsia" w:ascii="宋体" w:hAnsi="宋体" w:eastAsia="宋体" w:cs="宋体"/>
          <w:color w:val="auto"/>
          <w:sz w:val="21"/>
          <w:szCs w:val="21"/>
          <w:u w:val="single"/>
        </w:rPr>
        <w:t>按本合同《通用条款》相关规定执行</w:t>
      </w:r>
      <w:r>
        <w:rPr>
          <w:rFonts w:hint="eastAsia" w:ascii="宋体" w:hAnsi="宋体" w:eastAsia="宋体" w:cs="宋体"/>
          <w:color w:val="auto"/>
          <w:sz w:val="21"/>
          <w:szCs w:val="21"/>
        </w:rPr>
        <w:t>。</w:t>
      </w:r>
    </w:p>
    <w:p w14:paraId="6BD236CA">
      <w:pPr>
        <w:pStyle w:val="4"/>
        <w:rPr>
          <w:rFonts w:hint="eastAsia" w:ascii="宋体" w:hAnsi="宋体" w:eastAsia="宋体" w:cs="宋体"/>
          <w:color w:val="auto"/>
          <w:sz w:val="21"/>
          <w:szCs w:val="21"/>
        </w:rPr>
      </w:pPr>
      <w:bookmarkStart w:id="191" w:name="_Toc27073"/>
      <w:r>
        <w:rPr>
          <w:rFonts w:hint="eastAsia" w:ascii="宋体" w:hAnsi="宋体" w:eastAsia="宋体" w:cs="宋体"/>
          <w:color w:val="auto"/>
          <w:sz w:val="21"/>
          <w:szCs w:val="21"/>
        </w:rPr>
        <w:t>7.7 异常恶劣的气候条件</w:t>
      </w:r>
      <w:bookmarkEnd w:id="191"/>
    </w:p>
    <w:p w14:paraId="3350497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发包人和承包人同意以下情形视为异常恶劣的气候条件：</w:t>
      </w:r>
    </w:p>
    <w:p w14:paraId="4622421C">
      <w:pPr>
        <w:spacing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（1）中雨及以上的雨水</w:t>
      </w:r>
    </w:p>
    <w:p w14:paraId="13474D1B">
      <w:pPr>
        <w:spacing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（2）6级及以上的大风（以气象部门鉴定为准）</w:t>
      </w:r>
    </w:p>
    <w:p w14:paraId="1D2AE39D">
      <w:pPr>
        <w:spacing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（3）日气温超过38 ℃的高温大于 2 天；</w:t>
      </w:r>
    </w:p>
    <w:p w14:paraId="0F4DFC24">
      <w:pPr>
        <w:spacing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（4）日气温低于 -10℃的严寒大于 2 天。</w:t>
      </w:r>
    </w:p>
    <w:p w14:paraId="65A89A47">
      <w:pPr>
        <w:spacing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（5）造成工程损坏的冰雹和大雪灾害；</w:t>
      </w:r>
    </w:p>
    <w:p w14:paraId="1F224CC3">
      <w:pPr>
        <w:spacing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（6）6 级及以上的地震；</w:t>
      </w:r>
    </w:p>
    <w:p w14:paraId="1D44A2EC">
      <w:pPr>
        <w:spacing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（7）20年一遇及以上的洪水；</w:t>
      </w:r>
    </w:p>
    <w:p w14:paraId="18BDFEE9">
      <w:pPr>
        <w:spacing w:line="360" w:lineRule="exact"/>
        <w:ind w:firstLine="422" w:firstLineChars="200"/>
        <w:rPr>
          <w:rFonts w:hint="eastAsia" w:ascii="宋体" w:hAnsi="宋体" w:eastAsia="宋体" w:cs="宋体"/>
          <w:b/>
          <w:bCs/>
          <w:color w:val="auto"/>
          <w:sz w:val="21"/>
          <w:szCs w:val="21"/>
          <w:u w:val="single"/>
        </w:rPr>
      </w:pPr>
      <w:r>
        <w:rPr>
          <w:rFonts w:hint="eastAsia" w:ascii="宋体" w:hAnsi="宋体" w:eastAsia="宋体" w:cs="宋体"/>
          <w:b/>
          <w:bCs/>
          <w:color w:val="auto"/>
          <w:sz w:val="21"/>
          <w:szCs w:val="21"/>
          <w:u w:val="single"/>
        </w:rPr>
        <w:t>以有关部门发布的文件为准</w:t>
      </w:r>
      <w:r>
        <w:rPr>
          <w:rFonts w:hint="eastAsia" w:ascii="宋体" w:hAnsi="宋体" w:eastAsia="宋体" w:cs="宋体"/>
          <w:b/>
          <w:bCs/>
          <w:color w:val="auto"/>
          <w:sz w:val="21"/>
          <w:szCs w:val="21"/>
        </w:rPr>
        <w:t>。</w:t>
      </w:r>
    </w:p>
    <w:p w14:paraId="4B481A6B">
      <w:pPr>
        <w:pStyle w:val="4"/>
        <w:rPr>
          <w:rFonts w:hint="eastAsia" w:ascii="宋体" w:hAnsi="宋体" w:eastAsia="宋体" w:cs="宋体"/>
          <w:color w:val="auto"/>
          <w:sz w:val="21"/>
          <w:szCs w:val="21"/>
        </w:rPr>
      </w:pPr>
      <w:bookmarkStart w:id="192" w:name="_Toc8491"/>
      <w:r>
        <w:rPr>
          <w:rFonts w:hint="eastAsia" w:ascii="宋体" w:hAnsi="宋体" w:eastAsia="宋体" w:cs="宋体"/>
          <w:color w:val="auto"/>
          <w:sz w:val="21"/>
          <w:szCs w:val="21"/>
        </w:rPr>
        <w:t>7.9 提前竣工</w:t>
      </w:r>
      <w:bookmarkEnd w:id="192"/>
    </w:p>
    <w:p w14:paraId="49B4AD3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7.9.2提前竣工（赶工）增加费的计算方法：</w:t>
      </w:r>
      <w:r>
        <w:rPr>
          <w:rFonts w:hint="eastAsia" w:ascii="宋体" w:hAnsi="宋体" w:eastAsia="宋体" w:cs="宋体"/>
          <w:color w:val="auto"/>
          <w:sz w:val="21"/>
          <w:szCs w:val="21"/>
          <w:u w:val="single"/>
        </w:rPr>
        <w:t xml:space="preserve">               无             </w:t>
      </w:r>
      <w:r>
        <w:rPr>
          <w:rFonts w:hint="eastAsia" w:ascii="宋体" w:hAnsi="宋体" w:eastAsia="宋体" w:cs="宋体"/>
          <w:color w:val="auto"/>
          <w:sz w:val="21"/>
          <w:szCs w:val="21"/>
        </w:rPr>
        <w:t>。</w:t>
      </w:r>
    </w:p>
    <w:p w14:paraId="546C2EE6">
      <w:pPr>
        <w:pStyle w:val="3"/>
        <w:rPr>
          <w:rFonts w:hint="eastAsia" w:ascii="宋体" w:hAnsi="宋体" w:eastAsia="宋体" w:cs="宋体"/>
          <w:color w:val="auto"/>
          <w:sz w:val="21"/>
          <w:szCs w:val="21"/>
        </w:rPr>
      </w:pPr>
      <w:bookmarkStart w:id="193" w:name="_Toc12474"/>
      <w:r>
        <w:rPr>
          <w:rFonts w:hint="eastAsia" w:ascii="宋体" w:hAnsi="宋体" w:eastAsia="宋体" w:cs="宋体"/>
          <w:color w:val="auto"/>
          <w:sz w:val="21"/>
          <w:szCs w:val="21"/>
        </w:rPr>
        <w:t>8. 材料与设备</w:t>
      </w:r>
      <w:bookmarkEnd w:id="193"/>
    </w:p>
    <w:p w14:paraId="10C99CDC">
      <w:pPr>
        <w:pStyle w:val="4"/>
        <w:rPr>
          <w:rFonts w:hint="eastAsia" w:ascii="宋体" w:hAnsi="宋体" w:eastAsia="宋体" w:cs="宋体"/>
          <w:color w:val="auto"/>
          <w:sz w:val="21"/>
          <w:szCs w:val="21"/>
        </w:rPr>
      </w:pPr>
      <w:bookmarkStart w:id="194" w:name="_Toc2263"/>
      <w:r>
        <w:rPr>
          <w:rFonts w:hint="eastAsia" w:ascii="宋体" w:hAnsi="宋体" w:eastAsia="宋体" w:cs="宋体"/>
          <w:color w:val="auto"/>
          <w:sz w:val="21"/>
          <w:szCs w:val="21"/>
        </w:rPr>
        <w:t>8.2 承包人采购材料与工程设备</w:t>
      </w:r>
      <w:bookmarkEnd w:id="194"/>
    </w:p>
    <w:p w14:paraId="67312866">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除已标价工程量清单《发包人提供主要材料和工程设备一览表》（表-21）中明确的材料、工程设备外，由承包人负责材料和工程设备的采购、运输和保管。《承包人提供主要材料和工程设备一览表》（表-22）见已标价工程量清单。</w:t>
      </w:r>
    </w:p>
    <w:p w14:paraId="0C630DB6">
      <w:pPr>
        <w:pStyle w:val="4"/>
        <w:rPr>
          <w:rFonts w:hint="eastAsia" w:ascii="宋体" w:hAnsi="宋体" w:eastAsia="宋体" w:cs="宋体"/>
          <w:color w:val="auto"/>
          <w:sz w:val="21"/>
          <w:szCs w:val="21"/>
        </w:rPr>
      </w:pPr>
      <w:bookmarkStart w:id="195" w:name="_Toc13201"/>
      <w:r>
        <w:rPr>
          <w:rFonts w:hint="eastAsia" w:ascii="宋体" w:hAnsi="宋体" w:eastAsia="宋体" w:cs="宋体"/>
          <w:color w:val="auto"/>
          <w:sz w:val="21"/>
          <w:szCs w:val="21"/>
        </w:rPr>
        <w:t>8.4 材料与工程设备的保管与使用</w:t>
      </w:r>
      <w:bookmarkEnd w:id="195"/>
    </w:p>
    <w:p w14:paraId="2A6D768D">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8.4.1发包人供应的材料设备的保管费用的承担：</w:t>
      </w:r>
      <w:r>
        <w:rPr>
          <w:rFonts w:hint="eastAsia" w:ascii="宋体" w:hAnsi="宋体" w:eastAsia="宋体" w:cs="宋体"/>
          <w:color w:val="auto"/>
          <w:sz w:val="21"/>
          <w:szCs w:val="21"/>
          <w:u w:val="single"/>
        </w:rPr>
        <w:t xml:space="preserve">   由承包人承担  </w:t>
      </w:r>
      <w:r>
        <w:rPr>
          <w:rFonts w:hint="eastAsia" w:ascii="宋体" w:hAnsi="宋体" w:eastAsia="宋体" w:cs="宋体"/>
          <w:color w:val="auto"/>
          <w:sz w:val="21"/>
          <w:szCs w:val="21"/>
        </w:rPr>
        <w:t>。</w:t>
      </w:r>
    </w:p>
    <w:p w14:paraId="70600D4B">
      <w:pPr>
        <w:pStyle w:val="4"/>
        <w:rPr>
          <w:rFonts w:hint="eastAsia" w:ascii="宋体" w:hAnsi="宋体" w:eastAsia="宋体" w:cs="宋体"/>
          <w:color w:val="auto"/>
          <w:sz w:val="21"/>
          <w:szCs w:val="21"/>
        </w:rPr>
      </w:pPr>
      <w:bookmarkStart w:id="196" w:name="_Toc999"/>
      <w:r>
        <w:rPr>
          <w:rFonts w:hint="eastAsia" w:ascii="宋体" w:hAnsi="宋体" w:eastAsia="宋体" w:cs="宋体"/>
          <w:color w:val="auto"/>
          <w:sz w:val="21"/>
          <w:szCs w:val="21"/>
        </w:rPr>
        <w:t>8.6 样品</w:t>
      </w:r>
      <w:bookmarkEnd w:id="196"/>
    </w:p>
    <w:p w14:paraId="7D9CFB45">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8.6.1 样品的报送与封存</w:t>
      </w:r>
    </w:p>
    <w:p w14:paraId="359ED267">
      <w:pPr>
        <w:adjustRightIn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需要承包人报送样品的材料或工程设备，样品的种类、名称、规格、数量要求：</w:t>
      </w:r>
      <w:r>
        <w:rPr>
          <w:rFonts w:hint="eastAsia" w:ascii="宋体" w:hAnsi="宋体" w:eastAsia="宋体" w:cs="宋体"/>
          <w:color w:val="auto"/>
          <w:sz w:val="21"/>
          <w:szCs w:val="21"/>
          <w:u w:val="single"/>
        </w:rPr>
        <w:t>主要材料涉及品种、款式、颜色等方面内容的，承包人应提交准备合格的材料样品送发包人选定。</w:t>
      </w:r>
    </w:p>
    <w:p w14:paraId="6EF7A983">
      <w:pPr>
        <w:pStyle w:val="4"/>
        <w:rPr>
          <w:rFonts w:hint="eastAsia" w:ascii="宋体" w:hAnsi="宋体" w:eastAsia="宋体" w:cs="宋体"/>
          <w:color w:val="auto"/>
          <w:sz w:val="21"/>
          <w:szCs w:val="21"/>
        </w:rPr>
      </w:pPr>
      <w:bookmarkStart w:id="197" w:name="_Toc9289"/>
      <w:r>
        <w:rPr>
          <w:rFonts w:hint="eastAsia" w:ascii="宋体" w:hAnsi="宋体" w:eastAsia="宋体" w:cs="宋体"/>
          <w:color w:val="auto"/>
          <w:sz w:val="21"/>
          <w:szCs w:val="21"/>
        </w:rPr>
        <w:t>8.8 施工设备和临时设施</w:t>
      </w:r>
      <w:bookmarkEnd w:id="197"/>
    </w:p>
    <w:p w14:paraId="128FEF16">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8.8.1 承包人提供的施工设备和临时设施</w:t>
      </w:r>
    </w:p>
    <w:p w14:paraId="5F7BEA97">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6。</w:t>
      </w:r>
    </w:p>
    <w:p w14:paraId="16362259">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关于修建临时设施费用承担的约定：</w:t>
      </w:r>
    </w:p>
    <w:p w14:paraId="23E9A404">
      <w:pPr>
        <w:adjustRightIn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①承包人的临时用地（含项目部驻地等）租用费（含拆迁补偿）、临时用地的环保、恢复、临时用地的青苗补偿及地面附着物拆除等费用均由承包人负责，以上费用在投标报价中综合考虑。</w:t>
      </w:r>
    </w:p>
    <w:p w14:paraId="111AFA73">
      <w:pPr>
        <w:adjustRightIn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②承包人负责合同实施期间其合同段内临时交通道路（含场内外连接公共交通道路）和交通设施的修建、维修、养护和交通管理工作，并承担一切费用。</w:t>
      </w:r>
    </w:p>
    <w:p w14:paraId="13F345BB">
      <w:pPr>
        <w:adjustRightIn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49C0D2B6">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8.8.2 发包人提供的施工设备和临时设施</w:t>
      </w:r>
    </w:p>
    <w:p w14:paraId="768BA410">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发包人提供的施工设备和临时设施：</w:t>
      </w:r>
      <w:r>
        <w:rPr>
          <w:rFonts w:hint="eastAsia" w:ascii="宋体" w:hAnsi="宋体" w:eastAsia="宋体" w:cs="宋体"/>
          <w:color w:val="auto"/>
          <w:sz w:val="21"/>
          <w:szCs w:val="21"/>
          <w:u w:val="single"/>
        </w:rPr>
        <w:t xml:space="preserve"> （1）发包人按承包人的施工现场总平面布置图的要求于开工前7天将水、电接至施工现场围墙内。若发包人未将以上管线外端接口接至承包人指定的位置，则由承包人将水、电、电讯线路延长接至施工现场，费用由发包人承担。（2）开工前5天将施工场地公共道路的通道通至施工场地，保证施工期间的畅通，并满足施工运输的需要 </w:t>
      </w:r>
      <w:r>
        <w:rPr>
          <w:rFonts w:hint="eastAsia" w:ascii="宋体" w:hAnsi="宋体" w:eastAsia="宋体" w:cs="宋体"/>
          <w:color w:val="auto"/>
          <w:sz w:val="21"/>
          <w:szCs w:val="21"/>
        </w:rPr>
        <w:t>。</w:t>
      </w:r>
    </w:p>
    <w:p w14:paraId="0920AEFD">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发包人提供的施工设备和临时设施的运行、维护、拆除、清运费用的承担人：</w:t>
      </w:r>
      <w:r>
        <w:rPr>
          <w:rFonts w:hint="eastAsia" w:ascii="宋体" w:hAnsi="宋体" w:eastAsia="宋体" w:cs="宋体"/>
          <w:color w:val="auto"/>
          <w:sz w:val="21"/>
          <w:szCs w:val="21"/>
          <w:u w:val="single"/>
        </w:rPr>
        <w:t xml:space="preserve"> 发包人  </w:t>
      </w:r>
      <w:r>
        <w:rPr>
          <w:rFonts w:hint="eastAsia" w:ascii="宋体" w:hAnsi="宋体" w:eastAsia="宋体" w:cs="宋体"/>
          <w:color w:val="auto"/>
          <w:sz w:val="21"/>
          <w:szCs w:val="21"/>
        </w:rPr>
        <w:t>。</w:t>
      </w:r>
    </w:p>
    <w:p w14:paraId="29EEE6D0">
      <w:pPr>
        <w:pStyle w:val="3"/>
        <w:rPr>
          <w:rFonts w:hint="eastAsia" w:ascii="宋体" w:hAnsi="宋体" w:eastAsia="宋体" w:cs="宋体"/>
          <w:color w:val="auto"/>
          <w:sz w:val="21"/>
          <w:szCs w:val="21"/>
        </w:rPr>
      </w:pPr>
      <w:bookmarkStart w:id="198" w:name="_Toc17959"/>
      <w:r>
        <w:rPr>
          <w:rFonts w:hint="eastAsia" w:ascii="宋体" w:hAnsi="宋体" w:eastAsia="宋体" w:cs="宋体"/>
          <w:color w:val="auto"/>
          <w:sz w:val="21"/>
          <w:szCs w:val="21"/>
        </w:rPr>
        <w:t>9. 试验与检验</w:t>
      </w:r>
      <w:bookmarkEnd w:id="198"/>
    </w:p>
    <w:p w14:paraId="38025ECD">
      <w:pPr>
        <w:pStyle w:val="4"/>
        <w:rPr>
          <w:rFonts w:hint="eastAsia" w:ascii="宋体" w:hAnsi="宋体" w:eastAsia="宋体" w:cs="宋体"/>
          <w:color w:val="auto"/>
          <w:sz w:val="21"/>
          <w:szCs w:val="21"/>
        </w:rPr>
      </w:pPr>
      <w:bookmarkStart w:id="199" w:name="_Toc29168"/>
      <w:r>
        <w:rPr>
          <w:rFonts w:hint="eastAsia" w:ascii="宋体" w:hAnsi="宋体" w:eastAsia="宋体" w:cs="宋体"/>
          <w:color w:val="auto"/>
          <w:sz w:val="21"/>
          <w:szCs w:val="21"/>
        </w:rPr>
        <w:t>9.1 试验设备与试验人员</w:t>
      </w:r>
      <w:bookmarkEnd w:id="199"/>
    </w:p>
    <w:p w14:paraId="2B758DF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9.1.2 试验设备</w:t>
      </w:r>
    </w:p>
    <w:p w14:paraId="6B28F2DC">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施工现场需要配置的试验场所：</w:t>
      </w:r>
      <w:r>
        <w:rPr>
          <w:rFonts w:hint="eastAsia" w:ascii="宋体" w:hAnsi="宋体" w:eastAsia="宋体" w:cs="宋体"/>
          <w:color w:val="auto"/>
          <w:sz w:val="21"/>
          <w:szCs w:val="21"/>
          <w:u w:val="single"/>
        </w:rPr>
        <w:t xml:space="preserve">   由承包人提供   </w:t>
      </w:r>
      <w:r>
        <w:rPr>
          <w:rFonts w:hint="eastAsia" w:ascii="宋体" w:hAnsi="宋体" w:eastAsia="宋体" w:cs="宋体"/>
          <w:color w:val="auto"/>
          <w:sz w:val="21"/>
          <w:szCs w:val="21"/>
        </w:rPr>
        <w:t>。</w:t>
      </w:r>
    </w:p>
    <w:p w14:paraId="0F34417F">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施工现场需要配备的试验设备：</w:t>
      </w:r>
      <w:r>
        <w:rPr>
          <w:rFonts w:hint="eastAsia" w:ascii="宋体" w:hAnsi="宋体" w:eastAsia="宋体" w:cs="宋体"/>
          <w:color w:val="auto"/>
          <w:sz w:val="21"/>
          <w:szCs w:val="21"/>
          <w:u w:val="single"/>
        </w:rPr>
        <w:t xml:space="preserve">    由承包人提供   </w:t>
      </w:r>
      <w:r>
        <w:rPr>
          <w:rFonts w:hint="eastAsia" w:ascii="宋体" w:hAnsi="宋体" w:eastAsia="宋体" w:cs="宋体"/>
          <w:color w:val="auto"/>
          <w:sz w:val="21"/>
          <w:szCs w:val="21"/>
        </w:rPr>
        <w:t>。</w:t>
      </w:r>
    </w:p>
    <w:p w14:paraId="103C0B53">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施工现场需要具备的其他试验条件：</w:t>
      </w:r>
      <w:r>
        <w:rPr>
          <w:rFonts w:hint="eastAsia" w:ascii="宋体" w:hAnsi="宋体" w:eastAsia="宋体" w:cs="宋体"/>
          <w:color w:val="auto"/>
          <w:sz w:val="21"/>
          <w:szCs w:val="21"/>
          <w:u w:val="single"/>
        </w:rPr>
        <w:t xml:space="preserve">  由承包人提供    </w:t>
      </w:r>
      <w:r>
        <w:rPr>
          <w:rFonts w:hint="eastAsia" w:ascii="宋体" w:hAnsi="宋体" w:eastAsia="宋体" w:cs="宋体"/>
          <w:color w:val="auto"/>
          <w:sz w:val="21"/>
          <w:szCs w:val="21"/>
        </w:rPr>
        <w:t>。</w:t>
      </w:r>
    </w:p>
    <w:p w14:paraId="2A7D0E42">
      <w:pPr>
        <w:pStyle w:val="4"/>
        <w:rPr>
          <w:rFonts w:hint="eastAsia" w:ascii="宋体" w:hAnsi="宋体" w:eastAsia="宋体" w:cs="宋体"/>
          <w:color w:val="auto"/>
          <w:sz w:val="21"/>
          <w:szCs w:val="21"/>
        </w:rPr>
      </w:pPr>
      <w:bookmarkStart w:id="200" w:name="_Toc11031"/>
      <w:r>
        <w:rPr>
          <w:rFonts w:hint="eastAsia" w:ascii="宋体" w:hAnsi="宋体" w:eastAsia="宋体" w:cs="宋体"/>
          <w:color w:val="auto"/>
          <w:sz w:val="21"/>
          <w:szCs w:val="21"/>
        </w:rPr>
        <w:t>9.4 现场工艺试验</w:t>
      </w:r>
      <w:bookmarkEnd w:id="200"/>
    </w:p>
    <w:p w14:paraId="2E22E29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现场工艺试验的有关约定：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514FAFD1">
      <w:pPr>
        <w:pStyle w:val="4"/>
        <w:rPr>
          <w:rFonts w:hint="eastAsia" w:ascii="宋体" w:hAnsi="宋体" w:eastAsia="宋体" w:cs="宋体"/>
          <w:color w:val="auto"/>
          <w:sz w:val="21"/>
          <w:szCs w:val="21"/>
        </w:rPr>
      </w:pPr>
      <w:bookmarkStart w:id="201" w:name="_Toc14347"/>
      <w:r>
        <w:rPr>
          <w:rFonts w:hint="eastAsia" w:ascii="宋体" w:hAnsi="宋体" w:eastAsia="宋体" w:cs="宋体"/>
          <w:color w:val="auto"/>
          <w:sz w:val="21"/>
          <w:szCs w:val="21"/>
        </w:rPr>
        <w:t>9.5 检验费用</w:t>
      </w:r>
      <w:bookmarkEnd w:id="201"/>
    </w:p>
    <w:p w14:paraId="77697EB9">
      <w:pPr>
        <w:spacing w:line="360" w:lineRule="auto"/>
        <w:ind w:firstLine="411" w:firstLineChars="196"/>
        <w:rPr>
          <w:rFonts w:hint="eastAsia" w:ascii="宋体" w:hAnsi="宋体" w:eastAsia="宋体" w:cs="宋体"/>
          <w:color w:val="auto"/>
          <w:sz w:val="21"/>
          <w:szCs w:val="21"/>
        </w:rPr>
      </w:pPr>
      <w:r>
        <w:rPr>
          <w:rFonts w:hint="eastAsia" w:ascii="宋体" w:hAnsi="宋体" w:eastAsia="宋体" w:cs="宋体"/>
          <w:color w:val="auto"/>
          <w:sz w:val="21"/>
          <w:szCs w:val="21"/>
        </w:rPr>
        <w:t>根据《建设工程质量检测管理办法》（建设部令第141号）以及《广西壮族自治区建设工程质量检测管理规定》（桂建管〔2013〕11号）规定，工程质量检测业务由招标人委托有相应资质的检测机构检测。费用从招标人的项目建设经费中支出并直接支付给检测机构，不计入合同价款内。</w:t>
      </w:r>
    </w:p>
    <w:p w14:paraId="2EB1707F">
      <w:pPr>
        <w:pStyle w:val="3"/>
        <w:rPr>
          <w:rFonts w:hint="eastAsia" w:ascii="宋体" w:hAnsi="宋体" w:eastAsia="宋体" w:cs="宋体"/>
          <w:color w:val="auto"/>
          <w:sz w:val="21"/>
          <w:szCs w:val="21"/>
        </w:rPr>
      </w:pPr>
      <w:bookmarkStart w:id="202" w:name="_Toc24103"/>
      <w:r>
        <w:rPr>
          <w:rFonts w:hint="eastAsia" w:ascii="宋体" w:hAnsi="宋体" w:eastAsia="宋体" w:cs="宋体"/>
          <w:color w:val="auto"/>
          <w:sz w:val="21"/>
          <w:szCs w:val="21"/>
        </w:rPr>
        <w:t>10. 变更</w:t>
      </w:r>
      <w:bookmarkEnd w:id="202"/>
    </w:p>
    <w:p w14:paraId="5B17DF57">
      <w:pPr>
        <w:pStyle w:val="4"/>
        <w:rPr>
          <w:rFonts w:hint="eastAsia" w:ascii="宋体" w:hAnsi="宋体" w:eastAsia="宋体" w:cs="宋体"/>
          <w:color w:val="auto"/>
          <w:sz w:val="21"/>
          <w:szCs w:val="21"/>
        </w:rPr>
      </w:pPr>
      <w:bookmarkStart w:id="203" w:name="_Toc25178"/>
      <w:r>
        <w:rPr>
          <w:rFonts w:hint="eastAsia" w:ascii="宋体" w:hAnsi="宋体" w:eastAsia="宋体" w:cs="宋体"/>
          <w:color w:val="auto"/>
          <w:sz w:val="21"/>
          <w:szCs w:val="21"/>
        </w:rPr>
        <w:t>10.1 变更的范围</w:t>
      </w:r>
      <w:bookmarkEnd w:id="203"/>
    </w:p>
    <w:p w14:paraId="754CAF06">
      <w:pPr>
        <w:spacing w:line="360" w:lineRule="auto"/>
        <w:ind w:firstLine="426"/>
        <w:rPr>
          <w:rFonts w:hint="eastAsia" w:ascii="宋体" w:hAnsi="宋体" w:eastAsia="宋体" w:cs="宋体"/>
          <w:color w:val="auto"/>
          <w:sz w:val="21"/>
          <w:szCs w:val="21"/>
        </w:rPr>
      </w:pPr>
      <w:r>
        <w:rPr>
          <w:rFonts w:hint="eastAsia" w:ascii="宋体" w:hAnsi="宋体" w:eastAsia="宋体" w:cs="宋体"/>
          <w:color w:val="auto"/>
          <w:sz w:val="21"/>
          <w:szCs w:val="21"/>
        </w:rPr>
        <w:t>关于变更的范围的约定：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60CE0EBF">
      <w:pPr>
        <w:pStyle w:val="4"/>
        <w:rPr>
          <w:rFonts w:hint="eastAsia" w:ascii="宋体" w:hAnsi="宋体" w:eastAsia="宋体" w:cs="宋体"/>
          <w:color w:val="auto"/>
          <w:sz w:val="21"/>
          <w:szCs w:val="21"/>
        </w:rPr>
      </w:pPr>
      <w:bookmarkStart w:id="204" w:name="_Toc6622"/>
      <w:r>
        <w:rPr>
          <w:rFonts w:hint="eastAsia" w:ascii="宋体" w:hAnsi="宋体" w:eastAsia="宋体" w:cs="宋体"/>
          <w:color w:val="auto"/>
          <w:sz w:val="21"/>
          <w:szCs w:val="21"/>
        </w:rPr>
        <w:t>10.3 变更程序</w:t>
      </w:r>
      <w:bookmarkEnd w:id="204"/>
    </w:p>
    <w:p w14:paraId="5F61BF62">
      <w:pPr>
        <w:pStyle w:val="24"/>
        <w:spacing w:line="360" w:lineRule="auto"/>
        <w:ind w:firstLine="441" w:firstLineChars="210"/>
        <w:rPr>
          <w:rFonts w:hint="eastAsia" w:ascii="宋体" w:hAnsi="宋体" w:eastAsia="宋体" w:cs="宋体"/>
          <w:bCs/>
          <w:color w:val="auto"/>
          <w:sz w:val="21"/>
          <w:szCs w:val="21"/>
        </w:rPr>
      </w:pPr>
      <w:r>
        <w:rPr>
          <w:rFonts w:hint="eastAsia" w:ascii="宋体" w:hAnsi="宋体" w:eastAsia="宋体" w:cs="宋体"/>
          <w:bCs/>
          <w:color w:val="auto"/>
          <w:sz w:val="21"/>
          <w:szCs w:val="21"/>
        </w:rPr>
        <w:t>10.3.1 国有投资项目：</w:t>
      </w:r>
    </w:p>
    <w:p w14:paraId="12CD3741">
      <w:pPr>
        <w:spacing w:line="440" w:lineRule="exact"/>
        <w:ind w:firstLine="440"/>
        <w:rPr>
          <w:rFonts w:hint="eastAsia" w:ascii="宋体" w:hAnsi="宋体" w:eastAsia="宋体" w:cs="宋体"/>
          <w:color w:val="auto"/>
          <w:sz w:val="21"/>
          <w:szCs w:val="21"/>
        </w:rPr>
      </w:pPr>
      <w:r>
        <w:rPr>
          <w:rFonts w:hint="eastAsia" w:ascii="宋体" w:hAnsi="宋体" w:eastAsia="宋体" w:cs="宋体"/>
          <w:color w:val="auto"/>
          <w:sz w:val="21"/>
          <w:szCs w:val="21"/>
        </w:rPr>
        <w:t>⑴属重大变更的须经发包方、承包方、设计方、监理方、建设主管部门等各方进行论证后，并按崇政办发〔2017〕54号相关规定程序报批后方可施工；属一般性变更的由施工方负责人起草，交发包方代表及发包方负责领导审批，变更的工程量须有施工、监理、业主、财务总监、评审人员进行现场按项实测实量签署意见。超标准后达到重大变更，按崇政办发〔2017〕54号相关规定程序报批后方可施工。</w:t>
      </w:r>
    </w:p>
    <w:p w14:paraId="3F29FE0E">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⑵ 工程设计变更和签证工程发生后10个工作日内，由建设单位将有关变更文件、签证单审批件、工程联系单、预算书等工程资料送市财政局备案，并作为进度款支付、事后抽查和工程结算的主要依据。</w:t>
      </w:r>
    </w:p>
    <w:p w14:paraId="21264D6D">
      <w:pPr>
        <w:pStyle w:val="24"/>
        <w:spacing w:line="360" w:lineRule="auto"/>
        <w:ind w:firstLine="441" w:firstLineChars="210"/>
        <w:rPr>
          <w:rFonts w:hint="eastAsia" w:ascii="宋体" w:hAnsi="宋体" w:eastAsia="宋体" w:cs="宋体"/>
          <w:color w:val="auto"/>
          <w:sz w:val="21"/>
          <w:szCs w:val="21"/>
        </w:rPr>
      </w:pPr>
      <w:r>
        <w:rPr>
          <w:rFonts w:hint="eastAsia" w:ascii="宋体" w:hAnsi="宋体" w:eastAsia="宋体" w:cs="宋体"/>
          <w:color w:val="auto"/>
          <w:sz w:val="21"/>
          <w:szCs w:val="21"/>
        </w:rPr>
        <w:t>⑶ 建设单位在实施项目过程中，若发生单价变动，由建设单位、监理单位、市财政投资评审中心与施工单位共同商定并签字确认。</w:t>
      </w:r>
    </w:p>
    <w:p w14:paraId="202086B0">
      <w:pPr>
        <w:pStyle w:val="24"/>
        <w:spacing w:line="360" w:lineRule="auto"/>
        <w:ind w:firstLine="441" w:firstLineChars="210"/>
        <w:rPr>
          <w:rFonts w:hint="eastAsia" w:ascii="宋体" w:hAnsi="宋体" w:eastAsia="宋体" w:cs="宋体"/>
          <w:color w:val="auto"/>
          <w:sz w:val="21"/>
          <w:szCs w:val="21"/>
        </w:rPr>
      </w:pPr>
      <w:r>
        <w:rPr>
          <w:rFonts w:hint="eastAsia" w:ascii="宋体" w:hAnsi="宋体" w:eastAsia="宋体" w:cs="宋体"/>
          <w:color w:val="auto"/>
          <w:sz w:val="21"/>
          <w:szCs w:val="21"/>
        </w:rPr>
        <w:t xml:space="preserve"> ⑷承包人应当在合同规定的调整情况发生后14天内，将调整原因，金额以书面形式通知发包人，发包人按第⑴、⑵、⑶、⑷、⑸条款的要求初步确认调整金额后将其作为追加合同价款，按不高于60%的比例与工程进度款同期支付，调整金额待工程单项结算或结算时，由</w:t>
      </w:r>
      <w:r>
        <w:rPr>
          <w:rFonts w:hint="eastAsia" w:hAnsi="宋体" w:cs="宋体"/>
          <w:b/>
          <w:bCs/>
          <w:color w:val="auto"/>
          <w:sz w:val="21"/>
          <w:szCs w:val="21"/>
          <w:lang w:val="en-US" w:eastAsia="zh-CN"/>
        </w:rPr>
        <w:t>龙州</w:t>
      </w:r>
      <w:r>
        <w:rPr>
          <w:rFonts w:hint="eastAsia" w:ascii="宋体" w:hAnsi="宋体" w:eastAsia="宋体" w:cs="宋体"/>
          <w:b/>
          <w:bCs/>
          <w:color w:val="auto"/>
          <w:sz w:val="21"/>
          <w:szCs w:val="21"/>
        </w:rPr>
        <w:t>县评审中心或</w:t>
      </w:r>
      <w:r>
        <w:rPr>
          <w:rFonts w:hint="eastAsia" w:hAnsi="宋体" w:cs="宋体"/>
          <w:b/>
          <w:bCs/>
          <w:color w:val="auto"/>
          <w:sz w:val="21"/>
          <w:szCs w:val="21"/>
          <w:lang w:val="en-US" w:eastAsia="zh-CN"/>
        </w:rPr>
        <w:t>龙州</w:t>
      </w:r>
      <w:r>
        <w:rPr>
          <w:rFonts w:hint="eastAsia" w:ascii="宋体" w:hAnsi="宋体" w:eastAsia="宋体" w:cs="宋体"/>
          <w:b/>
          <w:bCs/>
          <w:color w:val="auto"/>
          <w:sz w:val="21"/>
          <w:szCs w:val="21"/>
        </w:rPr>
        <w:t>县审计局最终审定。</w:t>
      </w:r>
    </w:p>
    <w:p w14:paraId="502F507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⑸当合同规定的调整合同价款的调整情况发生后，承包人未在规定时间内通知发包人，或者未在规定时间内提出调整报告，发包人可以根据有关资料，决定是否调整和调整的金额，并书面通知承包人。</w:t>
      </w:r>
    </w:p>
    <w:p w14:paraId="302A2A1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bCs/>
          <w:color w:val="auto"/>
          <w:sz w:val="21"/>
          <w:szCs w:val="21"/>
        </w:rPr>
        <w:t>10.3.2</w:t>
      </w:r>
      <w:r>
        <w:rPr>
          <w:rFonts w:hint="eastAsia" w:ascii="宋体" w:hAnsi="宋体" w:eastAsia="宋体" w:cs="宋体"/>
          <w:color w:val="auto"/>
          <w:sz w:val="21"/>
          <w:szCs w:val="21"/>
        </w:rPr>
        <w:t>明确施工单位编制工程预算书的责任</w:t>
      </w:r>
    </w:p>
    <w:p w14:paraId="09F3E84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建设单位与施工单位签订的施工合同应约定以下内容：审定工程结算造价核减超过8%的，超</w:t>
      </w:r>
    </w:p>
    <w:p w14:paraId="3697EE3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过部分的审核效益费由施工单位向工程造价咨询机构支付，正式审核报告出具前，施工单位</w:t>
      </w:r>
    </w:p>
    <w:p w14:paraId="34C96AA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应支付完此项费用。</w:t>
      </w:r>
    </w:p>
    <w:p w14:paraId="53079658">
      <w:pPr>
        <w:pStyle w:val="13"/>
        <w:rPr>
          <w:rFonts w:hint="eastAsia" w:ascii="宋体" w:hAnsi="宋体" w:eastAsia="宋体" w:cs="宋体"/>
          <w:color w:val="auto"/>
          <w:sz w:val="21"/>
          <w:szCs w:val="21"/>
        </w:rPr>
      </w:pPr>
    </w:p>
    <w:p w14:paraId="5F074AF4">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10.3.3 非国有投资项目： </w:t>
      </w:r>
      <w:r>
        <w:rPr>
          <w:rFonts w:hint="eastAsia" w:ascii="宋体" w:hAnsi="宋体" w:eastAsia="宋体" w:cs="宋体"/>
          <w:bCs/>
          <w:color w:val="auto"/>
          <w:sz w:val="21"/>
          <w:szCs w:val="21"/>
          <w:u w:val="single"/>
        </w:rPr>
        <w:t xml:space="preserve">            /                         </w:t>
      </w:r>
      <w:r>
        <w:rPr>
          <w:rFonts w:hint="eastAsia" w:ascii="宋体" w:hAnsi="宋体" w:eastAsia="宋体" w:cs="宋体"/>
          <w:bCs/>
          <w:color w:val="auto"/>
          <w:sz w:val="21"/>
          <w:szCs w:val="21"/>
        </w:rPr>
        <w:t>。</w:t>
      </w:r>
    </w:p>
    <w:p w14:paraId="2CC6B11F">
      <w:pPr>
        <w:pStyle w:val="4"/>
        <w:rPr>
          <w:rFonts w:hint="eastAsia" w:ascii="宋体" w:hAnsi="宋体" w:eastAsia="宋体" w:cs="宋体"/>
          <w:color w:val="auto"/>
          <w:sz w:val="21"/>
          <w:szCs w:val="21"/>
        </w:rPr>
      </w:pPr>
      <w:bookmarkStart w:id="205" w:name="_Toc28649"/>
      <w:r>
        <w:rPr>
          <w:rFonts w:hint="eastAsia" w:ascii="宋体" w:hAnsi="宋体" w:eastAsia="宋体" w:cs="宋体"/>
          <w:color w:val="auto"/>
          <w:sz w:val="21"/>
          <w:szCs w:val="21"/>
        </w:rPr>
        <w:t>10.4 变更估价</w:t>
      </w:r>
      <w:bookmarkEnd w:id="205"/>
    </w:p>
    <w:p w14:paraId="50BC9F6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10.4.1 变更估价原则</w:t>
      </w:r>
    </w:p>
    <w:p w14:paraId="69F8A98D">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关于变更估价的约定: </w:t>
      </w:r>
      <w:r>
        <w:rPr>
          <w:rFonts w:hint="eastAsia" w:ascii="宋体" w:hAnsi="宋体" w:eastAsia="宋体" w:cs="宋体"/>
          <w:bCs/>
          <w:color w:val="auto"/>
          <w:sz w:val="21"/>
          <w:szCs w:val="21"/>
          <w:u w:val="single"/>
        </w:rPr>
        <w:t>因设计变更、相关签证引起工程项目、工程量任何变化的，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中标价/工程招标控制价） %，计算，其中材料价格按施工期间的《 崇左市建设工程造价信息》相应价格信息进行计算；《 崇左县建设工程造价信息》没有相应价格信息的按市场价计算；无定额可套的，根据市场价格协商确定综合价格；对于国有资产投资的项目，新增项目的单价必须经县财政评审中心审定</w:t>
      </w:r>
      <w:r>
        <w:rPr>
          <w:rFonts w:hint="eastAsia" w:ascii="宋体" w:hAnsi="宋体" w:eastAsia="宋体" w:cs="宋体"/>
          <w:bCs/>
          <w:color w:val="auto"/>
          <w:sz w:val="21"/>
          <w:szCs w:val="21"/>
        </w:rPr>
        <w:t>。</w:t>
      </w:r>
    </w:p>
    <w:p w14:paraId="4E729B13">
      <w:pPr>
        <w:pStyle w:val="4"/>
        <w:rPr>
          <w:rFonts w:hint="eastAsia" w:ascii="宋体" w:hAnsi="宋体" w:eastAsia="宋体" w:cs="宋体"/>
          <w:color w:val="auto"/>
          <w:sz w:val="21"/>
          <w:szCs w:val="21"/>
        </w:rPr>
      </w:pPr>
      <w:bookmarkStart w:id="206" w:name="_Toc23858"/>
      <w:r>
        <w:rPr>
          <w:rFonts w:hint="eastAsia" w:ascii="宋体" w:hAnsi="宋体" w:eastAsia="宋体" w:cs="宋体"/>
          <w:color w:val="auto"/>
          <w:sz w:val="21"/>
          <w:szCs w:val="21"/>
        </w:rPr>
        <w:t>10.5 承包人的合理化建议</w:t>
      </w:r>
      <w:bookmarkEnd w:id="206"/>
    </w:p>
    <w:p w14:paraId="6D971D0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监理人审查承包人合理化建议的期限：</w:t>
      </w:r>
      <w:r>
        <w:rPr>
          <w:rFonts w:hint="eastAsia" w:ascii="宋体" w:hAnsi="宋体" w:eastAsia="宋体" w:cs="宋体"/>
          <w:color w:val="auto"/>
          <w:sz w:val="21"/>
          <w:szCs w:val="21"/>
          <w:u w:val="single"/>
        </w:rPr>
        <w:t xml:space="preserve">   收到承包人提交的建议后7天内  </w:t>
      </w:r>
      <w:r>
        <w:rPr>
          <w:rFonts w:hint="eastAsia" w:ascii="宋体" w:hAnsi="宋体" w:eastAsia="宋体" w:cs="宋体"/>
          <w:color w:val="auto"/>
          <w:sz w:val="21"/>
          <w:szCs w:val="21"/>
        </w:rPr>
        <w:t>。</w:t>
      </w:r>
    </w:p>
    <w:p w14:paraId="54439C4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发包人审批承包人合理化建议的期限：</w:t>
      </w:r>
      <w:r>
        <w:rPr>
          <w:rFonts w:hint="eastAsia" w:ascii="宋体" w:hAnsi="宋体" w:eastAsia="宋体" w:cs="宋体"/>
          <w:color w:val="auto"/>
          <w:sz w:val="21"/>
          <w:szCs w:val="21"/>
          <w:u w:val="single"/>
        </w:rPr>
        <w:t xml:space="preserve">  收到监理人报送的建议后7天内 </w:t>
      </w:r>
      <w:r>
        <w:rPr>
          <w:rFonts w:hint="eastAsia" w:ascii="宋体" w:hAnsi="宋体" w:eastAsia="宋体" w:cs="宋体"/>
          <w:color w:val="auto"/>
          <w:sz w:val="21"/>
          <w:szCs w:val="21"/>
        </w:rPr>
        <w:t>。</w:t>
      </w:r>
    </w:p>
    <w:p w14:paraId="3E19DFF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承包人提出的合理化建议降低了合同价格或者提高了工程经济效益的奖励的方法和金额为：</w:t>
      </w:r>
      <w:r>
        <w:rPr>
          <w:rFonts w:hint="eastAsia" w:ascii="宋体" w:hAnsi="宋体" w:eastAsia="宋体" w:cs="宋体"/>
          <w:color w:val="auto"/>
          <w:sz w:val="21"/>
          <w:szCs w:val="21"/>
          <w:u w:val="single"/>
        </w:rPr>
        <w:t xml:space="preserve">                      另行商定                             </w:t>
      </w:r>
      <w:r>
        <w:rPr>
          <w:rFonts w:hint="eastAsia" w:ascii="宋体" w:hAnsi="宋体" w:eastAsia="宋体" w:cs="宋体"/>
          <w:color w:val="auto"/>
          <w:sz w:val="21"/>
          <w:szCs w:val="21"/>
        </w:rPr>
        <w:t>。</w:t>
      </w:r>
    </w:p>
    <w:p w14:paraId="7BEA29A1">
      <w:pPr>
        <w:pStyle w:val="4"/>
        <w:rPr>
          <w:rFonts w:hint="eastAsia" w:ascii="宋体" w:hAnsi="宋体" w:eastAsia="宋体" w:cs="宋体"/>
          <w:color w:val="auto"/>
          <w:sz w:val="21"/>
          <w:szCs w:val="21"/>
        </w:rPr>
      </w:pPr>
      <w:bookmarkStart w:id="207" w:name="_Toc12438"/>
      <w:r>
        <w:rPr>
          <w:rFonts w:hint="eastAsia" w:ascii="宋体" w:hAnsi="宋体" w:eastAsia="宋体" w:cs="宋体"/>
          <w:color w:val="auto"/>
          <w:sz w:val="21"/>
          <w:szCs w:val="21"/>
        </w:rPr>
        <w:t>10.7 暂估价</w:t>
      </w:r>
      <w:bookmarkEnd w:id="207"/>
    </w:p>
    <w:p w14:paraId="38D303C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暂估价材料和工程设备的明细详见已标价工程量清单《材料（工程设备）暂估价格及调整表》（表12-2）和《专业工程暂估价表》（表12-3）。</w:t>
      </w:r>
    </w:p>
    <w:p w14:paraId="5B392CF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10.7.1 依法必须招标的暂估价项目</w:t>
      </w:r>
    </w:p>
    <w:p w14:paraId="1843537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对于依法必须招标的暂估价项目的确认和批准采取第</w:t>
      </w:r>
      <w:r>
        <w:rPr>
          <w:rFonts w:hint="eastAsia" w:ascii="宋体" w:hAnsi="宋体" w:eastAsia="宋体" w:cs="宋体"/>
          <w:color w:val="auto"/>
          <w:sz w:val="21"/>
          <w:szCs w:val="21"/>
          <w:u w:val="single"/>
        </w:rPr>
        <w:t xml:space="preserve">  2  </w:t>
      </w:r>
      <w:r>
        <w:rPr>
          <w:rFonts w:hint="eastAsia" w:ascii="宋体" w:hAnsi="宋体" w:eastAsia="宋体" w:cs="宋体"/>
          <w:color w:val="auto"/>
          <w:sz w:val="21"/>
          <w:szCs w:val="21"/>
        </w:rPr>
        <w:t>种方式确定。</w:t>
      </w:r>
    </w:p>
    <w:p w14:paraId="76AB1B3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10.7.2 不属于依法必须招标的暂估价项目</w:t>
      </w:r>
    </w:p>
    <w:p w14:paraId="51C1702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对于不属于依法必须招标的暂估价项目的确认和批准采取第</w:t>
      </w:r>
      <w:r>
        <w:rPr>
          <w:rFonts w:hint="eastAsia" w:ascii="宋体" w:hAnsi="宋体" w:eastAsia="宋体" w:cs="宋体"/>
          <w:color w:val="auto"/>
          <w:sz w:val="21"/>
          <w:szCs w:val="21"/>
          <w:u w:val="single"/>
        </w:rPr>
        <w:t xml:space="preserve">  1 </w:t>
      </w:r>
      <w:r>
        <w:rPr>
          <w:rFonts w:hint="eastAsia" w:ascii="宋体" w:hAnsi="宋体" w:eastAsia="宋体" w:cs="宋体"/>
          <w:color w:val="auto"/>
          <w:sz w:val="21"/>
          <w:szCs w:val="21"/>
        </w:rPr>
        <w:t xml:space="preserve"> 种方式确定。</w:t>
      </w:r>
    </w:p>
    <w:p w14:paraId="2C6B08E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第3种方式：承包人直接实施的暂估价项目</w:t>
      </w:r>
    </w:p>
    <w:p w14:paraId="2A984D8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承包人直接实施的暂估价项目的约定：</w:t>
      </w:r>
      <w:r>
        <w:rPr>
          <w:rFonts w:hint="eastAsia" w:ascii="宋体" w:hAnsi="宋体" w:eastAsia="宋体" w:cs="宋体"/>
          <w:color w:val="auto"/>
          <w:sz w:val="21"/>
          <w:szCs w:val="21"/>
          <w:u w:val="single"/>
        </w:rPr>
        <w:t xml:space="preserve">   双方另行协商   </w:t>
      </w:r>
      <w:r>
        <w:rPr>
          <w:rFonts w:hint="eastAsia" w:ascii="宋体" w:hAnsi="宋体" w:eastAsia="宋体" w:cs="宋体"/>
          <w:color w:val="auto"/>
          <w:sz w:val="21"/>
          <w:szCs w:val="21"/>
        </w:rPr>
        <w:t>。</w:t>
      </w:r>
    </w:p>
    <w:p w14:paraId="369DD7D9">
      <w:pPr>
        <w:pStyle w:val="4"/>
        <w:rPr>
          <w:rFonts w:hint="eastAsia" w:ascii="宋体" w:hAnsi="宋体" w:eastAsia="宋体" w:cs="宋体"/>
          <w:color w:val="auto"/>
          <w:sz w:val="21"/>
          <w:szCs w:val="21"/>
        </w:rPr>
      </w:pPr>
      <w:bookmarkStart w:id="208" w:name="_Toc24870"/>
      <w:r>
        <w:rPr>
          <w:rFonts w:hint="eastAsia" w:ascii="宋体" w:hAnsi="宋体" w:eastAsia="宋体" w:cs="宋体"/>
          <w:color w:val="auto"/>
          <w:sz w:val="21"/>
          <w:szCs w:val="21"/>
        </w:rPr>
        <w:t>10.8 暂列金额</w:t>
      </w:r>
      <w:bookmarkEnd w:id="208"/>
    </w:p>
    <w:p w14:paraId="42431333">
      <w:pPr>
        <w:adjustRightIn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合同当事人关于暂列金额使用的约定：</w:t>
      </w:r>
      <w:r>
        <w:rPr>
          <w:rFonts w:hint="eastAsia" w:ascii="宋体" w:hAnsi="宋体" w:eastAsia="宋体" w:cs="宋体"/>
          <w:color w:val="auto"/>
          <w:sz w:val="21"/>
          <w:szCs w:val="21"/>
          <w:u w:val="single"/>
        </w:rPr>
        <w:t xml:space="preserve">   由发包人支配使用，工程结算后，如有余额归发包人   </w:t>
      </w:r>
      <w:r>
        <w:rPr>
          <w:rFonts w:hint="eastAsia" w:ascii="宋体" w:hAnsi="宋体" w:eastAsia="宋体" w:cs="宋体"/>
          <w:color w:val="auto"/>
          <w:sz w:val="21"/>
          <w:szCs w:val="21"/>
        </w:rPr>
        <w:t>。</w:t>
      </w:r>
    </w:p>
    <w:p w14:paraId="353AF6C4">
      <w:pPr>
        <w:pStyle w:val="3"/>
        <w:rPr>
          <w:rFonts w:hint="eastAsia" w:ascii="宋体" w:hAnsi="宋体" w:eastAsia="宋体" w:cs="宋体"/>
          <w:color w:val="auto"/>
          <w:sz w:val="21"/>
          <w:szCs w:val="21"/>
        </w:rPr>
      </w:pPr>
      <w:bookmarkStart w:id="209" w:name="_Toc8333"/>
      <w:r>
        <w:rPr>
          <w:rFonts w:hint="eastAsia" w:ascii="宋体" w:hAnsi="宋体" w:eastAsia="宋体" w:cs="宋体"/>
          <w:color w:val="auto"/>
          <w:sz w:val="21"/>
          <w:szCs w:val="21"/>
        </w:rPr>
        <w:t>11. 价格调整</w:t>
      </w:r>
      <w:bookmarkEnd w:id="209"/>
    </w:p>
    <w:p w14:paraId="558E6617">
      <w:pPr>
        <w:pStyle w:val="4"/>
        <w:rPr>
          <w:rFonts w:hint="eastAsia" w:ascii="宋体" w:hAnsi="宋体" w:eastAsia="宋体" w:cs="宋体"/>
          <w:color w:val="auto"/>
          <w:sz w:val="21"/>
          <w:szCs w:val="21"/>
        </w:rPr>
      </w:pPr>
      <w:bookmarkStart w:id="210" w:name="_Toc8838"/>
      <w:r>
        <w:rPr>
          <w:rFonts w:hint="eastAsia" w:ascii="宋体" w:hAnsi="宋体" w:eastAsia="宋体" w:cs="宋体"/>
          <w:color w:val="auto"/>
          <w:sz w:val="21"/>
          <w:szCs w:val="21"/>
        </w:rPr>
        <w:t>11.1 市场价格波动引起的调整</w:t>
      </w:r>
      <w:bookmarkEnd w:id="210"/>
    </w:p>
    <w:p w14:paraId="60726C77">
      <w:pPr>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bCs/>
          <w:color w:val="auto"/>
          <w:sz w:val="21"/>
          <w:szCs w:val="21"/>
        </w:rPr>
        <w:t>1</w:t>
      </w:r>
      <w:r>
        <w:rPr>
          <w:rFonts w:hint="eastAsia" w:ascii="宋体" w:hAnsi="宋体" w:eastAsia="宋体" w:cs="宋体"/>
          <w:color w:val="auto"/>
          <w:sz w:val="21"/>
          <w:szCs w:val="21"/>
        </w:rPr>
        <w:t>1．1本合同价款采用</w:t>
      </w:r>
      <w:r>
        <w:rPr>
          <w:rFonts w:hint="eastAsia" w:ascii="宋体" w:hAnsi="宋体" w:eastAsia="宋体" w:cs="宋体"/>
          <w:color w:val="auto"/>
          <w:sz w:val="21"/>
          <w:szCs w:val="21"/>
          <w:u w:val="single"/>
        </w:rPr>
        <w:t xml:space="preserve">  固定综合单价承包  </w:t>
      </w:r>
      <w:r>
        <w:rPr>
          <w:rFonts w:hint="eastAsia" w:ascii="宋体" w:hAnsi="宋体" w:eastAsia="宋体" w:cs="宋体"/>
          <w:color w:val="auto"/>
          <w:sz w:val="21"/>
          <w:szCs w:val="21"/>
        </w:rPr>
        <w:t>方式确定，工程量按实际结算，投标人工程量清单中原有项目的工程量无论增减多少，均按原单价结算。</w:t>
      </w:r>
    </w:p>
    <w:p w14:paraId="139E987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11．2采用固定综合单价合同，综合单价中包括的风险范围： 除工程变更、本工程约定的材料（指钢材、砂、石、墙体砖、商品混凝土）价格风险和政策性调整以外的其他风险。</w:t>
      </w:r>
    </w:p>
    <w:p w14:paraId="74CC7B1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人所填报的各项综合单价，主要材料（指钢材、砂、石、墙体砖、商品混凝土，其他材料不予认可）涨跌幅度超过5%以上部分予以调整。投标人所填报的单价及综合单价在合同实施期间不再作调整(除政策性调整、主要材料涨跌幅度超过5%以上除外)，投标人在报综合单价时应考虑各种风险因素和自己的承受能力。</w:t>
      </w:r>
    </w:p>
    <w:p w14:paraId="3CBF55A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风险范围以外合同价款调整方法： </w:t>
      </w:r>
    </w:p>
    <w:p w14:paraId="781A6B3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本合同实施期间因分部分项工程量清单漏项、工程变更及相关签证等引起工程项目工程量变化的，其工程量按实际发生并经监理工程师及发包人签证认可，变更合同价款按下列方法进行:工程量清单中有相同细目的按承包人投标时的中标单价进行结算，有类似细目的参考类似中标单价结算；新增项目的单价没有适用于变更工程的单价，则有定额的套定额计算，执行本工程计价参考依据投标计算依据并乘以中标下浮系数（中标价/工程招标控制价），其中材料价格有信息价的按相应项目施工期间信息价的平均价计算，无信息价的按市场价格协商确定；新增项目无定额可套的，由发包人、承包人及监理根据市场价格协商确定；新增项目结算单价=综合单价×（中标价/工程招标控制价）。</w:t>
      </w:r>
    </w:p>
    <w:p w14:paraId="61A4042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（二）国家和自治区政策性调整有关费用标准的，按文件规定执行。  </w:t>
      </w:r>
    </w:p>
    <w:p w14:paraId="7448D9C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本工程最终结算价须经财政审计部门审核通过为准。</w:t>
      </w:r>
    </w:p>
    <w:p w14:paraId="2EEFD27B">
      <w:pPr>
        <w:pStyle w:val="3"/>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1"/>
          <w:szCs w:val="21"/>
        </w:rPr>
      </w:pPr>
      <w:bookmarkStart w:id="211" w:name="_Toc450"/>
      <w:r>
        <w:rPr>
          <w:rFonts w:hint="eastAsia" w:ascii="宋体" w:hAnsi="宋体" w:eastAsia="宋体" w:cs="宋体"/>
          <w:color w:val="auto"/>
          <w:sz w:val="21"/>
          <w:szCs w:val="21"/>
        </w:rPr>
        <w:t>12. 合同价格、计量与支付</w:t>
      </w:r>
      <w:bookmarkEnd w:id="211"/>
    </w:p>
    <w:p w14:paraId="113507FF">
      <w:pPr>
        <w:pStyle w:val="18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（1）单价合同。</w:t>
      </w:r>
    </w:p>
    <w:p w14:paraId="65135512">
      <w:pPr>
        <w:pStyle w:val="18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本合同价款采用固定综合单价方式确定。</w:t>
      </w:r>
    </w:p>
    <w:p w14:paraId="2E78CD35">
      <w:pPr>
        <w:pStyle w:val="18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综合单价包含的风险范围：</w:t>
      </w:r>
      <w:r>
        <w:rPr>
          <w:rFonts w:hint="eastAsia" w:ascii="宋体" w:hAnsi="宋体" w:eastAsia="宋体" w:cs="宋体"/>
          <w:color w:val="auto"/>
          <w:sz w:val="21"/>
          <w:szCs w:val="21"/>
          <w:u w:val="single"/>
        </w:rPr>
        <w:t>除工程变更、政策性调整、《承包人提供主要材料一览表》约定的材料价格变动风险以外因素。</w:t>
      </w:r>
    </w:p>
    <w:p w14:paraId="065E071E">
      <w:pPr>
        <w:pStyle w:val="252"/>
        <w:pageBreakBefore w:val="0"/>
        <w:widowControl w:val="0"/>
        <w:kinsoku/>
        <w:wordWrap/>
        <w:overflowPunct/>
        <w:topLinePunct w:val="0"/>
        <w:autoSpaceDE/>
        <w:autoSpaceDN/>
        <w:bidi w:val="0"/>
        <w:adjustRightInd/>
        <w:snapToGrid/>
        <w:spacing w:line="400" w:lineRule="exact"/>
        <w:ind w:firstLine="441" w:firstLineChars="21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风险范围以外合同价格的调整方法：</w:t>
      </w:r>
    </w:p>
    <w:p w14:paraId="75B4BEF3">
      <w:pPr>
        <w:pStyle w:val="252"/>
        <w:pageBreakBefore w:val="0"/>
        <w:widowControl w:val="0"/>
        <w:kinsoku/>
        <w:wordWrap/>
        <w:overflowPunct/>
        <w:topLinePunct w:val="0"/>
        <w:autoSpaceDE/>
        <w:autoSpaceDN/>
        <w:bidi w:val="0"/>
        <w:adjustRightInd/>
        <w:snapToGrid/>
        <w:spacing w:line="400" w:lineRule="exact"/>
        <w:ind w:firstLine="441" w:firstLineChars="21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①工程变更：按10.4.1变更估价原则的约定调整。</w:t>
      </w:r>
    </w:p>
    <w:p w14:paraId="69B33E75">
      <w:pPr>
        <w:pStyle w:val="252"/>
        <w:pageBreakBefore w:val="0"/>
        <w:widowControl w:val="0"/>
        <w:kinsoku/>
        <w:wordWrap/>
        <w:overflowPunct/>
        <w:topLinePunct w:val="0"/>
        <w:autoSpaceDE/>
        <w:autoSpaceDN/>
        <w:bidi w:val="0"/>
        <w:adjustRightInd/>
        <w:snapToGrid/>
        <w:spacing w:line="400" w:lineRule="exact"/>
        <w:ind w:firstLine="441" w:firstLineChars="21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②政策性调整：按自治区建设行政主管部门颁布的文件执行。</w:t>
      </w:r>
    </w:p>
    <w:p w14:paraId="4C9888CC">
      <w:pPr>
        <w:pStyle w:val="252"/>
        <w:pageBreakBefore w:val="0"/>
        <w:widowControl w:val="0"/>
        <w:kinsoku/>
        <w:wordWrap/>
        <w:overflowPunct/>
        <w:topLinePunct w:val="0"/>
        <w:autoSpaceDE/>
        <w:autoSpaceDN/>
        <w:bidi w:val="0"/>
        <w:adjustRightInd/>
        <w:snapToGrid/>
        <w:spacing w:line="400" w:lineRule="exact"/>
        <w:ind w:firstLine="441" w:firstLineChars="21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③材料价格风险：按11.1的约定调整。</w:t>
      </w:r>
    </w:p>
    <w:p w14:paraId="0ECB9CE5">
      <w:pPr>
        <w:pStyle w:val="18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④其它：</w:t>
      </w:r>
      <w:r>
        <w:rPr>
          <w:rFonts w:hint="eastAsia" w:ascii="宋体" w:hAnsi="宋体" w:eastAsia="宋体" w:cs="宋体"/>
          <w:color w:val="auto"/>
          <w:sz w:val="21"/>
          <w:szCs w:val="21"/>
          <w:u w:val="single"/>
        </w:rPr>
        <w:t>双方另行约定</w:t>
      </w:r>
      <w:r>
        <w:rPr>
          <w:rFonts w:hint="eastAsia" w:ascii="宋体" w:hAnsi="宋体" w:eastAsia="宋体" w:cs="宋体"/>
          <w:color w:val="auto"/>
          <w:sz w:val="21"/>
          <w:szCs w:val="21"/>
        </w:rPr>
        <w:t>。</w:t>
      </w:r>
    </w:p>
    <w:p w14:paraId="67456044">
      <w:pPr>
        <w:pStyle w:val="18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（2）总价合同。</w:t>
      </w:r>
    </w:p>
    <w:p w14:paraId="67E0B7EA">
      <w:pPr>
        <w:pStyle w:val="18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总价包含的风险范围：</w:t>
      </w:r>
      <w:r>
        <w:rPr>
          <w:rFonts w:hint="eastAsia" w:ascii="宋体" w:hAnsi="宋体" w:eastAsia="宋体" w:cs="宋体"/>
          <w:color w:val="auto"/>
          <w:sz w:val="21"/>
          <w:szCs w:val="21"/>
          <w:u w:val="single"/>
        </w:rPr>
        <w:t>无</w:t>
      </w:r>
      <w:r>
        <w:rPr>
          <w:rFonts w:hint="eastAsia" w:ascii="宋体" w:hAnsi="宋体" w:eastAsia="宋体" w:cs="宋体"/>
          <w:color w:val="auto"/>
          <w:sz w:val="21"/>
          <w:szCs w:val="21"/>
        </w:rPr>
        <w:t>。</w:t>
      </w:r>
    </w:p>
    <w:p w14:paraId="2421C962">
      <w:pPr>
        <w:pStyle w:val="18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风险范围以外合同价格的调整方法：</w:t>
      </w:r>
      <w:r>
        <w:rPr>
          <w:rFonts w:hint="eastAsia" w:ascii="宋体" w:hAnsi="宋体" w:eastAsia="宋体" w:cs="宋体"/>
          <w:color w:val="auto"/>
          <w:sz w:val="21"/>
          <w:szCs w:val="21"/>
          <w:u w:val="single"/>
        </w:rPr>
        <w:t>无</w:t>
      </w:r>
      <w:r>
        <w:rPr>
          <w:rFonts w:hint="eastAsia" w:ascii="宋体" w:hAnsi="宋体" w:eastAsia="宋体" w:cs="宋体"/>
          <w:color w:val="auto"/>
          <w:sz w:val="21"/>
          <w:szCs w:val="21"/>
        </w:rPr>
        <w:t>。</w:t>
      </w:r>
    </w:p>
    <w:p w14:paraId="433156A2">
      <w:pPr>
        <w:pStyle w:val="18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（3）其他价格方式：</w:t>
      </w:r>
      <w:r>
        <w:rPr>
          <w:rFonts w:hint="eastAsia" w:ascii="宋体" w:hAnsi="宋体" w:eastAsia="宋体" w:cs="宋体"/>
          <w:color w:val="auto"/>
          <w:sz w:val="21"/>
          <w:szCs w:val="21"/>
          <w:u w:val="single"/>
        </w:rPr>
        <w:t>无</w:t>
      </w:r>
      <w:r>
        <w:rPr>
          <w:rFonts w:hint="eastAsia" w:ascii="宋体" w:hAnsi="宋体" w:eastAsia="宋体" w:cs="宋体"/>
          <w:color w:val="auto"/>
          <w:sz w:val="21"/>
          <w:szCs w:val="21"/>
        </w:rPr>
        <w:t>。</w:t>
      </w:r>
      <w:bookmarkStart w:id="212" w:name="_Toc903"/>
    </w:p>
    <w:p w14:paraId="6560A43D">
      <w:pPr>
        <w:pStyle w:val="4"/>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b w:val="0"/>
          <w:bCs w:val="0"/>
          <w:color w:val="auto"/>
          <w:sz w:val="21"/>
          <w:szCs w:val="21"/>
          <w:highlight w:val="none"/>
        </w:rPr>
        <w:t>.2 预付款</w:t>
      </w:r>
      <w:bookmarkEnd w:id="212"/>
    </w:p>
    <w:p w14:paraId="70EEC1E5">
      <w:pPr>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预付款支付比例或金额：</w:t>
      </w:r>
      <w:r>
        <w:rPr>
          <w:rFonts w:hint="eastAsia" w:ascii="宋体" w:hAnsi="宋体" w:eastAsia="宋体" w:cs="宋体"/>
          <w:b w:val="0"/>
          <w:bCs w:val="0"/>
          <w:color w:val="auto"/>
          <w:sz w:val="21"/>
          <w:szCs w:val="21"/>
          <w:highlight w:val="none"/>
          <w:u w:val="single"/>
        </w:rPr>
        <w:t xml:space="preserve"> 合同总价（扣除暂列金额）的30%     </w:t>
      </w:r>
      <w:r>
        <w:rPr>
          <w:rFonts w:hint="eastAsia" w:ascii="宋体" w:hAnsi="宋体" w:eastAsia="宋体" w:cs="宋体"/>
          <w:b w:val="0"/>
          <w:bCs w:val="0"/>
          <w:color w:val="auto"/>
          <w:sz w:val="21"/>
          <w:szCs w:val="21"/>
          <w:highlight w:val="none"/>
        </w:rPr>
        <w:t>【备注：政府投资项目应严格执行工程预付款制度，工程预付款应不低于合同总价（扣除暂列金额）的10%（最高不超过30%，并与工程进度款分期按约定比</w:t>
      </w:r>
      <w:r>
        <w:rPr>
          <w:rFonts w:hint="eastAsia" w:ascii="宋体" w:hAnsi="宋体" w:eastAsia="宋体" w:cs="宋体"/>
          <w:b w:val="0"/>
          <w:bCs w:val="0"/>
          <w:color w:val="auto"/>
          <w:sz w:val="21"/>
          <w:szCs w:val="21"/>
          <w:highlight w:val="none"/>
          <w:u w:val="single"/>
        </w:rPr>
        <w:t xml:space="preserve">  10% </w:t>
      </w:r>
      <w:r>
        <w:rPr>
          <w:rFonts w:hint="eastAsia" w:ascii="宋体" w:hAnsi="宋体" w:eastAsia="宋体" w:cs="宋体"/>
          <w:b w:val="0"/>
          <w:bCs w:val="0"/>
          <w:color w:val="auto"/>
          <w:sz w:val="21"/>
          <w:szCs w:val="21"/>
          <w:highlight w:val="none"/>
        </w:rPr>
        <w:t>例抵扣）】</w:t>
      </w:r>
    </w:p>
    <w:p w14:paraId="42AAB816">
      <w:pPr>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进度款支付方式：合同内按工程计量周期内完成工程量的</w:t>
      </w:r>
      <w:r>
        <w:rPr>
          <w:rFonts w:hint="eastAsia" w:ascii="宋体" w:hAnsi="宋体" w:eastAsia="宋体" w:cs="宋体"/>
          <w:b w:val="0"/>
          <w:bCs w:val="0"/>
          <w:color w:val="auto"/>
          <w:sz w:val="21"/>
          <w:szCs w:val="21"/>
          <w:highlight w:val="none"/>
          <w:u w:val="single"/>
        </w:rPr>
        <w:t xml:space="preserve">      80%      </w:t>
      </w:r>
      <w:r>
        <w:rPr>
          <w:rFonts w:hint="eastAsia" w:ascii="宋体" w:hAnsi="宋体" w:eastAsia="宋体" w:cs="宋体"/>
          <w:b w:val="0"/>
          <w:bCs w:val="0"/>
          <w:color w:val="auto"/>
          <w:sz w:val="21"/>
          <w:szCs w:val="21"/>
          <w:highlight w:val="none"/>
        </w:rPr>
        <w:t>，合同外按工程计量周期完成工程量的</w:t>
      </w:r>
      <w:r>
        <w:rPr>
          <w:rFonts w:hint="eastAsia" w:ascii="宋体" w:hAnsi="宋体" w:eastAsia="宋体" w:cs="宋体"/>
          <w:b w:val="0"/>
          <w:bCs w:val="0"/>
          <w:color w:val="auto"/>
          <w:sz w:val="21"/>
          <w:szCs w:val="21"/>
          <w:highlight w:val="none"/>
          <w:u w:val="single"/>
        </w:rPr>
        <w:t xml:space="preserve">    </w:t>
      </w:r>
      <w:r>
        <w:rPr>
          <w:rFonts w:hint="eastAsia" w:ascii="宋体" w:hAnsi="宋体" w:cs="宋体"/>
          <w:b w:val="0"/>
          <w:bCs w:val="0"/>
          <w:color w:val="auto"/>
          <w:sz w:val="21"/>
          <w:szCs w:val="21"/>
          <w:highlight w:val="none"/>
          <w:u w:val="single"/>
          <w:lang w:val="en-US" w:eastAsia="zh-CN"/>
        </w:rPr>
        <w:t>75</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。【鼓励提高工程进度款支付比例至已完工程价款的80%~90%，含尚未抵扣的工程预付款。】</w:t>
      </w:r>
    </w:p>
    <w:p w14:paraId="3BE62190">
      <w:pPr>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Style w:val="47"/>
          <w:rFonts w:hint="eastAsia" w:ascii="宋体" w:hAnsi="宋体" w:eastAsia="宋体" w:cs="宋体"/>
          <w:b w:val="0"/>
          <w:bCs w:val="0"/>
          <w:color w:val="auto"/>
          <w:highlight w:val="none"/>
        </w:rPr>
        <w:t>预付款扣回的方式：</w:t>
      </w:r>
      <w:r>
        <w:rPr>
          <w:rStyle w:val="47"/>
          <w:rFonts w:hint="eastAsia" w:ascii="宋体" w:hAnsi="宋体" w:eastAsia="宋体" w:cs="宋体"/>
          <w:b w:val="0"/>
          <w:bCs w:val="0"/>
          <w:color w:val="auto"/>
          <w:sz w:val="21"/>
          <w:szCs w:val="21"/>
          <w:highlight w:val="none"/>
          <w:u w:val="single"/>
        </w:rPr>
        <w:t>进度款达到50%作为预付款起扣点，从此之后的每个月进度款中按预付款支付比例扣回</w:t>
      </w:r>
      <w:r>
        <w:rPr>
          <w:rStyle w:val="47"/>
          <w:rFonts w:hint="eastAsia" w:ascii="宋体" w:hAnsi="宋体" w:eastAsia="宋体" w:cs="宋体"/>
          <w:b w:val="0"/>
          <w:bCs w:val="0"/>
          <w:color w:val="auto"/>
          <w:highlight w:val="none"/>
        </w:rPr>
        <w:t>。</w:t>
      </w:r>
    </w:p>
    <w:p w14:paraId="11D580B7">
      <w:pPr>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p>
    <w:p w14:paraId="6471A239">
      <w:pPr>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p>
    <w:p w14:paraId="4B7EA2C7">
      <w:pPr>
        <w:pStyle w:val="4"/>
        <w:pageBreakBefore w:val="0"/>
        <w:widowControl w:val="0"/>
        <w:kinsoku/>
        <w:overflowPunct/>
        <w:topLinePunct w:val="0"/>
        <w:autoSpaceDE/>
        <w:autoSpaceDN/>
        <w:bidi w:val="0"/>
        <w:adjustRightInd/>
        <w:snapToGrid/>
        <w:spacing w:before="0" w:after="0" w:line="400" w:lineRule="exact"/>
        <w:textAlignment w:val="auto"/>
        <w:rPr>
          <w:rFonts w:hint="eastAsia" w:ascii="宋体" w:hAnsi="宋体" w:eastAsia="宋体" w:cs="宋体"/>
          <w:b w:val="0"/>
          <w:bCs w:val="0"/>
          <w:color w:val="auto"/>
          <w:sz w:val="21"/>
          <w:szCs w:val="21"/>
          <w:highlight w:val="none"/>
        </w:rPr>
      </w:pPr>
      <w:bookmarkStart w:id="213" w:name="_Toc29431"/>
      <w:r>
        <w:rPr>
          <w:rFonts w:hint="eastAsia" w:ascii="宋体" w:hAnsi="宋体" w:eastAsia="宋体" w:cs="宋体"/>
          <w:b w:val="0"/>
          <w:bCs w:val="0"/>
          <w:color w:val="auto"/>
          <w:sz w:val="21"/>
          <w:szCs w:val="21"/>
          <w:highlight w:val="none"/>
        </w:rPr>
        <w:t>12.3 计量</w:t>
      </w:r>
      <w:bookmarkEnd w:id="213"/>
    </w:p>
    <w:p w14:paraId="7F079DDD">
      <w:pPr>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12.3.1 计量原则</w:t>
      </w:r>
    </w:p>
    <w:p w14:paraId="2220DACE">
      <w:pPr>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工程量计算规则：</w:t>
      </w:r>
      <w:r>
        <w:rPr>
          <w:rFonts w:hint="eastAsia" w:ascii="宋体" w:hAnsi="宋体" w:eastAsia="宋体" w:cs="宋体"/>
          <w:b w:val="0"/>
          <w:bCs w:val="0"/>
          <w:color w:val="auto"/>
          <w:sz w:val="21"/>
          <w:szCs w:val="21"/>
          <w:highlight w:val="none"/>
          <w:u w:val="single"/>
        </w:rPr>
        <w:t>工程的计量均以《建设工程工程量清单计价规范》（GB50500－2013）和及其广西壮族自治区实施细则、《建设工程工程量清单计算规范》（GB50854~50862－2013）及其广西实施细则、本工程补充项目清单为准。</w:t>
      </w:r>
    </w:p>
    <w:p w14:paraId="5C376B3B">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12.3.2 计量周期</w:t>
      </w:r>
    </w:p>
    <w:p w14:paraId="7EE7AE82">
      <w:pPr>
        <w:pStyle w:val="24"/>
        <w:adjustRightInd w:val="0"/>
        <w:snapToGrid w:val="0"/>
        <w:spacing w:line="300" w:lineRule="auto"/>
        <w:ind w:firstLine="50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关于计量周期的约定：</w:t>
      </w:r>
      <w:r>
        <w:rPr>
          <w:rFonts w:hint="eastAsia" w:ascii="宋体" w:hAnsi="宋体" w:eastAsia="宋体" w:cs="宋体"/>
          <w:b w:val="0"/>
          <w:bCs w:val="0"/>
          <w:color w:val="auto"/>
          <w:sz w:val="21"/>
          <w:szCs w:val="21"/>
          <w:highlight w:val="none"/>
          <w:u w:val="single"/>
        </w:rPr>
        <w:t>开工之后每月25日前，按进度向监理工程师提出当月已完工程量报告一式六份。监理工程师应于收到承包人提交的已完工程报告之日起8个工作日内进行计量和确认</w:t>
      </w:r>
      <w:r>
        <w:rPr>
          <w:rFonts w:hint="eastAsia" w:ascii="宋体" w:hAnsi="宋体" w:eastAsia="宋体" w:cs="宋体"/>
          <w:b w:val="0"/>
          <w:bCs w:val="0"/>
          <w:color w:val="auto"/>
          <w:sz w:val="21"/>
          <w:szCs w:val="21"/>
          <w:highlight w:val="none"/>
        </w:rPr>
        <w:t>。</w:t>
      </w:r>
    </w:p>
    <w:p w14:paraId="40A145AE">
      <w:pPr>
        <w:spacing w:line="360" w:lineRule="auto"/>
        <w:ind w:firstLine="420" w:firstLineChars="200"/>
        <w:rPr>
          <w:rFonts w:hint="eastAsia" w:ascii="宋体" w:hAnsi="宋体" w:eastAsia="宋体" w:cs="宋体"/>
          <w:b w:val="0"/>
          <w:bCs w:val="0"/>
          <w:color w:val="auto"/>
          <w:sz w:val="21"/>
          <w:szCs w:val="21"/>
          <w:highlight w:val="none"/>
        </w:rPr>
      </w:pPr>
    </w:p>
    <w:p w14:paraId="3F06852E">
      <w:pPr>
        <w:pStyle w:val="4"/>
        <w:rPr>
          <w:rFonts w:hint="eastAsia" w:ascii="宋体" w:hAnsi="宋体" w:eastAsia="宋体" w:cs="宋体"/>
          <w:b w:val="0"/>
          <w:bCs w:val="0"/>
          <w:color w:val="auto"/>
          <w:sz w:val="21"/>
          <w:szCs w:val="21"/>
          <w:highlight w:val="none"/>
        </w:rPr>
      </w:pPr>
      <w:bookmarkStart w:id="214" w:name="_Toc3291"/>
      <w:r>
        <w:rPr>
          <w:rFonts w:hint="eastAsia" w:ascii="宋体" w:hAnsi="宋体" w:eastAsia="宋体" w:cs="宋体"/>
          <w:b w:val="0"/>
          <w:bCs w:val="0"/>
          <w:color w:val="auto"/>
          <w:sz w:val="21"/>
          <w:szCs w:val="21"/>
          <w:highlight w:val="none"/>
        </w:rPr>
        <w:t>12.4 工程进度款支付</w:t>
      </w:r>
      <w:bookmarkEnd w:id="214"/>
    </w:p>
    <w:p w14:paraId="785472D8">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12.4.1 付款周期</w:t>
      </w:r>
    </w:p>
    <w:p w14:paraId="1C9B750B">
      <w:pPr>
        <w:wordWrap w:val="0"/>
        <w:spacing w:line="360" w:lineRule="auto"/>
        <w:ind w:firstLine="420" w:firstLineChars="20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u w:val="single"/>
        </w:rPr>
        <w:t>双方约定的工程款（进度款）的支付方式和时间：</w:t>
      </w:r>
      <w:r>
        <w:rPr>
          <w:rFonts w:hint="eastAsia"/>
          <w:b w:val="0"/>
          <w:bCs w:val="0"/>
          <w:color w:val="auto"/>
          <w:highlight w:val="none"/>
          <w:u w:val="single"/>
        </w:rPr>
        <w:t>工程款按月支付，合同内进度款支付限额为经业主及监理工程师审定的已完成工程量价款的80%，合同外工程进度款支付限额为经业主及监理工程师审定的已完成工程量价款的75%。工程竣工验收合格，工程款支付到合同款的90%，合同外追加工程待竣工验收合格后拨付至工程价款的90%，工程竣工验收合格，竣工结算经财政或审计部门审定并经发包人确认后，工程款支付至结算总价的97%（含已支付的），发包人按工程价款结算总额的3%，待约定的工程质量保修期满后14天内支付（无息）。</w:t>
      </w:r>
    </w:p>
    <w:p w14:paraId="47B0B9B6">
      <w:pPr>
        <w:pStyle w:val="24"/>
        <w:adjustRightInd w:val="0"/>
        <w:snapToGrid w:val="0"/>
        <w:spacing w:line="300" w:lineRule="auto"/>
        <w:ind w:firstLine="502"/>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承包人必须按时支付农民工工资，发包人支付到合同价款的80％时，承包人必须全部支付完农民工工资及材料款，如有农民工或材料供应商到发包人单位及上级部门反映索要工资、货款现象视为违约，每发生一次扣最终结算价的1％，发包人可从应向承包人支付的款项中扣除。</w:t>
      </w:r>
    </w:p>
    <w:p w14:paraId="4E401CD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12.4.2 进度付款申请单的编制</w:t>
      </w:r>
    </w:p>
    <w:p w14:paraId="4B1ECC01">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关于进度付款申请单编制的约定：</w:t>
      </w:r>
      <w:r>
        <w:rPr>
          <w:rFonts w:hint="eastAsia" w:ascii="宋体" w:hAnsi="宋体" w:eastAsia="宋体" w:cs="宋体"/>
          <w:b/>
          <w:bCs/>
          <w:color w:val="auto"/>
          <w:sz w:val="21"/>
          <w:szCs w:val="21"/>
          <w:highlight w:val="none"/>
          <w:u w:val="single"/>
        </w:rPr>
        <w:t xml:space="preserve"> 按发包人合同部的要求格式，一式六份 </w:t>
      </w:r>
      <w:r>
        <w:rPr>
          <w:rFonts w:hint="eastAsia" w:ascii="宋体" w:hAnsi="宋体" w:eastAsia="宋体" w:cs="宋体"/>
          <w:color w:val="auto"/>
          <w:sz w:val="21"/>
          <w:szCs w:val="21"/>
          <w:highlight w:val="none"/>
        </w:rPr>
        <w:t>。</w:t>
      </w:r>
    </w:p>
    <w:p w14:paraId="4053E8E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12.4.3 进度付款申请单的提交</w:t>
      </w:r>
    </w:p>
    <w:p w14:paraId="671CEDE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（2）进度付款申请单提交的约定：</w:t>
      </w:r>
      <w:r>
        <w:rPr>
          <w:rFonts w:hint="eastAsia" w:ascii="宋体" w:hAnsi="宋体" w:eastAsia="宋体" w:cs="宋体"/>
          <w:color w:val="auto"/>
          <w:sz w:val="21"/>
          <w:szCs w:val="21"/>
          <w:highlight w:val="none"/>
          <w:u w:val="single"/>
        </w:rPr>
        <w:t xml:space="preserve">  发包人向财政部门申请工程进度款时，承包人应配合发包人提供以下资料：①《工程用款支付证书》；②《财政性资金投资项目用款核定通知书》；③工程量计量报表（格式按财政局业务科室具体要求）；④其他需要补充说明的材料 </w:t>
      </w:r>
      <w:r>
        <w:rPr>
          <w:rFonts w:hint="eastAsia" w:ascii="宋体" w:hAnsi="宋体" w:eastAsia="宋体" w:cs="宋体"/>
          <w:color w:val="auto"/>
          <w:sz w:val="21"/>
          <w:szCs w:val="21"/>
          <w:highlight w:val="none"/>
        </w:rPr>
        <w:t>。</w:t>
      </w:r>
    </w:p>
    <w:p w14:paraId="0DA09D7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12.4.4 进度款审核和支付</w:t>
      </w:r>
    </w:p>
    <w:p w14:paraId="56E57B78">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（1）监理人审查并报送发包人的期限： </w:t>
      </w:r>
      <w:r>
        <w:rPr>
          <w:rFonts w:hint="eastAsia" w:ascii="宋体" w:hAnsi="宋体" w:eastAsia="宋体" w:cs="宋体"/>
          <w:color w:val="auto"/>
          <w:sz w:val="21"/>
          <w:szCs w:val="21"/>
          <w:highlight w:val="none"/>
          <w:u w:val="single"/>
        </w:rPr>
        <w:t xml:space="preserve"> 收到承包人提交的已完工程报告之日起7个工作日内进行计量和确认  </w:t>
      </w:r>
      <w:r>
        <w:rPr>
          <w:rFonts w:hint="eastAsia" w:ascii="宋体" w:hAnsi="宋体" w:eastAsia="宋体" w:cs="宋体"/>
          <w:color w:val="auto"/>
          <w:sz w:val="21"/>
          <w:szCs w:val="21"/>
          <w:highlight w:val="none"/>
        </w:rPr>
        <w:t>。</w:t>
      </w:r>
    </w:p>
    <w:p w14:paraId="3726064F">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发包人完成审批并签发进度款支付证书的期限：</w:t>
      </w:r>
      <w:r>
        <w:rPr>
          <w:rFonts w:hint="eastAsia" w:ascii="宋体" w:hAnsi="宋体" w:eastAsia="宋体" w:cs="宋体"/>
          <w:color w:val="auto"/>
          <w:sz w:val="21"/>
          <w:szCs w:val="21"/>
          <w:highlight w:val="none"/>
          <w:u w:val="single"/>
        </w:rPr>
        <w:t xml:space="preserve">    收到资料后14天内    </w:t>
      </w:r>
      <w:r>
        <w:rPr>
          <w:rFonts w:hint="eastAsia" w:ascii="宋体" w:hAnsi="宋体" w:eastAsia="宋体" w:cs="宋体"/>
          <w:color w:val="auto"/>
          <w:sz w:val="21"/>
          <w:szCs w:val="21"/>
          <w:highlight w:val="none"/>
        </w:rPr>
        <w:t>。</w:t>
      </w:r>
    </w:p>
    <w:p w14:paraId="4339D5F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（2）发包人支付进度款的期限：</w:t>
      </w:r>
      <w:r>
        <w:rPr>
          <w:rFonts w:hint="eastAsia" w:ascii="宋体" w:hAnsi="宋体" w:eastAsia="宋体" w:cs="宋体"/>
          <w:color w:val="auto"/>
          <w:sz w:val="21"/>
          <w:szCs w:val="21"/>
          <w:highlight w:val="none"/>
          <w:u w:val="single"/>
        </w:rPr>
        <w:t xml:space="preserve">   支付证书签发、县财政拨款后划拨</w:t>
      </w:r>
      <w:r>
        <w:rPr>
          <w:rFonts w:hint="eastAsia" w:ascii="宋体" w:hAnsi="宋体" w:eastAsia="宋体" w:cs="宋体"/>
          <w:color w:val="auto"/>
          <w:sz w:val="21"/>
          <w:szCs w:val="21"/>
          <w:highlight w:val="none"/>
        </w:rPr>
        <w:t>。</w:t>
      </w:r>
    </w:p>
    <w:p w14:paraId="362E457F">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发包人逾期支付进度款的违约金的计算方式：</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3384BD1">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进度款支付方式：</w:t>
      </w:r>
      <w:r>
        <w:rPr>
          <w:rFonts w:hint="eastAsia" w:ascii="宋体" w:hAnsi="宋体" w:eastAsia="宋体" w:cs="宋体"/>
          <w:color w:val="auto"/>
          <w:sz w:val="21"/>
          <w:szCs w:val="21"/>
          <w:highlight w:val="none"/>
          <w:u w:val="single"/>
        </w:rPr>
        <w:t>银行转账</w:t>
      </w:r>
      <w:r>
        <w:rPr>
          <w:rFonts w:hint="eastAsia" w:ascii="宋体" w:hAnsi="宋体" w:eastAsia="宋体" w:cs="宋体"/>
          <w:color w:val="auto"/>
          <w:sz w:val="21"/>
          <w:szCs w:val="21"/>
          <w:highlight w:val="none"/>
        </w:rPr>
        <w:t>。</w:t>
      </w:r>
    </w:p>
    <w:p w14:paraId="49AD9AEB">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12.4.6 支付分解表的编制</w:t>
      </w:r>
    </w:p>
    <w:p w14:paraId="11C4DF70">
      <w:pPr>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 总价合同支付分解表的编制与审批：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747FAFA">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单价合同的总价项目支付分解表的编制与审批：总价项目不采用支付分解表的方式计算，而按《建设工程工程量清单计价规范（GB50500-2013）广西壮族自治区实施细则》的规定执行。</w:t>
      </w:r>
    </w:p>
    <w:p w14:paraId="1B09F2D1">
      <w:pPr>
        <w:pStyle w:val="3"/>
        <w:rPr>
          <w:rFonts w:hint="eastAsia" w:ascii="宋体" w:hAnsi="宋体" w:eastAsia="宋体" w:cs="宋体"/>
          <w:color w:val="auto"/>
          <w:sz w:val="21"/>
          <w:szCs w:val="21"/>
          <w:highlight w:val="none"/>
        </w:rPr>
      </w:pPr>
      <w:bookmarkStart w:id="215" w:name="_Toc29508"/>
      <w:r>
        <w:rPr>
          <w:rFonts w:hint="eastAsia" w:ascii="宋体" w:hAnsi="宋体" w:eastAsia="宋体" w:cs="宋体"/>
          <w:color w:val="auto"/>
          <w:sz w:val="21"/>
          <w:szCs w:val="21"/>
          <w:highlight w:val="none"/>
        </w:rPr>
        <w:t>13. 验收和工程试车</w:t>
      </w:r>
      <w:bookmarkEnd w:id="215"/>
    </w:p>
    <w:p w14:paraId="1A26E7E9">
      <w:pPr>
        <w:pStyle w:val="4"/>
        <w:rPr>
          <w:rFonts w:hint="eastAsia" w:ascii="宋体" w:hAnsi="宋体" w:eastAsia="宋体" w:cs="宋体"/>
          <w:color w:val="auto"/>
          <w:sz w:val="21"/>
          <w:szCs w:val="21"/>
          <w:highlight w:val="none"/>
        </w:rPr>
      </w:pPr>
      <w:bookmarkStart w:id="216" w:name="_Toc7608"/>
      <w:r>
        <w:rPr>
          <w:rFonts w:hint="eastAsia" w:ascii="宋体" w:hAnsi="宋体" w:eastAsia="宋体" w:cs="宋体"/>
          <w:color w:val="auto"/>
          <w:sz w:val="21"/>
          <w:szCs w:val="21"/>
          <w:highlight w:val="none"/>
        </w:rPr>
        <w:t>13.1 分部分项工程验收</w:t>
      </w:r>
      <w:bookmarkEnd w:id="216"/>
    </w:p>
    <w:p w14:paraId="74BCDB0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13.1.2监理人不能按时进行验收时，应提前</w:t>
      </w:r>
      <w:r>
        <w:rPr>
          <w:rFonts w:hint="eastAsia" w:ascii="宋体" w:hAnsi="宋体" w:eastAsia="宋体" w:cs="宋体"/>
          <w:color w:val="auto"/>
          <w:sz w:val="21"/>
          <w:szCs w:val="21"/>
          <w:highlight w:val="none"/>
          <w:u w:val="single"/>
        </w:rPr>
        <w:t xml:space="preserve">   6    </w:t>
      </w:r>
      <w:r>
        <w:rPr>
          <w:rFonts w:hint="eastAsia" w:ascii="宋体" w:hAnsi="宋体" w:eastAsia="宋体" w:cs="宋体"/>
          <w:color w:val="auto"/>
          <w:sz w:val="21"/>
          <w:szCs w:val="21"/>
          <w:highlight w:val="none"/>
        </w:rPr>
        <w:t>小时提交书面延期要求。</w:t>
      </w:r>
    </w:p>
    <w:p w14:paraId="0AFA1F57">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12     </w:t>
      </w:r>
      <w:r>
        <w:rPr>
          <w:rFonts w:hint="eastAsia" w:ascii="宋体" w:hAnsi="宋体" w:eastAsia="宋体" w:cs="宋体"/>
          <w:color w:val="auto"/>
          <w:sz w:val="21"/>
          <w:szCs w:val="21"/>
          <w:highlight w:val="none"/>
        </w:rPr>
        <w:t>小时。</w:t>
      </w:r>
    </w:p>
    <w:p w14:paraId="553983B0">
      <w:pPr>
        <w:pStyle w:val="4"/>
        <w:rPr>
          <w:rFonts w:hint="eastAsia" w:ascii="宋体" w:hAnsi="宋体" w:eastAsia="宋体" w:cs="宋体"/>
          <w:color w:val="auto"/>
          <w:sz w:val="21"/>
          <w:szCs w:val="21"/>
          <w:highlight w:val="none"/>
        </w:rPr>
      </w:pPr>
      <w:bookmarkStart w:id="217" w:name="_Toc22401"/>
      <w:r>
        <w:rPr>
          <w:rFonts w:hint="eastAsia" w:ascii="宋体" w:hAnsi="宋体" w:eastAsia="宋体" w:cs="宋体"/>
          <w:color w:val="auto"/>
          <w:sz w:val="21"/>
          <w:szCs w:val="21"/>
          <w:highlight w:val="none"/>
        </w:rPr>
        <w:t>13.2 竣工验收</w:t>
      </w:r>
      <w:bookmarkEnd w:id="217"/>
    </w:p>
    <w:p w14:paraId="5AAEAB9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13.2.1竣工验收条件</w:t>
      </w:r>
    </w:p>
    <w:p w14:paraId="7D3E2B2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（3）承包人负责整理和提交的竣工验收资料应当符合工程所在地建设行政主管部门和(或)城市建设档案管理机构有关施工资料的要求，具体内容包括：</w:t>
      </w:r>
      <w:r>
        <w:rPr>
          <w:rFonts w:hint="eastAsia" w:ascii="宋体" w:hAnsi="宋体" w:eastAsia="宋体" w:cs="宋体"/>
          <w:color w:val="auto"/>
          <w:sz w:val="21"/>
          <w:szCs w:val="21"/>
          <w:highlight w:val="none"/>
          <w:u w:val="single"/>
        </w:rPr>
        <w:t xml:space="preserve">  质量保证资料、验收备案资料、竣工图等完整的竣工档案资料  </w:t>
      </w:r>
      <w:r>
        <w:rPr>
          <w:rFonts w:hint="eastAsia" w:ascii="宋体" w:hAnsi="宋体" w:eastAsia="宋体" w:cs="宋体"/>
          <w:color w:val="auto"/>
          <w:sz w:val="21"/>
          <w:szCs w:val="21"/>
          <w:highlight w:val="none"/>
        </w:rPr>
        <w:t>。</w:t>
      </w:r>
    </w:p>
    <w:p w14:paraId="5D60DA1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竣工验收资料的份数：</w:t>
      </w:r>
      <w:r>
        <w:rPr>
          <w:rFonts w:hint="eastAsia" w:ascii="宋体" w:hAnsi="宋体" w:eastAsia="宋体" w:cs="宋体"/>
          <w:color w:val="auto"/>
          <w:sz w:val="21"/>
          <w:szCs w:val="21"/>
          <w:highlight w:val="none"/>
          <w:u w:val="single"/>
        </w:rPr>
        <w:t xml:space="preserve">    伍份    </w:t>
      </w:r>
      <w:r>
        <w:rPr>
          <w:rFonts w:hint="eastAsia" w:ascii="宋体" w:hAnsi="宋体" w:eastAsia="宋体" w:cs="宋体"/>
          <w:color w:val="auto"/>
          <w:sz w:val="21"/>
          <w:szCs w:val="21"/>
          <w:highlight w:val="none"/>
        </w:rPr>
        <w:t>。</w:t>
      </w:r>
    </w:p>
    <w:p w14:paraId="2ACE1C9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承包人提供竣工图的约定：</w:t>
      </w:r>
      <w:r>
        <w:rPr>
          <w:rFonts w:hint="eastAsia" w:ascii="宋体" w:hAnsi="宋体" w:eastAsia="宋体" w:cs="宋体"/>
          <w:b/>
          <w:color w:val="auto"/>
          <w:sz w:val="21"/>
          <w:szCs w:val="21"/>
          <w:highlight w:val="none"/>
          <w:u w:val="single"/>
        </w:rPr>
        <w:t>竣工验收正式通过后5天（工程造价在500万元以下含500万元）、10天（工程造价在500万元至1000万元之间含1000万元）、15天（工程造价在1000万元以上），提供竣工图的数量分别为5套。</w:t>
      </w:r>
    </w:p>
    <w:p w14:paraId="545F9DD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13.2.2竣工验收程序</w:t>
      </w:r>
    </w:p>
    <w:p w14:paraId="22820D15">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关于竣工验收程序的约定：</w:t>
      </w:r>
      <w:r>
        <w:rPr>
          <w:rFonts w:hint="eastAsia" w:ascii="宋体" w:hAnsi="宋体" w:eastAsia="宋体" w:cs="宋体"/>
          <w:color w:val="auto"/>
          <w:sz w:val="21"/>
          <w:szCs w:val="21"/>
          <w:highlight w:val="none"/>
          <w:u w:val="single"/>
        </w:rPr>
        <w:t xml:space="preserve">按崇政办发【2017】54号文   </w:t>
      </w:r>
      <w:r>
        <w:rPr>
          <w:rFonts w:hint="eastAsia" w:ascii="宋体" w:hAnsi="宋体" w:eastAsia="宋体" w:cs="宋体"/>
          <w:color w:val="auto"/>
          <w:sz w:val="21"/>
          <w:szCs w:val="21"/>
          <w:highlight w:val="none"/>
        </w:rPr>
        <w:t>。</w:t>
      </w:r>
    </w:p>
    <w:p w14:paraId="0F1E698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发包人不按照本项约定组织竣工验收、颁发工程接收证书的违约金的计算方法：</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57AA4E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13.2.5移交、接收全部与部分工程</w:t>
      </w:r>
    </w:p>
    <w:p w14:paraId="598B753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承包人向发包人移交工程的期限：</w:t>
      </w:r>
      <w:r>
        <w:rPr>
          <w:rFonts w:hint="eastAsia" w:ascii="宋体" w:hAnsi="宋体" w:eastAsia="宋体" w:cs="宋体"/>
          <w:color w:val="auto"/>
          <w:sz w:val="21"/>
          <w:szCs w:val="21"/>
          <w:highlight w:val="none"/>
          <w:u w:val="single"/>
        </w:rPr>
        <w:t xml:space="preserve">  工程竣工验收合格后7天内  </w:t>
      </w:r>
      <w:r>
        <w:rPr>
          <w:rFonts w:hint="eastAsia" w:ascii="宋体" w:hAnsi="宋体" w:eastAsia="宋体" w:cs="宋体"/>
          <w:color w:val="auto"/>
          <w:sz w:val="21"/>
          <w:szCs w:val="21"/>
          <w:highlight w:val="none"/>
        </w:rPr>
        <w:t>。</w:t>
      </w:r>
    </w:p>
    <w:p w14:paraId="01A9818A">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发包人未按本合同约定接收全部或部分工程的，违约金的计算方法为：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F82ABDA">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承包人未按时移交工程的，违约金的计算方法为：</w:t>
      </w:r>
      <w:r>
        <w:rPr>
          <w:rFonts w:hint="eastAsia" w:ascii="宋体" w:hAnsi="宋体" w:eastAsia="宋体" w:cs="宋体"/>
          <w:color w:val="auto"/>
          <w:sz w:val="21"/>
          <w:szCs w:val="21"/>
          <w:highlight w:val="none"/>
          <w:u w:val="single"/>
        </w:rPr>
        <w:t xml:space="preserve">   向发包人支付合同价款的万分之四的违约金  </w:t>
      </w:r>
      <w:r>
        <w:rPr>
          <w:rFonts w:hint="eastAsia" w:ascii="宋体" w:hAnsi="宋体" w:eastAsia="宋体" w:cs="宋体"/>
          <w:color w:val="auto"/>
          <w:sz w:val="21"/>
          <w:szCs w:val="21"/>
          <w:highlight w:val="none"/>
        </w:rPr>
        <w:t>。</w:t>
      </w:r>
    </w:p>
    <w:p w14:paraId="6ABF8CB2">
      <w:pPr>
        <w:pStyle w:val="4"/>
        <w:rPr>
          <w:rFonts w:hint="eastAsia" w:ascii="宋体" w:hAnsi="宋体" w:eastAsia="宋体" w:cs="宋体"/>
          <w:color w:val="auto"/>
          <w:sz w:val="21"/>
          <w:szCs w:val="21"/>
          <w:highlight w:val="none"/>
        </w:rPr>
      </w:pPr>
      <w:bookmarkStart w:id="218" w:name="_Toc18474"/>
      <w:r>
        <w:rPr>
          <w:rFonts w:hint="eastAsia" w:ascii="宋体" w:hAnsi="宋体" w:eastAsia="宋体" w:cs="宋体"/>
          <w:color w:val="auto"/>
          <w:sz w:val="21"/>
          <w:szCs w:val="21"/>
          <w:highlight w:val="none"/>
        </w:rPr>
        <w:t>13.3 工程试车</w:t>
      </w:r>
      <w:bookmarkEnd w:id="218"/>
    </w:p>
    <w:p w14:paraId="158C822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13.3.1 试车程序</w:t>
      </w:r>
    </w:p>
    <w:p w14:paraId="30F02ECF">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工程试车内容：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0D1ED2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（1）单机无负荷试车费用由</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承担；</w:t>
      </w:r>
    </w:p>
    <w:p w14:paraId="3AAF0BF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（2）无负荷联动试车费用由</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承担。</w:t>
      </w:r>
    </w:p>
    <w:p w14:paraId="4512C0A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13.3.3 投料试车</w:t>
      </w:r>
    </w:p>
    <w:p w14:paraId="484F647F">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关于投料试车相关事项的约定：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7822F2D">
      <w:pPr>
        <w:pStyle w:val="4"/>
        <w:rPr>
          <w:rFonts w:hint="eastAsia" w:ascii="宋体" w:hAnsi="宋体" w:eastAsia="宋体" w:cs="宋体"/>
          <w:color w:val="auto"/>
          <w:sz w:val="21"/>
          <w:szCs w:val="21"/>
          <w:highlight w:val="none"/>
        </w:rPr>
      </w:pPr>
      <w:bookmarkStart w:id="219" w:name="_Toc32721"/>
      <w:r>
        <w:rPr>
          <w:rFonts w:hint="eastAsia" w:ascii="宋体" w:hAnsi="宋体" w:eastAsia="宋体" w:cs="宋体"/>
          <w:color w:val="auto"/>
          <w:sz w:val="21"/>
          <w:szCs w:val="21"/>
          <w:highlight w:val="none"/>
        </w:rPr>
        <w:t>13.6 竣工退场</w:t>
      </w:r>
      <w:bookmarkEnd w:id="219"/>
    </w:p>
    <w:p w14:paraId="591211E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13.6.1 竣工退场</w:t>
      </w:r>
    </w:p>
    <w:p w14:paraId="636A23F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承包人完成竣工退场的期限：</w:t>
      </w:r>
      <w:r>
        <w:rPr>
          <w:rFonts w:hint="eastAsia" w:ascii="宋体" w:hAnsi="宋体" w:eastAsia="宋体" w:cs="宋体"/>
          <w:color w:val="auto"/>
          <w:sz w:val="21"/>
          <w:szCs w:val="21"/>
          <w:highlight w:val="none"/>
          <w:u w:val="single"/>
        </w:rPr>
        <w:t xml:space="preserve">  竣工验收合格并移交后21天内  </w:t>
      </w:r>
      <w:r>
        <w:rPr>
          <w:rFonts w:hint="eastAsia" w:ascii="宋体" w:hAnsi="宋体" w:eastAsia="宋体" w:cs="宋体"/>
          <w:color w:val="auto"/>
          <w:sz w:val="21"/>
          <w:szCs w:val="21"/>
          <w:highlight w:val="none"/>
        </w:rPr>
        <w:t>。</w:t>
      </w:r>
    </w:p>
    <w:p w14:paraId="130153E5">
      <w:pPr>
        <w:pStyle w:val="3"/>
        <w:rPr>
          <w:rFonts w:hint="eastAsia" w:ascii="宋体" w:hAnsi="宋体" w:eastAsia="宋体" w:cs="宋体"/>
          <w:color w:val="auto"/>
          <w:sz w:val="21"/>
          <w:szCs w:val="21"/>
          <w:highlight w:val="none"/>
        </w:rPr>
      </w:pPr>
      <w:bookmarkStart w:id="220" w:name="_Toc20715"/>
      <w:r>
        <w:rPr>
          <w:rFonts w:hint="eastAsia" w:ascii="宋体" w:hAnsi="宋体" w:eastAsia="宋体" w:cs="宋体"/>
          <w:color w:val="auto"/>
          <w:sz w:val="21"/>
          <w:szCs w:val="21"/>
          <w:highlight w:val="none"/>
        </w:rPr>
        <w:t>14. 竣工结算</w:t>
      </w:r>
      <w:bookmarkEnd w:id="220"/>
    </w:p>
    <w:p w14:paraId="1690B9D5">
      <w:pPr>
        <w:pStyle w:val="4"/>
        <w:rPr>
          <w:rFonts w:hint="eastAsia" w:ascii="宋体" w:hAnsi="宋体" w:eastAsia="宋体" w:cs="宋体"/>
          <w:color w:val="auto"/>
          <w:sz w:val="21"/>
          <w:szCs w:val="21"/>
          <w:highlight w:val="none"/>
        </w:rPr>
      </w:pPr>
      <w:bookmarkStart w:id="221" w:name="_Toc30368"/>
      <w:r>
        <w:rPr>
          <w:rFonts w:hint="eastAsia" w:ascii="宋体" w:hAnsi="宋体" w:eastAsia="宋体" w:cs="宋体"/>
          <w:color w:val="auto"/>
          <w:sz w:val="21"/>
          <w:szCs w:val="21"/>
          <w:highlight w:val="none"/>
        </w:rPr>
        <w:t>14.1 竣工付款申请</w:t>
      </w:r>
      <w:bookmarkEnd w:id="221"/>
    </w:p>
    <w:p w14:paraId="5B087A8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承包人提交竣工付款申请单的期限：</w:t>
      </w:r>
      <w:r>
        <w:rPr>
          <w:rFonts w:hint="eastAsia" w:ascii="宋体" w:hAnsi="宋体" w:eastAsia="宋体" w:cs="宋体"/>
          <w:color w:val="auto"/>
          <w:sz w:val="21"/>
          <w:szCs w:val="21"/>
          <w:u w:val="single"/>
        </w:rPr>
        <w:t xml:space="preserve">  竣工验收合格后28天内 </w:t>
      </w:r>
      <w:r>
        <w:rPr>
          <w:rFonts w:hint="eastAsia" w:ascii="宋体" w:hAnsi="宋体" w:eastAsia="宋体" w:cs="宋体"/>
          <w:color w:val="auto"/>
          <w:sz w:val="21"/>
          <w:szCs w:val="21"/>
        </w:rPr>
        <w:t>。</w:t>
      </w:r>
    </w:p>
    <w:p w14:paraId="678C8738">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竣工付款申请单应包括的内容：</w:t>
      </w:r>
      <w:r>
        <w:rPr>
          <w:rFonts w:hint="eastAsia" w:ascii="宋体" w:hAnsi="宋体" w:eastAsia="宋体" w:cs="宋体"/>
          <w:color w:val="auto"/>
          <w:sz w:val="21"/>
          <w:szCs w:val="21"/>
          <w:u w:val="single"/>
        </w:rPr>
        <w:t>本合同《通用条款》相关规定执行</w:t>
      </w:r>
      <w:r>
        <w:rPr>
          <w:rFonts w:hint="eastAsia" w:ascii="宋体" w:hAnsi="宋体" w:eastAsia="宋体" w:cs="宋体"/>
          <w:color w:val="auto"/>
          <w:sz w:val="21"/>
          <w:szCs w:val="21"/>
        </w:rPr>
        <w:t>。</w:t>
      </w:r>
    </w:p>
    <w:p w14:paraId="43435BDB">
      <w:pPr>
        <w:pStyle w:val="4"/>
        <w:rPr>
          <w:rFonts w:hint="eastAsia" w:ascii="宋体" w:hAnsi="宋体" w:eastAsia="宋体" w:cs="宋体"/>
          <w:color w:val="auto"/>
          <w:sz w:val="21"/>
          <w:szCs w:val="21"/>
        </w:rPr>
      </w:pPr>
      <w:bookmarkStart w:id="222" w:name="_Toc30435"/>
      <w:r>
        <w:rPr>
          <w:rFonts w:hint="eastAsia" w:ascii="宋体" w:hAnsi="宋体" w:eastAsia="宋体" w:cs="宋体"/>
          <w:color w:val="auto"/>
          <w:sz w:val="21"/>
          <w:szCs w:val="21"/>
        </w:rPr>
        <w:t>14.2 竣工结算审核</w:t>
      </w:r>
      <w:bookmarkEnd w:id="222"/>
    </w:p>
    <w:p w14:paraId="48FFB9F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发包人审批竣工付款申请单的期限：</w:t>
      </w:r>
    </w:p>
    <w:tbl>
      <w:tblPr>
        <w:tblStyle w:val="45"/>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7EC3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2C8111DC">
            <w:pPr>
              <w:spacing w:line="360" w:lineRule="auto"/>
              <w:rPr>
                <w:rFonts w:hint="eastAsia" w:ascii="宋体" w:hAnsi="宋体" w:eastAsia="宋体" w:cs="宋体"/>
                <w:bCs/>
                <w:color w:val="auto"/>
                <w:sz w:val="21"/>
                <w:szCs w:val="21"/>
              </w:rPr>
            </w:pPr>
          </w:p>
        </w:tc>
        <w:tc>
          <w:tcPr>
            <w:tcW w:w="2466" w:type="dxa"/>
            <w:vAlign w:val="center"/>
          </w:tcPr>
          <w:p w14:paraId="0091732D">
            <w:pPr>
              <w:spacing w:line="360" w:lineRule="auto"/>
              <w:ind w:firstLine="27" w:firstLineChars="13"/>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工程竣工结算报告金额</w:t>
            </w:r>
          </w:p>
        </w:tc>
        <w:tc>
          <w:tcPr>
            <w:tcW w:w="5967" w:type="dxa"/>
            <w:vAlign w:val="center"/>
          </w:tcPr>
          <w:p w14:paraId="19D8D7DF">
            <w:pPr>
              <w:spacing w:line="360" w:lineRule="auto"/>
              <w:ind w:firstLine="441" w:firstLineChars="21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发包人审查时间</w:t>
            </w:r>
          </w:p>
        </w:tc>
      </w:tr>
      <w:tr w14:paraId="70398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738E37BF">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2466" w:type="dxa"/>
            <w:vAlign w:val="center"/>
          </w:tcPr>
          <w:p w14:paraId="2C392F3E">
            <w:pPr>
              <w:spacing w:line="360" w:lineRule="auto"/>
              <w:ind w:firstLine="27" w:firstLineChars="13"/>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500万元以下</w:t>
            </w:r>
          </w:p>
        </w:tc>
        <w:tc>
          <w:tcPr>
            <w:tcW w:w="5967" w:type="dxa"/>
            <w:vAlign w:val="center"/>
          </w:tcPr>
          <w:p w14:paraId="5B04B6C9">
            <w:pPr>
              <w:spacing w:line="360" w:lineRule="auto"/>
              <w:ind w:firstLine="441" w:firstLineChars="21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从接到竣工结算报告和完整的竣工结算资料之日起20天</w:t>
            </w:r>
          </w:p>
        </w:tc>
      </w:tr>
      <w:tr w14:paraId="5216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53DC6746">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2466" w:type="dxa"/>
            <w:vAlign w:val="center"/>
          </w:tcPr>
          <w:p w14:paraId="203D7899">
            <w:pPr>
              <w:spacing w:line="360" w:lineRule="auto"/>
              <w:ind w:firstLine="27" w:firstLineChars="13"/>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500万元-2000万元</w:t>
            </w:r>
          </w:p>
        </w:tc>
        <w:tc>
          <w:tcPr>
            <w:tcW w:w="5967" w:type="dxa"/>
            <w:vAlign w:val="center"/>
          </w:tcPr>
          <w:p w14:paraId="50DF6F46">
            <w:pPr>
              <w:spacing w:line="360" w:lineRule="auto"/>
              <w:ind w:firstLine="441" w:firstLineChars="21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从接到竣工结算报告和完整的竣工结算资料之日起30天</w:t>
            </w:r>
          </w:p>
        </w:tc>
      </w:tr>
      <w:tr w14:paraId="4C28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1A38BD69">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w:t>
            </w:r>
          </w:p>
        </w:tc>
        <w:tc>
          <w:tcPr>
            <w:tcW w:w="2466" w:type="dxa"/>
            <w:vAlign w:val="center"/>
          </w:tcPr>
          <w:p w14:paraId="349EB3FF">
            <w:pPr>
              <w:spacing w:line="360" w:lineRule="auto"/>
              <w:ind w:firstLine="27" w:firstLineChars="13"/>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2000万元-5000万元</w:t>
            </w:r>
          </w:p>
        </w:tc>
        <w:tc>
          <w:tcPr>
            <w:tcW w:w="5967" w:type="dxa"/>
            <w:vAlign w:val="center"/>
          </w:tcPr>
          <w:p w14:paraId="06EA8D59">
            <w:pPr>
              <w:spacing w:line="360" w:lineRule="auto"/>
              <w:ind w:firstLine="441" w:firstLineChars="21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从接到竣工结算报告和完整的竣工结算资料之日起45天</w:t>
            </w:r>
          </w:p>
        </w:tc>
      </w:tr>
      <w:tr w14:paraId="64D6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71548E44">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w:t>
            </w:r>
          </w:p>
        </w:tc>
        <w:tc>
          <w:tcPr>
            <w:tcW w:w="2466" w:type="dxa"/>
            <w:vAlign w:val="center"/>
          </w:tcPr>
          <w:p w14:paraId="61A86CF7">
            <w:pPr>
              <w:spacing w:line="360" w:lineRule="auto"/>
              <w:ind w:firstLine="27" w:firstLineChars="13"/>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5000万元以上</w:t>
            </w:r>
          </w:p>
        </w:tc>
        <w:tc>
          <w:tcPr>
            <w:tcW w:w="5967" w:type="dxa"/>
            <w:vAlign w:val="center"/>
          </w:tcPr>
          <w:p w14:paraId="25A67611">
            <w:pPr>
              <w:spacing w:line="360" w:lineRule="auto"/>
              <w:ind w:firstLine="441" w:firstLineChars="21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从接到竣工结算报告和完整的竣工结算资料之日起60天</w:t>
            </w:r>
          </w:p>
        </w:tc>
      </w:tr>
    </w:tbl>
    <w:p w14:paraId="3881003D">
      <w:pPr>
        <w:snapToGrid w:val="0"/>
        <w:spacing w:line="444" w:lineRule="exact"/>
        <w:ind w:right="424" w:rightChars="202" w:firstLine="420" w:firstLineChars="200"/>
        <w:rPr>
          <w:rFonts w:hint="eastAsia" w:ascii="宋体" w:hAnsi="宋体" w:eastAsia="宋体" w:cs="宋体"/>
          <w:color w:val="auto"/>
          <w:sz w:val="21"/>
          <w:szCs w:val="21"/>
        </w:rPr>
      </w:pPr>
      <w:r>
        <w:rPr>
          <w:rFonts w:hint="eastAsia" w:ascii="宋体" w:hAnsi="宋体" w:eastAsia="宋体" w:cs="宋体"/>
          <w:bCs/>
          <w:color w:val="auto"/>
          <w:sz w:val="21"/>
          <w:szCs w:val="21"/>
        </w:rPr>
        <w:t>因承包人提供的结算资料不完整而需要补充或承包人不按时对账耽误时间时，审查时间应相应顺延</w:t>
      </w:r>
      <w:r>
        <w:rPr>
          <w:rFonts w:hint="eastAsia" w:ascii="宋体" w:hAnsi="宋体" w:eastAsia="宋体" w:cs="宋体"/>
          <w:color w:val="auto"/>
          <w:sz w:val="21"/>
          <w:szCs w:val="21"/>
        </w:rPr>
        <w:t>。</w:t>
      </w:r>
    </w:p>
    <w:p w14:paraId="211D9CBC">
      <w:pPr>
        <w:snapToGrid w:val="0"/>
        <w:spacing w:line="444" w:lineRule="exact"/>
        <w:ind w:right="424" w:rightChars="202"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竣工结算价最终由财政、审计部门或建设单位（发包人）委托的造价咨询公司进行审核确定。为降低结算造价编制的差错率，确保送审工程结算造价的真实性和完整性，避免出现不负责任的高估虚报行为，工程开工前与施工单位约定，并在施工合同中明确：（1）基建工程结算审减率≤6%、结算审核费由建设单位全额承担；6%＜基建工程结算审减率＜10%时，结算审核费由建设单位、施工单位各承担50%；基建工程结算审减率≥10%、结算审核费由施工单位全额承担。施工单位承担的结算审核费在工程结算款中直接扣除。应扣除的结算审核费＝基本费（送审造价×2‰）+效益费（核减造价×5%），其中：核减造价=送审造价-审定造价，审减率=核减造价/送审造价×100%。（2）合同外工程量及进度款需审核的，因非最终结算审核，所产生的审核费均由施工单位全额承担，同时在送审前进行合同约定。</w:t>
      </w:r>
    </w:p>
    <w:p w14:paraId="490AA80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发包人完成竣工付款的期限：</w:t>
      </w:r>
      <w:r>
        <w:rPr>
          <w:rFonts w:hint="eastAsia" w:ascii="宋体" w:hAnsi="宋体" w:eastAsia="宋体" w:cs="宋体"/>
          <w:color w:val="auto"/>
          <w:sz w:val="21"/>
          <w:szCs w:val="21"/>
          <w:u w:val="single"/>
        </w:rPr>
        <w:t xml:space="preserve">  发竣工付款证书、县财政拨款后划拨</w:t>
      </w:r>
      <w:r>
        <w:rPr>
          <w:rFonts w:hint="eastAsia" w:ascii="宋体" w:hAnsi="宋体" w:eastAsia="宋体" w:cs="宋体"/>
          <w:color w:val="auto"/>
          <w:sz w:val="21"/>
          <w:szCs w:val="21"/>
        </w:rPr>
        <w:t>。</w:t>
      </w:r>
    </w:p>
    <w:p w14:paraId="584F1BCF">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关于竣工付款证书异议部分复核的方式和程序：</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31F6F2A0">
      <w:pPr>
        <w:pStyle w:val="4"/>
        <w:rPr>
          <w:rFonts w:hint="eastAsia" w:ascii="宋体" w:hAnsi="宋体" w:eastAsia="宋体" w:cs="宋体"/>
          <w:color w:val="auto"/>
          <w:sz w:val="21"/>
          <w:szCs w:val="21"/>
        </w:rPr>
      </w:pPr>
      <w:bookmarkStart w:id="223" w:name="_Toc11425"/>
      <w:r>
        <w:rPr>
          <w:rFonts w:hint="eastAsia" w:ascii="宋体" w:hAnsi="宋体" w:eastAsia="宋体" w:cs="宋体"/>
          <w:color w:val="auto"/>
          <w:sz w:val="21"/>
          <w:szCs w:val="21"/>
        </w:rPr>
        <w:t>14.4 最终结清</w:t>
      </w:r>
      <w:bookmarkEnd w:id="223"/>
    </w:p>
    <w:p w14:paraId="74ADD5B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14.4.1 最终结清申请单</w:t>
      </w:r>
    </w:p>
    <w:p w14:paraId="32ED370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承包人提交最终结清申请单的份数：</w:t>
      </w:r>
      <w:r>
        <w:rPr>
          <w:rFonts w:hint="eastAsia" w:ascii="宋体" w:hAnsi="宋体" w:eastAsia="宋体" w:cs="宋体"/>
          <w:color w:val="auto"/>
          <w:sz w:val="21"/>
          <w:szCs w:val="21"/>
          <w:u w:val="single"/>
        </w:rPr>
        <w:t xml:space="preserve">  一式两份  </w:t>
      </w:r>
      <w:r>
        <w:rPr>
          <w:rFonts w:hint="eastAsia" w:ascii="宋体" w:hAnsi="宋体" w:eastAsia="宋体" w:cs="宋体"/>
          <w:color w:val="auto"/>
          <w:sz w:val="21"/>
          <w:szCs w:val="21"/>
        </w:rPr>
        <w:t>。</w:t>
      </w:r>
    </w:p>
    <w:p w14:paraId="0288187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承包人提交最终结算申请单的期限：</w:t>
      </w:r>
      <w:r>
        <w:rPr>
          <w:rFonts w:hint="eastAsia" w:ascii="宋体" w:hAnsi="宋体" w:eastAsia="宋体" w:cs="宋体"/>
          <w:color w:val="auto"/>
          <w:sz w:val="21"/>
          <w:szCs w:val="21"/>
          <w:u w:val="single"/>
        </w:rPr>
        <w:t xml:space="preserve">缺陷责任期终止证书颁发后7天内 </w:t>
      </w:r>
      <w:r>
        <w:rPr>
          <w:rFonts w:hint="eastAsia" w:ascii="宋体" w:hAnsi="宋体" w:eastAsia="宋体" w:cs="宋体"/>
          <w:color w:val="auto"/>
          <w:sz w:val="21"/>
          <w:szCs w:val="21"/>
        </w:rPr>
        <w:t xml:space="preserve">。 </w:t>
      </w:r>
    </w:p>
    <w:p w14:paraId="2D60429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14.4.2 最终结清证书和支付</w:t>
      </w:r>
    </w:p>
    <w:p w14:paraId="6C4543E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（1）发包人完成最终结清申请单的审批并颁发最终结清证书的期限：</w:t>
      </w:r>
      <w:r>
        <w:rPr>
          <w:rFonts w:hint="eastAsia" w:ascii="宋体" w:hAnsi="宋体" w:eastAsia="宋体" w:cs="宋体"/>
          <w:color w:val="auto"/>
          <w:sz w:val="21"/>
          <w:szCs w:val="21"/>
          <w:u w:val="single"/>
        </w:rPr>
        <w:t xml:space="preserve">收到申请单后14天内 </w:t>
      </w:r>
      <w:r>
        <w:rPr>
          <w:rFonts w:hint="eastAsia" w:ascii="宋体" w:hAnsi="宋体" w:eastAsia="宋体" w:cs="宋体"/>
          <w:color w:val="auto"/>
          <w:sz w:val="21"/>
          <w:szCs w:val="21"/>
        </w:rPr>
        <w:t>。</w:t>
      </w:r>
    </w:p>
    <w:p w14:paraId="4AA71CC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（2）发包人完成支付的期限：</w:t>
      </w:r>
      <w:r>
        <w:rPr>
          <w:rFonts w:hint="eastAsia" w:ascii="宋体" w:hAnsi="宋体" w:eastAsia="宋体" w:cs="宋体"/>
          <w:color w:val="auto"/>
          <w:sz w:val="21"/>
          <w:szCs w:val="21"/>
          <w:u w:val="single"/>
        </w:rPr>
        <w:t xml:space="preserve">  颁发最终结清证书后14天内  </w:t>
      </w:r>
      <w:r>
        <w:rPr>
          <w:rFonts w:hint="eastAsia" w:ascii="宋体" w:hAnsi="宋体" w:eastAsia="宋体" w:cs="宋体"/>
          <w:color w:val="auto"/>
          <w:sz w:val="21"/>
          <w:szCs w:val="21"/>
        </w:rPr>
        <w:t>。</w:t>
      </w:r>
    </w:p>
    <w:p w14:paraId="1EE86B93">
      <w:pPr>
        <w:pStyle w:val="3"/>
        <w:rPr>
          <w:rFonts w:hint="eastAsia" w:ascii="宋体" w:hAnsi="宋体" w:eastAsia="宋体" w:cs="宋体"/>
          <w:color w:val="auto"/>
          <w:sz w:val="21"/>
          <w:szCs w:val="21"/>
        </w:rPr>
      </w:pPr>
      <w:bookmarkStart w:id="224" w:name="_Toc1986"/>
      <w:r>
        <w:rPr>
          <w:rFonts w:hint="eastAsia" w:ascii="宋体" w:hAnsi="宋体" w:eastAsia="宋体" w:cs="宋体"/>
          <w:color w:val="auto"/>
          <w:sz w:val="21"/>
          <w:szCs w:val="21"/>
        </w:rPr>
        <w:t>15. 缺陷责任期与保修</w:t>
      </w:r>
      <w:bookmarkEnd w:id="224"/>
    </w:p>
    <w:p w14:paraId="1B10D1B4">
      <w:pPr>
        <w:pStyle w:val="4"/>
        <w:rPr>
          <w:rFonts w:hint="eastAsia" w:ascii="宋体" w:hAnsi="宋体" w:eastAsia="宋体" w:cs="宋体"/>
          <w:color w:val="auto"/>
          <w:sz w:val="21"/>
          <w:szCs w:val="21"/>
        </w:rPr>
      </w:pPr>
      <w:bookmarkStart w:id="225" w:name="_Toc24961"/>
      <w:r>
        <w:rPr>
          <w:rFonts w:hint="eastAsia" w:ascii="宋体" w:hAnsi="宋体" w:eastAsia="宋体" w:cs="宋体"/>
          <w:color w:val="auto"/>
          <w:sz w:val="21"/>
          <w:szCs w:val="21"/>
        </w:rPr>
        <w:t>15.2 缺陷责任期</w:t>
      </w:r>
      <w:bookmarkEnd w:id="225"/>
    </w:p>
    <w:p w14:paraId="69C44573">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缺陷责任期的具体期限：</w:t>
      </w:r>
      <w:r>
        <w:rPr>
          <w:rFonts w:hint="eastAsia" w:ascii="宋体" w:hAnsi="宋体" w:eastAsia="宋体" w:cs="宋体"/>
          <w:color w:val="auto"/>
          <w:sz w:val="21"/>
          <w:szCs w:val="21"/>
          <w:u w:val="single"/>
        </w:rPr>
        <w:t>按本合同《通用条款》相关规定执行</w:t>
      </w:r>
      <w:r>
        <w:rPr>
          <w:rFonts w:hint="eastAsia" w:ascii="宋体" w:hAnsi="宋体" w:eastAsia="宋体" w:cs="宋体"/>
          <w:color w:val="auto"/>
          <w:sz w:val="21"/>
          <w:szCs w:val="21"/>
        </w:rPr>
        <w:t>。</w:t>
      </w:r>
    </w:p>
    <w:p w14:paraId="28BAA77F">
      <w:pPr>
        <w:pStyle w:val="4"/>
        <w:rPr>
          <w:rFonts w:hint="eastAsia" w:ascii="宋体" w:hAnsi="宋体" w:eastAsia="宋体" w:cs="宋体"/>
          <w:color w:val="auto"/>
          <w:sz w:val="21"/>
          <w:szCs w:val="21"/>
        </w:rPr>
      </w:pPr>
      <w:bookmarkStart w:id="226" w:name="_Toc12881"/>
      <w:r>
        <w:rPr>
          <w:rFonts w:hint="eastAsia" w:ascii="宋体" w:hAnsi="宋体" w:eastAsia="宋体" w:cs="宋体"/>
          <w:color w:val="auto"/>
          <w:sz w:val="21"/>
          <w:szCs w:val="21"/>
        </w:rPr>
        <w:t>15.3 质量保证金</w:t>
      </w:r>
      <w:bookmarkEnd w:id="226"/>
    </w:p>
    <w:p w14:paraId="2DBE79C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关于是否扣留质量保证金的约定：</w:t>
      </w:r>
      <w:r>
        <w:rPr>
          <w:rFonts w:hint="eastAsia" w:ascii="宋体" w:hAnsi="宋体" w:eastAsia="宋体" w:cs="宋体"/>
          <w:color w:val="auto"/>
          <w:sz w:val="21"/>
          <w:szCs w:val="21"/>
          <w:u w:val="single"/>
        </w:rPr>
        <w:t>无</w:t>
      </w:r>
      <w:r>
        <w:rPr>
          <w:rFonts w:hint="eastAsia" w:ascii="宋体" w:hAnsi="宋体" w:eastAsia="宋体" w:cs="宋体"/>
          <w:color w:val="auto"/>
          <w:sz w:val="21"/>
          <w:szCs w:val="21"/>
        </w:rPr>
        <w:t>。</w:t>
      </w:r>
    </w:p>
    <w:p w14:paraId="0F35128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15.3.1 承包人提供质量保证金的方式</w:t>
      </w:r>
    </w:p>
    <w:p w14:paraId="754A845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质量保证金采用以下第种方式：</w:t>
      </w:r>
    </w:p>
    <w:p w14:paraId="76330471">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（1）质量保证金保函，保证金额为：</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64A9FE39">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bCs/>
          <w:color w:val="auto"/>
          <w:sz w:val="21"/>
          <w:szCs w:val="21"/>
        </w:rPr>
        <w:t>发包人按工程价款结算总额的</w:t>
      </w:r>
      <w:r>
        <w:rPr>
          <w:rFonts w:hint="eastAsia" w:ascii="宋体" w:hAnsi="宋体" w:eastAsia="宋体" w:cs="宋体"/>
          <w:bCs/>
          <w:color w:val="auto"/>
          <w:sz w:val="21"/>
          <w:szCs w:val="21"/>
          <w:u w:val="single"/>
        </w:rPr>
        <w:t xml:space="preserve">无 </w:t>
      </w:r>
      <w:r>
        <w:rPr>
          <w:rFonts w:hint="eastAsia" w:ascii="宋体" w:hAnsi="宋体" w:eastAsia="宋体" w:cs="宋体"/>
          <w:bCs/>
          <w:color w:val="auto"/>
          <w:sz w:val="21"/>
          <w:szCs w:val="21"/>
        </w:rPr>
        <w:t>预留工程质量保修金，待缺陷责任期满后返还</w:t>
      </w:r>
      <w:r>
        <w:rPr>
          <w:rFonts w:hint="eastAsia" w:ascii="宋体" w:hAnsi="宋体" w:eastAsia="宋体" w:cs="宋体"/>
          <w:color w:val="auto"/>
          <w:sz w:val="21"/>
          <w:szCs w:val="21"/>
        </w:rPr>
        <w:t>；</w:t>
      </w:r>
    </w:p>
    <w:p w14:paraId="21AF8608">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（3）其他方式：</w:t>
      </w:r>
      <w:r>
        <w:rPr>
          <w:rFonts w:hint="eastAsia" w:ascii="宋体" w:hAnsi="宋体" w:eastAsia="宋体" w:cs="宋体"/>
          <w:bCs/>
          <w:color w:val="auto"/>
          <w:sz w:val="21"/>
          <w:szCs w:val="21"/>
          <w:u w:val="single"/>
        </w:rPr>
        <w:t xml:space="preserve">         /                              </w:t>
      </w:r>
      <w:r>
        <w:rPr>
          <w:rFonts w:hint="eastAsia" w:ascii="宋体" w:hAnsi="宋体" w:eastAsia="宋体" w:cs="宋体"/>
          <w:bCs/>
          <w:color w:val="auto"/>
          <w:sz w:val="21"/>
          <w:szCs w:val="21"/>
        </w:rPr>
        <w:t>。</w:t>
      </w:r>
    </w:p>
    <w:p w14:paraId="0E9D54D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15.3.2 质量保证金的扣留</w:t>
      </w:r>
    </w:p>
    <w:p w14:paraId="714E510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质量保证金的扣留采取以下第种方式：</w:t>
      </w:r>
    </w:p>
    <w:p w14:paraId="7D68FA25">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（1）在支付工程进度款时逐次扣留，在此情形下，质量保证金的计算基数不包括预付款的支付、扣回以及价格调整的金额；</w:t>
      </w:r>
    </w:p>
    <w:p w14:paraId="52CDFD9E">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（2）工程竣工结算时一次性扣留质量保证金；</w:t>
      </w:r>
    </w:p>
    <w:p w14:paraId="48C0F4CA">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（3）其他扣留方式:</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060E41B6">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关于质量保证金的补充约定：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005A97E4">
      <w:pPr>
        <w:pStyle w:val="4"/>
        <w:rPr>
          <w:rFonts w:hint="eastAsia" w:ascii="宋体" w:hAnsi="宋体" w:eastAsia="宋体" w:cs="宋体"/>
          <w:color w:val="auto"/>
          <w:sz w:val="21"/>
          <w:szCs w:val="21"/>
        </w:rPr>
      </w:pPr>
      <w:bookmarkStart w:id="227" w:name="_Toc1899"/>
      <w:r>
        <w:rPr>
          <w:rFonts w:hint="eastAsia" w:ascii="宋体" w:hAnsi="宋体" w:eastAsia="宋体" w:cs="宋体"/>
          <w:color w:val="auto"/>
          <w:sz w:val="21"/>
          <w:szCs w:val="21"/>
        </w:rPr>
        <w:t>15.4 保修</w:t>
      </w:r>
      <w:bookmarkEnd w:id="227"/>
    </w:p>
    <w:p w14:paraId="47D3956B">
      <w:pPr>
        <w:spacing w:line="360" w:lineRule="auto"/>
        <w:ind w:firstLine="409" w:firstLineChars="195"/>
        <w:rPr>
          <w:rFonts w:hint="eastAsia" w:ascii="宋体" w:hAnsi="宋体" w:eastAsia="宋体" w:cs="宋体"/>
          <w:color w:val="auto"/>
          <w:sz w:val="21"/>
          <w:szCs w:val="21"/>
        </w:rPr>
      </w:pPr>
      <w:r>
        <w:rPr>
          <w:rFonts w:hint="eastAsia" w:ascii="宋体" w:hAnsi="宋体" w:eastAsia="宋体" w:cs="宋体"/>
          <w:color w:val="auto"/>
          <w:sz w:val="21"/>
          <w:szCs w:val="21"/>
        </w:rPr>
        <w:t>15.4.1 保修责任</w:t>
      </w:r>
    </w:p>
    <w:p w14:paraId="6EE4073D">
      <w:pPr>
        <w:spacing w:line="360" w:lineRule="auto"/>
        <w:ind w:firstLine="409" w:firstLineChars="195"/>
        <w:rPr>
          <w:rFonts w:hint="eastAsia" w:ascii="宋体" w:hAnsi="宋体" w:eastAsia="宋体" w:cs="宋体"/>
          <w:color w:val="auto"/>
          <w:sz w:val="21"/>
          <w:szCs w:val="21"/>
        </w:rPr>
      </w:pPr>
      <w:r>
        <w:rPr>
          <w:rFonts w:hint="eastAsia" w:ascii="宋体" w:hAnsi="宋体" w:eastAsia="宋体" w:cs="宋体"/>
          <w:color w:val="auto"/>
          <w:sz w:val="21"/>
          <w:szCs w:val="21"/>
        </w:rPr>
        <w:t>工程保修期为：</w:t>
      </w:r>
      <w:r>
        <w:rPr>
          <w:rFonts w:hint="eastAsia" w:ascii="宋体" w:hAnsi="宋体" w:eastAsia="宋体" w:cs="宋体"/>
          <w:color w:val="auto"/>
          <w:sz w:val="21"/>
          <w:szCs w:val="21"/>
          <w:u w:val="single"/>
        </w:rPr>
        <w:t xml:space="preserve">      详见工程质量保修书                      </w:t>
      </w:r>
      <w:r>
        <w:rPr>
          <w:rFonts w:hint="eastAsia" w:ascii="宋体" w:hAnsi="宋体" w:eastAsia="宋体" w:cs="宋体"/>
          <w:color w:val="auto"/>
          <w:sz w:val="21"/>
          <w:szCs w:val="21"/>
        </w:rPr>
        <w:t>。</w:t>
      </w:r>
    </w:p>
    <w:p w14:paraId="01A24689">
      <w:pPr>
        <w:spacing w:line="360" w:lineRule="auto"/>
        <w:ind w:firstLine="409" w:firstLineChars="195"/>
        <w:rPr>
          <w:rFonts w:hint="eastAsia" w:ascii="宋体" w:hAnsi="宋体" w:eastAsia="宋体" w:cs="宋体"/>
          <w:color w:val="auto"/>
          <w:sz w:val="21"/>
          <w:szCs w:val="21"/>
          <w:u w:val="single"/>
        </w:rPr>
      </w:pPr>
      <w:r>
        <w:rPr>
          <w:rFonts w:hint="eastAsia" w:ascii="宋体" w:hAnsi="宋体" w:eastAsia="宋体" w:cs="宋体"/>
          <w:color w:val="auto"/>
          <w:sz w:val="21"/>
          <w:szCs w:val="21"/>
        </w:rPr>
        <w:t>工程保修书具体内容见合同附件8。</w:t>
      </w:r>
    </w:p>
    <w:p w14:paraId="6EA94235">
      <w:pPr>
        <w:spacing w:line="360" w:lineRule="auto"/>
        <w:ind w:firstLine="409" w:firstLineChars="195"/>
        <w:rPr>
          <w:rFonts w:hint="eastAsia" w:ascii="宋体" w:hAnsi="宋体" w:eastAsia="宋体" w:cs="宋体"/>
          <w:color w:val="auto"/>
          <w:sz w:val="21"/>
          <w:szCs w:val="21"/>
        </w:rPr>
      </w:pPr>
      <w:r>
        <w:rPr>
          <w:rFonts w:hint="eastAsia" w:ascii="宋体" w:hAnsi="宋体" w:eastAsia="宋体" w:cs="宋体"/>
          <w:color w:val="auto"/>
          <w:sz w:val="21"/>
          <w:szCs w:val="21"/>
        </w:rPr>
        <w:t>15.4.3 修复通知</w:t>
      </w:r>
    </w:p>
    <w:p w14:paraId="1CE9090A">
      <w:pPr>
        <w:spacing w:line="360" w:lineRule="auto"/>
        <w:ind w:firstLine="409" w:firstLineChars="195"/>
        <w:rPr>
          <w:rFonts w:hint="eastAsia" w:ascii="宋体" w:hAnsi="宋体" w:eastAsia="宋体" w:cs="宋体"/>
          <w:color w:val="auto"/>
          <w:sz w:val="21"/>
          <w:szCs w:val="21"/>
        </w:rPr>
      </w:pPr>
      <w:r>
        <w:rPr>
          <w:rFonts w:hint="eastAsia" w:ascii="宋体" w:hAnsi="宋体" w:eastAsia="宋体" w:cs="宋体"/>
          <w:color w:val="auto"/>
          <w:sz w:val="21"/>
          <w:szCs w:val="21"/>
        </w:rPr>
        <w:t>承包人收到保修通知并到达工程现场的合理时间：</w:t>
      </w:r>
      <w:r>
        <w:rPr>
          <w:rFonts w:hint="eastAsia" w:ascii="宋体" w:hAnsi="宋体" w:eastAsia="宋体" w:cs="宋体"/>
          <w:color w:val="auto"/>
          <w:sz w:val="21"/>
          <w:szCs w:val="21"/>
          <w:u w:val="single"/>
        </w:rPr>
        <w:t xml:space="preserve">    24小时      </w:t>
      </w:r>
      <w:r>
        <w:rPr>
          <w:rFonts w:hint="eastAsia" w:ascii="宋体" w:hAnsi="宋体" w:eastAsia="宋体" w:cs="宋体"/>
          <w:color w:val="auto"/>
          <w:sz w:val="21"/>
          <w:szCs w:val="21"/>
        </w:rPr>
        <w:t>。</w:t>
      </w:r>
    </w:p>
    <w:p w14:paraId="02A6EBD0">
      <w:pPr>
        <w:pStyle w:val="3"/>
        <w:rPr>
          <w:rFonts w:hint="eastAsia" w:ascii="宋体" w:hAnsi="宋体" w:eastAsia="宋体" w:cs="宋体"/>
          <w:color w:val="auto"/>
          <w:sz w:val="21"/>
          <w:szCs w:val="21"/>
        </w:rPr>
      </w:pPr>
      <w:bookmarkStart w:id="228" w:name="_Toc19567"/>
      <w:r>
        <w:rPr>
          <w:rFonts w:hint="eastAsia" w:ascii="宋体" w:hAnsi="宋体" w:eastAsia="宋体" w:cs="宋体"/>
          <w:color w:val="auto"/>
          <w:sz w:val="21"/>
          <w:szCs w:val="21"/>
        </w:rPr>
        <w:t>16. 违约</w:t>
      </w:r>
      <w:bookmarkEnd w:id="228"/>
    </w:p>
    <w:p w14:paraId="39B8A342">
      <w:pPr>
        <w:pStyle w:val="4"/>
        <w:rPr>
          <w:rFonts w:hint="eastAsia" w:ascii="宋体" w:hAnsi="宋体" w:eastAsia="宋体" w:cs="宋体"/>
          <w:color w:val="auto"/>
          <w:sz w:val="21"/>
          <w:szCs w:val="21"/>
        </w:rPr>
      </w:pPr>
      <w:bookmarkStart w:id="229" w:name="_Toc8092"/>
      <w:r>
        <w:rPr>
          <w:rFonts w:hint="eastAsia" w:ascii="宋体" w:hAnsi="宋体" w:eastAsia="宋体" w:cs="宋体"/>
          <w:color w:val="auto"/>
          <w:sz w:val="21"/>
          <w:szCs w:val="21"/>
        </w:rPr>
        <w:t>16.1 发包人违约</w:t>
      </w:r>
      <w:bookmarkEnd w:id="229"/>
    </w:p>
    <w:p w14:paraId="6367EB6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16.1.1发包人违约的情形</w:t>
      </w:r>
    </w:p>
    <w:p w14:paraId="35A1E30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发包人违约的其他情形：</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75164F4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16.1.2 发包人违约的责任</w:t>
      </w:r>
    </w:p>
    <w:p w14:paraId="5EBACE6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发包人违约责任的承担方式和计算方法：</w:t>
      </w:r>
    </w:p>
    <w:p w14:paraId="5249B30F">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（1）因发包人原因未能在计划开工日期前7天内下达开工通知的违约责任：</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2B41EE1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（2）因发包人原因未能按合同约定支付合同价款的违约责任：</w:t>
      </w:r>
      <w:r>
        <w:rPr>
          <w:rFonts w:hint="eastAsia" w:ascii="宋体" w:hAnsi="宋体" w:eastAsia="宋体" w:cs="宋体"/>
          <w:bCs/>
          <w:color w:val="auto"/>
          <w:sz w:val="21"/>
          <w:szCs w:val="21"/>
          <w:u w:val="single"/>
        </w:rPr>
        <w:t>承包人与发包人签订延期付款协议，延期付款协议须经财政部门认可</w:t>
      </w:r>
      <w:r>
        <w:rPr>
          <w:rFonts w:hint="eastAsia" w:ascii="宋体" w:hAnsi="宋体" w:eastAsia="宋体" w:cs="宋体"/>
          <w:color w:val="auto"/>
          <w:sz w:val="21"/>
          <w:szCs w:val="21"/>
        </w:rPr>
        <w:t>。</w:t>
      </w:r>
    </w:p>
    <w:p w14:paraId="5D7AF06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（3）发包人违反第10.1款〔变更的范围〕第（2）项约定，自行实施被取消的工作或转由他人实施的违约责任：</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500C997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4504E54C">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（5）因发包人违反合同约定造成暂停施工的违约责任：</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1D7A6EB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（6）发包人无正当理由没有在约定期限内发出复工指示，导致承包人无法复工的违约责任：</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4F025BA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（7）其他：</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3E3A60D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16.1.3 因发包人违约解除合同</w:t>
      </w:r>
    </w:p>
    <w:p w14:paraId="0DD2EE85">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承包人按16.1.1项〔发包人违约的情形〕约定暂停施工满</w:t>
      </w:r>
      <w:r>
        <w:rPr>
          <w:rFonts w:hint="eastAsia" w:ascii="宋体" w:hAnsi="宋体" w:eastAsia="宋体" w:cs="宋体"/>
          <w:color w:val="auto"/>
          <w:sz w:val="21"/>
          <w:szCs w:val="21"/>
          <w:u w:val="single"/>
        </w:rPr>
        <w:t xml:space="preserve"> 20  </w:t>
      </w:r>
      <w:r>
        <w:rPr>
          <w:rFonts w:hint="eastAsia" w:ascii="宋体" w:hAnsi="宋体" w:eastAsia="宋体" w:cs="宋体"/>
          <w:color w:val="auto"/>
          <w:sz w:val="21"/>
          <w:szCs w:val="21"/>
        </w:rPr>
        <w:t>天后发包人仍不纠正其违约行为并致使合同目的不能实现的，承包人有权解除合同。</w:t>
      </w:r>
    </w:p>
    <w:p w14:paraId="2249946B">
      <w:pPr>
        <w:pStyle w:val="4"/>
        <w:rPr>
          <w:rFonts w:hint="eastAsia" w:ascii="宋体" w:hAnsi="宋体" w:eastAsia="宋体" w:cs="宋体"/>
          <w:color w:val="auto"/>
          <w:sz w:val="21"/>
          <w:szCs w:val="21"/>
        </w:rPr>
      </w:pPr>
      <w:bookmarkStart w:id="230" w:name="_Toc12759"/>
      <w:r>
        <w:rPr>
          <w:rFonts w:hint="eastAsia" w:ascii="宋体" w:hAnsi="宋体" w:eastAsia="宋体" w:cs="宋体"/>
          <w:color w:val="auto"/>
          <w:sz w:val="21"/>
          <w:szCs w:val="21"/>
        </w:rPr>
        <w:t>16.2 承包人违约</w:t>
      </w:r>
      <w:bookmarkEnd w:id="230"/>
    </w:p>
    <w:p w14:paraId="1E18E5F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16.2.1 承包人违约的情形</w:t>
      </w:r>
    </w:p>
    <w:p w14:paraId="22B53945">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承包人违约的其他情形：</w:t>
      </w:r>
      <w:r>
        <w:rPr>
          <w:rFonts w:hint="eastAsia" w:ascii="宋体" w:hAnsi="宋体" w:eastAsia="宋体" w:cs="宋体"/>
          <w:bCs/>
          <w:color w:val="auto"/>
          <w:sz w:val="21"/>
          <w:szCs w:val="21"/>
          <w:u w:val="single"/>
        </w:rPr>
        <w:t>承包人有违反《崇左市建设工程造价管理办法》规定的，按规定给予处罚</w:t>
      </w:r>
      <w:r>
        <w:rPr>
          <w:rFonts w:hint="eastAsia" w:ascii="宋体" w:hAnsi="宋体" w:eastAsia="宋体" w:cs="宋体"/>
          <w:color w:val="auto"/>
          <w:sz w:val="21"/>
          <w:szCs w:val="21"/>
        </w:rPr>
        <w:t>。</w:t>
      </w:r>
    </w:p>
    <w:p w14:paraId="35D7D6F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16.2.2承包人违约的责任</w:t>
      </w:r>
    </w:p>
    <w:p w14:paraId="10408A0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承包人违约责任的承担方式和计算方法：</w:t>
      </w:r>
    </w:p>
    <w:p w14:paraId="7019125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67CA75F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（2）承包人有本合同通用条款第16.2.1（6）条情形的，或经监理人检验认为修复质量不合格而承包人拒绝再进行修补的，发包人将扣除承包人全部质量保修金。</w:t>
      </w:r>
    </w:p>
    <w:p w14:paraId="0EB482C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01A3A8F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16.2.3 因承包人违约解除合同</w:t>
      </w:r>
    </w:p>
    <w:p w14:paraId="78E2777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关于承包人违约解除合同的特别约定：</w:t>
      </w:r>
      <w:r>
        <w:rPr>
          <w:rFonts w:hint="eastAsia" w:ascii="宋体" w:hAnsi="宋体" w:eastAsia="宋体" w:cs="宋体"/>
          <w:color w:val="auto"/>
          <w:sz w:val="21"/>
          <w:szCs w:val="21"/>
          <w:u w:val="single"/>
        </w:rPr>
        <w:t>承包人有违反以下情况之一的，发包人有权解除合同，并没收其全部履约保证金</w:t>
      </w:r>
      <w:r>
        <w:rPr>
          <w:rFonts w:hint="eastAsia" w:ascii="宋体" w:hAnsi="宋体" w:eastAsia="宋体" w:cs="宋体"/>
          <w:color w:val="auto"/>
          <w:sz w:val="21"/>
          <w:szCs w:val="21"/>
        </w:rPr>
        <w:t>。</w:t>
      </w:r>
    </w:p>
    <w:p w14:paraId="7270919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(1)承包人无正当理由不按开工通知的要求及时进场组织施工和不按签订协议书时商定的进度计划有效地开展施工准备，造成工期延误的；</w:t>
      </w:r>
    </w:p>
    <w:p w14:paraId="39FF066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(2)承包人违反本合同通用条款第3.5条规定私自将合同或合同的任何部分或任何权利转让给其他人，或私自将工程或工程的一部分分包出去的；</w:t>
      </w:r>
    </w:p>
    <w:p w14:paraId="420CEEE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(3)未经监理人批准，承包人私自将已按投标文件承诺进入工地的工程设备、施工设备、临时工程或材料撤离工地的；</w:t>
      </w:r>
    </w:p>
    <w:p w14:paraId="0F0A4C6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(4)由于承包人原因拒绝按合同进度计划及时完成合同规定的工程，而又未采取有效措施赶上进度，造成工期延误的；</w:t>
      </w:r>
    </w:p>
    <w:p w14:paraId="1525B4A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(5)承包人否认合同有效或拒绝履行合同规定的承包人义务，或由于法律、财务等原因导致承包人无法继续履行或实质上已停止履行合同的义务的；</w:t>
      </w:r>
    </w:p>
    <w:p w14:paraId="1CC5B36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(6)合同签订之日起十五日内，承包人无法按合同规定及投标文件的承诺进场经监理工程师认可的全部人员和机械的。</w:t>
      </w:r>
    </w:p>
    <w:p w14:paraId="7A73659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发包人继续使用承包人在施工现场的材料、设备、临时工程、承包人文件和由承包人或以其名义编制的其他文件的费用承担方式：</w:t>
      </w:r>
      <w:r>
        <w:rPr>
          <w:rFonts w:hint="eastAsia" w:ascii="宋体" w:hAnsi="宋体" w:eastAsia="宋体" w:cs="宋体"/>
          <w:color w:val="auto"/>
          <w:sz w:val="21"/>
          <w:szCs w:val="21"/>
          <w:u w:val="single"/>
        </w:rPr>
        <w:t xml:space="preserve"> 另行商定           </w:t>
      </w:r>
      <w:r>
        <w:rPr>
          <w:rFonts w:hint="eastAsia" w:ascii="宋体" w:hAnsi="宋体" w:eastAsia="宋体" w:cs="宋体"/>
          <w:color w:val="auto"/>
          <w:sz w:val="21"/>
          <w:szCs w:val="21"/>
        </w:rPr>
        <w:t>。</w:t>
      </w:r>
    </w:p>
    <w:p w14:paraId="227A4218">
      <w:pPr>
        <w:pStyle w:val="3"/>
        <w:rPr>
          <w:rFonts w:hint="eastAsia" w:ascii="宋体" w:hAnsi="宋体" w:eastAsia="宋体" w:cs="宋体"/>
          <w:color w:val="auto"/>
          <w:sz w:val="21"/>
          <w:szCs w:val="21"/>
        </w:rPr>
      </w:pPr>
      <w:bookmarkStart w:id="231" w:name="_Toc16528"/>
      <w:r>
        <w:rPr>
          <w:rFonts w:hint="eastAsia" w:ascii="宋体" w:hAnsi="宋体" w:eastAsia="宋体" w:cs="宋体"/>
          <w:color w:val="auto"/>
          <w:sz w:val="21"/>
          <w:szCs w:val="21"/>
        </w:rPr>
        <w:t>17. 不可抗力</w:t>
      </w:r>
      <w:bookmarkEnd w:id="231"/>
    </w:p>
    <w:p w14:paraId="3210ECF2">
      <w:pPr>
        <w:pStyle w:val="4"/>
        <w:rPr>
          <w:rFonts w:hint="eastAsia" w:ascii="宋体" w:hAnsi="宋体" w:eastAsia="宋体" w:cs="宋体"/>
          <w:color w:val="auto"/>
          <w:sz w:val="21"/>
          <w:szCs w:val="21"/>
        </w:rPr>
      </w:pPr>
      <w:bookmarkStart w:id="232" w:name="_Toc18970"/>
      <w:r>
        <w:rPr>
          <w:rFonts w:hint="eastAsia" w:ascii="宋体" w:hAnsi="宋体" w:eastAsia="宋体" w:cs="宋体"/>
          <w:color w:val="auto"/>
          <w:sz w:val="21"/>
          <w:szCs w:val="21"/>
        </w:rPr>
        <w:t>17.1 不可抗力的确认</w:t>
      </w:r>
      <w:bookmarkEnd w:id="232"/>
    </w:p>
    <w:p w14:paraId="3935E0C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除通用合同条款约定的不可抗力事件之外，视为不可抗力的其他情形：</w:t>
      </w:r>
    </w:p>
    <w:p w14:paraId="0C791D53">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（1）6级以上地震；</w:t>
      </w:r>
    </w:p>
    <w:p w14:paraId="59710902">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（2）10级以上持续1天的大风；</w:t>
      </w:r>
    </w:p>
    <w:p w14:paraId="46CE4F77">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（3）暴雨级以上持续1天的大雨；</w:t>
      </w:r>
    </w:p>
    <w:p w14:paraId="532152BE">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（4）50年以上未发生过，持续2天的高温天气；</w:t>
      </w:r>
    </w:p>
    <w:p w14:paraId="39B120B0">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（5）50年以上未发生过，持续2天的低温天气；</w:t>
      </w:r>
    </w:p>
    <w:p w14:paraId="775FDBE3">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（6）50年以上未发生过 的洪水；</w:t>
      </w:r>
    </w:p>
    <w:p w14:paraId="1FBB9697">
      <w:pPr>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（7）对以上几种形式，应以造成灾害和影响施工为准。</w:t>
      </w:r>
    </w:p>
    <w:p w14:paraId="2137150E">
      <w:pPr>
        <w:pStyle w:val="4"/>
        <w:rPr>
          <w:rFonts w:hint="eastAsia" w:ascii="宋体" w:hAnsi="宋体" w:eastAsia="宋体" w:cs="宋体"/>
          <w:color w:val="auto"/>
          <w:sz w:val="21"/>
          <w:szCs w:val="21"/>
        </w:rPr>
      </w:pPr>
      <w:bookmarkStart w:id="233" w:name="_Toc14988"/>
      <w:r>
        <w:rPr>
          <w:rFonts w:hint="eastAsia" w:ascii="宋体" w:hAnsi="宋体" w:eastAsia="宋体" w:cs="宋体"/>
          <w:color w:val="auto"/>
          <w:sz w:val="21"/>
          <w:szCs w:val="21"/>
        </w:rPr>
        <w:t>17.4 因不可抗力解除合同</w:t>
      </w:r>
      <w:bookmarkEnd w:id="233"/>
    </w:p>
    <w:p w14:paraId="3E96618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合同解除后，发包人应在商定或确定发包人应支付款项后</w:t>
      </w:r>
      <w:r>
        <w:rPr>
          <w:rFonts w:hint="eastAsia" w:ascii="宋体" w:hAnsi="宋体" w:eastAsia="宋体" w:cs="宋体"/>
          <w:color w:val="auto"/>
          <w:sz w:val="21"/>
          <w:szCs w:val="21"/>
          <w:u w:val="single"/>
        </w:rPr>
        <w:t xml:space="preserve">  28  </w:t>
      </w:r>
      <w:r>
        <w:rPr>
          <w:rFonts w:hint="eastAsia" w:ascii="宋体" w:hAnsi="宋体" w:eastAsia="宋体" w:cs="宋体"/>
          <w:color w:val="auto"/>
          <w:sz w:val="21"/>
          <w:szCs w:val="21"/>
        </w:rPr>
        <w:t>天内完成款项的支付。</w:t>
      </w:r>
    </w:p>
    <w:p w14:paraId="5C300253">
      <w:pPr>
        <w:pStyle w:val="3"/>
        <w:rPr>
          <w:rFonts w:hint="eastAsia" w:ascii="宋体" w:hAnsi="宋体" w:eastAsia="宋体" w:cs="宋体"/>
          <w:color w:val="auto"/>
          <w:sz w:val="21"/>
          <w:szCs w:val="21"/>
        </w:rPr>
      </w:pPr>
      <w:bookmarkStart w:id="234" w:name="_Toc30585"/>
      <w:r>
        <w:rPr>
          <w:rFonts w:hint="eastAsia" w:ascii="宋体" w:hAnsi="宋体" w:eastAsia="宋体" w:cs="宋体"/>
          <w:color w:val="auto"/>
          <w:sz w:val="21"/>
          <w:szCs w:val="21"/>
        </w:rPr>
        <w:t>18. 保险</w:t>
      </w:r>
      <w:bookmarkEnd w:id="234"/>
    </w:p>
    <w:p w14:paraId="0E431C3D">
      <w:pPr>
        <w:pStyle w:val="4"/>
        <w:rPr>
          <w:rFonts w:hint="eastAsia" w:ascii="宋体" w:hAnsi="宋体" w:eastAsia="宋体" w:cs="宋体"/>
          <w:color w:val="auto"/>
          <w:sz w:val="21"/>
          <w:szCs w:val="21"/>
        </w:rPr>
      </w:pPr>
      <w:bookmarkStart w:id="235" w:name="_Toc13719"/>
      <w:r>
        <w:rPr>
          <w:rFonts w:hint="eastAsia" w:ascii="宋体" w:hAnsi="宋体" w:eastAsia="宋体" w:cs="宋体"/>
          <w:color w:val="auto"/>
          <w:sz w:val="21"/>
          <w:szCs w:val="21"/>
        </w:rPr>
        <w:t>18.1 工程保险</w:t>
      </w:r>
      <w:bookmarkEnd w:id="235"/>
    </w:p>
    <w:p w14:paraId="1B166D6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关于工程保险的特别约定：</w:t>
      </w:r>
      <w:r>
        <w:rPr>
          <w:rFonts w:hint="eastAsia" w:ascii="宋体" w:hAnsi="宋体" w:eastAsia="宋体" w:cs="宋体"/>
          <w:color w:val="auto"/>
          <w:sz w:val="21"/>
          <w:szCs w:val="21"/>
          <w:u w:val="single"/>
        </w:rPr>
        <w:t xml:space="preserve"> 包括建筑工程一切险和安装工程一切险 </w:t>
      </w:r>
      <w:r>
        <w:rPr>
          <w:rFonts w:hint="eastAsia" w:ascii="宋体" w:hAnsi="宋体" w:eastAsia="宋体" w:cs="宋体"/>
          <w:color w:val="auto"/>
          <w:sz w:val="21"/>
          <w:szCs w:val="21"/>
        </w:rPr>
        <w:t>。</w:t>
      </w:r>
    </w:p>
    <w:p w14:paraId="6BD9425F">
      <w:pPr>
        <w:pStyle w:val="4"/>
        <w:pageBreakBefore w:val="0"/>
        <w:widowControl w:val="0"/>
        <w:kinsoku/>
        <w:wordWrap/>
        <w:overflowPunct/>
        <w:topLinePunct w:val="0"/>
        <w:autoSpaceDE/>
        <w:autoSpaceDN/>
        <w:bidi w:val="0"/>
        <w:snapToGrid/>
        <w:spacing w:before="0" w:after="0" w:line="520" w:lineRule="atLeast"/>
        <w:ind w:left="0" w:leftChars="0"/>
        <w:textAlignment w:val="auto"/>
        <w:rPr>
          <w:rFonts w:hint="eastAsia" w:ascii="宋体" w:hAnsi="宋体" w:eastAsia="宋体" w:cs="宋体"/>
          <w:color w:val="auto"/>
          <w:sz w:val="21"/>
          <w:szCs w:val="21"/>
        </w:rPr>
      </w:pPr>
      <w:bookmarkStart w:id="236" w:name="_Toc32130"/>
      <w:r>
        <w:rPr>
          <w:rFonts w:hint="eastAsia" w:ascii="宋体" w:hAnsi="宋体" w:eastAsia="宋体" w:cs="宋体"/>
          <w:color w:val="auto"/>
          <w:sz w:val="21"/>
          <w:szCs w:val="21"/>
        </w:rPr>
        <w:t>18.3 其他保险</w:t>
      </w:r>
      <w:bookmarkEnd w:id="236"/>
    </w:p>
    <w:p w14:paraId="1A61C2C5">
      <w:pPr>
        <w:pageBreakBefore w:val="0"/>
        <w:widowControl w:val="0"/>
        <w:kinsoku/>
        <w:wordWrap/>
        <w:overflowPunct/>
        <w:topLinePunct w:val="0"/>
        <w:autoSpaceDE/>
        <w:autoSpaceDN/>
        <w:bidi w:val="0"/>
        <w:snapToGrid/>
        <w:spacing w:line="520" w:lineRule="atLeas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关于其他保险的约定：</w:t>
      </w:r>
      <w:r>
        <w:rPr>
          <w:rFonts w:hint="eastAsia" w:ascii="宋体" w:hAnsi="宋体" w:eastAsia="宋体" w:cs="宋体"/>
          <w:color w:val="auto"/>
          <w:sz w:val="21"/>
          <w:szCs w:val="21"/>
          <w:u w:val="single"/>
        </w:rPr>
        <w:t>承包人必须为施工现场从事施工的所有作业人员和管理人员办理人身意外伤害保险，并支付保险费</w:t>
      </w:r>
      <w:r>
        <w:rPr>
          <w:rFonts w:hint="eastAsia" w:ascii="宋体" w:hAnsi="宋体" w:eastAsia="宋体" w:cs="宋体"/>
          <w:bCs/>
          <w:color w:val="auto"/>
          <w:sz w:val="21"/>
          <w:szCs w:val="21"/>
        </w:rPr>
        <w:t>。</w:t>
      </w:r>
    </w:p>
    <w:p w14:paraId="0861D868">
      <w:pPr>
        <w:pageBreakBefore w:val="0"/>
        <w:widowControl w:val="0"/>
        <w:kinsoku/>
        <w:wordWrap/>
        <w:overflowPunct/>
        <w:topLinePunct w:val="0"/>
        <w:autoSpaceDE/>
        <w:autoSpaceDN/>
        <w:bidi w:val="0"/>
        <w:snapToGrid/>
        <w:spacing w:line="520" w:lineRule="atLeast"/>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承包人是否应为其施工设备等办理财产保险：</w:t>
      </w:r>
      <w:r>
        <w:rPr>
          <w:rFonts w:hint="eastAsia" w:ascii="宋体" w:hAnsi="宋体" w:eastAsia="宋体" w:cs="宋体"/>
          <w:color w:val="auto"/>
          <w:sz w:val="21"/>
          <w:szCs w:val="21"/>
          <w:u w:val="single"/>
        </w:rPr>
        <w:t xml:space="preserve">              是       </w:t>
      </w:r>
      <w:r>
        <w:rPr>
          <w:rFonts w:hint="eastAsia" w:ascii="宋体" w:hAnsi="宋体" w:eastAsia="宋体" w:cs="宋体"/>
          <w:color w:val="auto"/>
          <w:sz w:val="21"/>
          <w:szCs w:val="21"/>
        </w:rPr>
        <w:t>。</w:t>
      </w:r>
    </w:p>
    <w:p w14:paraId="57AE4894">
      <w:pPr>
        <w:pStyle w:val="4"/>
        <w:pageBreakBefore w:val="0"/>
        <w:widowControl w:val="0"/>
        <w:kinsoku/>
        <w:wordWrap/>
        <w:overflowPunct/>
        <w:topLinePunct w:val="0"/>
        <w:autoSpaceDE/>
        <w:autoSpaceDN/>
        <w:bidi w:val="0"/>
        <w:snapToGrid/>
        <w:spacing w:before="0" w:after="0" w:line="520" w:lineRule="atLeast"/>
        <w:ind w:left="0" w:leftChars="0"/>
        <w:textAlignment w:val="auto"/>
        <w:rPr>
          <w:rFonts w:hint="eastAsia" w:ascii="宋体" w:hAnsi="宋体" w:eastAsia="宋体" w:cs="宋体"/>
          <w:color w:val="auto"/>
          <w:sz w:val="21"/>
          <w:szCs w:val="21"/>
        </w:rPr>
      </w:pPr>
      <w:bookmarkStart w:id="237" w:name="_Toc15390"/>
      <w:r>
        <w:rPr>
          <w:rFonts w:hint="eastAsia" w:ascii="宋体" w:hAnsi="宋体" w:eastAsia="宋体" w:cs="宋体"/>
          <w:color w:val="auto"/>
          <w:sz w:val="21"/>
          <w:szCs w:val="21"/>
        </w:rPr>
        <w:t>18.7 通知义务</w:t>
      </w:r>
      <w:bookmarkEnd w:id="237"/>
    </w:p>
    <w:p w14:paraId="165A6CC5">
      <w:pPr>
        <w:pageBreakBefore w:val="0"/>
        <w:widowControl w:val="0"/>
        <w:kinsoku/>
        <w:wordWrap/>
        <w:overflowPunct/>
        <w:topLinePunct w:val="0"/>
        <w:autoSpaceDE/>
        <w:autoSpaceDN/>
        <w:bidi w:val="0"/>
        <w:snapToGrid/>
        <w:spacing w:line="520" w:lineRule="atLeast"/>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关于变更保险合同时的通知义务的约定：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404DBB19">
      <w:pPr>
        <w:pStyle w:val="3"/>
        <w:pageBreakBefore w:val="0"/>
        <w:widowControl w:val="0"/>
        <w:kinsoku/>
        <w:wordWrap/>
        <w:overflowPunct/>
        <w:topLinePunct w:val="0"/>
        <w:autoSpaceDE/>
        <w:autoSpaceDN/>
        <w:bidi w:val="0"/>
        <w:snapToGrid/>
        <w:spacing w:before="0" w:after="0" w:line="520" w:lineRule="atLeast"/>
        <w:ind w:left="0" w:leftChars="0"/>
        <w:textAlignment w:val="auto"/>
        <w:rPr>
          <w:rFonts w:hint="eastAsia" w:ascii="宋体" w:hAnsi="宋体" w:eastAsia="宋体" w:cs="宋体"/>
          <w:color w:val="auto"/>
          <w:sz w:val="21"/>
          <w:szCs w:val="21"/>
        </w:rPr>
      </w:pPr>
      <w:bookmarkStart w:id="238" w:name="_Toc9629"/>
      <w:r>
        <w:rPr>
          <w:rFonts w:hint="eastAsia" w:ascii="宋体" w:hAnsi="宋体" w:eastAsia="宋体" w:cs="宋体"/>
          <w:color w:val="auto"/>
          <w:sz w:val="21"/>
          <w:szCs w:val="21"/>
        </w:rPr>
        <w:t>20. 争议解决</w:t>
      </w:r>
      <w:bookmarkEnd w:id="238"/>
    </w:p>
    <w:p w14:paraId="6B498C22">
      <w:pPr>
        <w:pStyle w:val="4"/>
        <w:pageBreakBefore w:val="0"/>
        <w:widowControl w:val="0"/>
        <w:kinsoku/>
        <w:wordWrap/>
        <w:overflowPunct/>
        <w:topLinePunct w:val="0"/>
        <w:autoSpaceDE/>
        <w:autoSpaceDN/>
        <w:bidi w:val="0"/>
        <w:snapToGrid/>
        <w:spacing w:before="0" w:after="0" w:line="520" w:lineRule="atLeast"/>
        <w:ind w:left="0" w:leftChars="0"/>
        <w:textAlignment w:val="auto"/>
        <w:rPr>
          <w:rFonts w:hint="eastAsia" w:ascii="宋体" w:hAnsi="宋体" w:eastAsia="宋体" w:cs="宋体"/>
          <w:color w:val="auto"/>
          <w:sz w:val="21"/>
          <w:szCs w:val="21"/>
        </w:rPr>
      </w:pPr>
      <w:bookmarkStart w:id="239" w:name="_Toc32729"/>
      <w:r>
        <w:rPr>
          <w:rFonts w:hint="eastAsia" w:ascii="宋体" w:hAnsi="宋体" w:eastAsia="宋体" w:cs="宋体"/>
          <w:color w:val="auto"/>
          <w:sz w:val="21"/>
          <w:szCs w:val="21"/>
        </w:rPr>
        <w:t>20.3 争议评审</w:t>
      </w:r>
      <w:bookmarkEnd w:id="239"/>
    </w:p>
    <w:p w14:paraId="504A6972">
      <w:pPr>
        <w:pageBreakBefore w:val="0"/>
        <w:widowControl w:val="0"/>
        <w:kinsoku/>
        <w:wordWrap/>
        <w:overflowPunct/>
        <w:topLinePunct w:val="0"/>
        <w:autoSpaceDE/>
        <w:autoSpaceDN/>
        <w:bidi w:val="0"/>
        <w:snapToGrid/>
        <w:spacing w:line="520" w:lineRule="atLeast"/>
        <w:ind w:left="0" w:leftChars="0" w:firstLine="315" w:firstLineChars="15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合同当事人是否同意将工程争议提交争议评审小组决定：</w:t>
      </w:r>
      <w:r>
        <w:rPr>
          <w:rFonts w:hint="eastAsia" w:ascii="宋体" w:hAnsi="宋体" w:eastAsia="宋体" w:cs="宋体"/>
          <w:color w:val="auto"/>
          <w:sz w:val="21"/>
          <w:szCs w:val="21"/>
          <w:u w:val="single"/>
        </w:rPr>
        <w:t>否</w:t>
      </w:r>
      <w:r>
        <w:rPr>
          <w:rFonts w:hint="eastAsia" w:ascii="宋体" w:hAnsi="宋体" w:eastAsia="宋体" w:cs="宋体"/>
          <w:color w:val="auto"/>
          <w:sz w:val="21"/>
          <w:szCs w:val="21"/>
        </w:rPr>
        <w:t>。</w:t>
      </w:r>
    </w:p>
    <w:p w14:paraId="0E58A00F">
      <w:pPr>
        <w:pageBreakBefore w:val="0"/>
        <w:widowControl w:val="0"/>
        <w:kinsoku/>
        <w:wordWrap/>
        <w:overflowPunct/>
        <w:topLinePunct w:val="0"/>
        <w:autoSpaceDE/>
        <w:autoSpaceDN/>
        <w:bidi w:val="0"/>
        <w:snapToGrid/>
        <w:spacing w:line="520" w:lineRule="atLeas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20.3.1 争议评审小组的确定</w:t>
      </w:r>
    </w:p>
    <w:p w14:paraId="526EDAED">
      <w:pPr>
        <w:pageBreakBefore w:val="0"/>
        <w:widowControl w:val="0"/>
        <w:kinsoku/>
        <w:wordWrap/>
        <w:overflowPunct/>
        <w:topLinePunct w:val="0"/>
        <w:autoSpaceDE/>
        <w:autoSpaceDN/>
        <w:bidi w:val="0"/>
        <w:snapToGrid/>
        <w:spacing w:line="520" w:lineRule="atLeast"/>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争议评审小组成员的确定：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4B6EB9C1">
      <w:pPr>
        <w:pageBreakBefore w:val="0"/>
        <w:widowControl w:val="0"/>
        <w:kinsoku/>
        <w:wordWrap/>
        <w:overflowPunct/>
        <w:topLinePunct w:val="0"/>
        <w:autoSpaceDE/>
        <w:autoSpaceDN/>
        <w:bidi w:val="0"/>
        <w:snapToGrid/>
        <w:spacing w:line="520" w:lineRule="atLeas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选定争议评审员的期限：</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718CC137">
      <w:pPr>
        <w:pageBreakBefore w:val="0"/>
        <w:widowControl w:val="0"/>
        <w:kinsoku/>
        <w:wordWrap/>
        <w:overflowPunct/>
        <w:topLinePunct w:val="0"/>
        <w:autoSpaceDE/>
        <w:autoSpaceDN/>
        <w:bidi w:val="0"/>
        <w:snapToGrid/>
        <w:spacing w:line="520" w:lineRule="atLeas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争议评审小组成员的报酬承担方式：</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5EB56FF6">
      <w:pPr>
        <w:pageBreakBefore w:val="0"/>
        <w:widowControl w:val="0"/>
        <w:kinsoku/>
        <w:wordWrap/>
        <w:overflowPunct/>
        <w:topLinePunct w:val="0"/>
        <w:autoSpaceDE/>
        <w:autoSpaceDN/>
        <w:bidi w:val="0"/>
        <w:snapToGrid/>
        <w:spacing w:line="520" w:lineRule="atLeas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其他事项的约定：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5F44009B">
      <w:pPr>
        <w:pageBreakBefore w:val="0"/>
        <w:widowControl w:val="0"/>
        <w:kinsoku/>
        <w:wordWrap/>
        <w:overflowPunct/>
        <w:topLinePunct w:val="0"/>
        <w:autoSpaceDE/>
        <w:autoSpaceDN/>
        <w:bidi w:val="0"/>
        <w:adjustRightInd w:val="0"/>
        <w:snapToGrid/>
        <w:spacing w:line="520" w:lineRule="atLeas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20.3.2 争议评审小组的决定</w:t>
      </w:r>
    </w:p>
    <w:p w14:paraId="43D1F2DD">
      <w:pPr>
        <w:pageBreakBefore w:val="0"/>
        <w:widowControl w:val="0"/>
        <w:kinsoku/>
        <w:wordWrap/>
        <w:overflowPunct/>
        <w:topLinePunct w:val="0"/>
        <w:autoSpaceDE/>
        <w:autoSpaceDN/>
        <w:bidi w:val="0"/>
        <w:snapToGrid/>
        <w:spacing w:line="520" w:lineRule="atLeas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合同当事人关于本项的约定：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1AF14E50">
      <w:pPr>
        <w:pStyle w:val="4"/>
        <w:pageBreakBefore w:val="0"/>
        <w:widowControl w:val="0"/>
        <w:kinsoku/>
        <w:wordWrap/>
        <w:overflowPunct/>
        <w:topLinePunct w:val="0"/>
        <w:autoSpaceDE/>
        <w:autoSpaceDN/>
        <w:bidi w:val="0"/>
        <w:snapToGrid/>
        <w:spacing w:before="0" w:after="0" w:line="520" w:lineRule="atLeast"/>
        <w:ind w:left="0" w:leftChars="0"/>
        <w:textAlignment w:val="auto"/>
        <w:rPr>
          <w:rFonts w:hint="eastAsia" w:ascii="宋体" w:hAnsi="宋体" w:eastAsia="宋体" w:cs="宋体"/>
          <w:color w:val="auto"/>
          <w:sz w:val="21"/>
          <w:szCs w:val="21"/>
        </w:rPr>
      </w:pPr>
      <w:bookmarkStart w:id="240" w:name="_Toc22760"/>
      <w:r>
        <w:rPr>
          <w:rFonts w:hint="eastAsia" w:ascii="宋体" w:hAnsi="宋体" w:eastAsia="宋体" w:cs="宋体"/>
          <w:color w:val="auto"/>
          <w:sz w:val="21"/>
          <w:szCs w:val="21"/>
        </w:rPr>
        <w:t>20.4 仲裁或诉讼</w:t>
      </w:r>
      <w:bookmarkEnd w:id="240"/>
    </w:p>
    <w:p w14:paraId="0A551F1F">
      <w:pPr>
        <w:pageBreakBefore w:val="0"/>
        <w:widowControl w:val="0"/>
        <w:kinsoku/>
        <w:wordWrap/>
        <w:overflowPunct/>
        <w:topLinePunct w:val="0"/>
        <w:autoSpaceDE/>
        <w:autoSpaceDN/>
        <w:bidi w:val="0"/>
        <w:snapToGrid/>
        <w:spacing w:line="520" w:lineRule="atLeas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因合同及合同有关事项发生的争议，按下列第</w:t>
      </w:r>
      <w:r>
        <w:rPr>
          <w:rFonts w:hint="eastAsia" w:ascii="宋体" w:hAnsi="宋体" w:eastAsia="宋体" w:cs="宋体"/>
          <w:color w:val="auto"/>
          <w:sz w:val="21"/>
          <w:szCs w:val="21"/>
          <w:u w:val="single"/>
        </w:rPr>
        <w:t xml:space="preserve">   1  </w:t>
      </w:r>
      <w:r>
        <w:rPr>
          <w:rFonts w:hint="eastAsia" w:ascii="宋体" w:hAnsi="宋体" w:eastAsia="宋体" w:cs="宋体"/>
          <w:color w:val="auto"/>
          <w:sz w:val="21"/>
          <w:szCs w:val="21"/>
        </w:rPr>
        <w:t>种方式解决：</w:t>
      </w:r>
    </w:p>
    <w:p w14:paraId="501EB941">
      <w:pPr>
        <w:pageBreakBefore w:val="0"/>
        <w:widowControl w:val="0"/>
        <w:kinsoku/>
        <w:wordWrap/>
        <w:overflowPunct/>
        <w:topLinePunct w:val="0"/>
        <w:autoSpaceDE/>
        <w:autoSpaceDN/>
        <w:bidi w:val="0"/>
        <w:snapToGrid/>
        <w:spacing w:line="520" w:lineRule="atLeas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（1）提请</w:t>
      </w:r>
      <w:r>
        <w:rPr>
          <w:rFonts w:hint="eastAsia" w:ascii="宋体" w:hAnsi="宋体" w:cs="宋体"/>
          <w:color w:val="auto"/>
          <w:sz w:val="21"/>
          <w:szCs w:val="21"/>
          <w:u w:val="single"/>
          <w:lang w:val="en-US" w:eastAsia="zh-CN"/>
        </w:rPr>
        <w:t>龙州</w:t>
      </w:r>
      <w:r>
        <w:rPr>
          <w:rFonts w:hint="eastAsia" w:ascii="宋体" w:hAnsi="宋体" w:eastAsia="宋体" w:cs="宋体"/>
          <w:color w:val="auto"/>
          <w:sz w:val="21"/>
          <w:szCs w:val="21"/>
          <w:u w:val="single"/>
        </w:rPr>
        <w:t>县</w:t>
      </w:r>
      <w:r>
        <w:rPr>
          <w:rFonts w:hint="eastAsia" w:ascii="宋体" w:hAnsi="宋体" w:eastAsia="宋体" w:cs="宋体"/>
          <w:color w:val="auto"/>
          <w:sz w:val="21"/>
          <w:szCs w:val="21"/>
        </w:rPr>
        <w:t>仲裁委员会按照该会仲裁规则进行仲裁，仲裁裁决是终局的，对合同双方均有约束力。</w:t>
      </w:r>
    </w:p>
    <w:p w14:paraId="64ACF56F">
      <w:pPr>
        <w:pageBreakBefore w:val="0"/>
        <w:widowControl w:val="0"/>
        <w:kinsoku/>
        <w:wordWrap/>
        <w:overflowPunct/>
        <w:topLinePunct w:val="0"/>
        <w:autoSpaceDE/>
        <w:autoSpaceDN/>
        <w:bidi w:val="0"/>
        <w:snapToGrid/>
        <w:spacing w:line="520" w:lineRule="atLeas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（2）向</w:t>
      </w:r>
      <w:r>
        <w:rPr>
          <w:rFonts w:hint="eastAsia" w:ascii="宋体" w:hAnsi="宋体" w:cs="宋体"/>
          <w:color w:val="auto"/>
          <w:sz w:val="21"/>
          <w:szCs w:val="21"/>
          <w:u w:val="single"/>
          <w:lang w:val="en-US" w:eastAsia="zh-CN"/>
        </w:rPr>
        <w:t>龙州</w:t>
      </w:r>
      <w:r>
        <w:rPr>
          <w:rFonts w:hint="eastAsia" w:ascii="宋体" w:hAnsi="宋体" w:eastAsia="宋体" w:cs="宋体"/>
          <w:color w:val="auto"/>
          <w:sz w:val="21"/>
          <w:szCs w:val="21"/>
          <w:u w:val="single"/>
        </w:rPr>
        <w:t>县</w:t>
      </w:r>
      <w:r>
        <w:rPr>
          <w:rFonts w:hint="eastAsia" w:ascii="宋体" w:hAnsi="宋体" w:eastAsia="宋体" w:cs="宋体"/>
          <w:color w:val="auto"/>
          <w:sz w:val="21"/>
          <w:szCs w:val="21"/>
        </w:rPr>
        <w:t>人民法院起诉。</w:t>
      </w:r>
    </w:p>
    <w:p w14:paraId="1C7AAA03">
      <w:pPr>
        <w:pageBreakBefore w:val="0"/>
        <w:widowControl w:val="0"/>
        <w:kinsoku/>
        <w:wordWrap/>
        <w:overflowPunct/>
        <w:topLinePunct w:val="0"/>
        <w:autoSpaceDE/>
        <w:autoSpaceDN/>
        <w:bidi w:val="0"/>
        <w:snapToGrid/>
        <w:spacing w:line="520" w:lineRule="atLeast"/>
        <w:ind w:left="0" w:leftChars="0" w:firstLine="420" w:firstLineChars="200"/>
        <w:textAlignment w:val="auto"/>
        <w:rPr>
          <w:rFonts w:hint="eastAsia" w:ascii="宋体" w:hAnsi="宋体" w:eastAsia="宋体" w:cs="宋体"/>
          <w:color w:val="auto"/>
          <w:sz w:val="21"/>
          <w:szCs w:val="21"/>
        </w:rPr>
      </w:pPr>
    </w:p>
    <w:bookmarkEnd w:id="152"/>
    <w:bookmarkEnd w:id="153"/>
    <w:bookmarkEnd w:id="154"/>
    <w:bookmarkEnd w:id="155"/>
    <w:bookmarkEnd w:id="156"/>
    <w:bookmarkEnd w:id="157"/>
    <w:p w14:paraId="6BED4893">
      <w:pPr>
        <w:pStyle w:val="180"/>
        <w:spacing w:line="360" w:lineRule="auto"/>
        <w:rPr>
          <w:rFonts w:hint="eastAsia" w:ascii="宋体" w:hAnsi="宋体" w:eastAsia="宋体" w:cs="宋体"/>
          <w:color w:val="auto"/>
          <w:sz w:val="21"/>
          <w:szCs w:val="21"/>
        </w:rPr>
      </w:pPr>
    </w:p>
    <w:p w14:paraId="09F2768D">
      <w:pPr>
        <w:pStyle w:val="242"/>
        <w:spacing w:beforeLines="50" w:afterLines="50"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工程质量保修书（房屋建筑工程）</w:t>
      </w:r>
    </w:p>
    <w:p w14:paraId="187385AA">
      <w:pPr>
        <w:pStyle w:val="242"/>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发包人（全称）：</w:t>
      </w:r>
    </w:p>
    <w:p w14:paraId="038BEEF6">
      <w:pPr>
        <w:pStyle w:val="242"/>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承包人（全称）：</w:t>
      </w:r>
    </w:p>
    <w:p w14:paraId="6352775A">
      <w:pPr>
        <w:pStyle w:val="242"/>
        <w:spacing w:line="440" w:lineRule="exact"/>
        <w:rPr>
          <w:rFonts w:hint="eastAsia" w:ascii="宋体" w:hAnsi="宋体" w:eastAsia="宋体" w:cs="宋体"/>
          <w:color w:val="auto"/>
          <w:sz w:val="21"/>
          <w:szCs w:val="21"/>
        </w:rPr>
      </w:pPr>
    </w:p>
    <w:p w14:paraId="1C43CE42">
      <w:pPr>
        <w:pStyle w:val="242"/>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发包人和承包人根据《中华人民共和国建筑法》和《建设工程质量管理条例》，经协商一致就（工程全称）签订工程质量保修书。</w:t>
      </w:r>
    </w:p>
    <w:p w14:paraId="46D21EDF">
      <w:pPr>
        <w:pStyle w:val="242"/>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一、工程质量保修范围和内容</w:t>
      </w:r>
    </w:p>
    <w:p w14:paraId="2D43004A">
      <w:pPr>
        <w:pStyle w:val="242"/>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承包人在质量保修期内，按照有关法律规定和合同约定，承担工程质量保修责任。</w:t>
      </w:r>
    </w:p>
    <w:p w14:paraId="19029364">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145BC48">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u w:val="single"/>
        </w:rPr>
        <w:t>在承包人承包范围内，属承包人责任造成的工程质量问题，由承包人承担保修责任</w:t>
      </w:r>
      <w:r>
        <w:rPr>
          <w:rFonts w:hint="eastAsia" w:ascii="宋体" w:hAnsi="宋体" w:eastAsia="宋体" w:cs="宋体"/>
          <w:color w:val="auto"/>
          <w:sz w:val="21"/>
          <w:szCs w:val="21"/>
        </w:rPr>
        <w:t>。</w:t>
      </w:r>
    </w:p>
    <w:p w14:paraId="2525894C">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二、质量保修期</w:t>
      </w:r>
    </w:p>
    <w:p w14:paraId="2D109284">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根据《建设工程质量管理条例》及有关规定，工程的质量保修期如下：</w:t>
      </w:r>
    </w:p>
    <w:p w14:paraId="72E1EAB5">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1．地基基础工程和主体结构工程为设计文件规定的工程合理使用年限；</w:t>
      </w:r>
    </w:p>
    <w:p w14:paraId="3CA05A40">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2．屋面防水工程、有防水要求的卫生间、房间和外墙面的防渗为</w:t>
      </w:r>
      <w:r>
        <w:rPr>
          <w:rFonts w:hint="eastAsia" w:ascii="宋体" w:hAnsi="宋体" w:eastAsia="宋体" w:cs="宋体"/>
          <w:color w:val="auto"/>
          <w:sz w:val="21"/>
          <w:szCs w:val="21"/>
          <w:u w:val="single"/>
        </w:rPr>
        <w:t>伍</w:t>
      </w:r>
      <w:r>
        <w:rPr>
          <w:rFonts w:hint="eastAsia" w:ascii="宋体" w:hAnsi="宋体" w:eastAsia="宋体" w:cs="宋体"/>
          <w:color w:val="auto"/>
          <w:sz w:val="21"/>
          <w:szCs w:val="21"/>
        </w:rPr>
        <w:t>年；</w:t>
      </w:r>
    </w:p>
    <w:p w14:paraId="246C00D3">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3．建筑、装修工程为</w:t>
      </w:r>
      <w:r>
        <w:rPr>
          <w:rFonts w:hint="eastAsia" w:ascii="宋体" w:hAnsi="宋体" w:eastAsia="宋体" w:cs="宋体"/>
          <w:color w:val="auto"/>
          <w:sz w:val="21"/>
          <w:szCs w:val="21"/>
          <w:u w:val="single"/>
        </w:rPr>
        <w:t>贰</w:t>
      </w:r>
      <w:r>
        <w:rPr>
          <w:rFonts w:hint="eastAsia" w:ascii="宋体" w:hAnsi="宋体" w:eastAsia="宋体" w:cs="宋体"/>
          <w:color w:val="auto"/>
          <w:sz w:val="21"/>
          <w:szCs w:val="21"/>
        </w:rPr>
        <w:t>年；</w:t>
      </w:r>
    </w:p>
    <w:p w14:paraId="237A7953">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4．电气管线、给排水管道、设备安装工程为</w:t>
      </w:r>
      <w:r>
        <w:rPr>
          <w:rFonts w:hint="eastAsia" w:ascii="宋体" w:hAnsi="宋体" w:eastAsia="宋体" w:cs="宋体"/>
          <w:color w:val="auto"/>
          <w:sz w:val="21"/>
          <w:szCs w:val="21"/>
          <w:u w:val="single"/>
        </w:rPr>
        <w:t>贰</w:t>
      </w:r>
      <w:r>
        <w:rPr>
          <w:rFonts w:hint="eastAsia" w:ascii="宋体" w:hAnsi="宋体" w:eastAsia="宋体" w:cs="宋体"/>
          <w:color w:val="auto"/>
          <w:sz w:val="21"/>
          <w:szCs w:val="21"/>
        </w:rPr>
        <w:t>年；</w:t>
      </w:r>
    </w:p>
    <w:p w14:paraId="653590EC">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5．供热与供冷系统为</w:t>
      </w:r>
      <w:r>
        <w:rPr>
          <w:rFonts w:hint="eastAsia" w:ascii="宋体" w:hAnsi="宋体" w:eastAsia="宋体" w:cs="宋体"/>
          <w:color w:val="auto"/>
          <w:sz w:val="21"/>
          <w:szCs w:val="21"/>
          <w:u w:val="single"/>
        </w:rPr>
        <w:t>贰</w:t>
      </w:r>
      <w:r>
        <w:rPr>
          <w:rFonts w:hint="eastAsia" w:ascii="宋体" w:hAnsi="宋体" w:eastAsia="宋体" w:cs="宋体"/>
          <w:color w:val="auto"/>
          <w:sz w:val="21"/>
          <w:szCs w:val="21"/>
        </w:rPr>
        <w:t>个采暖期、供冷期；</w:t>
      </w:r>
    </w:p>
    <w:p w14:paraId="681FC25A">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6．住宅小区内的给排水设施、道路等配套工程为</w:t>
      </w:r>
      <w:r>
        <w:rPr>
          <w:rFonts w:hint="eastAsia" w:ascii="宋体" w:hAnsi="宋体" w:eastAsia="宋体" w:cs="宋体"/>
          <w:color w:val="auto"/>
          <w:sz w:val="21"/>
          <w:szCs w:val="21"/>
          <w:u w:val="single"/>
        </w:rPr>
        <w:t>贰</w:t>
      </w:r>
      <w:r>
        <w:rPr>
          <w:rFonts w:hint="eastAsia" w:ascii="宋体" w:hAnsi="宋体" w:eastAsia="宋体" w:cs="宋体"/>
          <w:color w:val="auto"/>
          <w:sz w:val="21"/>
          <w:szCs w:val="21"/>
        </w:rPr>
        <w:t>年；</w:t>
      </w:r>
    </w:p>
    <w:p w14:paraId="433B1CD0">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7．其他项目保修期限约定如下：</w:t>
      </w:r>
      <w:r>
        <w:rPr>
          <w:rFonts w:hint="eastAsia" w:ascii="宋体" w:hAnsi="宋体" w:eastAsia="宋体" w:cs="宋体"/>
          <w:color w:val="auto"/>
          <w:sz w:val="21"/>
          <w:szCs w:val="21"/>
          <w:u w:val="single"/>
        </w:rPr>
        <w:t>壹年</w:t>
      </w:r>
      <w:r>
        <w:rPr>
          <w:rFonts w:hint="eastAsia" w:ascii="宋体" w:hAnsi="宋体" w:eastAsia="宋体" w:cs="宋体"/>
          <w:color w:val="auto"/>
          <w:sz w:val="21"/>
          <w:szCs w:val="21"/>
        </w:rPr>
        <w:t>。</w:t>
      </w:r>
    </w:p>
    <w:p w14:paraId="07C03B8B">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质量保修期自工程竣工验收合格之日起计算。</w:t>
      </w:r>
    </w:p>
    <w:p w14:paraId="1D98631F">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三、缺陷责任期</w:t>
      </w:r>
    </w:p>
    <w:p w14:paraId="25AEBB43">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工程缺陷责任期为</w:t>
      </w:r>
      <w:r>
        <w:rPr>
          <w:rFonts w:hint="eastAsia" w:ascii="宋体" w:hAnsi="宋体" w:eastAsia="宋体" w:cs="宋体"/>
          <w:color w:val="auto"/>
          <w:sz w:val="21"/>
          <w:szCs w:val="21"/>
          <w:u w:val="single"/>
        </w:rPr>
        <w:t>24</w:t>
      </w:r>
      <w:r>
        <w:rPr>
          <w:rFonts w:hint="eastAsia" w:ascii="宋体" w:hAnsi="宋体" w:eastAsia="宋体" w:cs="宋体"/>
          <w:color w:val="auto"/>
          <w:sz w:val="21"/>
          <w:szCs w:val="21"/>
        </w:rPr>
        <w:t>个月（最长不超过24个月），缺陷责任期自工程竣工验收合格之日起计算。单位工程先于全部工程进行验收，单位工程缺陷责任期自单位工程验收合格之日起算。</w:t>
      </w:r>
    </w:p>
    <w:p w14:paraId="174FCDEB">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缺陷责任期终止后，发包人应退还剩余的保证金。</w:t>
      </w:r>
    </w:p>
    <w:p w14:paraId="09C1716E">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四、质量保修责任</w:t>
      </w:r>
    </w:p>
    <w:p w14:paraId="47079016">
      <w:pPr>
        <w:pStyle w:val="242"/>
        <w:spacing w:line="360" w:lineRule="auto"/>
        <w:ind w:left="105" w:leftChars="50" w:firstLine="430" w:firstLineChars="205"/>
        <w:rPr>
          <w:rFonts w:hint="eastAsia" w:ascii="宋体" w:hAnsi="宋体" w:eastAsia="宋体" w:cs="宋体"/>
          <w:color w:val="auto"/>
          <w:sz w:val="21"/>
          <w:szCs w:val="21"/>
        </w:rPr>
      </w:pPr>
      <w:r>
        <w:rPr>
          <w:rFonts w:hint="eastAsia" w:ascii="宋体" w:hAnsi="宋体" w:eastAsia="宋体" w:cs="宋体"/>
          <w:color w:val="auto"/>
          <w:sz w:val="21"/>
          <w:szCs w:val="21"/>
        </w:rPr>
        <w:t>1．属于保修范围、内容的项目，承包人应当在接到保修通知之日起</w:t>
      </w:r>
      <w:r>
        <w:rPr>
          <w:rFonts w:hint="eastAsia" w:ascii="宋体" w:hAnsi="宋体" w:eastAsia="宋体" w:cs="宋体"/>
          <w:color w:val="auto"/>
          <w:sz w:val="21"/>
          <w:szCs w:val="21"/>
          <w:u w:val="single"/>
        </w:rPr>
        <w:t>5</w:t>
      </w:r>
      <w:r>
        <w:rPr>
          <w:rFonts w:hint="eastAsia" w:ascii="宋体" w:hAnsi="宋体" w:eastAsia="宋体" w:cs="宋体"/>
          <w:color w:val="auto"/>
          <w:sz w:val="21"/>
          <w:szCs w:val="21"/>
        </w:rPr>
        <w:t>天内派人保修。承包人不在约定期限内派人保修的，发包人可以委托他人修理，修理费用从质量保修金内扣除。</w:t>
      </w:r>
    </w:p>
    <w:p w14:paraId="05CF4E31">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2．发生紧急事故需抢修的，承包人在接到事故通知后，应当立即到达事故现场抢修。</w:t>
      </w:r>
    </w:p>
    <w:p w14:paraId="706B1423">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33794AA">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4．质量保修完成后，由发包人组织验收。</w:t>
      </w:r>
    </w:p>
    <w:p w14:paraId="0C86D497">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五、保修费用</w:t>
      </w:r>
    </w:p>
    <w:p w14:paraId="1C986A74">
      <w:pPr>
        <w:pStyle w:val="242"/>
        <w:tabs>
          <w:tab w:val="left" w:pos="738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保修费用由造成质量缺陷的责任方承担。</w:t>
      </w:r>
    </w:p>
    <w:p w14:paraId="5A53CD05">
      <w:pPr>
        <w:pStyle w:val="242"/>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六、双方约定的其他工程质量保修事项：</w:t>
      </w:r>
      <w:r>
        <w:rPr>
          <w:rFonts w:hint="eastAsia" w:ascii="宋体" w:hAnsi="宋体" w:eastAsia="宋体" w:cs="宋体"/>
          <w:color w:val="auto"/>
          <w:sz w:val="21"/>
          <w:szCs w:val="21"/>
          <w:u w:val="single"/>
        </w:rPr>
        <w:t>无</w:t>
      </w:r>
      <w:r>
        <w:rPr>
          <w:rFonts w:hint="eastAsia" w:ascii="宋体" w:hAnsi="宋体" w:eastAsia="宋体" w:cs="宋体"/>
          <w:color w:val="auto"/>
          <w:sz w:val="21"/>
          <w:szCs w:val="21"/>
        </w:rPr>
        <w:t>。</w:t>
      </w:r>
    </w:p>
    <w:p w14:paraId="5CCBA238">
      <w:pPr>
        <w:pStyle w:val="18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工程质量保修书由发包人、承包人在工程竣工验收前共同签署，作为施工合同附件，其有效期限至保修期满。</w:t>
      </w:r>
    </w:p>
    <w:p w14:paraId="40D160EC">
      <w:pPr>
        <w:pStyle w:val="18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3701908C">
      <w:pPr>
        <w:pStyle w:val="180"/>
        <w:spacing w:line="360" w:lineRule="auto"/>
        <w:rPr>
          <w:rFonts w:hint="eastAsia" w:ascii="宋体" w:hAnsi="宋体" w:eastAsia="宋体" w:cs="宋体"/>
          <w:color w:val="auto"/>
          <w:sz w:val="21"/>
          <w:szCs w:val="21"/>
        </w:rPr>
      </w:pPr>
    </w:p>
    <w:tbl>
      <w:tblPr>
        <w:tblStyle w:val="45"/>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684CC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vAlign w:val="center"/>
          </w:tcPr>
          <w:p w14:paraId="57150F89">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甲方（章）           </w:t>
            </w:r>
          </w:p>
          <w:p w14:paraId="404E2C42">
            <w:pPr>
              <w:snapToGrid w:val="0"/>
              <w:spacing w:line="400" w:lineRule="exact"/>
              <w:rPr>
                <w:rFonts w:hint="eastAsia" w:ascii="宋体" w:hAnsi="宋体" w:eastAsia="宋体" w:cs="宋体"/>
                <w:color w:val="auto"/>
                <w:sz w:val="21"/>
                <w:szCs w:val="21"/>
              </w:rPr>
            </w:pPr>
          </w:p>
          <w:p w14:paraId="133FFD9C">
            <w:pPr>
              <w:snapToGrid w:val="0"/>
              <w:spacing w:line="400" w:lineRule="exact"/>
              <w:ind w:firstLine="945" w:firstLineChars="450"/>
              <w:jc w:val="right"/>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tc>
        <w:tc>
          <w:tcPr>
            <w:tcW w:w="4517" w:type="dxa"/>
            <w:vAlign w:val="center"/>
          </w:tcPr>
          <w:p w14:paraId="0434FA8A">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乙方（章）              </w:t>
            </w:r>
          </w:p>
          <w:p w14:paraId="1F29CCFB">
            <w:pPr>
              <w:snapToGrid w:val="0"/>
              <w:spacing w:line="400" w:lineRule="exact"/>
              <w:rPr>
                <w:rFonts w:hint="eastAsia" w:ascii="宋体" w:hAnsi="宋体" w:eastAsia="宋体" w:cs="宋体"/>
                <w:color w:val="auto"/>
                <w:sz w:val="21"/>
                <w:szCs w:val="21"/>
              </w:rPr>
            </w:pPr>
          </w:p>
          <w:p w14:paraId="1065CE8D">
            <w:pPr>
              <w:snapToGrid w:val="0"/>
              <w:spacing w:line="400" w:lineRule="exact"/>
              <w:jc w:val="right"/>
              <w:rPr>
                <w:rFonts w:hint="eastAsia" w:ascii="宋体" w:hAnsi="宋体" w:eastAsia="宋体" w:cs="宋体"/>
                <w:color w:val="auto"/>
                <w:sz w:val="21"/>
                <w:szCs w:val="21"/>
              </w:rPr>
            </w:pPr>
            <w:r>
              <w:rPr>
                <w:rFonts w:hint="eastAsia" w:ascii="宋体" w:hAnsi="宋体" w:eastAsia="宋体" w:cs="宋体"/>
                <w:color w:val="auto"/>
                <w:sz w:val="21"/>
                <w:szCs w:val="21"/>
              </w:rPr>
              <w:t xml:space="preserve"> 年  月  日</w:t>
            </w:r>
          </w:p>
        </w:tc>
      </w:tr>
      <w:tr w14:paraId="5829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vAlign w:val="center"/>
          </w:tcPr>
          <w:p w14:paraId="4337072C">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单位地址： </w:t>
            </w:r>
          </w:p>
        </w:tc>
        <w:tc>
          <w:tcPr>
            <w:tcW w:w="4517" w:type="dxa"/>
            <w:vAlign w:val="center"/>
          </w:tcPr>
          <w:p w14:paraId="0323CED1">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单位地址：</w:t>
            </w:r>
          </w:p>
        </w:tc>
      </w:tr>
      <w:tr w14:paraId="5D32C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16" w:type="dxa"/>
            <w:vAlign w:val="center"/>
          </w:tcPr>
          <w:p w14:paraId="0AC39FF6">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tc>
        <w:tc>
          <w:tcPr>
            <w:tcW w:w="4517" w:type="dxa"/>
            <w:vAlign w:val="center"/>
          </w:tcPr>
          <w:p w14:paraId="479B0E70">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tc>
      </w:tr>
      <w:tr w14:paraId="22B4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16" w:type="dxa"/>
            <w:vAlign w:val="center"/>
          </w:tcPr>
          <w:p w14:paraId="0246F49A">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委托代理人：</w:t>
            </w:r>
          </w:p>
        </w:tc>
        <w:tc>
          <w:tcPr>
            <w:tcW w:w="4517" w:type="dxa"/>
            <w:vAlign w:val="center"/>
          </w:tcPr>
          <w:p w14:paraId="3430C3A7">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委托代理人</w:t>
            </w:r>
          </w:p>
        </w:tc>
      </w:tr>
      <w:tr w14:paraId="37BBF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vAlign w:val="center"/>
          </w:tcPr>
          <w:p w14:paraId="01F2AE22">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电话： </w:t>
            </w:r>
          </w:p>
        </w:tc>
        <w:tc>
          <w:tcPr>
            <w:tcW w:w="4517" w:type="dxa"/>
            <w:vAlign w:val="center"/>
          </w:tcPr>
          <w:p w14:paraId="754208DA">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r>
      <w:tr w14:paraId="248B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vAlign w:val="center"/>
          </w:tcPr>
          <w:p w14:paraId="07880B2A">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电子邮箱：</w:t>
            </w:r>
          </w:p>
        </w:tc>
        <w:tc>
          <w:tcPr>
            <w:tcW w:w="4517" w:type="dxa"/>
            <w:vAlign w:val="center"/>
          </w:tcPr>
          <w:p w14:paraId="49D02A87">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电子邮箱：</w:t>
            </w:r>
          </w:p>
        </w:tc>
      </w:tr>
      <w:tr w14:paraId="7117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vAlign w:val="center"/>
          </w:tcPr>
          <w:p w14:paraId="7F9B4B75">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开户银行： </w:t>
            </w:r>
          </w:p>
        </w:tc>
        <w:tc>
          <w:tcPr>
            <w:tcW w:w="4517" w:type="dxa"/>
            <w:vAlign w:val="center"/>
          </w:tcPr>
          <w:p w14:paraId="40E9EA2A">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r>
      <w:tr w14:paraId="2010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4516" w:type="dxa"/>
            <w:vAlign w:val="center"/>
          </w:tcPr>
          <w:p w14:paraId="1185B872">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税号： </w:t>
            </w:r>
          </w:p>
        </w:tc>
        <w:tc>
          <w:tcPr>
            <w:tcW w:w="4517" w:type="dxa"/>
            <w:vAlign w:val="center"/>
          </w:tcPr>
          <w:p w14:paraId="36E338E8">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税号：</w:t>
            </w:r>
          </w:p>
        </w:tc>
      </w:tr>
      <w:tr w14:paraId="7BCF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vAlign w:val="center"/>
          </w:tcPr>
          <w:p w14:paraId="5FABEFDD">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账号： </w:t>
            </w:r>
          </w:p>
        </w:tc>
        <w:tc>
          <w:tcPr>
            <w:tcW w:w="4517" w:type="dxa"/>
            <w:vAlign w:val="center"/>
          </w:tcPr>
          <w:p w14:paraId="5D1420D6">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账号：</w:t>
            </w:r>
          </w:p>
        </w:tc>
      </w:tr>
      <w:tr w14:paraId="37B6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vAlign w:val="center"/>
          </w:tcPr>
          <w:p w14:paraId="065E7AFB">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邮政编码： </w:t>
            </w:r>
          </w:p>
        </w:tc>
        <w:tc>
          <w:tcPr>
            <w:tcW w:w="4517" w:type="dxa"/>
            <w:vAlign w:val="center"/>
          </w:tcPr>
          <w:p w14:paraId="2BE030F1">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r>
    </w:tbl>
    <w:p w14:paraId="59A5459D">
      <w:pPr>
        <w:pStyle w:val="242"/>
        <w:spacing w:line="360" w:lineRule="auto"/>
        <w:ind w:firstLine="399" w:firstLineChars="190"/>
        <w:rPr>
          <w:rFonts w:ascii="Times New Roman" w:hAnsi="宋体" w:cs="宋体"/>
          <w:color w:val="auto"/>
          <w:szCs w:val="21"/>
        </w:rPr>
      </w:pPr>
    </w:p>
    <w:p w14:paraId="51648C50">
      <w:pPr>
        <w:pStyle w:val="242"/>
        <w:spacing w:line="360" w:lineRule="auto"/>
        <w:ind w:firstLine="399" w:firstLineChars="190"/>
        <w:rPr>
          <w:rFonts w:ascii="Times New Roman" w:hAnsi="Times New Roman"/>
          <w:color w:val="auto"/>
          <w:szCs w:val="21"/>
        </w:rPr>
      </w:pPr>
    </w:p>
    <w:p w14:paraId="3A2D3C68">
      <w:pPr>
        <w:rPr>
          <w:color w:val="auto"/>
        </w:rPr>
        <w:sectPr>
          <w:headerReference r:id="rId4" w:type="default"/>
          <w:footerReference r:id="rId5" w:type="default"/>
          <w:footerReference r:id="rId6" w:type="even"/>
          <w:pgSz w:w="11906" w:h="16838"/>
          <w:pgMar w:top="1304" w:right="1134" w:bottom="1134" w:left="1304" w:header="851" w:footer="992" w:gutter="0"/>
          <w:cols w:space="720" w:num="1"/>
          <w:docGrid w:linePitch="312" w:charSpace="0"/>
        </w:sectPr>
      </w:pPr>
    </w:p>
    <w:p w14:paraId="1B65C441">
      <w:pPr>
        <w:spacing w:line="360" w:lineRule="auto"/>
        <w:jc w:val="left"/>
        <w:rPr>
          <w:rFonts w:ascii="宋体" w:hAnsi="宋体" w:cs="宋体"/>
          <w:b/>
          <w:color w:val="auto"/>
          <w:szCs w:val="21"/>
        </w:rPr>
      </w:pPr>
      <w:bookmarkStart w:id="241" w:name="_Toc351203652"/>
    </w:p>
    <w:p w14:paraId="3984C3F7">
      <w:pPr>
        <w:spacing w:line="360" w:lineRule="auto"/>
        <w:jc w:val="left"/>
        <w:rPr>
          <w:rFonts w:ascii="宋体" w:hAnsi="宋体" w:cs="宋体"/>
          <w:b/>
          <w:color w:val="auto"/>
          <w:szCs w:val="21"/>
        </w:rPr>
      </w:pPr>
      <w:r>
        <w:rPr>
          <w:rFonts w:hint="eastAsia" w:ascii="宋体" w:hAnsi="宋体" w:cs="宋体"/>
          <w:b/>
          <w:color w:val="auto"/>
          <w:szCs w:val="21"/>
        </w:rPr>
        <w:t>附件</w:t>
      </w:r>
      <w:bookmarkEnd w:id="241"/>
    </w:p>
    <w:p w14:paraId="1459550C">
      <w:pPr>
        <w:spacing w:line="360" w:lineRule="auto"/>
        <w:jc w:val="left"/>
        <w:rPr>
          <w:rFonts w:ascii="宋体" w:hAnsi="宋体" w:cs="宋体"/>
          <w:color w:val="auto"/>
          <w:szCs w:val="21"/>
        </w:rPr>
      </w:pPr>
      <w:r>
        <w:rPr>
          <w:rFonts w:hint="eastAsia" w:ascii="宋体" w:hAnsi="宋体" w:cs="宋体"/>
          <w:color w:val="auto"/>
          <w:szCs w:val="21"/>
        </w:rPr>
        <w:t>附件1：承包人用于本工程施工的机械设备表</w:t>
      </w:r>
    </w:p>
    <w:p w14:paraId="2B814EEB">
      <w:pPr>
        <w:spacing w:line="360" w:lineRule="auto"/>
        <w:jc w:val="left"/>
        <w:rPr>
          <w:rFonts w:ascii="宋体" w:hAnsi="宋体" w:cs="宋体"/>
          <w:color w:val="auto"/>
          <w:szCs w:val="21"/>
        </w:rPr>
      </w:pPr>
      <w:r>
        <w:rPr>
          <w:rFonts w:hint="eastAsia" w:ascii="宋体" w:hAnsi="宋体" w:cs="宋体"/>
          <w:color w:val="auto"/>
          <w:szCs w:val="21"/>
        </w:rPr>
        <w:t>附件2：承包人主要施工管理人员表</w:t>
      </w:r>
    </w:p>
    <w:p w14:paraId="73BF7E74">
      <w:pPr>
        <w:spacing w:line="360" w:lineRule="auto"/>
        <w:jc w:val="left"/>
        <w:rPr>
          <w:rFonts w:ascii="宋体" w:hAnsi="宋体" w:cs="宋体"/>
          <w:color w:val="auto"/>
          <w:szCs w:val="21"/>
        </w:rPr>
      </w:pPr>
      <w:r>
        <w:rPr>
          <w:rFonts w:hint="eastAsia" w:ascii="宋体" w:hAnsi="宋体" w:cs="宋体"/>
          <w:color w:val="auto"/>
          <w:szCs w:val="21"/>
        </w:rPr>
        <w:t>附件3：安全生产承诺书</w:t>
      </w:r>
    </w:p>
    <w:p w14:paraId="26FC8D14">
      <w:pPr>
        <w:spacing w:line="360" w:lineRule="auto"/>
        <w:jc w:val="left"/>
        <w:rPr>
          <w:rFonts w:ascii="宋体" w:hAnsi="宋体" w:cs="宋体"/>
          <w:color w:val="auto"/>
          <w:szCs w:val="21"/>
        </w:rPr>
      </w:pPr>
      <w:r>
        <w:rPr>
          <w:rFonts w:hint="eastAsia" w:ascii="宋体" w:hAnsi="宋体" w:cs="宋体"/>
          <w:color w:val="auto"/>
          <w:szCs w:val="21"/>
        </w:rPr>
        <w:t>附件4：建设工程廉政责任书</w:t>
      </w:r>
    </w:p>
    <w:p w14:paraId="6EEC6DE0">
      <w:pPr>
        <w:spacing w:line="360" w:lineRule="auto"/>
        <w:jc w:val="left"/>
        <w:rPr>
          <w:rFonts w:ascii="宋体" w:hAnsi="宋体" w:cs="宋体"/>
          <w:color w:val="auto"/>
          <w:szCs w:val="21"/>
        </w:rPr>
        <w:sectPr>
          <w:pgSz w:w="11906" w:h="16838"/>
          <w:pgMar w:top="1304" w:right="1134" w:bottom="1134" w:left="1304" w:header="851" w:footer="992" w:gutter="0"/>
          <w:cols w:space="720" w:num="1"/>
          <w:titlePg/>
          <w:docGrid w:linePitch="312" w:charSpace="0"/>
        </w:sectPr>
      </w:pPr>
    </w:p>
    <w:p w14:paraId="569247C1">
      <w:pPr>
        <w:spacing w:line="360" w:lineRule="auto"/>
        <w:rPr>
          <w:rFonts w:ascii="宋体" w:hAnsi="宋体" w:cs="宋体"/>
          <w:b/>
          <w:color w:val="auto"/>
          <w:szCs w:val="21"/>
        </w:rPr>
      </w:pPr>
      <w:r>
        <w:rPr>
          <w:rFonts w:hint="eastAsia" w:ascii="宋体" w:hAnsi="宋体" w:cs="宋体"/>
          <w:b/>
          <w:color w:val="auto"/>
          <w:szCs w:val="21"/>
        </w:rPr>
        <w:t>附件1：</w:t>
      </w:r>
    </w:p>
    <w:p w14:paraId="4EE1CC81">
      <w:pPr>
        <w:spacing w:beforeLines="50" w:afterLines="50" w:line="360" w:lineRule="auto"/>
        <w:jc w:val="center"/>
        <w:rPr>
          <w:rFonts w:ascii="宋体" w:hAnsi="宋体" w:cs="宋体"/>
          <w:color w:val="auto"/>
          <w:sz w:val="32"/>
          <w:szCs w:val="32"/>
        </w:rPr>
      </w:pPr>
      <w:r>
        <w:rPr>
          <w:rFonts w:hint="eastAsia" w:ascii="宋体" w:hAnsi="宋体" w:cs="宋体"/>
          <w:color w:val="auto"/>
          <w:sz w:val="32"/>
          <w:szCs w:val="32"/>
        </w:rPr>
        <w:t>承包人用于本工程施工的机械设备表</w:t>
      </w: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45"/>
        <w:gridCol w:w="1512"/>
        <w:gridCol w:w="1051"/>
        <w:gridCol w:w="1020"/>
        <w:gridCol w:w="849"/>
        <w:gridCol w:w="1134"/>
        <w:gridCol w:w="1277"/>
        <w:gridCol w:w="1116"/>
        <w:gridCol w:w="756"/>
      </w:tblGrid>
      <w:tr w14:paraId="343A98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5" w:hRule="atLeast"/>
          <w:jc w:val="center"/>
        </w:trPr>
        <w:tc>
          <w:tcPr>
            <w:tcW w:w="745" w:type="dxa"/>
            <w:tcBorders>
              <w:top w:val="single" w:color="auto" w:sz="12" w:space="0"/>
              <w:bottom w:val="double" w:color="auto" w:sz="6" w:space="0"/>
            </w:tcBorders>
            <w:vAlign w:val="center"/>
          </w:tcPr>
          <w:p w14:paraId="563C641F">
            <w:pPr>
              <w:keepNext/>
              <w:spacing w:after="120" w:line="360" w:lineRule="auto"/>
              <w:ind w:left="63" w:right="63"/>
              <w:jc w:val="center"/>
              <w:rPr>
                <w:rFonts w:ascii="宋体" w:hAnsi="宋体" w:cs="宋体"/>
                <w:color w:val="auto"/>
                <w:szCs w:val="21"/>
              </w:rPr>
            </w:pPr>
            <w:r>
              <w:rPr>
                <w:rFonts w:hint="eastAsia" w:ascii="宋体" w:hAnsi="宋体" w:cs="宋体"/>
                <w:color w:val="auto"/>
                <w:szCs w:val="21"/>
              </w:rPr>
              <w:t>序号</w:t>
            </w:r>
          </w:p>
        </w:tc>
        <w:tc>
          <w:tcPr>
            <w:tcW w:w="1512" w:type="dxa"/>
            <w:tcBorders>
              <w:top w:val="single" w:color="auto" w:sz="12" w:space="0"/>
              <w:bottom w:val="double" w:color="auto" w:sz="6" w:space="0"/>
            </w:tcBorders>
            <w:vAlign w:val="center"/>
          </w:tcPr>
          <w:p w14:paraId="56B8EB1B">
            <w:pPr>
              <w:keepNext/>
              <w:spacing w:after="120" w:line="360" w:lineRule="auto"/>
              <w:ind w:left="63" w:right="63"/>
              <w:jc w:val="center"/>
              <w:rPr>
                <w:rFonts w:ascii="宋体" w:hAnsi="宋体" w:cs="宋体"/>
                <w:color w:val="auto"/>
                <w:szCs w:val="21"/>
              </w:rPr>
            </w:pPr>
            <w:r>
              <w:rPr>
                <w:rFonts w:hint="eastAsia" w:ascii="宋体" w:hAnsi="宋体" w:cs="宋体"/>
                <w:color w:val="auto"/>
                <w:szCs w:val="21"/>
              </w:rPr>
              <w:t>机械或     设备名称</w:t>
            </w:r>
          </w:p>
        </w:tc>
        <w:tc>
          <w:tcPr>
            <w:tcW w:w="1051" w:type="dxa"/>
            <w:tcBorders>
              <w:top w:val="single" w:color="auto" w:sz="12" w:space="0"/>
              <w:bottom w:val="double" w:color="auto" w:sz="6" w:space="0"/>
            </w:tcBorders>
            <w:vAlign w:val="center"/>
          </w:tcPr>
          <w:p w14:paraId="56CAD9BE">
            <w:pPr>
              <w:keepNext/>
              <w:spacing w:after="120" w:line="360" w:lineRule="auto"/>
              <w:ind w:left="63" w:right="63"/>
              <w:jc w:val="center"/>
              <w:rPr>
                <w:rFonts w:ascii="宋体" w:hAnsi="宋体" w:cs="宋体"/>
                <w:color w:val="auto"/>
                <w:szCs w:val="21"/>
              </w:rPr>
            </w:pPr>
            <w:r>
              <w:rPr>
                <w:rFonts w:hint="eastAsia" w:ascii="宋体" w:hAnsi="宋体" w:cs="宋体"/>
                <w:color w:val="auto"/>
                <w:szCs w:val="21"/>
              </w:rPr>
              <w:t>规格型号</w:t>
            </w:r>
          </w:p>
        </w:tc>
        <w:tc>
          <w:tcPr>
            <w:tcW w:w="1020" w:type="dxa"/>
            <w:tcBorders>
              <w:top w:val="single" w:color="auto" w:sz="12" w:space="0"/>
              <w:bottom w:val="double" w:color="auto" w:sz="6" w:space="0"/>
            </w:tcBorders>
            <w:vAlign w:val="center"/>
          </w:tcPr>
          <w:p w14:paraId="7803DAEC">
            <w:pPr>
              <w:keepNext/>
              <w:spacing w:after="120" w:line="360" w:lineRule="auto"/>
              <w:ind w:left="63" w:right="63"/>
              <w:jc w:val="center"/>
              <w:rPr>
                <w:rFonts w:ascii="宋体" w:hAnsi="宋体" w:cs="宋体"/>
                <w:color w:val="auto"/>
                <w:szCs w:val="21"/>
              </w:rPr>
            </w:pPr>
            <w:r>
              <w:rPr>
                <w:rFonts w:hint="eastAsia" w:ascii="宋体" w:hAnsi="宋体" w:cs="宋体"/>
                <w:color w:val="auto"/>
                <w:szCs w:val="21"/>
              </w:rPr>
              <w:t>数量</w:t>
            </w:r>
          </w:p>
        </w:tc>
        <w:tc>
          <w:tcPr>
            <w:tcW w:w="849" w:type="dxa"/>
            <w:tcBorders>
              <w:top w:val="single" w:color="auto" w:sz="12" w:space="0"/>
              <w:bottom w:val="double" w:color="auto" w:sz="6" w:space="0"/>
            </w:tcBorders>
            <w:vAlign w:val="center"/>
          </w:tcPr>
          <w:p w14:paraId="1917AB11">
            <w:pPr>
              <w:keepNext/>
              <w:spacing w:after="120" w:line="360" w:lineRule="auto"/>
              <w:ind w:left="63" w:right="63"/>
              <w:jc w:val="center"/>
              <w:rPr>
                <w:rFonts w:ascii="宋体" w:hAnsi="宋体" w:cs="宋体"/>
                <w:color w:val="auto"/>
                <w:szCs w:val="21"/>
              </w:rPr>
            </w:pPr>
            <w:r>
              <w:rPr>
                <w:rFonts w:hint="eastAsia" w:ascii="宋体" w:hAnsi="宋体" w:cs="宋体"/>
                <w:color w:val="auto"/>
                <w:szCs w:val="21"/>
              </w:rPr>
              <w:t>产地</w:t>
            </w:r>
          </w:p>
        </w:tc>
        <w:tc>
          <w:tcPr>
            <w:tcW w:w="1134" w:type="dxa"/>
            <w:tcBorders>
              <w:top w:val="single" w:color="auto" w:sz="12" w:space="0"/>
              <w:bottom w:val="double" w:color="auto" w:sz="6" w:space="0"/>
            </w:tcBorders>
            <w:vAlign w:val="center"/>
          </w:tcPr>
          <w:p w14:paraId="300479AC">
            <w:pPr>
              <w:keepNext/>
              <w:spacing w:after="120" w:line="360" w:lineRule="auto"/>
              <w:ind w:left="63" w:right="63"/>
              <w:jc w:val="center"/>
              <w:rPr>
                <w:rFonts w:ascii="宋体" w:hAnsi="宋体" w:cs="宋体"/>
                <w:color w:val="auto"/>
                <w:szCs w:val="21"/>
              </w:rPr>
            </w:pPr>
            <w:r>
              <w:rPr>
                <w:rFonts w:hint="eastAsia" w:ascii="宋体" w:hAnsi="宋体" w:cs="宋体"/>
                <w:color w:val="auto"/>
                <w:szCs w:val="21"/>
              </w:rPr>
              <w:t>制造年份</w:t>
            </w:r>
          </w:p>
        </w:tc>
        <w:tc>
          <w:tcPr>
            <w:tcW w:w="1277" w:type="dxa"/>
            <w:tcBorders>
              <w:top w:val="single" w:color="auto" w:sz="12" w:space="0"/>
              <w:bottom w:val="double" w:color="auto" w:sz="6" w:space="0"/>
            </w:tcBorders>
            <w:vAlign w:val="center"/>
          </w:tcPr>
          <w:p w14:paraId="7FDF4F20">
            <w:pPr>
              <w:keepNext/>
              <w:spacing w:after="120" w:line="360" w:lineRule="auto"/>
              <w:ind w:left="63" w:right="63"/>
              <w:jc w:val="center"/>
              <w:rPr>
                <w:rFonts w:ascii="宋体" w:hAnsi="宋体" w:cs="宋体"/>
                <w:color w:val="auto"/>
                <w:szCs w:val="21"/>
              </w:rPr>
            </w:pPr>
            <w:r>
              <w:rPr>
                <w:rFonts w:hint="eastAsia" w:ascii="宋体" w:hAnsi="宋体" w:cs="宋体"/>
                <w:color w:val="auto"/>
                <w:szCs w:val="21"/>
              </w:rPr>
              <w:t>额定功率(kW)</w:t>
            </w:r>
          </w:p>
        </w:tc>
        <w:tc>
          <w:tcPr>
            <w:tcW w:w="1116" w:type="dxa"/>
            <w:tcBorders>
              <w:top w:val="single" w:color="auto" w:sz="12" w:space="0"/>
              <w:bottom w:val="double" w:color="auto" w:sz="6" w:space="0"/>
            </w:tcBorders>
            <w:vAlign w:val="center"/>
          </w:tcPr>
          <w:p w14:paraId="542C9E74">
            <w:pPr>
              <w:keepNext/>
              <w:spacing w:after="120" w:line="360" w:lineRule="auto"/>
              <w:ind w:left="63" w:right="63"/>
              <w:jc w:val="center"/>
              <w:rPr>
                <w:rFonts w:ascii="宋体" w:hAnsi="宋体" w:cs="宋体"/>
                <w:color w:val="auto"/>
                <w:szCs w:val="21"/>
              </w:rPr>
            </w:pPr>
            <w:r>
              <w:rPr>
                <w:rFonts w:hint="eastAsia" w:ascii="宋体" w:hAnsi="宋体" w:cs="宋体"/>
                <w:color w:val="auto"/>
                <w:szCs w:val="21"/>
              </w:rPr>
              <w:t>生产能力</w:t>
            </w:r>
          </w:p>
        </w:tc>
        <w:tc>
          <w:tcPr>
            <w:tcW w:w="756" w:type="dxa"/>
            <w:tcBorders>
              <w:top w:val="single" w:color="auto" w:sz="12" w:space="0"/>
              <w:bottom w:val="double" w:color="auto" w:sz="6" w:space="0"/>
            </w:tcBorders>
            <w:vAlign w:val="center"/>
          </w:tcPr>
          <w:p w14:paraId="3B8ECAC3">
            <w:pPr>
              <w:keepNext/>
              <w:spacing w:after="120" w:line="360" w:lineRule="auto"/>
              <w:ind w:left="63" w:right="63"/>
              <w:jc w:val="center"/>
              <w:rPr>
                <w:rFonts w:ascii="宋体" w:hAnsi="宋体" w:cs="宋体"/>
                <w:color w:val="auto"/>
                <w:szCs w:val="21"/>
              </w:rPr>
            </w:pPr>
            <w:r>
              <w:rPr>
                <w:rFonts w:hint="eastAsia" w:ascii="宋体" w:hAnsi="宋体" w:cs="宋体"/>
                <w:color w:val="auto"/>
                <w:szCs w:val="21"/>
              </w:rPr>
              <w:t>备注</w:t>
            </w:r>
          </w:p>
        </w:tc>
      </w:tr>
      <w:tr w14:paraId="2A7335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745" w:type="dxa"/>
            <w:tcBorders>
              <w:top w:val="double" w:color="auto" w:sz="6" w:space="0"/>
              <w:bottom w:val="single" w:color="auto" w:sz="6" w:space="0"/>
            </w:tcBorders>
            <w:vAlign w:val="center"/>
          </w:tcPr>
          <w:p w14:paraId="16DCC9B7">
            <w:pPr>
              <w:spacing w:line="360" w:lineRule="auto"/>
              <w:ind w:leftChars="-35" w:hanging="73" w:hangingChars="35"/>
              <w:jc w:val="center"/>
              <w:rPr>
                <w:rFonts w:ascii="宋体" w:hAnsi="宋体" w:cs="宋体"/>
                <w:color w:val="auto"/>
                <w:szCs w:val="21"/>
              </w:rPr>
            </w:pPr>
          </w:p>
        </w:tc>
        <w:tc>
          <w:tcPr>
            <w:tcW w:w="1512" w:type="dxa"/>
            <w:tcBorders>
              <w:top w:val="double" w:color="auto" w:sz="6" w:space="0"/>
              <w:bottom w:val="single" w:color="auto" w:sz="6" w:space="0"/>
            </w:tcBorders>
            <w:vAlign w:val="center"/>
          </w:tcPr>
          <w:p w14:paraId="5C3E260C">
            <w:pPr>
              <w:spacing w:line="360" w:lineRule="auto"/>
              <w:ind w:leftChars="-35" w:hanging="73" w:hangingChars="35"/>
              <w:jc w:val="center"/>
              <w:rPr>
                <w:rFonts w:ascii="宋体" w:hAnsi="宋体" w:cs="宋体"/>
                <w:color w:val="auto"/>
                <w:szCs w:val="21"/>
              </w:rPr>
            </w:pPr>
          </w:p>
        </w:tc>
        <w:tc>
          <w:tcPr>
            <w:tcW w:w="1051" w:type="dxa"/>
            <w:tcBorders>
              <w:top w:val="double" w:color="auto" w:sz="6" w:space="0"/>
              <w:bottom w:val="single" w:color="auto" w:sz="6" w:space="0"/>
            </w:tcBorders>
            <w:vAlign w:val="center"/>
          </w:tcPr>
          <w:p w14:paraId="1506B4E8">
            <w:pPr>
              <w:spacing w:line="360" w:lineRule="auto"/>
              <w:ind w:leftChars="-35" w:hanging="73" w:hangingChars="35"/>
              <w:jc w:val="center"/>
              <w:rPr>
                <w:rFonts w:ascii="宋体" w:hAnsi="宋体" w:cs="宋体"/>
                <w:color w:val="auto"/>
                <w:szCs w:val="21"/>
              </w:rPr>
            </w:pPr>
          </w:p>
        </w:tc>
        <w:tc>
          <w:tcPr>
            <w:tcW w:w="1020" w:type="dxa"/>
            <w:tcBorders>
              <w:top w:val="double" w:color="auto" w:sz="6" w:space="0"/>
              <w:bottom w:val="single" w:color="auto" w:sz="6" w:space="0"/>
            </w:tcBorders>
            <w:vAlign w:val="center"/>
          </w:tcPr>
          <w:p w14:paraId="3FB4C16F">
            <w:pPr>
              <w:spacing w:line="360" w:lineRule="auto"/>
              <w:ind w:leftChars="-35" w:hanging="73" w:hangingChars="35"/>
              <w:jc w:val="center"/>
              <w:rPr>
                <w:rFonts w:ascii="宋体" w:hAnsi="宋体" w:cs="宋体"/>
                <w:color w:val="auto"/>
                <w:szCs w:val="21"/>
              </w:rPr>
            </w:pPr>
          </w:p>
        </w:tc>
        <w:tc>
          <w:tcPr>
            <w:tcW w:w="849" w:type="dxa"/>
            <w:tcBorders>
              <w:top w:val="double" w:color="auto" w:sz="6" w:space="0"/>
              <w:bottom w:val="single" w:color="auto" w:sz="6" w:space="0"/>
            </w:tcBorders>
            <w:vAlign w:val="center"/>
          </w:tcPr>
          <w:p w14:paraId="420EB2EC">
            <w:pPr>
              <w:spacing w:line="360" w:lineRule="auto"/>
              <w:ind w:leftChars="-35" w:hanging="73" w:hangingChars="35"/>
              <w:jc w:val="center"/>
              <w:rPr>
                <w:rFonts w:ascii="宋体" w:hAnsi="宋体" w:cs="宋体"/>
                <w:color w:val="auto"/>
                <w:szCs w:val="21"/>
              </w:rPr>
            </w:pPr>
          </w:p>
        </w:tc>
        <w:tc>
          <w:tcPr>
            <w:tcW w:w="1134" w:type="dxa"/>
            <w:tcBorders>
              <w:top w:val="double" w:color="auto" w:sz="6" w:space="0"/>
              <w:bottom w:val="single" w:color="auto" w:sz="6" w:space="0"/>
            </w:tcBorders>
            <w:vAlign w:val="center"/>
          </w:tcPr>
          <w:p w14:paraId="47D7157A">
            <w:pPr>
              <w:spacing w:line="360" w:lineRule="auto"/>
              <w:ind w:leftChars="-35" w:hanging="73" w:hangingChars="35"/>
              <w:jc w:val="center"/>
              <w:rPr>
                <w:rFonts w:ascii="宋体" w:hAnsi="宋体" w:cs="宋体"/>
                <w:color w:val="auto"/>
                <w:szCs w:val="21"/>
              </w:rPr>
            </w:pPr>
          </w:p>
        </w:tc>
        <w:tc>
          <w:tcPr>
            <w:tcW w:w="1277" w:type="dxa"/>
            <w:tcBorders>
              <w:top w:val="double" w:color="auto" w:sz="6" w:space="0"/>
              <w:bottom w:val="single" w:color="auto" w:sz="6" w:space="0"/>
            </w:tcBorders>
            <w:vAlign w:val="center"/>
          </w:tcPr>
          <w:p w14:paraId="0D7798AA">
            <w:pPr>
              <w:spacing w:line="360" w:lineRule="auto"/>
              <w:ind w:leftChars="-35" w:hanging="73" w:hangingChars="35"/>
              <w:jc w:val="center"/>
              <w:rPr>
                <w:rFonts w:ascii="宋体" w:hAnsi="宋体" w:cs="宋体"/>
                <w:color w:val="auto"/>
                <w:szCs w:val="21"/>
              </w:rPr>
            </w:pPr>
          </w:p>
        </w:tc>
        <w:tc>
          <w:tcPr>
            <w:tcW w:w="1116" w:type="dxa"/>
            <w:tcBorders>
              <w:top w:val="double" w:color="auto" w:sz="6" w:space="0"/>
              <w:bottom w:val="single" w:color="auto" w:sz="6" w:space="0"/>
            </w:tcBorders>
            <w:vAlign w:val="center"/>
          </w:tcPr>
          <w:p w14:paraId="58F10A86">
            <w:pPr>
              <w:spacing w:line="360" w:lineRule="auto"/>
              <w:ind w:leftChars="-35" w:hanging="73" w:hangingChars="35"/>
              <w:jc w:val="center"/>
              <w:rPr>
                <w:rFonts w:ascii="宋体" w:hAnsi="宋体" w:cs="宋体"/>
                <w:color w:val="auto"/>
                <w:szCs w:val="21"/>
              </w:rPr>
            </w:pPr>
          </w:p>
        </w:tc>
        <w:tc>
          <w:tcPr>
            <w:tcW w:w="756" w:type="dxa"/>
            <w:tcBorders>
              <w:top w:val="double" w:color="auto" w:sz="6" w:space="0"/>
              <w:bottom w:val="single" w:color="auto" w:sz="6" w:space="0"/>
            </w:tcBorders>
            <w:vAlign w:val="center"/>
          </w:tcPr>
          <w:p w14:paraId="373DD4B3">
            <w:pPr>
              <w:spacing w:line="360" w:lineRule="auto"/>
              <w:ind w:leftChars="-35" w:hanging="73" w:hangingChars="35"/>
              <w:jc w:val="center"/>
              <w:rPr>
                <w:rFonts w:ascii="宋体" w:hAnsi="宋体" w:cs="宋体"/>
                <w:color w:val="auto"/>
                <w:szCs w:val="21"/>
              </w:rPr>
            </w:pPr>
          </w:p>
        </w:tc>
      </w:tr>
      <w:tr w14:paraId="186BC2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tcBorders>
              <w:top w:val="nil"/>
            </w:tcBorders>
            <w:vAlign w:val="center"/>
          </w:tcPr>
          <w:p w14:paraId="7A71F9A5">
            <w:pPr>
              <w:spacing w:line="360" w:lineRule="auto"/>
              <w:ind w:leftChars="-35" w:hanging="73" w:hangingChars="35"/>
              <w:jc w:val="center"/>
              <w:rPr>
                <w:rFonts w:ascii="宋体" w:hAnsi="宋体" w:cs="宋体"/>
                <w:color w:val="auto"/>
                <w:szCs w:val="21"/>
              </w:rPr>
            </w:pPr>
          </w:p>
        </w:tc>
        <w:tc>
          <w:tcPr>
            <w:tcW w:w="1512" w:type="dxa"/>
            <w:tcBorders>
              <w:top w:val="nil"/>
            </w:tcBorders>
            <w:vAlign w:val="center"/>
          </w:tcPr>
          <w:p w14:paraId="2AA3A8C6">
            <w:pPr>
              <w:spacing w:line="360" w:lineRule="auto"/>
              <w:ind w:leftChars="-35" w:hanging="73" w:hangingChars="35"/>
              <w:jc w:val="center"/>
              <w:rPr>
                <w:rFonts w:ascii="宋体" w:hAnsi="宋体" w:cs="宋体"/>
                <w:color w:val="auto"/>
                <w:szCs w:val="21"/>
              </w:rPr>
            </w:pPr>
          </w:p>
        </w:tc>
        <w:tc>
          <w:tcPr>
            <w:tcW w:w="1051" w:type="dxa"/>
            <w:tcBorders>
              <w:top w:val="nil"/>
            </w:tcBorders>
            <w:vAlign w:val="center"/>
          </w:tcPr>
          <w:p w14:paraId="0514950F">
            <w:pPr>
              <w:spacing w:line="360" w:lineRule="auto"/>
              <w:ind w:leftChars="-35" w:hanging="73" w:hangingChars="35"/>
              <w:jc w:val="center"/>
              <w:rPr>
                <w:rFonts w:ascii="宋体" w:hAnsi="宋体" w:cs="宋体"/>
                <w:color w:val="auto"/>
                <w:szCs w:val="21"/>
              </w:rPr>
            </w:pPr>
          </w:p>
        </w:tc>
        <w:tc>
          <w:tcPr>
            <w:tcW w:w="1020" w:type="dxa"/>
            <w:tcBorders>
              <w:top w:val="nil"/>
            </w:tcBorders>
            <w:vAlign w:val="center"/>
          </w:tcPr>
          <w:p w14:paraId="718E0DC2">
            <w:pPr>
              <w:spacing w:line="360" w:lineRule="auto"/>
              <w:ind w:leftChars="-35" w:hanging="73" w:hangingChars="35"/>
              <w:jc w:val="center"/>
              <w:rPr>
                <w:rFonts w:ascii="宋体" w:hAnsi="宋体" w:cs="宋体"/>
                <w:color w:val="auto"/>
                <w:szCs w:val="21"/>
              </w:rPr>
            </w:pPr>
          </w:p>
        </w:tc>
        <w:tc>
          <w:tcPr>
            <w:tcW w:w="849" w:type="dxa"/>
            <w:tcBorders>
              <w:top w:val="nil"/>
            </w:tcBorders>
            <w:vAlign w:val="center"/>
          </w:tcPr>
          <w:p w14:paraId="036DDA1B">
            <w:pPr>
              <w:spacing w:line="360" w:lineRule="auto"/>
              <w:ind w:leftChars="-35" w:hanging="73" w:hangingChars="35"/>
              <w:jc w:val="center"/>
              <w:rPr>
                <w:rFonts w:ascii="宋体" w:hAnsi="宋体" w:cs="宋体"/>
                <w:color w:val="auto"/>
                <w:szCs w:val="21"/>
              </w:rPr>
            </w:pPr>
          </w:p>
        </w:tc>
        <w:tc>
          <w:tcPr>
            <w:tcW w:w="1134" w:type="dxa"/>
            <w:tcBorders>
              <w:top w:val="nil"/>
            </w:tcBorders>
            <w:vAlign w:val="center"/>
          </w:tcPr>
          <w:p w14:paraId="5FABB31E">
            <w:pPr>
              <w:spacing w:line="360" w:lineRule="auto"/>
              <w:ind w:leftChars="-35" w:hanging="73" w:hangingChars="35"/>
              <w:jc w:val="center"/>
              <w:rPr>
                <w:rFonts w:ascii="宋体" w:hAnsi="宋体" w:cs="宋体"/>
                <w:color w:val="auto"/>
                <w:szCs w:val="21"/>
              </w:rPr>
            </w:pPr>
          </w:p>
        </w:tc>
        <w:tc>
          <w:tcPr>
            <w:tcW w:w="1277" w:type="dxa"/>
            <w:tcBorders>
              <w:top w:val="nil"/>
            </w:tcBorders>
            <w:vAlign w:val="center"/>
          </w:tcPr>
          <w:p w14:paraId="243D4789">
            <w:pPr>
              <w:spacing w:line="360" w:lineRule="auto"/>
              <w:ind w:leftChars="-35" w:hanging="73" w:hangingChars="35"/>
              <w:jc w:val="center"/>
              <w:rPr>
                <w:rFonts w:ascii="宋体" w:hAnsi="宋体" w:cs="宋体"/>
                <w:color w:val="auto"/>
                <w:szCs w:val="21"/>
              </w:rPr>
            </w:pPr>
          </w:p>
        </w:tc>
        <w:tc>
          <w:tcPr>
            <w:tcW w:w="1116" w:type="dxa"/>
            <w:tcBorders>
              <w:top w:val="nil"/>
            </w:tcBorders>
            <w:vAlign w:val="center"/>
          </w:tcPr>
          <w:p w14:paraId="5737CA68">
            <w:pPr>
              <w:spacing w:line="360" w:lineRule="auto"/>
              <w:ind w:leftChars="-35" w:hanging="73" w:hangingChars="35"/>
              <w:jc w:val="center"/>
              <w:rPr>
                <w:rFonts w:ascii="宋体" w:hAnsi="宋体" w:cs="宋体"/>
                <w:color w:val="auto"/>
                <w:szCs w:val="21"/>
              </w:rPr>
            </w:pPr>
          </w:p>
        </w:tc>
        <w:tc>
          <w:tcPr>
            <w:tcW w:w="756" w:type="dxa"/>
            <w:tcBorders>
              <w:top w:val="nil"/>
            </w:tcBorders>
            <w:vAlign w:val="center"/>
          </w:tcPr>
          <w:p w14:paraId="63788E27">
            <w:pPr>
              <w:spacing w:line="360" w:lineRule="auto"/>
              <w:ind w:leftChars="-35" w:hanging="73" w:hangingChars="35"/>
              <w:jc w:val="center"/>
              <w:rPr>
                <w:rFonts w:ascii="宋体" w:hAnsi="宋体" w:cs="宋体"/>
                <w:color w:val="auto"/>
                <w:szCs w:val="21"/>
              </w:rPr>
            </w:pPr>
          </w:p>
        </w:tc>
      </w:tr>
      <w:tr w14:paraId="1B9879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7DC77DA2">
            <w:pPr>
              <w:spacing w:line="360" w:lineRule="auto"/>
              <w:ind w:leftChars="-35" w:hanging="73" w:hangingChars="35"/>
              <w:jc w:val="center"/>
              <w:rPr>
                <w:rFonts w:ascii="宋体" w:hAnsi="宋体" w:cs="宋体"/>
                <w:color w:val="auto"/>
                <w:szCs w:val="21"/>
              </w:rPr>
            </w:pPr>
          </w:p>
        </w:tc>
        <w:tc>
          <w:tcPr>
            <w:tcW w:w="1512" w:type="dxa"/>
            <w:vAlign w:val="center"/>
          </w:tcPr>
          <w:p w14:paraId="60729716">
            <w:pPr>
              <w:spacing w:line="360" w:lineRule="auto"/>
              <w:ind w:leftChars="-35" w:hanging="73" w:hangingChars="35"/>
              <w:jc w:val="center"/>
              <w:rPr>
                <w:rFonts w:ascii="宋体" w:hAnsi="宋体" w:cs="宋体"/>
                <w:color w:val="auto"/>
                <w:szCs w:val="21"/>
              </w:rPr>
            </w:pPr>
          </w:p>
        </w:tc>
        <w:tc>
          <w:tcPr>
            <w:tcW w:w="1051" w:type="dxa"/>
            <w:vAlign w:val="center"/>
          </w:tcPr>
          <w:p w14:paraId="17294DFF">
            <w:pPr>
              <w:spacing w:line="360" w:lineRule="auto"/>
              <w:ind w:leftChars="-35" w:hanging="73" w:hangingChars="35"/>
              <w:jc w:val="center"/>
              <w:rPr>
                <w:rFonts w:ascii="宋体" w:hAnsi="宋体" w:cs="宋体"/>
                <w:color w:val="auto"/>
                <w:szCs w:val="21"/>
              </w:rPr>
            </w:pPr>
          </w:p>
        </w:tc>
        <w:tc>
          <w:tcPr>
            <w:tcW w:w="1020" w:type="dxa"/>
            <w:vAlign w:val="center"/>
          </w:tcPr>
          <w:p w14:paraId="41B8519B">
            <w:pPr>
              <w:spacing w:line="360" w:lineRule="auto"/>
              <w:ind w:leftChars="-35" w:hanging="73" w:hangingChars="35"/>
              <w:jc w:val="center"/>
              <w:rPr>
                <w:rFonts w:ascii="宋体" w:hAnsi="宋体" w:cs="宋体"/>
                <w:color w:val="auto"/>
                <w:szCs w:val="21"/>
              </w:rPr>
            </w:pPr>
          </w:p>
        </w:tc>
        <w:tc>
          <w:tcPr>
            <w:tcW w:w="849" w:type="dxa"/>
            <w:vAlign w:val="center"/>
          </w:tcPr>
          <w:p w14:paraId="5DA97B83">
            <w:pPr>
              <w:spacing w:line="360" w:lineRule="auto"/>
              <w:ind w:leftChars="-35" w:hanging="73" w:hangingChars="35"/>
              <w:jc w:val="center"/>
              <w:rPr>
                <w:rFonts w:ascii="宋体" w:hAnsi="宋体" w:cs="宋体"/>
                <w:color w:val="auto"/>
                <w:szCs w:val="21"/>
              </w:rPr>
            </w:pPr>
          </w:p>
        </w:tc>
        <w:tc>
          <w:tcPr>
            <w:tcW w:w="1134" w:type="dxa"/>
            <w:vAlign w:val="center"/>
          </w:tcPr>
          <w:p w14:paraId="501F439B">
            <w:pPr>
              <w:spacing w:line="360" w:lineRule="auto"/>
              <w:ind w:leftChars="-35" w:hanging="73" w:hangingChars="35"/>
              <w:jc w:val="center"/>
              <w:rPr>
                <w:rFonts w:ascii="宋体" w:hAnsi="宋体" w:cs="宋体"/>
                <w:color w:val="auto"/>
                <w:szCs w:val="21"/>
              </w:rPr>
            </w:pPr>
          </w:p>
        </w:tc>
        <w:tc>
          <w:tcPr>
            <w:tcW w:w="1277" w:type="dxa"/>
            <w:vAlign w:val="center"/>
          </w:tcPr>
          <w:p w14:paraId="28A39015">
            <w:pPr>
              <w:spacing w:line="360" w:lineRule="auto"/>
              <w:ind w:leftChars="-35" w:hanging="73" w:hangingChars="35"/>
              <w:jc w:val="center"/>
              <w:rPr>
                <w:rFonts w:ascii="宋体" w:hAnsi="宋体" w:cs="宋体"/>
                <w:color w:val="auto"/>
                <w:szCs w:val="21"/>
              </w:rPr>
            </w:pPr>
          </w:p>
        </w:tc>
        <w:tc>
          <w:tcPr>
            <w:tcW w:w="1116" w:type="dxa"/>
            <w:vAlign w:val="center"/>
          </w:tcPr>
          <w:p w14:paraId="01F30169">
            <w:pPr>
              <w:spacing w:line="360" w:lineRule="auto"/>
              <w:ind w:leftChars="-35" w:hanging="73" w:hangingChars="35"/>
              <w:jc w:val="center"/>
              <w:rPr>
                <w:rFonts w:ascii="宋体" w:hAnsi="宋体" w:cs="宋体"/>
                <w:color w:val="auto"/>
                <w:szCs w:val="21"/>
              </w:rPr>
            </w:pPr>
          </w:p>
        </w:tc>
        <w:tc>
          <w:tcPr>
            <w:tcW w:w="756" w:type="dxa"/>
            <w:vAlign w:val="center"/>
          </w:tcPr>
          <w:p w14:paraId="5C7F4138">
            <w:pPr>
              <w:spacing w:line="360" w:lineRule="auto"/>
              <w:ind w:leftChars="-35" w:hanging="73" w:hangingChars="35"/>
              <w:jc w:val="center"/>
              <w:rPr>
                <w:rFonts w:ascii="宋体" w:hAnsi="宋体" w:cs="宋体"/>
                <w:color w:val="auto"/>
                <w:szCs w:val="21"/>
              </w:rPr>
            </w:pPr>
          </w:p>
        </w:tc>
      </w:tr>
      <w:tr w14:paraId="6835B3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370943EE">
            <w:pPr>
              <w:spacing w:line="360" w:lineRule="auto"/>
              <w:ind w:leftChars="-35" w:hanging="73" w:hangingChars="35"/>
              <w:jc w:val="center"/>
              <w:rPr>
                <w:rFonts w:ascii="宋体" w:hAnsi="宋体" w:cs="宋体"/>
                <w:color w:val="auto"/>
                <w:szCs w:val="21"/>
              </w:rPr>
            </w:pPr>
          </w:p>
        </w:tc>
        <w:tc>
          <w:tcPr>
            <w:tcW w:w="1512" w:type="dxa"/>
            <w:vAlign w:val="center"/>
          </w:tcPr>
          <w:p w14:paraId="5CB34BF2">
            <w:pPr>
              <w:spacing w:line="360" w:lineRule="auto"/>
              <w:ind w:leftChars="-35" w:hanging="73" w:hangingChars="35"/>
              <w:jc w:val="center"/>
              <w:rPr>
                <w:rFonts w:ascii="宋体" w:hAnsi="宋体" w:cs="宋体"/>
                <w:color w:val="auto"/>
                <w:szCs w:val="21"/>
              </w:rPr>
            </w:pPr>
          </w:p>
        </w:tc>
        <w:tc>
          <w:tcPr>
            <w:tcW w:w="1051" w:type="dxa"/>
            <w:vAlign w:val="center"/>
          </w:tcPr>
          <w:p w14:paraId="5F61AF89">
            <w:pPr>
              <w:spacing w:line="360" w:lineRule="auto"/>
              <w:ind w:leftChars="-35" w:hanging="73" w:hangingChars="35"/>
              <w:jc w:val="center"/>
              <w:rPr>
                <w:rFonts w:ascii="宋体" w:hAnsi="宋体" w:cs="宋体"/>
                <w:color w:val="auto"/>
                <w:szCs w:val="21"/>
              </w:rPr>
            </w:pPr>
          </w:p>
        </w:tc>
        <w:tc>
          <w:tcPr>
            <w:tcW w:w="1020" w:type="dxa"/>
            <w:vAlign w:val="center"/>
          </w:tcPr>
          <w:p w14:paraId="0F5189AC">
            <w:pPr>
              <w:spacing w:line="360" w:lineRule="auto"/>
              <w:ind w:leftChars="-35" w:hanging="73" w:hangingChars="35"/>
              <w:jc w:val="center"/>
              <w:rPr>
                <w:rFonts w:ascii="宋体" w:hAnsi="宋体" w:cs="宋体"/>
                <w:color w:val="auto"/>
                <w:szCs w:val="21"/>
              </w:rPr>
            </w:pPr>
          </w:p>
        </w:tc>
        <w:tc>
          <w:tcPr>
            <w:tcW w:w="849" w:type="dxa"/>
            <w:vAlign w:val="center"/>
          </w:tcPr>
          <w:p w14:paraId="056EBD1C">
            <w:pPr>
              <w:spacing w:line="360" w:lineRule="auto"/>
              <w:ind w:leftChars="-35" w:hanging="73" w:hangingChars="35"/>
              <w:jc w:val="center"/>
              <w:rPr>
                <w:rFonts w:ascii="宋体" w:hAnsi="宋体" w:cs="宋体"/>
                <w:color w:val="auto"/>
                <w:szCs w:val="21"/>
              </w:rPr>
            </w:pPr>
          </w:p>
        </w:tc>
        <w:tc>
          <w:tcPr>
            <w:tcW w:w="1134" w:type="dxa"/>
            <w:vAlign w:val="center"/>
          </w:tcPr>
          <w:p w14:paraId="764F854E">
            <w:pPr>
              <w:spacing w:line="360" w:lineRule="auto"/>
              <w:ind w:leftChars="-35" w:hanging="73" w:hangingChars="35"/>
              <w:jc w:val="center"/>
              <w:rPr>
                <w:rFonts w:ascii="宋体" w:hAnsi="宋体" w:cs="宋体"/>
                <w:color w:val="auto"/>
                <w:szCs w:val="21"/>
              </w:rPr>
            </w:pPr>
          </w:p>
        </w:tc>
        <w:tc>
          <w:tcPr>
            <w:tcW w:w="1277" w:type="dxa"/>
            <w:vAlign w:val="center"/>
          </w:tcPr>
          <w:p w14:paraId="734E62B8">
            <w:pPr>
              <w:spacing w:line="360" w:lineRule="auto"/>
              <w:ind w:leftChars="-35" w:hanging="73" w:hangingChars="35"/>
              <w:jc w:val="center"/>
              <w:rPr>
                <w:rFonts w:ascii="宋体" w:hAnsi="宋体" w:cs="宋体"/>
                <w:color w:val="auto"/>
                <w:szCs w:val="21"/>
              </w:rPr>
            </w:pPr>
          </w:p>
        </w:tc>
        <w:tc>
          <w:tcPr>
            <w:tcW w:w="1116" w:type="dxa"/>
            <w:vAlign w:val="center"/>
          </w:tcPr>
          <w:p w14:paraId="6E9FEB6D">
            <w:pPr>
              <w:spacing w:line="360" w:lineRule="auto"/>
              <w:ind w:leftChars="-35" w:hanging="73" w:hangingChars="35"/>
              <w:jc w:val="center"/>
              <w:rPr>
                <w:rFonts w:ascii="宋体" w:hAnsi="宋体" w:cs="宋体"/>
                <w:color w:val="auto"/>
                <w:szCs w:val="21"/>
              </w:rPr>
            </w:pPr>
          </w:p>
        </w:tc>
        <w:tc>
          <w:tcPr>
            <w:tcW w:w="756" w:type="dxa"/>
            <w:vAlign w:val="center"/>
          </w:tcPr>
          <w:p w14:paraId="11743A24">
            <w:pPr>
              <w:spacing w:line="360" w:lineRule="auto"/>
              <w:ind w:leftChars="-35" w:hanging="73" w:hangingChars="35"/>
              <w:jc w:val="center"/>
              <w:rPr>
                <w:rFonts w:ascii="宋体" w:hAnsi="宋体" w:cs="宋体"/>
                <w:color w:val="auto"/>
                <w:szCs w:val="21"/>
              </w:rPr>
            </w:pPr>
          </w:p>
        </w:tc>
      </w:tr>
      <w:tr w14:paraId="40036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0D8C74B6">
            <w:pPr>
              <w:spacing w:line="360" w:lineRule="auto"/>
              <w:ind w:leftChars="-35" w:hanging="73" w:hangingChars="35"/>
              <w:jc w:val="center"/>
              <w:rPr>
                <w:rFonts w:ascii="宋体" w:hAnsi="宋体" w:cs="宋体"/>
                <w:color w:val="auto"/>
                <w:szCs w:val="21"/>
              </w:rPr>
            </w:pPr>
          </w:p>
        </w:tc>
        <w:tc>
          <w:tcPr>
            <w:tcW w:w="1512" w:type="dxa"/>
            <w:vAlign w:val="center"/>
          </w:tcPr>
          <w:p w14:paraId="2F3D191F">
            <w:pPr>
              <w:spacing w:line="360" w:lineRule="auto"/>
              <w:ind w:leftChars="-35" w:hanging="73" w:hangingChars="35"/>
              <w:jc w:val="center"/>
              <w:rPr>
                <w:rFonts w:ascii="宋体" w:hAnsi="宋体" w:cs="宋体"/>
                <w:color w:val="auto"/>
                <w:szCs w:val="21"/>
              </w:rPr>
            </w:pPr>
          </w:p>
        </w:tc>
        <w:tc>
          <w:tcPr>
            <w:tcW w:w="1051" w:type="dxa"/>
            <w:vAlign w:val="center"/>
          </w:tcPr>
          <w:p w14:paraId="4E2CAB78">
            <w:pPr>
              <w:spacing w:line="360" w:lineRule="auto"/>
              <w:ind w:leftChars="-35" w:hanging="73" w:hangingChars="35"/>
              <w:jc w:val="center"/>
              <w:rPr>
                <w:rFonts w:ascii="宋体" w:hAnsi="宋体" w:cs="宋体"/>
                <w:color w:val="auto"/>
                <w:szCs w:val="21"/>
              </w:rPr>
            </w:pPr>
          </w:p>
        </w:tc>
        <w:tc>
          <w:tcPr>
            <w:tcW w:w="1020" w:type="dxa"/>
            <w:vAlign w:val="center"/>
          </w:tcPr>
          <w:p w14:paraId="7A541747">
            <w:pPr>
              <w:spacing w:line="360" w:lineRule="auto"/>
              <w:ind w:leftChars="-35" w:hanging="73" w:hangingChars="35"/>
              <w:jc w:val="center"/>
              <w:rPr>
                <w:rFonts w:ascii="宋体" w:hAnsi="宋体" w:cs="宋体"/>
                <w:color w:val="auto"/>
                <w:szCs w:val="21"/>
              </w:rPr>
            </w:pPr>
          </w:p>
        </w:tc>
        <w:tc>
          <w:tcPr>
            <w:tcW w:w="849" w:type="dxa"/>
            <w:vAlign w:val="center"/>
          </w:tcPr>
          <w:p w14:paraId="1172AC62">
            <w:pPr>
              <w:spacing w:line="360" w:lineRule="auto"/>
              <w:ind w:leftChars="-35" w:hanging="73" w:hangingChars="35"/>
              <w:jc w:val="center"/>
              <w:rPr>
                <w:rFonts w:ascii="宋体" w:hAnsi="宋体" w:cs="宋体"/>
                <w:color w:val="auto"/>
                <w:szCs w:val="21"/>
              </w:rPr>
            </w:pPr>
          </w:p>
        </w:tc>
        <w:tc>
          <w:tcPr>
            <w:tcW w:w="1134" w:type="dxa"/>
            <w:vAlign w:val="center"/>
          </w:tcPr>
          <w:p w14:paraId="030D86C7">
            <w:pPr>
              <w:spacing w:line="360" w:lineRule="auto"/>
              <w:ind w:leftChars="-35" w:hanging="73" w:hangingChars="35"/>
              <w:jc w:val="center"/>
              <w:rPr>
                <w:rFonts w:ascii="宋体" w:hAnsi="宋体" w:cs="宋体"/>
                <w:color w:val="auto"/>
                <w:szCs w:val="21"/>
              </w:rPr>
            </w:pPr>
          </w:p>
        </w:tc>
        <w:tc>
          <w:tcPr>
            <w:tcW w:w="1277" w:type="dxa"/>
            <w:vAlign w:val="center"/>
          </w:tcPr>
          <w:p w14:paraId="0EF2F274">
            <w:pPr>
              <w:spacing w:line="360" w:lineRule="auto"/>
              <w:ind w:leftChars="-35" w:hanging="73" w:hangingChars="35"/>
              <w:jc w:val="center"/>
              <w:rPr>
                <w:rFonts w:ascii="宋体" w:hAnsi="宋体" w:cs="宋体"/>
                <w:color w:val="auto"/>
                <w:szCs w:val="21"/>
              </w:rPr>
            </w:pPr>
          </w:p>
        </w:tc>
        <w:tc>
          <w:tcPr>
            <w:tcW w:w="1116" w:type="dxa"/>
            <w:vAlign w:val="center"/>
          </w:tcPr>
          <w:p w14:paraId="7CBAC77F">
            <w:pPr>
              <w:spacing w:line="360" w:lineRule="auto"/>
              <w:ind w:leftChars="-35" w:hanging="73" w:hangingChars="35"/>
              <w:jc w:val="center"/>
              <w:rPr>
                <w:rFonts w:ascii="宋体" w:hAnsi="宋体" w:cs="宋体"/>
                <w:color w:val="auto"/>
                <w:szCs w:val="21"/>
              </w:rPr>
            </w:pPr>
          </w:p>
        </w:tc>
        <w:tc>
          <w:tcPr>
            <w:tcW w:w="756" w:type="dxa"/>
            <w:vAlign w:val="center"/>
          </w:tcPr>
          <w:p w14:paraId="64679C59">
            <w:pPr>
              <w:spacing w:line="360" w:lineRule="auto"/>
              <w:ind w:leftChars="-35" w:hanging="73" w:hangingChars="35"/>
              <w:jc w:val="center"/>
              <w:rPr>
                <w:rFonts w:ascii="宋体" w:hAnsi="宋体" w:cs="宋体"/>
                <w:color w:val="auto"/>
                <w:szCs w:val="21"/>
              </w:rPr>
            </w:pPr>
          </w:p>
        </w:tc>
      </w:tr>
      <w:tr w14:paraId="7BE80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24202626">
            <w:pPr>
              <w:spacing w:line="360" w:lineRule="auto"/>
              <w:ind w:leftChars="-35" w:hanging="73" w:hangingChars="35"/>
              <w:jc w:val="center"/>
              <w:rPr>
                <w:rFonts w:ascii="宋体" w:hAnsi="宋体" w:cs="宋体"/>
                <w:color w:val="auto"/>
                <w:szCs w:val="21"/>
              </w:rPr>
            </w:pPr>
          </w:p>
        </w:tc>
        <w:tc>
          <w:tcPr>
            <w:tcW w:w="1512" w:type="dxa"/>
            <w:vAlign w:val="center"/>
          </w:tcPr>
          <w:p w14:paraId="318BFB68">
            <w:pPr>
              <w:spacing w:line="360" w:lineRule="auto"/>
              <w:ind w:leftChars="-35" w:hanging="73" w:hangingChars="35"/>
              <w:jc w:val="center"/>
              <w:rPr>
                <w:rFonts w:ascii="宋体" w:hAnsi="宋体" w:cs="宋体"/>
                <w:color w:val="auto"/>
                <w:szCs w:val="21"/>
              </w:rPr>
            </w:pPr>
          </w:p>
        </w:tc>
        <w:tc>
          <w:tcPr>
            <w:tcW w:w="1051" w:type="dxa"/>
            <w:vAlign w:val="center"/>
          </w:tcPr>
          <w:p w14:paraId="33AB2C98">
            <w:pPr>
              <w:spacing w:line="360" w:lineRule="auto"/>
              <w:ind w:leftChars="-35" w:hanging="73" w:hangingChars="35"/>
              <w:jc w:val="center"/>
              <w:rPr>
                <w:rFonts w:ascii="宋体" w:hAnsi="宋体" w:cs="宋体"/>
                <w:color w:val="auto"/>
                <w:szCs w:val="21"/>
              </w:rPr>
            </w:pPr>
          </w:p>
        </w:tc>
        <w:tc>
          <w:tcPr>
            <w:tcW w:w="1020" w:type="dxa"/>
            <w:vAlign w:val="center"/>
          </w:tcPr>
          <w:p w14:paraId="596D93BC">
            <w:pPr>
              <w:spacing w:line="360" w:lineRule="auto"/>
              <w:ind w:leftChars="-35" w:hanging="73" w:hangingChars="35"/>
              <w:jc w:val="center"/>
              <w:rPr>
                <w:rFonts w:ascii="宋体" w:hAnsi="宋体" w:cs="宋体"/>
                <w:color w:val="auto"/>
                <w:szCs w:val="21"/>
              </w:rPr>
            </w:pPr>
          </w:p>
        </w:tc>
        <w:tc>
          <w:tcPr>
            <w:tcW w:w="849" w:type="dxa"/>
            <w:vAlign w:val="center"/>
          </w:tcPr>
          <w:p w14:paraId="7A07E285">
            <w:pPr>
              <w:spacing w:line="360" w:lineRule="auto"/>
              <w:ind w:leftChars="-35" w:hanging="73" w:hangingChars="35"/>
              <w:jc w:val="center"/>
              <w:rPr>
                <w:rFonts w:ascii="宋体" w:hAnsi="宋体" w:cs="宋体"/>
                <w:color w:val="auto"/>
                <w:szCs w:val="21"/>
              </w:rPr>
            </w:pPr>
          </w:p>
        </w:tc>
        <w:tc>
          <w:tcPr>
            <w:tcW w:w="1134" w:type="dxa"/>
            <w:vAlign w:val="center"/>
          </w:tcPr>
          <w:p w14:paraId="4501EDD9">
            <w:pPr>
              <w:spacing w:line="360" w:lineRule="auto"/>
              <w:ind w:leftChars="-35" w:hanging="73" w:hangingChars="35"/>
              <w:jc w:val="center"/>
              <w:rPr>
                <w:rFonts w:ascii="宋体" w:hAnsi="宋体" w:cs="宋体"/>
                <w:color w:val="auto"/>
                <w:szCs w:val="21"/>
              </w:rPr>
            </w:pPr>
          </w:p>
        </w:tc>
        <w:tc>
          <w:tcPr>
            <w:tcW w:w="1277" w:type="dxa"/>
            <w:vAlign w:val="center"/>
          </w:tcPr>
          <w:p w14:paraId="405A1543">
            <w:pPr>
              <w:spacing w:line="360" w:lineRule="auto"/>
              <w:ind w:leftChars="-35" w:hanging="73" w:hangingChars="35"/>
              <w:jc w:val="center"/>
              <w:rPr>
                <w:rFonts w:ascii="宋体" w:hAnsi="宋体" w:cs="宋体"/>
                <w:color w:val="auto"/>
                <w:szCs w:val="21"/>
              </w:rPr>
            </w:pPr>
          </w:p>
        </w:tc>
        <w:tc>
          <w:tcPr>
            <w:tcW w:w="1116" w:type="dxa"/>
            <w:vAlign w:val="center"/>
          </w:tcPr>
          <w:p w14:paraId="49D6DA14">
            <w:pPr>
              <w:spacing w:line="360" w:lineRule="auto"/>
              <w:ind w:leftChars="-35" w:hanging="73" w:hangingChars="35"/>
              <w:jc w:val="center"/>
              <w:rPr>
                <w:rFonts w:ascii="宋体" w:hAnsi="宋体" w:cs="宋体"/>
                <w:color w:val="auto"/>
                <w:szCs w:val="21"/>
              </w:rPr>
            </w:pPr>
          </w:p>
        </w:tc>
        <w:tc>
          <w:tcPr>
            <w:tcW w:w="756" w:type="dxa"/>
            <w:vAlign w:val="center"/>
          </w:tcPr>
          <w:p w14:paraId="52318D39">
            <w:pPr>
              <w:spacing w:line="360" w:lineRule="auto"/>
              <w:ind w:leftChars="-35" w:hanging="73" w:hangingChars="35"/>
              <w:jc w:val="center"/>
              <w:rPr>
                <w:rFonts w:ascii="宋体" w:hAnsi="宋体" w:cs="宋体"/>
                <w:color w:val="auto"/>
                <w:szCs w:val="21"/>
              </w:rPr>
            </w:pPr>
          </w:p>
        </w:tc>
      </w:tr>
      <w:tr w14:paraId="4EEFC2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334F4A28">
            <w:pPr>
              <w:spacing w:line="360" w:lineRule="auto"/>
              <w:ind w:leftChars="-35" w:hanging="73" w:hangingChars="35"/>
              <w:jc w:val="center"/>
              <w:rPr>
                <w:rFonts w:ascii="宋体" w:hAnsi="宋体" w:cs="宋体"/>
                <w:color w:val="auto"/>
                <w:szCs w:val="21"/>
              </w:rPr>
            </w:pPr>
          </w:p>
        </w:tc>
        <w:tc>
          <w:tcPr>
            <w:tcW w:w="1512" w:type="dxa"/>
            <w:vAlign w:val="center"/>
          </w:tcPr>
          <w:p w14:paraId="6D384C28">
            <w:pPr>
              <w:spacing w:line="360" w:lineRule="auto"/>
              <w:ind w:leftChars="-35" w:hanging="73" w:hangingChars="35"/>
              <w:jc w:val="center"/>
              <w:rPr>
                <w:rFonts w:ascii="宋体" w:hAnsi="宋体" w:cs="宋体"/>
                <w:color w:val="auto"/>
                <w:szCs w:val="21"/>
              </w:rPr>
            </w:pPr>
          </w:p>
        </w:tc>
        <w:tc>
          <w:tcPr>
            <w:tcW w:w="1051" w:type="dxa"/>
            <w:vAlign w:val="center"/>
          </w:tcPr>
          <w:p w14:paraId="07C87935">
            <w:pPr>
              <w:spacing w:line="360" w:lineRule="auto"/>
              <w:ind w:leftChars="-35" w:hanging="73" w:hangingChars="35"/>
              <w:jc w:val="center"/>
              <w:rPr>
                <w:rFonts w:ascii="宋体" w:hAnsi="宋体" w:cs="宋体"/>
                <w:color w:val="auto"/>
                <w:szCs w:val="21"/>
              </w:rPr>
            </w:pPr>
          </w:p>
        </w:tc>
        <w:tc>
          <w:tcPr>
            <w:tcW w:w="1020" w:type="dxa"/>
            <w:vAlign w:val="center"/>
          </w:tcPr>
          <w:p w14:paraId="42CD76E8">
            <w:pPr>
              <w:spacing w:line="360" w:lineRule="auto"/>
              <w:ind w:leftChars="-35" w:hanging="73" w:hangingChars="35"/>
              <w:jc w:val="center"/>
              <w:rPr>
                <w:rFonts w:ascii="宋体" w:hAnsi="宋体" w:cs="宋体"/>
                <w:color w:val="auto"/>
                <w:szCs w:val="21"/>
              </w:rPr>
            </w:pPr>
          </w:p>
        </w:tc>
        <w:tc>
          <w:tcPr>
            <w:tcW w:w="849" w:type="dxa"/>
            <w:vAlign w:val="center"/>
          </w:tcPr>
          <w:p w14:paraId="677B74DE">
            <w:pPr>
              <w:spacing w:line="360" w:lineRule="auto"/>
              <w:ind w:leftChars="-35" w:hanging="73" w:hangingChars="35"/>
              <w:jc w:val="center"/>
              <w:rPr>
                <w:rFonts w:ascii="宋体" w:hAnsi="宋体" w:cs="宋体"/>
                <w:color w:val="auto"/>
                <w:szCs w:val="21"/>
              </w:rPr>
            </w:pPr>
          </w:p>
        </w:tc>
        <w:tc>
          <w:tcPr>
            <w:tcW w:w="1134" w:type="dxa"/>
            <w:vAlign w:val="center"/>
          </w:tcPr>
          <w:p w14:paraId="7A0BA052">
            <w:pPr>
              <w:spacing w:line="360" w:lineRule="auto"/>
              <w:ind w:leftChars="-35" w:hanging="73" w:hangingChars="35"/>
              <w:jc w:val="center"/>
              <w:rPr>
                <w:rFonts w:ascii="宋体" w:hAnsi="宋体" w:cs="宋体"/>
                <w:color w:val="auto"/>
                <w:szCs w:val="21"/>
              </w:rPr>
            </w:pPr>
          </w:p>
        </w:tc>
        <w:tc>
          <w:tcPr>
            <w:tcW w:w="1277" w:type="dxa"/>
            <w:vAlign w:val="center"/>
          </w:tcPr>
          <w:p w14:paraId="0C1E4D50">
            <w:pPr>
              <w:spacing w:line="360" w:lineRule="auto"/>
              <w:ind w:leftChars="-35" w:hanging="73" w:hangingChars="35"/>
              <w:jc w:val="center"/>
              <w:rPr>
                <w:rFonts w:ascii="宋体" w:hAnsi="宋体" w:cs="宋体"/>
                <w:color w:val="auto"/>
                <w:szCs w:val="21"/>
              </w:rPr>
            </w:pPr>
          </w:p>
        </w:tc>
        <w:tc>
          <w:tcPr>
            <w:tcW w:w="1116" w:type="dxa"/>
            <w:vAlign w:val="center"/>
          </w:tcPr>
          <w:p w14:paraId="448E1871">
            <w:pPr>
              <w:spacing w:line="360" w:lineRule="auto"/>
              <w:ind w:leftChars="-35" w:hanging="73" w:hangingChars="35"/>
              <w:jc w:val="center"/>
              <w:rPr>
                <w:rFonts w:ascii="宋体" w:hAnsi="宋体" w:cs="宋体"/>
                <w:color w:val="auto"/>
                <w:szCs w:val="21"/>
              </w:rPr>
            </w:pPr>
          </w:p>
        </w:tc>
        <w:tc>
          <w:tcPr>
            <w:tcW w:w="756" w:type="dxa"/>
            <w:vAlign w:val="center"/>
          </w:tcPr>
          <w:p w14:paraId="395A5890">
            <w:pPr>
              <w:spacing w:line="360" w:lineRule="auto"/>
              <w:ind w:leftChars="-35" w:hanging="73" w:hangingChars="35"/>
              <w:jc w:val="center"/>
              <w:rPr>
                <w:rFonts w:ascii="宋体" w:hAnsi="宋体" w:cs="宋体"/>
                <w:color w:val="auto"/>
                <w:szCs w:val="21"/>
              </w:rPr>
            </w:pPr>
          </w:p>
        </w:tc>
      </w:tr>
      <w:tr w14:paraId="4C08EA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50B36D2B">
            <w:pPr>
              <w:spacing w:line="360" w:lineRule="auto"/>
              <w:ind w:leftChars="-35" w:hanging="73" w:hangingChars="35"/>
              <w:jc w:val="center"/>
              <w:rPr>
                <w:rFonts w:ascii="宋体" w:hAnsi="宋体" w:cs="宋体"/>
                <w:color w:val="auto"/>
                <w:szCs w:val="21"/>
              </w:rPr>
            </w:pPr>
          </w:p>
        </w:tc>
        <w:tc>
          <w:tcPr>
            <w:tcW w:w="1512" w:type="dxa"/>
            <w:vAlign w:val="center"/>
          </w:tcPr>
          <w:p w14:paraId="43CA068F">
            <w:pPr>
              <w:spacing w:line="360" w:lineRule="auto"/>
              <w:ind w:leftChars="-35" w:hanging="73" w:hangingChars="35"/>
              <w:jc w:val="center"/>
              <w:rPr>
                <w:rFonts w:ascii="宋体" w:hAnsi="宋体" w:cs="宋体"/>
                <w:color w:val="auto"/>
                <w:szCs w:val="21"/>
              </w:rPr>
            </w:pPr>
          </w:p>
        </w:tc>
        <w:tc>
          <w:tcPr>
            <w:tcW w:w="1051" w:type="dxa"/>
            <w:vAlign w:val="center"/>
          </w:tcPr>
          <w:p w14:paraId="5A79677F">
            <w:pPr>
              <w:spacing w:line="360" w:lineRule="auto"/>
              <w:ind w:leftChars="-35" w:hanging="73" w:hangingChars="35"/>
              <w:jc w:val="center"/>
              <w:rPr>
                <w:rFonts w:ascii="宋体" w:hAnsi="宋体" w:cs="宋体"/>
                <w:color w:val="auto"/>
                <w:szCs w:val="21"/>
              </w:rPr>
            </w:pPr>
          </w:p>
        </w:tc>
        <w:tc>
          <w:tcPr>
            <w:tcW w:w="1020" w:type="dxa"/>
            <w:vAlign w:val="center"/>
          </w:tcPr>
          <w:p w14:paraId="3A697DE7">
            <w:pPr>
              <w:spacing w:line="360" w:lineRule="auto"/>
              <w:ind w:leftChars="-35" w:hanging="73" w:hangingChars="35"/>
              <w:jc w:val="center"/>
              <w:rPr>
                <w:rFonts w:ascii="宋体" w:hAnsi="宋体" w:cs="宋体"/>
                <w:color w:val="auto"/>
                <w:szCs w:val="21"/>
              </w:rPr>
            </w:pPr>
          </w:p>
        </w:tc>
        <w:tc>
          <w:tcPr>
            <w:tcW w:w="849" w:type="dxa"/>
            <w:vAlign w:val="center"/>
          </w:tcPr>
          <w:p w14:paraId="088EA6D7">
            <w:pPr>
              <w:spacing w:line="360" w:lineRule="auto"/>
              <w:ind w:leftChars="-35" w:hanging="73" w:hangingChars="35"/>
              <w:jc w:val="center"/>
              <w:rPr>
                <w:rFonts w:ascii="宋体" w:hAnsi="宋体" w:cs="宋体"/>
                <w:color w:val="auto"/>
                <w:szCs w:val="21"/>
              </w:rPr>
            </w:pPr>
          </w:p>
        </w:tc>
        <w:tc>
          <w:tcPr>
            <w:tcW w:w="1134" w:type="dxa"/>
            <w:vAlign w:val="center"/>
          </w:tcPr>
          <w:p w14:paraId="268971B7">
            <w:pPr>
              <w:spacing w:line="360" w:lineRule="auto"/>
              <w:ind w:leftChars="-35" w:hanging="73" w:hangingChars="35"/>
              <w:jc w:val="center"/>
              <w:rPr>
                <w:rFonts w:ascii="宋体" w:hAnsi="宋体" w:cs="宋体"/>
                <w:color w:val="auto"/>
                <w:szCs w:val="21"/>
              </w:rPr>
            </w:pPr>
          </w:p>
        </w:tc>
        <w:tc>
          <w:tcPr>
            <w:tcW w:w="1277" w:type="dxa"/>
            <w:vAlign w:val="center"/>
          </w:tcPr>
          <w:p w14:paraId="1C95E2BA">
            <w:pPr>
              <w:spacing w:line="360" w:lineRule="auto"/>
              <w:ind w:leftChars="-35" w:hanging="73" w:hangingChars="35"/>
              <w:jc w:val="center"/>
              <w:rPr>
                <w:rFonts w:ascii="宋体" w:hAnsi="宋体" w:cs="宋体"/>
                <w:color w:val="auto"/>
                <w:szCs w:val="21"/>
              </w:rPr>
            </w:pPr>
          </w:p>
        </w:tc>
        <w:tc>
          <w:tcPr>
            <w:tcW w:w="1116" w:type="dxa"/>
            <w:vAlign w:val="center"/>
          </w:tcPr>
          <w:p w14:paraId="3F6E5A37">
            <w:pPr>
              <w:spacing w:line="360" w:lineRule="auto"/>
              <w:ind w:leftChars="-35" w:hanging="73" w:hangingChars="35"/>
              <w:jc w:val="center"/>
              <w:rPr>
                <w:rFonts w:ascii="宋体" w:hAnsi="宋体" w:cs="宋体"/>
                <w:color w:val="auto"/>
                <w:szCs w:val="21"/>
              </w:rPr>
            </w:pPr>
          </w:p>
        </w:tc>
        <w:tc>
          <w:tcPr>
            <w:tcW w:w="756" w:type="dxa"/>
            <w:vAlign w:val="center"/>
          </w:tcPr>
          <w:p w14:paraId="49548798">
            <w:pPr>
              <w:spacing w:line="360" w:lineRule="auto"/>
              <w:ind w:leftChars="-35" w:hanging="73" w:hangingChars="35"/>
              <w:jc w:val="center"/>
              <w:rPr>
                <w:rFonts w:ascii="宋体" w:hAnsi="宋体" w:cs="宋体"/>
                <w:color w:val="auto"/>
                <w:szCs w:val="21"/>
              </w:rPr>
            </w:pPr>
          </w:p>
        </w:tc>
      </w:tr>
      <w:tr w14:paraId="22CCD6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30C6D7D8">
            <w:pPr>
              <w:spacing w:line="360" w:lineRule="auto"/>
              <w:ind w:leftChars="-35" w:hanging="73" w:hangingChars="35"/>
              <w:jc w:val="center"/>
              <w:rPr>
                <w:rFonts w:ascii="宋体" w:hAnsi="宋体" w:cs="宋体"/>
                <w:color w:val="auto"/>
                <w:szCs w:val="21"/>
              </w:rPr>
            </w:pPr>
          </w:p>
        </w:tc>
        <w:tc>
          <w:tcPr>
            <w:tcW w:w="1512" w:type="dxa"/>
            <w:vAlign w:val="center"/>
          </w:tcPr>
          <w:p w14:paraId="57B9285E">
            <w:pPr>
              <w:spacing w:line="360" w:lineRule="auto"/>
              <w:ind w:leftChars="-35" w:hanging="73" w:hangingChars="35"/>
              <w:jc w:val="center"/>
              <w:rPr>
                <w:rFonts w:ascii="宋体" w:hAnsi="宋体" w:cs="宋体"/>
                <w:color w:val="auto"/>
                <w:szCs w:val="21"/>
              </w:rPr>
            </w:pPr>
          </w:p>
        </w:tc>
        <w:tc>
          <w:tcPr>
            <w:tcW w:w="1051" w:type="dxa"/>
            <w:vAlign w:val="center"/>
          </w:tcPr>
          <w:p w14:paraId="5590A3BD">
            <w:pPr>
              <w:spacing w:line="360" w:lineRule="auto"/>
              <w:ind w:leftChars="-35" w:hanging="73" w:hangingChars="35"/>
              <w:jc w:val="center"/>
              <w:rPr>
                <w:rFonts w:ascii="宋体" w:hAnsi="宋体" w:cs="宋体"/>
                <w:color w:val="auto"/>
                <w:szCs w:val="21"/>
              </w:rPr>
            </w:pPr>
          </w:p>
        </w:tc>
        <w:tc>
          <w:tcPr>
            <w:tcW w:w="1020" w:type="dxa"/>
            <w:vAlign w:val="center"/>
          </w:tcPr>
          <w:p w14:paraId="0B72542D">
            <w:pPr>
              <w:spacing w:line="360" w:lineRule="auto"/>
              <w:ind w:leftChars="-35" w:hanging="73" w:hangingChars="35"/>
              <w:jc w:val="center"/>
              <w:rPr>
                <w:rFonts w:ascii="宋体" w:hAnsi="宋体" w:cs="宋体"/>
                <w:color w:val="auto"/>
                <w:szCs w:val="21"/>
              </w:rPr>
            </w:pPr>
          </w:p>
        </w:tc>
        <w:tc>
          <w:tcPr>
            <w:tcW w:w="849" w:type="dxa"/>
            <w:vAlign w:val="center"/>
          </w:tcPr>
          <w:p w14:paraId="57E8644D">
            <w:pPr>
              <w:spacing w:line="360" w:lineRule="auto"/>
              <w:ind w:leftChars="-35" w:hanging="73" w:hangingChars="35"/>
              <w:jc w:val="center"/>
              <w:rPr>
                <w:rFonts w:ascii="宋体" w:hAnsi="宋体" w:cs="宋体"/>
                <w:color w:val="auto"/>
                <w:szCs w:val="21"/>
              </w:rPr>
            </w:pPr>
          </w:p>
        </w:tc>
        <w:tc>
          <w:tcPr>
            <w:tcW w:w="1134" w:type="dxa"/>
            <w:vAlign w:val="center"/>
          </w:tcPr>
          <w:p w14:paraId="5D26593F">
            <w:pPr>
              <w:spacing w:line="360" w:lineRule="auto"/>
              <w:ind w:leftChars="-35" w:hanging="73" w:hangingChars="35"/>
              <w:jc w:val="center"/>
              <w:rPr>
                <w:rFonts w:ascii="宋体" w:hAnsi="宋体" w:cs="宋体"/>
                <w:color w:val="auto"/>
                <w:szCs w:val="21"/>
              </w:rPr>
            </w:pPr>
          </w:p>
        </w:tc>
        <w:tc>
          <w:tcPr>
            <w:tcW w:w="1277" w:type="dxa"/>
            <w:vAlign w:val="center"/>
          </w:tcPr>
          <w:p w14:paraId="53873A9B">
            <w:pPr>
              <w:spacing w:line="360" w:lineRule="auto"/>
              <w:ind w:leftChars="-35" w:hanging="73" w:hangingChars="35"/>
              <w:jc w:val="center"/>
              <w:rPr>
                <w:rFonts w:ascii="宋体" w:hAnsi="宋体" w:cs="宋体"/>
                <w:color w:val="auto"/>
                <w:szCs w:val="21"/>
              </w:rPr>
            </w:pPr>
          </w:p>
        </w:tc>
        <w:tc>
          <w:tcPr>
            <w:tcW w:w="1116" w:type="dxa"/>
            <w:vAlign w:val="center"/>
          </w:tcPr>
          <w:p w14:paraId="25A32FD4">
            <w:pPr>
              <w:spacing w:line="360" w:lineRule="auto"/>
              <w:ind w:leftChars="-35" w:hanging="73" w:hangingChars="35"/>
              <w:jc w:val="center"/>
              <w:rPr>
                <w:rFonts w:ascii="宋体" w:hAnsi="宋体" w:cs="宋体"/>
                <w:color w:val="auto"/>
                <w:szCs w:val="21"/>
              </w:rPr>
            </w:pPr>
          </w:p>
        </w:tc>
        <w:tc>
          <w:tcPr>
            <w:tcW w:w="756" w:type="dxa"/>
            <w:vAlign w:val="center"/>
          </w:tcPr>
          <w:p w14:paraId="188C0D7B">
            <w:pPr>
              <w:spacing w:line="360" w:lineRule="auto"/>
              <w:ind w:leftChars="-35" w:hanging="73" w:hangingChars="35"/>
              <w:jc w:val="center"/>
              <w:rPr>
                <w:rFonts w:ascii="宋体" w:hAnsi="宋体" w:cs="宋体"/>
                <w:color w:val="auto"/>
                <w:szCs w:val="21"/>
              </w:rPr>
            </w:pPr>
          </w:p>
        </w:tc>
      </w:tr>
      <w:tr w14:paraId="16A44D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7A4997A3">
            <w:pPr>
              <w:spacing w:line="360" w:lineRule="auto"/>
              <w:ind w:leftChars="-35" w:hanging="73" w:hangingChars="35"/>
              <w:jc w:val="center"/>
              <w:rPr>
                <w:rFonts w:ascii="宋体" w:hAnsi="宋体" w:cs="宋体"/>
                <w:color w:val="auto"/>
                <w:szCs w:val="21"/>
              </w:rPr>
            </w:pPr>
          </w:p>
        </w:tc>
        <w:tc>
          <w:tcPr>
            <w:tcW w:w="1512" w:type="dxa"/>
            <w:vAlign w:val="center"/>
          </w:tcPr>
          <w:p w14:paraId="0B218EA9">
            <w:pPr>
              <w:spacing w:line="360" w:lineRule="auto"/>
              <w:ind w:leftChars="-35" w:hanging="73" w:hangingChars="35"/>
              <w:jc w:val="center"/>
              <w:rPr>
                <w:rFonts w:ascii="宋体" w:hAnsi="宋体" w:cs="宋体"/>
                <w:color w:val="auto"/>
                <w:szCs w:val="21"/>
              </w:rPr>
            </w:pPr>
          </w:p>
        </w:tc>
        <w:tc>
          <w:tcPr>
            <w:tcW w:w="1051" w:type="dxa"/>
            <w:vAlign w:val="center"/>
          </w:tcPr>
          <w:p w14:paraId="4FB51483">
            <w:pPr>
              <w:spacing w:line="360" w:lineRule="auto"/>
              <w:ind w:leftChars="-35" w:hanging="73" w:hangingChars="35"/>
              <w:jc w:val="center"/>
              <w:rPr>
                <w:rFonts w:ascii="宋体" w:hAnsi="宋体" w:cs="宋体"/>
                <w:color w:val="auto"/>
                <w:szCs w:val="21"/>
              </w:rPr>
            </w:pPr>
          </w:p>
        </w:tc>
        <w:tc>
          <w:tcPr>
            <w:tcW w:w="1020" w:type="dxa"/>
            <w:vAlign w:val="center"/>
          </w:tcPr>
          <w:p w14:paraId="23F199B7">
            <w:pPr>
              <w:spacing w:line="360" w:lineRule="auto"/>
              <w:ind w:leftChars="-35" w:hanging="73" w:hangingChars="35"/>
              <w:jc w:val="center"/>
              <w:rPr>
                <w:rFonts w:ascii="宋体" w:hAnsi="宋体" w:cs="宋体"/>
                <w:color w:val="auto"/>
                <w:szCs w:val="21"/>
              </w:rPr>
            </w:pPr>
          </w:p>
        </w:tc>
        <w:tc>
          <w:tcPr>
            <w:tcW w:w="849" w:type="dxa"/>
            <w:vAlign w:val="center"/>
          </w:tcPr>
          <w:p w14:paraId="31FE78A3">
            <w:pPr>
              <w:spacing w:line="360" w:lineRule="auto"/>
              <w:ind w:leftChars="-35" w:hanging="73" w:hangingChars="35"/>
              <w:jc w:val="center"/>
              <w:rPr>
                <w:rFonts w:ascii="宋体" w:hAnsi="宋体" w:cs="宋体"/>
                <w:color w:val="auto"/>
                <w:szCs w:val="21"/>
              </w:rPr>
            </w:pPr>
          </w:p>
        </w:tc>
        <w:tc>
          <w:tcPr>
            <w:tcW w:w="1134" w:type="dxa"/>
            <w:vAlign w:val="center"/>
          </w:tcPr>
          <w:p w14:paraId="01B9BB48">
            <w:pPr>
              <w:spacing w:line="360" w:lineRule="auto"/>
              <w:ind w:leftChars="-35" w:hanging="73" w:hangingChars="35"/>
              <w:jc w:val="center"/>
              <w:rPr>
                <w:rFonts w:ascii="宋体" w:hAnsi="宋体" w:cs="宋体"/>
                <w:color w:val="auto"/>
                <w:szCs w:val="21"/>
              </w:rPr>
            </w:pPr>
          </w:p>
        </w:tc>
        <w:tc>
          <w:tcPr>
            <w:tcW w:w="1277" w:type="dxa"/>
            <w:vAlign w:val="center"/>
          </w:tcPr>
          <w:p w14:paraId="7274A971">
            <w:pPr>
              <w:spacing w:line="360" w:lineRule="auto"/>
              <w:ind w:leftChars="-35" w:hanging="73" w:hangingChars="35"/>
              <w:jc w:val="center"/>
              <w:rPr>
                <w:rFonts w:ascii="宋体" w:hAnsi="宋体" w:cs="宋体"/>
                <w:color w:val="auto"/>
                <w:szCs w:val="21"/>
              </w:rPr>
            </w:pPr>
          </w:p>
        </w:tc>
        <w:tc>
          <w:tcPr>
            <w:tcW w:w="1116" w:type="dxa"/>
            <w:vAlign w:val="center"/>
          </w:tcPr>
          <w:p w14:paraId="52DEC8DF">
            <w:pPr>
              <w:spacing w:line="360" w:lineRule="auto"/>
              <w:ind w:leftChars="-35" w:hanging="73" w:hangingChars="35"/>
              <w:jc w:val="center"/>
              <w:rPr>
                <w:rFonts w:ascii="宋体" w:hAnsi="宋体" w:cs="宋体"/>
                <w:color w:val="auto"/>
                <w:szCs w:val="21"/>
              </w:rPr>
            </w:pPr>
          </w:p>
        </w:tc>
        <w:tc>
          <w:tcPr>
            <w:tcW w:w="756" w:type="dxa"/>
            <w:vAlign w:val="center"/>
          </w:tcPr>
          <w:p w14:paraId="530B2E10">
            <w:pPr>
              <w:spacing w:line="360" w:lineRule="auto"/>
              <w:ind w:leftChars="-35" w:hanging="73" w:hangingChars="35"/>
              <w:jc w:val="center"/>
              <w:rPr>
                <w:rFonts w:ascii="宋体" w:hAnsi="宋体" w:cs="宋体"/>
                <w:color w:val="auto"/>
                <w:szCs w:val="21"/>
              </w:rPr>
            </w:pPr>
          </w:p>
        </w:tc>
      </w:tr>
      <w:tr w14:paraId="473B63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6DA0C00D">
            <w:pPr>
              <w:spacing w:line="360" w:lineRule="auto"/>
              <w:ind w:leftChars="-35" w:hanging="73" w:hangingChars="35"/>
              <w:jc w:val="center"/>
              <w:rPr>
                <w:rFonts w:ascii="宋体" w:hAnsi="宋体" w:cs="宋体"/>
                <w:color w:val="auto"/>
                <w:szCs w:val="21"/>
              </w:rPr>
            </w:pPr>
          </w:p>
        </w:tc>
        <w:tc>
          <w:tcPr>
            <w:tcW w:w="1512" w:type="dxa"/>
            <w:vAlign w:val="center"/>
          </w:tcPr>
          <w:p w14:paraId="2BC783ED">
            <w:pPr>
              <w:spacing w:line="360" w:lineRule="auto"/>
              <w:ind w:leftChars="-35" w:hanging="73" w:hangingChars="35"/>
              <w:jc w:val="center"/>
              <w:rPr>
                <w:rFonts w:ascii="宋体" w:hAnsi="宋体" w:cs="宋体"/>
                <w:color w:val="auto"/>
                <w:szCs w:val="21"/>
              </w:rPr>
            </w:pPr>
          </w:p>
        </w:tc>
        <w:tc>
          <w:tcPr>
            <w:tcW w:w="1051" w:type="dxa"/>
            <w:vAlign w:val="center"/>
          </w:tcPr>
          <w:p w14:paraId="7DC5A9DD">
            <w:pPr>
              <w:spacing w:line="360" w:lineRule="auto"/>
              <w:ind w:leftChars="-35" w:hanging="73" w:hangingChars="35"/>
              <w:jc w:val="center"/>
              <w:rPr>
                <w:rFonts w:ascii="宋体" w:hAnsi="宋体" w:cs="宋体"/>
                <w:color w:val="auto"/>
                <w:szCs w:val="21"/>
              </w:rPr>
            </w:pPr>
          </w:p>
        </w:tc>
        <w:tc>
          <w:tcPr>
            <w:tcW w:w="1020" w:type="dxa"/>
            <w:vAlign w:val="center"/>
          </w:tcPr>
          <w:p w14:paraId="29C6F874">
            <w:pPr>
              <w:spacing w:line="360" w:lineRule="auto"/>
              <w:ind w:leftChars="-35" w:hanging="73" w:hangingChars="35"/>
              <w:jc w:val="center"/>
              <w:rPr>
                <w:rFonts w:ascii="宋体" w:hAnsi="宋体" w:cs="宋体"/>
                <w:color w:val="auto"/>
                <w:szCs w:val="21"/>
              </w:rPr>
            </w:pPr>
          </w:p>
        </w:tc>
        <w:tc>
          <w:tcPr>
            <w:tcW w:w="849" w:type="dxa"/>
            <w:vAlign w:val="center"/>
          </w:tcPr>
          <w:p w14:paraId="479C25DA">
            <w:pPr>
              <w:spacing w:line="360" w:lineRule="auto"/>
              <w:ind w:leftChars="-35" w:hanging="73" w:hangingChars="35"/>
              <w:jc w:val="center"/>
              <w:rPr>
                <w:rFonts w:ascii="宋体" w:hAnsi="宋体" w:cs="宋体"/>
                <w:color w:val="auto"/>
                <w:szCs w:val="21"/>
              </w:rPr>
            </w:pPr>
          </w:p>
        </w:tc>
        <w:tc>
          <w:tcPr>
            <w:tcW w:w="1134" w:type="dxa"/>
            <w:vAlign w:val="center"/>
          </w:tcPr>
          <w:p w14:paraId="542491D1">
            <w:pPr>
              <w:spacing w:line="360" w:lineRule="auto"/>
              <w:ind w:leftChars="-35" w:hanging="73" w:hangingChars="35"/>
              <w:jc w:val="center"/>
              <w:rPr>
                <w:rFonts w:ascii="宋体" w:hAnsi="宋体" w:cs="宋体"/>
                <w:color w:val="auto"/>
                <w:szCs w:val="21"/>
              </w:rPr>
            </w:pPr>
          </w:p>
        </w:tc>
        <w:tc>
          <w:tcPr>
            <w:tcW w:w="1277" w:type="dxa"/>
            <w:vAlign w:val="center"/>
          </w:tcPr>
          <w:p w14:paraId="1402C509">
            <w:pPr>
              <w:spacing w:line="360" w:lineRule="auto"/>
              <w:ind w:leftChars="-35" w:hanging="73" w:hangingChars="35"/>
              <w:jc w:val="center"/>
              <w:rPr>
                <w:rFonts w:ascii="宋体" w:hAnsi="宋体" w:cs="宋体"/>
                <w:color w:val="auto"/>
                <w:szCs w:val="21"/>
              </w:rPr>
            </w:pPr>
          </w:p>
        </w:tc>
        <w:tc>
          <w:tcPr>
            <w:tcW w:w="1116" w:type="dxa"/>
            <w:vAlign w:val="center"/>
          </w:tcPr>
          <w:p w14:paraId="43A641C8">
            <w:pPr>
              <w:spacing w:line="360" w:lineRule="auto"/>
              <w:ind w:leftChars="-35" w:hanging="73" w:hangingChars="35"/>
              <w:jc w:val="center"/>
              <w:rPr>
                <w:rFonts w:ascii="宋体" w:hAnsi="宋体" w:cs="宋体"/>
                <w:color w:val="auto"/>
                <w:szCs w:val="21"/>
              </w:rPr>
            </w:pPr>
          </w:p>
        </w:tc>
        <w:tc>
          <w:tcPr>
            <w:tcW w:w="756" w:type="dxa"/>
            <w:vAlign w:val="center"/>
          </w:tcPr>
          <w:p w14:paraId="7D1F13A4">
            <w:pPr>
              <w:spacing w:line="360" w:lineRule="auto"/>
              <w:ind w:leftChars="-35" w:hanging="73" w:hangingChars="35"/>
              <w:jc w:val="center"/>
              <w:rPr>
                <w:rFonts w:ascii="宋体" w:hAnsi="宋体" w:cs="宋体"/>
                <w:color w:val="auto"/>
                <w:szCs w:val="21"/>
              </w:rPr>
            </w:pPr>
          </w:p>
        </w:tc>
      </w:tr>
      <w:tr w14:paraId="6CDEE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49567D10">
            <w:pPr>
              <w:spacing w:line="360" w:lineRule="auto"/>
              <w:ind w:leftChars="-35" w:hanging="73" w:hangingChars="35"/>
              <w:jc w:val="center"/>
              <w:rPr>
                <w:rFonts w:ascii="宋体" w:hAnsi="宋体" w:cs="宋体"/>
                <w:color w:val="auto"/>
                <w:szCs w:val="21"/>
              </w:rPr>
            </w:pPr>
          </w:p>
        </w:tc>
        <w:tc>
          <w:tcPr>
            <w:tcW w:w="1512" w:type="dxa"/>
            <w:vAlign w:val="center"/>
          </w:tcPr>
          <w:p w14:paraId="70072630">
            <w:pPr>
              <w:spacing w:line="360" w:lineRule="auto"/>
              <w:ind w:leftChars="-35" w:hanging="73" w:hangingChars="35"/>
              <w:jc w:val="center"/>
              <w:rPr>
                <w:rFonts w:ascii="宋体" w:hAnsi="宋体" w:cs="宋体"/>
                <w:color w:val="auto"/>
                <w:szCs w:val="21"/>
              </w:rPr>
            </w:pPr>
          </w:p>
        </w:tc>
        <w:tc>
          <w:tcPr>
            <w:tcW w:w="1051" w:type="dxa"/>
            <w:vAlign w:val="center"/>
          </w:tcPr>
          <w:p w14:paraId="4B269C16">
            <w:pPr>
              <w:spacing w:line="360" w:lineRule="auto"/>
              <w:ind w:leftChars="-35" w:hanging="73" w:hangingChars="35"/>
              <w:jc w:val="center"/>
              <w:rPr>
                <w:rFonts w:ascii="宋体" w:hAnsi="宋体" w:cs="宋体"/>
                <w:color w:val="auto"/>
                <w:szCs w:val="21"/>
              </w:rPr>
            </w:pPr>
          </w:p>
        </w:tc>
        <w:tc>
          <w:tcPr>
            <w:tcW w:w="1020" w:type="dxa"/>
            <w:vAlign w:val="center"/>
          </w:tcPr>
          <w:p w14:paraId="67216A85">
            <w:pPr>
              <w:spacing w:line="360" w:lineRule="auto"/>
              <w:ind w:leftChars="-35" w:hanging="73" w:hangingChars="35"/>
              <w:jc w:val="center"/>
              <w:rPr>
                <w:rFonts w:ascii="宋体" w:hAnsi="宋体" w:cs="宋体"/>
                <w:color w:val="auto"/>
                <w:szCs w:val="21"/>
              </w:rPr>
            </w:pPr>
          </w:p>
        </w:tc>
        <w:tc>
          <w:tcPr>
            <w:tcW w:w="849" w:type="dxa"/>
            <w:vAlign w:val="center"/>
          </w:tcPr>
          <w:p w14:paraId="5DC555E7">
            <w:pPr>
              <w:spacing w:line="360" w:lineRule="auto"/>
              <w:ind w:leftChars="-35" w:hanging="73" w:hangingChars="35"/>
              <w:jc w:val="center"/>
              <w:rPr>
                <w:rFonts w:ascii="宋体" w:hAnsi="宋体" w:cs="宋体"/>
                <w:color w:val="auto"/>
                <w:szCs w:val="21"/>
              </w:rPr>
            </w:pPr>
          </w:p>
        </w:tc>
        <w:tc>
          <w:tcPr>
            <w:tcW w:w="1134" w:type="dxa"/>
            <w:vAlign w:val="center"/>
          </w:tcPr>
          <w:p w14:paraId="6EF44D96">
            <w:pPr>
              <w:spacing w:line="360" w:lineRule="auto"/>
              <w:ind w:leftChars="-35" w:hanging="73" w:hangingChars="35"/>
              <w:jc w:val="center"/>
              <w:rPr>
                <w:rFonts w:ascii="宋体" w:hAnsi="宋体" w:cs="宋体"/>
                <w:color w:val="auto"/>
                <w:szCs w:val="21"/>
              </w:rPr>
            </w:pPr>
          </w:p>
        </w:tc>
        <w:tc>
          <w:tcPr>
            <w:tcW w:w="1277" w:type="dxa"/>
            <w:vAlign w:val="center"/>
          </w:tcPr>
          <w:p w14:paraId="3766D26A">
            <w:pPr>
              <w:spacing w:line="360" w:lineRule="auto"/>
              <w:ind w:leftChars="-35" w:hanging="73" w:hangingChars="35"/>
              <w:jc w:val="center"/>
              <w:rPr>
                <w:rFonts w:ascii="宋体" w:hAnsi="宋体" w:cs="宋体"/>
                <w:color w:val="auto"/>
                <w:szCs w:val="21"/>
              </w:rPr>
            </w:pPr>
          </w:p>
        </w:tc>
        <w:tc>
          <w:tcPr>
            <w:tcW w:w="1116" w:type="dxa"/>
            <w:vAlign w:val="center"/>
          </w:tcPr>
          <w:p w14:paraId="0B4F1716">
            <w:pPr>
              <w:spacing w:line="360" w:lineRule="auto"/>
              <w:ind w:leftChars="-35" w:hanging="73" w:hangingChars="35"/>
              <w:jc w:val="center"/>
              <w:rPr>
                <w:rFonts w:ascii="宋体" w:hAnsi="宋体" w:cs="宋体"/>
                <w:color w:val="auto"/>
                <w:szCs w:val="21"/>
              </w:rPr>
            </w:pPr>
          </w:p>
        </w:tc>
        <w:tc>
          <w:tcPr>
            <w:tcW w:w="756" w:type="dxa"/>
            <w:vAlign w:val="center"/>
          </w:tcPr>
          <w:p w14:paraId="4FBAAE87">
            <w:pPr>
              <w:spacing w:line="360" w:lineRule="auto"/>
              <w:ind w:leftChars="-35" w:hanging="73" w:hangingChars="35"/>
              <w:jc w:val="center"/>
              <w:rPr>
                <w:rFonts w:ascii="宋体" w:hAnsi="宋体" w:cs="宋体"/>
                <w:color w:val="auto"/>
                <w:szCs w:val="21"/>
              </w:rPr>
            </w:pPr>
          </w:p>
        </w:tc>
      </w:tr>
      <w:tr w14:paraId="3977D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628BA114">
            <w:pPr>
              <w:spacing w:line="360" w:lineRule="auto"/>
              <w:ind w:leftChars="-35" w:hanging="73" w:hangingChars="35"/>
              <w:jc w:val="center"/>
              <w:rPr>
                <w:rFonts w:ascii="宋体" w:hAnsi="宋体" w:cs="宋体"/>
                <w:color w:val="auto"/>
                <w:szCs w:val="21"/>
              </w:rPr>
            </w:pPr>
          </w:p>
        </w:tc>
        <w:tc>
          <w:tcPr>
            <w:tcW w:w="1512" w:type="dxa"/>
            <w:vAlign w:val="center"/>
          </w:tcPr>
          <w:p w14:paraId="68D71F9F">
            <w:pPr>
              <w:spacing w:line="360" w:lineRule="auto"/>
              <w:ind w:leftChars="-35" w:hanging="73" w:hangingChars="35"/>
              <w:jc w:val="center"/>
              <w:rPr>
                <w:rFonts w:ascii="宋体" w:hAnsi="宋体" w:cs="宋体"/>
                <w:color w:val="auto"/>
                <w:szCs w:val="21"/>
              </w:rPr>
            </w:pPr>
          </w:p>
        </w:tc>
        <w:tc>
          <w:tcPr>
            <w:tcW w:w="1051" w:type="dxa"/>
            <w:vAlign w:val="center"/>
          </w:tcPr>
          <w:p w14:paraId="35DE6162">
            <w:pPr>
              <w:spacing w:line="360" w:lineRule="auto"/>
              <w:ind w:leftChars="-35" w:hanging="73" w:hangingChars="35"/>
              <w:jc w:val="center"/>
              <w:rPr>
                <w:rFonts w:ascii="宋体" w:hAnsi="宋体" w:cs="宋体"/>
                <w:color w:val="auto"/>
                <w:szCs w:val="21"/>
              </w:rPr>
            </w:pPr>
          </w:p>
        </w:tc>
        <w:tc>
          <w:tcPr>
            <w:tcW w:w="1020" w:type="dxa"/>
            <w:vAlign w:val="center"/>
          </w:tcPr>
          <w:p w14:paraId="1F6FBA69">
            <w:pPr>
              <w:spacing w:line="360" w:lineRule="auto"/>
              <w:ind w:leftChars="-35" w:hanging="73" w:hangingChars="35"/>
              <w:jc w:val="center"/>
              <w:rPr>
                <w:rFonts w:ascii="宋体" w:hAnsi="宋体" w:cs="宋体"/>
                <w:color w:val="auto"/>
                <w:szCs w:val="21"/>
              </w:rPr>
            </w:pPr>
          </w:p>
        </w:tc>
        <w:tc>
          <w:tcPr>
            <w:tcW w:w="849" w:type="dxa"/>
            <w:vAlign w:val="center"/>
          </w:tcPr>
          <w:p w14:paraId="18E537B7">
            <w:pPr>
              <w:spacing w:line="360" w:lineRule="auto"/>
              <w:ind w:leftChars="-35" w:hanging="73" w:hangingChars="35"/>
              <w:jc w:val="center"/>
              <w:rPr>
                <w:rFonts w:ascii="宋体" w:hAnsi="宋体" w:cs="宋体"/>
                <w:color w:val="auto"/>
                <w:szCs w:val="21"/>
              </w:rPr>
            </w:pPr>
          </w:p>
        </w:tc>
        <w:tc>
          <w:tcPr>
            <w:tcW w:w="1134" w:type="dxa"/>
            <w:vAlign w:val="center"/>
          </w:tcPr>
          <w:p w14:paraId="799F8A21">
            <w:pPr>
              <w:spacing w:line="360" w:lineRule="auto"/>
              <w:ind w:leftChars="-35" w:hanging="73" w:hangingChars="35"/>
              <w:jc w:val="center"/>
              <w:rPr>
                <w:rFonts w:ascii="宋体" w:hAnsi="宋体" w:cs="宋体"/>
                <w:color w:val="auto"/>
                <w:szCs w:val="21"/>
              </w:rPr>
            </w:pPr>
          </w:p>
        </w:tc>
        <w:tc>
          <w:tcPr>
            <w:tcW w:w="1277" w:type="dxa"/>
            <w:vAlign w:val="center"/>
          </w:tcPr>
          <w:p w14:paraId="3B748CD8">
            <w:pPr>
              <w:spacing w:line="360" w:lineRule="auto"/>
              <w:ind w:leftChars="-35" w:hanging="73" w:hangingChars="35"/>
              <w:jc w:val="center"/>
              <w:rPr>
                <w:rFonts w:ascii="宋体" w:hAnsi="宋体" w:cs="宋体"/>
                <w:color w:val="auto"/>
                <w:szCs w:val="21"/>
              </w:rPr>
            </w:pPr>
          </w:p>
        </w:tc>
        <w:tc>
          <w:tcPr>
            <w:tcW w:w="1116" w:type="dxa"/>
            <w:vAlign w:val="center"/>
          </w:tcPr>
          <w:p w14:paraId="66AE8671">
            <w:pPr>
              <w:spacing w:line="360" w:lineRule="auto"/>
              <w:ind w:leftChars="-35" w:hanging="73" w:hangingChars="35"/>
              <w:jc w:val="center"/>
              <w:rPr>
                <w:rFonts w:ascii="宋体" w:hAnsi="宋体" w:cs="宋体"/>
                <w:color w:val="auto"/>
                <w:szCs w:val="21"/>
              </w:rPr>
            </w:pPr>
          </w:p>
        </w:tc>
        <w:tc>
          <w:tcPr>
            <w:tcW w:w="756" w:type="dxa"/>
            <w:vAlign w:val="center"/>
          </w:tcPr>
          <w:p w14:paraId="331C3362">
            <w:pPr>
              <w:spacing w:line="360" w:lineRule="auto"/>
              <w:ind w:leftChars="-35" w:hanging="73" w:hangingChars="35"/>
              <w:jc w:val="center"/>
              <w:rPr>
                <w:rFonts w:ascii="宋体" w:hAnsi="宋体" w:cs="宋体"/>
                <w:color w:val="auto"/>
                <w:szCs w:val="21"/>
              </w:rPr>
            </w:pPr>
          </w:p>
        </w:tc>
      </w:tr>
      <w:tr w14:paraId="70F760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29E31ED1">
            <w:pPr>
              <w:spacing w:line="360" w:lineRule="auto"/>
              <w:ind w:leftChars="-35" w:hanging="73" w:hangingChars="35"/>
              <w:jc w:val="center"/>
              <w:rPr>
                <w:rFonts w:ascii="宋体" w:hAnsi="宋体" w:cs="宋体"/>
                <w:color w:val="auto"/>
                <w:szCs w:val="21"/>
              </w:rPr>
            </w:pPr>
          </w:p>
        </w:tc>
        <w:tc>
          <w:tcPr>
            <w:tcW w:w="1512" w:type="dxa"/>
            <w:vAlign w:val="center"/>
          </w:tcPr>
          <w:p w14:paraId="592AFC2B">
            <w:pPr>
              <w:spacing w:line="360" w:lineRule="auto"/>
              <w:ind w:leftChars="-35" w:hanging="73" w:hangingChars="35"/>
              <w:jc w:val="center"/>
              <w:rPr>
                <w:rFonts w:ascii="宋体" w:hAnsi="宋体" w:cs="宋体"/>
                <w:color w:val="auto"/>
                <w:szCs w:val="21"/>
              </w:rPr>
            </w:pPr>
          </w:p>
        </w:tc>
        <w:tc>
          <w:tcPr>
            <w:tcW w:w="1051" w:type="dxa"/>
            <w:vAlign w:val="center"/>
          </w:tcPr>
          <w:p w14:paraId="6DAE99B5">
            <w:pPr>
              <w:spacing w:line="360" w:lineRule="auto"/>
              <w:ind w:leftChars="-35" w:hanging="73" w:hangingChars="35"/>
              <w:jc w:val="center"/>
              <w:rPr>
                <w:rFonts w:ascii="宋体" w:hAnsi="宋体" w:cs="宋体"/>
                <w:color w:val="auto"/>
                <w:szCs w:val="21"/>
              </w:rPr>
            </w:pPr>
          </w:p>
        </w:tc>
        <w:tc>
          <w:tcPr>
            <w:tcW w:w="1020" w:type="dxa"/>
            <w:vAlign w:val="center"/>
          </w:tcPr>
          <w:p w14:paraId="59F9D9B2">
            <w:pPr>
              <w:spacing w:line="360" w:lineRule="auto"/>
              <w:ind w:leftChars="-35" w:hanging="73" w:hangingChars="35"/>
              <w:jc w:val="center"/>
              <w:rPr>
                <w:rFonts w:ascii="宋体" w:hAnsi="宋体" w:cs="宋体"/>
                <w:color w:val="auto"/>
                <w:szCs w:val="21"/>
              </w:rPr>
            </w:pPr>
          </w:p>
        </w:tc>
        <w:tc>
          <w:tcPr>
            <w:tcW w:w="849" w:type="dxa"/>
            <w:vAlign w:val="center"/>
          </w:tcPr>
          <w:p w14:paraId="2A2187EC">
            <w:pPr>
              <w:spacing w:line="360" w:lineRule="auto"/>
              <w:ind w:leftChars="-35" w:hanging="73" w:hangingChars="35"/>
              <w:jc w:val="center"/>
              <w:rPr>
                <w:rFonts w:ascii="宋体" w:hAnsi="宋体" w:cs="宋体"/>
                <w:color w:val="auto"/>
                <w:szCs w:val="21"/>
              </w:rPr>
            </w:pPr>
          </w:p>
        </w:tc>
        <w:tc>
          <w:tcPr>
            <w:tcW w:w="1134" w:type="dxa"/>
            <w:vAlign w:val="center"/>
          </w:tcPr>
          <w:p w14:paraId="67056340">
            <w:pPr>
              <w:spacing w:line="360" w:lineRule="auto"/>
              <w:ind w:leftChars="-35" w:hanging="73" w:hangingChars="35"/>
              <w:jc w:val="center"/>
              <w:rPr>
                <w:rFonts w:ascii="宋体" w:hAnsi="宋体" w:cs="宋体"/>
                <w:color w:val="auto"/>
                <w:szCs w:val="21"/>
              </w:rPr>
            </w:pPr>
          </w:p>
        </w:tc>
        <w:tc>
          <w:tcPr>
            <w:tcW w:w="1277" w:type="dxa"/>
            <w:vAlign w:val="center"/>
          </w:tcPr>
          <w:p w14:paraId="1F27F686">
            <w:pPr>
              <w:spacing w:line="360" w:lineRule="auto"/>
              <w:ind w:leftChars="-35" w:hanging="73" w:hangingChars="35"/>
              <w:jc w:val="center"/>
              <w:rPr>
                <w:rFonts w:ascii="宋体" w:hAnsi="宋体" w:cs="宋体"/>
                <w:color w:val="auto"/>
                <w:szCs w:val="21"/>
              </w:rPr>
            </w:pPr>
          </w:p>
        </w:tc>
        <w:tc>
          <w:tcPr>
            <w:tcW w:w="1116" w:type="dxa"/>
            <w:vAlign w:val="center"/>
          </w:tcPr>
          <w:p w14:paraId="4F5F0FAE">
            <w:pPr>
              <w:spacing w:line="360" w:lineRule="auto"/>
              <w:ind w:leftChars="-35" w:hanging="73" w:hangingChars="35"/>
              <w:jc w:val="center"/>
              <w:rPr>
                <w:rFonts w:ascii="宋体" w:hAnsi="宋体" w:cs="宋体"/>
                <w:color w:val="auto"/>
                <w:szCs w:val="21"/>
              </w:rPr>
            </w:pPr>
          </w:p>
        </w:tc>
        <w:tc>
          <w:tcPr>
            <w:tcW w:w="756" w:type="dxa"/>
            <w:vAlign w:val="center"/>
          </w:tcPr>
          <w:p w14:paraId="0BD71497">
            <w:pPr>
              <w:spacing w:line="360" w:lineRule="auto"/>
              <w:ind w:leftChars="-35" w:hanging="73" w:hangingChars="35"/>
              <w:jc w:val="center"/>
              <w:rPr>
                <w:rFonts w:ascii="宋体" w:hAnsi="宋体" w:cs="宋体"/>
                <w:color w:val="auto"/>
                <w:szCs w:val="21"/>
              </w:rPr>
            </w:pPr>
          </w:p>
        </w:tc>
      </w:tr>
      <w:tr w14:paraId="12D86A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25F11DBA">
            <w:pPr>
              <w:spacing w:line="360" w:lineRule="auto"/>
              <w:ind w:leftChars="-35" w:hanging="73" w:hangingChars="35"/>
              <w:jc w:val="center"/>
              <w:rPr>
                <w:rFonts w:ascii="宋体" w:hAnsi="宋体" w:cs="宋体"/>
                <w:color w:val="auto"/>
                <w:szCs w:val="21"/>
              </w:rPr>
            </w:pPr>
          </w:p>
        </w:tc>
        <w:tc>
          <w:tcPr>
            <w:tcW w:w="1512" w:type="dxa"/>
            <w:vAlign w:val="center"/>
          </w:tcPr>
          <w:p w14:paraId="342FD80A">
            <w:pPr>
              <w:spacing w:line="360" w:lineRule="auto"/>
              <w:ind w:leftChars="-35" w:hanging="73" w:hangingChars="35"/>
              <w:jc w:val="center"/>
              <w:rPr>
                <w:rFonts w:ascii="宋体" w:hAnsi="宋体" w:cs="宋体"/>
                <w:color w:val="auto"/>
                <w:szCs w:val="21"/>
              </w:rPr>
            </w:pPr>
          </w:p>
        </w:tc>
        <w:tc>
          <w:tcPr>
            <w:tcW w:w="1051" w:type="dxa"/>
            <w:vAlign w:val="center"/>
          </w:tcPr>
          <w:p w14:paraId="3668DF98">
            <w:pPr>
              <w:spacing w:line="360" w:lineRule="auto"/>
              <w:ind w:leftChars="-35" w:hanging="73" w:hangingChars="35"/>
              <w:jc w:val="center"/>
              <w:rPr>
                <w:rFonts w:ascii="宋体" w:hAnsi="宋体" w:cs="宋体"/>
                <w:color w:val="auto"/>
                <w:szCs w:val="21"/>
              </w:rPr>
            </w:pPr>
          </w:p>
        </w:tc>
        <w:tc>
          <w:tcPr>
            <w:tcW w:w="1020" w:type="dxa"/>
            <w:vAlign w:val="center"/>
          </w:tcPr>
          <w:p w14:paraId="761A92D7">
            <w:pPr>
              <w:spacing w:line="360" w:lineRule="auto"/>
              <w:ind w:leftChars="-35" w:hanging="73" w:hangingChars="35"/>
              <w:jc w:val="center"/>
              <w:rPr>
                <w:rFonts w:ascii="宋体" w:hAnsi="宋体" w:cs="宋体"/>
                <w:color w:val="auto"/>
                <w:szCs w:val="21"/>
              </w:rPr>
            </w:pPr>
          </w:p>
        </w:tc>
        <w:tc>
          <w:tcPr>
            <w:tcW w:w="849" w:type="dxa"/>
            <w:vAlign w:val="center"/>
          </w:tcPr>
          <w:p w14:paraId="5690A79D">
            <w:pPr>
              <w:spacing w:line="360" w:lineRule="auto"/>
              <w:ind w:leftChars="-35" w:hanging="73" w:hangingChars="35"/>
              <w:jc w:val="center"/>
              <w:rPr>
                <w:rFonts w:ascii="宋体" w:hAnsi="宋体" w:cs="宋体"/>
                <w:color w:val="auto"/>
                <w:szCs w:val="21"/>
              </w:rPr>
            </w:pPr>
          </w:p>
        </w:tc>
        <w:tc>
          <w:tcPr>
            <w:tcW w:w="1134" w:type="dxa"/>
            <w:vAlign w:val="center"/>
          </w:tcPr>
          <w:p w14:paraId="592BC3AD">
            <w:pPr>
              <w:spacing w:line="360" w:lineRule="auto"/>
              <w:ind w:leftChars="-35" w:hanging="73" w:hangingChars="35"/>
              <w:jc w:val="center"/>
              <w:rPr>
                <w:rFonts w:ascii="宋体" w:hAnsi="宋体" w:cs="宋体"/>
                <w:color w:val="auto"/>
                <w:szCs w:val="21"/>
              </w:rPr>
            </w:pPr>
          </w:p>
        </w:tc>
        <w:tc>
          <w:tcPr>
            <w:tcW w:w="1277" w:type="dxa"/>
            <w:vAlign w:val="center"/>
          </w:tcPr>
          <w:p w14:paraId="1E98F2E6">
            <w:pPr>
              <w:spacing w:line="360" w:lineRule="auto"/>
              <w:ind w:leftChars="-35" w:hanging="73" w:hangingChars="35"/>
              <w:jc w:val="center"/>
              <w:rPr>
                <w:rFonts w:ascii="宋体" w:hAnsi="宋体" w:cs="宋体"/>
                <w:color w:val="auto"/>
                <w:szCs w:val="21"/>
              </w:rPr>
            </w:pPr>
          </w:p>
        </w:tc>
        <w:tc>
          <w:tcPr>
            <w:tcW w:w="1116" w:type="dxa"/>
            <w:vAlign w:val="center"/>
          </w:tcPr>
          <w:p w14:paraId="397C9F2F">
            <w:pPr>
              <w:spacing w:line="360" w:lineRule="auto"/>
              <w:ind w:leftChars="-35" w:hanging="73" w:hangingChars="35"/>
              <w:jc w:val="center"/>
              <w:rPr>
                <w:rFonts w:ascii="宋体" w:hAnsi="宋体" w:cs="宋体"/>
                <w:color w:val="auto"/>
                <w:szCs w:val="21"/>
              </w:rPr>
            </w:pPr>
          </w:p>
        </w:tc>
        <w:tc>
          <w:tcPr>
            <w:tcW w:w="756" w:type="dxa"/>
            <w:vAlign w:val="center"/>
          </w:tcPr>
          <w:p w14:paraId="07BC7DE5">
            <w:pPr>
              <w:spacing w:line="360" w:lineRule="auto"/>
              <w:ind w:leftChars="-35" w:hanging="73" w:hangingChars="35"/>
              <w:jc w:val="center"/>
              <w:rPr>
                <w:rFonts w:ascii="宋体" w:hAnsi="宋体" w:cs="宋体"/>
                <w:color w:val="auto"/>
                <w:szCs w:val="21"/>
              </w:rPr>
            </w:pPr>
          </w:p>
        </w:tc>
      </w:tr>
      <w:tr w14:paraId="51F4B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3BB3312F">
            <w:pPr>
              <w:spacing w:line="360" w:lineRule="auto"/>
              <w:ind w:leftChars="-35" w:hanging="73" w:hangingChars="35"/>
              <w:jc w:val="center"/>
              <w:rPr>
                <w:rFonts w:ascii="宋体" w:hAnsi="宋体" w:cs="宋体"/>
                <w:color w:val="auto"/>
                <w:szCs w:val="21"/>
              </w:rPr>
            </w:pPr>
          </w:p>
        </w:tc>
        <w:tc>
          <w:tcPr>
            <w:tcW w:w="1512" w:type="dxa"/>
            <w:vAlign w:val="center"/>
          </w:tcPr>
          <w:p w14:paraId="5F780FB0">
            <w:pPr>
              <w:spacing w:line="360" w:lineRule="auto"/>
              <w:ind w:leftChars="-35" w:hanging="73" w:hangingChars="35"/>
              <w:jc w:val="center"/>
              <w:rPr>
                <w:rFonts w:ascii="宋体" w:hAnsi="宋体" w:cs="宋体"/>
                <w:color w:val="auto"/>
                <w:szCs w:val="21"/>
              </w:rPr>
            </w:pPr>
          </w:p>
        </w:tc>
        <w:tc>
          <w:tcPr>
            <w:tcW w:w="1051" w:type="dxa"/>
            <w:vAlign w:val="center"/>
          </w:tcPr>
          <w:p w14:paraId="3105FC16">
            <w:pPr>
              <w:spacing w:line="360" w:lineRule="auto"/>
              <w:ind w:leftChars="-35" w:hanging="73" w:hangingChars="35"/>
              <w:jc w:val="center"/>
              <w:rPr>
                <w:rFonts w:ascii="宋体" w:hAnsi="宋体" w:cs="宋体"/>
                <w:color w:val="auto"/>
                <w:szCs w:val="21"/>
              </w:rPr>
            </w:pPr>
          </w:p>
        </w:tc>
        <w:tc>
          <w:tcPr>
            <w:tcW w:w="1020" w:type="dxa"/>
            <w:vAlign w:val="center"/>
          </w:tcPr>
          <w:p w14:paraId="61FCE66D">
            <w:pPr>
              <w:spacing w:line="360" w:lineRule="auto"/>
              <w:ind w:leftChars="-35" w:hanging="73" w:hangingChars="35"/>
              <w:jc w:val="center"/>
              <w:rPr>
                <w:rFonts w:ascii="宋体" w:hAnsi="宋体" w:cs="宋体"/>
                <w:color w:val="auto"/>
                <w:szCs w:val="21"/>
              </w:rPr>
            </w:pPr>
          </w:p>
        </w:tc>
        <w:tc>
          <w:tcPr>
            <w:tcW w:w="849" w:type="dxa"/>
            <w:vAlign w:val="center"/>
          </w:tcPr>
          <w:p w14:paraId="1DB59A99">
            <w:pPr>
              <w:spacing w:line="360" w:lineRule="auto"/>
              <w:ind w:leftChars="-35" w:hanging="73" w:hangingChars="35"/>
              <w:jc w:val="center"/>
              <w:rPr>
                <w:rFonts w:ascii="宋体" w:hAnsi="宋体" w:cs="宋体"/>
                <w:color w:val="auto"/>
                <w:szCs w:val="21"/>
              </w:rPr>
            </w:pPr>
          </w:p>
        </w:tc>
        <w:tc>
          <w:tcPr>
            <w:tcW w:w="1134" w:type="dxa"/>
            <w:vAlign w:val="center"/>
          </w:tcPr>
          <w:p w14:paraId="53CE112F">
            <w:pPr>
              <w:spacing w:line="360" w:lineRule="auto"/>
              <w:ind w:leftChars="-35" w:hanging="73" w:hangingChars="35"/>
              <w:jc w:val="center"/>
              <w:rPr>
                <w:rFonts w:ascii="宋体" w:hAnsi="宋体" w:cs="宋体"/>
                <w:color w:val="auto"/>
                <w:szCs w:val="21"/>
              </w:rPr>
            </w:pPr>
          </w:p>
        </w:tc>
        <w:tc>
          <w:tcPr>
            <w:tcW w:w="1277" w:type="dxa"/>
            <w:vAlign w:val="center"/>
          </w:tcPr>
          <w:p w14:paraId="575132AB">
            <w:pPr>
              <w:spacing w:line="360" w:lineRule="auto"/>
              <w:ind w:leftChars="-35" w:hanging="73" w:hangingChars="35"/>
              <w:jc w:val="center"/>
              <w:rPr>
                <w:rFonts w:ascii="宋体" w:hAnsi="宋体" w:cs="宋体"/>
                <w:color w:val="auto"/>
                <w:szCs w:val="21"/>
              </w:rPr>
            </w:pPr>
          </w:p>
        </w:tc>
        <w:tc>
          <w:tcPr>
            <w:tcW w:w="1116" w:type="dxa"/>
            <w:vAlign w:val="center"/>
          </w:tcPr>
          <w:p w14:paraId="6F0F464A">
            <w:pPr>
              <w:spacing w:line="360" w:lineRule="auto"/>
              <w:ind w:leftChars="-35" w:hanging="73" w:hangingChars="35"/>
              <w:jc w:val="center"/>
              <w:rPr>
                <w:rFonts w:ascii="宋体" w:hAnsi="宋体" w:cs="宋体"/>
                <w:color w:val="auto"/>
                <w:szCs w:val="21"/>
              </w:rPr>
            </w:pPr>
          </w:p>
        </w:tc>
        <w:tc>
          <w:tcPr>
            <w:tcW w:w="756" w:type="dxa"/>
            <w:vAlign w:val="center"/>
          </w:tcPr>
          <w:p w14:paraId="2DA7C9F5">
            <w:pPr>
              <w:spacing w:line="360" w:lineRule="auto"/>
              <w:ind w:leftChars="-35" w:hanging="73" w:hangingChars="35"/>
              <w:jc w:val="center"/>
              <w:rPr>
                <w:rFonts w:ascii="宋体" w:hAnsi="宋体" w:cs="宋体"/>
                <w:color w:val="auto"/>
                <w:szCs w:val="21"/>
              </w:rPr>
            </w:pPr>
          </w:p>
        </w:tc>
      </w:tr>
      <w:tr w14:paraId="0ECCB1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06E160F6">
            <w:pPr>
              <w:spacing w:line="360" w:lineRule="auto"/>
              <w:ind w:leftChars="-35" w:hanging="73" w:hangingChars="35"/>
              <w:jc w:val="center"/>
              <w:rPr>
                <w:rFonts w:ascii="宋体" w:hAnsi="宋体" w:cs="宋体"/>
                <w:color w:val="auto"/>
                <w:szCs w:val="21"/>
              </w:rPr>
            </w:pPr>
          </w:p>
        </w:tc>
        <w:tc>
          <w:tcPr>
            <w:tcW w:w="1512" w:type="dxa"/>
            <w:vAlign w:val="center"/>
          </w:tcPr>
          <w:p w14:paraId="0BF76E5F">
            <w:pPr>
              <w:spacing w:line="360" w:lineRule="auto"/>
              <w:ind w:leftChars="-35" w:hanging="73" w:hangingChars="35"/>
              <w:jc w:val="center"/>
              <w:rPr>
                <w:rFonts w:ascii="宋体" w:hAnsi="宋体" w:cs="宋体"/>
                <w:color w:val="auto"/>
                <w:szCs w:val="21"/>
              </w:rPr>
            </w:pPr>
          </w:p>
        </w:tc>
        <w:tc>
          <w:tcPr>
            <w:tcW w:w="1051" w:type="dxa"/>
            <w:vAlign w:val="center"/>
          </w:tcPr>
          <w:p w14:paraId="64B3FC0B">
            <w:pPr>
              <w:spacing w:line="360" w:lineRule="auto"/>
              <w:ind w:leftChars="-35" w:hanging="73" w:hangingChars="35"/>
              <w:jc w:val="center"/>
              <w:rPr>
                <w:rFonts w:ascii="宋体" w:hAnsi="宋体" w:cs="宋体"/>
                <w:color w:val="auto"/>
                <w:szCs w:val="21"/>
              </w:rPr>
            </w:pPr>
          </w:p>
        </w:tc>
        <w:tc>
          <w:tcPr>
            <w:tcW w:w="1020" w:type="dxa"/>
            <w:vAlign w:val="center"/>
          </w:tcPr>
          <w:p w14:paraId="00B1F730">
            <w:pPr>
              <w:spacing w:line="360" w:lineRule="auto"/>
              <w:ind w:leftChars="-35" w:hanging="73" w:hangingChars="35"/>
              <w:jc w:val="center"/>
              <w:rPr>
                <w:rFonts w:ascii="宋体" w:hAnsi="宋体" w:cs="宋体"/>
                <w:color w:val="auto"/>
                <w:szCs w:val="21"/>
              </w:rPr>
            </w:pPr>
          </w:p>
        </w:tc>
        <w:tc>
          <w:tcPr>
            <w:tcW w:w="849" w:type="dxa"/>
            <w:vAlign w:val="center"/>
          </w:tcPr>
          <w:p w14:paraId="79D9FC8A">
            <w:pPr>
              <w:spacing w:line="360" w:lineRule="auto"/>
              <w:ind w:leftChars="-35" w:hanging="73" w:hangingChars="35"/>
              <w:jc w:val="center"/>
              <w:rPr>
                <w:rFonts w:ascii="宋体" w:hAnsi="宋体" w:cs="宋体"/>
                <w:color w:val="auto"/>
                <w:szCs w:val="21"/>
              </w:rPr>
            </w:pPr>
          </w:p>
        </w:tc>
        <w:tc>
          <w:tcPr>
            <w:tcW w:w="1134" w:type="dxa"/>
            <w:vAlign w:val="center"/>
          </w:tcPr>
          <w:p w14:paraId="0F88BB55">
            <w:pPr>
              <w:spacing w:line="360" w:lineRule="auto"/>
              <w:ind w:leftChars="-35" w:hanging="73" w:hangingChars="35"/>
              <w:jc w:val="center"/>
              <w:rPr>
                <w:rFonts w:ascii="宋体" w:hAnsi="宋体" w:cs="宋体"/>
                <w:color w:val="auto"/>
                <w:szCs w:val="21"/>
              </w:rPr>
            </w:pPr>
          </w:p>
        </w:tc>
        <w:tc>
          <w:tcPr>
            <w:tcW w:w="1277" w:type="dxa"/>
            <w:vAlign w:val="center"/>
          </w:tcPr>
          <w:p w14:paraId="64720A07">
            <w:pPr>
              <w:spacing w:line="360" w:lineRule="auto"/>
              <w:ind w:leftChars="-35" w:hanging="73" w:hangingChars="35"/>
              <w:jc w:val="center"/>
              <w:rPr>
                <w:rFonts w:ascii="宋体" w:hAnsi="宋体" w:cs="宋体"/>
                <w:color w:val="auto"/>
                <w:szCs w:val="21"/>
              </w:rPr>
            </w:pPr>
          </w:p>
        </w:tc>
        <w:tc>
          <w:tcPr>
            <w:tcW w:w="1116" w:type="dxa"/>
            <w:vAlign w:val="center"/>
          </w:tcPr>
          <w:p w14:paraId="0D12E816">
            <w:pPr>
              <w:spacing w:line="360" w:lineRule="auto"/>
              <w:ind w:leftChars="-35" w:hanging="73" w:hangingChars="35"/>
              <w:jc w:val="center"/>
              <w:rPr>
                <w:rFonts w:ascii="宋体" w:hAnsi="宋体" w:cs="宋体"/>
                <w:color w:val="auto"/>
                <w:szCs w:val="21"/>
              </w:rPr>
            </w:pPr>
          </w:p>
        </w:tc>
        <w:tc>
          <w:tcPr>
            <w:tcW w:w="756" w:type="dxa"/>
            <w:vAlign w:val="center"/>
          </w:tcPr>
          <w:p w14:paraId="78126C7E">
            <w:pPr>
              <w:spacing w:line="360" w:lineRule="auto"/>
              <w:ind w:leftChars="-35" w:hanging="73" w:hangingChars="35"/>
              <w:jc w:val="center"/>
              <w:rPr>
                <w:rFonts w:ascii="宋体" w:hAnsi="宋体" w:cs="宋体"/>
                <w:color w:val="auto"/>
                <w:szCs w:val="21"/>
              </w:rPr>
            </w:pPr>
          </w:p>
        </w:tc>
      </w:tr>
      <w:tr w14:paraId="17D540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70ACDF43">
            <w:pPr>
              <w:spacing w:line="360" w:lineRule="auto"/>
              <w:ind w:leftChars="-35" w:hanging="73" w:hangingChars="35"/>
              <w:jc w:val="center"/>
              <w:rPr>
                <w:rFonts w:ascii="宋体" w:hAnsi="宋体" w:cs="宋体"/>
                <w:color w:val="auto"/>
                <w:szCs w:val="21"/>
              </w:rPr>
            </w:pPr>
          </w:p>
        </w:tc>
        <w:tc>
          <w:tcPr>
            <w:tcW w:w="1512" w:type="dxa"/>
            <w:vAlign w:val="center"/>
          </w:tcPr>
          <w:p w14:paraId="3340D24D">
            <w:pPr>
              <w:spacing w:line="360" w:lineRule="auto"/>
              <w:ind w:leftChars="-35" w:hanging="73" w:hangingChars="35"/>
              <w:jc w:val="center"/>
              <w:rPr>
                <w:rFonts w:ascii="宋体" w:hAnsi="宋体" w:cs="宋体"/>
                <w:color w:val="auto"/>
                <w:szCs w:val="21"/>
              </w:rPr>
            </w:pPr>
          </w:p>
        </w:tc>
        <w:tc>
          <w:tcPr>
            <w:tcW w:w="1051" w:type="dxa"/>
            <w:vAlign w:val="center"/>
          </w:tcPr>
          <w:p w14:paraId="615D8424">
            <w:pPr>
              <w:spacing w:line="360" w:lineRule="auto"/>
              <w:ind w:leftChars="-35" w:hanging="73" w:hangingChars="35"/>
              <w:jc w:val="center"/>
              <w:rPr>
                <w:rFonts w:ascii="宋体" w:hAnsi="宋体" w:cs="宋体"/>
                <w:color w:val="auto"/>
                <w:szCs w:val="21"/>
              </w:rPr>
            </w:pPr>
          </w:p>
        </w:tc>
        <w:tc>
          <w:tcPr>
            <w:tcW w:w="1020" w:type="dxa"/>
            <w:vAlign w:val="center"/>
          </w:tcPr>
          <w:p w14:paraId="3CC4E9B4">
            <w:pPr>
              <w:spacing w:line="360" w:lineRule="auto"/>
              <w:ind w:leftChars="-35" w:hanging="73" w:hangingChars="35"/>
              <w:jc w:val="center"/>
              <w:rPr>
                <w:rFonts w:ascii="宋体" w:hAnsi="宋体" w:cs="宋体"/>
                <w:color w:val="auto"/>
                <w:szCs w:val="21"/>
              </w:rPr>
            </w:pPr>
          </w:p>
        </w:tc>
        <w:tc>
          <w:tcPr>
            <w:tcW w:w="849" w:type="dxa"/>
            <w:vAlign w:val="center"/>
          </w:tcPr>
          <w:p w14:paraId="09B3CFF6">
            <w:pPr>
              <w:spacing w:line="360" w:lineRule="auto"/>
              <w:ind w:leftChars="-35" w:hanging="73" w:hangingChars="35"/>
              <w:jc w:val="center"/>
              <w:rPr>
                <w:rFonts w:ascii="宋体" w:hAnsi="宋体" w:cs="宋体"/>
                <w:color w:val="auto"/>
                <w:szCs w:val="21"/>
              </w:rPr>
            </w:pPr>
          </w:p>
        </w:tc>
        <w:tc>
          <w:tcPr>
            <w:tcW w:w="1134" w:type="dxa"/>
            <w:vAlign w:val="center"/>
          </w:tcPr>
          <w:p w14:paraId="03D8C5DD">
            <w:pPr>
              <w:spacing w:line="360" w:lineRule="auto"/>
              <w:ind w:leftChars="-35" w:hanging="73" w:hangingChars="35"/>
              <w:jc w:val="center"/>
              <w:rPr>
                <w:rFonts w:ascii="宋体" w:hAnsi="宋体" w:cs="宋体"/>
                <w:color w:val="auto"/>
                <w:szCs w:val="21"/>
              </w:rPr>
            </w:pPr>
          </w:p>
        </w:tc>
        <w:tc>
          <w:tcPr>
            <w:tcW w:w="1277" w:type="dxa"/>
            <w:vAlign w:val="center"/>
          </w:tcPr>
          <w:p w14:paraId="4070EC7D">
            <w:pPr>
              <w:spacing w:line="360" w:lineRule="auto"/>
              <w:ind w:leftChars="-35" w:hanging="73" w:hangingChars="35"/>
              <w:jc w:val="center"/>
              <w:rPr>
                <w:rFonts w:ascii="宋体" w:hAnsi="宋体" w:cs="宋体"/>
                <w:color w:val="auto"/>
                <w:szCs w:val="21"/>
              </w:rPr>
            </w:pPr>
          </w:p>
        </w:tc>
        <w:tc>
          <w:tcPr>
            <w:tcW w:w="1116" w:type="dxa"/>
            <w:vAlign w:val="center"/>
          </w:tcPr>
          <w:p w14:paraId="5709CCBA">
            <w:pPr>
              <w:spacing w:line="360" w:lineRule="auto"/>
              <w:ind w:leftChars="-35" w:hanging="73" w:hangingChars="35"/>
              <w:jc w:val="center"/>
              <w:rPr>
                <w:rFonts w:ascii="宋体" w:hAnsi="宋体" w:cs="宋体"/>
                <w:color w:val="auto"/>
                <w:szCs w:val="21"/>
              </w:rPr>
            </w:pPr>
          </w:p>
        </w:tc>
        <w:tc>
          <w:tcPr>
            <w:tcW w:w="756" w:type="dxa"/>
            <w:vAlign w:val="center"/>
          </w:tcPr>
          <w:p w14:paraId="2D5C36E0">
            <w:pPr>
              <w:spacing w:line="360" w:lineRule="auto"/>
              <w:ind w:leftChars="-35" w:hanging="73" w:hangingChars="35"/>
              <w:jc w:val="center"/>
              <w:rPr>
                <w:rFonts w:ascii="宋体" w:hAnsi="宋体" w:cs="宋体"/>
                <w:color w:val="auto"/>
                <w:szCs w:val="21"/>
              </w:rPr>
            </w:pPr>
          </w:p>
        </w:tc>
      </w:tr>
      <w:tr w14:paraId="297E8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745" w:type="dxa"/>
            <w:vAlign w:val="center"/>
          </w:tcPr>
          <w:p w14:paraId="6618C953">
            <w:pPr>
              <w:spacing w:line="360" w:lineRule="auto"/>
              <w:ind w:leftChars="-35" w:hanging="73" w:hangingChars="35"/>
              <w:jc w:val="center"/>
              <w:rPr>
                <w:rFonts w:ascii="宋体" w:hAnsi="宋体" w:cs="宋体"/>
                <w:color w:val="auto"/>
                <w:szCs w:val="21"/>
              </w:rPr>
            </w:pPr>
          </w:p>
        </w:tc>
        <w:tc>
          <w:tcPr>
            <w:tcW w:w="1512" w:type="dxa"/>
            <w:vAlign w:val="center"/>
          </w:tcPr>
          <w:p w14:paraId="7C9A7444">
            <w:pPr>
              <w:spacing w:line="360" w:lineRule="auto"/>
              <w:ind w:leftChars="-35" w:hanging="73" w:hangingChars="35"/>
              <w:jc w:val="center"/>
              <w:rPr>
                <w:rFonts w:ascii="宋体" w:hAnsi="宋体" w:cs="宋体"/>
                <w:color w:val="auto"/>
                <w:szCs w:val="21"/>
              </w:rPr>
            </w:pPr>
          </w:p>
        </w:tc>
        <w:tc>
          <w:tcPr>
            <w:tcW w:w="1051" w:type="dxa"/>
            <w:vAlign w:val="center"/>
          </w:tcPr>
          <w:p w14:paraId="16139BD6">
            <w:pPr>
              <w:spacing w:line="360" w:lineRule="auto"/>
              <w:ind w:leftChars="-35" w:hanging="73" w:hangingChars="35"/>
              <w:jc w:val="center"/>
              <w:rPr>
                <w:rFonts w:ascii="宋体" w:hAnsi="宋体" w:cs="宋体"/>
                <w:color w:val="auto"/>
                <w:szCs w:val="21"/>
              </w:rPr>
            </w:pPr>
          </w:p>
        </w:tc>
        <w:tc>
          <w:tcPr>
            <w:tcW w:w="1020" w:type="dxa"/>
            <w:vAlign w:val="center"/>
          </w:tcPr>
          <w:p w14:paraId="1539863A">
            <w:pPr>
              <w:spacing w:line="360" w:lineRule="auto"/>
              <w:ind w:leftChars="-35" w:hanging="73" w:hangingChars="35"/>
              <w:jc w:val="center"/>
              <w:rPr>
                <w:rFonts w:ascii="宋体" w:hAnsi="宋体" w:cs="宋体"/>
                <w:color w:val="auto"/>
                <w:szCs w:val="21"/>
              </w:rPr>
            </w:pPr>
          </w:p>
        </w:tc>
        <w:tc>
          <w:tcPr>
            <w:tcW w:w="849" w:type="dxa"/>
            <w:vAlign w:val="center"/>
          </w:tcPr>
          <w:p w14:paraId="3EBB7BC2">
            <w:pPr>
              <w:spacing w:line="360" w:lineRule="auto"/>
              <w:ind w:leftChars="-35" w:hanging="73" w:hangingChars="35"/>
              <w:jc w:val="center"/>
              <w:rPr>
                <w:rFonts w:ascii="宋体" w:hAnsi="宋体" w:cs="宋体"/>
                <w:color w:val="auto"/>
                <w:szCs w:val="21"/>
              </w:rPr>
            </w:pPr>
          </w:p>
        </w:tc>
        <w:tc>
          <w:tcPr>
            <w:tcW w:w="1134" w:type="dxa"/>
            <w:vAlign w:val="center"/>
          </w:tcPr>
          <w:p w14:paraId="11CDB594">
            <w:pPr>
              <w:spacing w:line="360" w:lineRule="auto"/>
              <w:ind w:leftChars="-35" w:hanging="73" w:hangingChars="35"/>
              <w:jc w:val="center"/>
              <w:rPr>
                <w:rFonts w:ascii="宋体" w:hAnsi="宋体" w:cs="宋体"/>
                <w:color w:val="auto"/>
                <w:szCs w:val="21"/>
              </w:rPr>
            </w:pPr>
          </w:p>
        </w:tc>
        <w:tc>
          <w:tcPr>
            <w:tcW w:w="1277" w:type="dxa"/>
            <w:vAlign w:val="center"/>
          </w:tcPr>
          <w:p w14:paraId="2E771804">
            <w:pPr>
              <w:spacing w:line="360" w:lineRule="auto"/>
              <w:ind w:leftChars="-35" w:hanging="73" w:hangingChars="35"/>
              <w:jc w:val="center"/>
              <w:rPr>
                <w:rFonts w:ascii="宋体" w:hAnsi="宋体" w:cs="宋体"/>
                <w:color w:val="auto"/>
                <w:szCs w:val="21"/>
              </w:rPr>
            </w:pPr>
          </w:p>
        </w:tc>
        <w:tc>
          <w:tcPr>
            <w:tcW w:w="1116" w:type="dxa"/>
            <w:vAlign w:val="center"/>
          </w:tcPr>
          <w:p w14:paraId="113B81E8">
            <w:pPr>
              <w:spacing w:line="360" w:lineRule="auto"/>
              <w:ind w:leftChars="-35" w:hanging="73" w:hangingChars="35"/>
              <w:jc w:val="center"/>
              <w:rPr>
                <w:rFonts w:ascii="宋体" w:hAnsi="宋体" w:cs="宋体"/>
                <w:color w:val="auto"/>
                <w:szCs w:val="21"/>
              </w:rPr>
            </w:pPr>
          </w:p>
        </w:tc>
        <w:tc>
          <w:tcPr>
            <w:tcW w:w="756" w:type="dxa"/>
            <w:vAlign w:val="center"/>
          </w:tcPr>
          <w:p w14:paraId="36CB8A73">
            <w:pPr>
              <w:spacing w:line="360" w:lineRule="auto"/>
              <w:ind w:leftChars="-35" w:hanging="73" w:hangingChars="35"/>
              <w:jc w:val="center"/>
              <w:rPr>
                <w:rFonts w:ascii="宋体" w:hAnsi="宋体" w:cs="宋体"/>
                <w:color w:val="auto"/>
                <w:szCs w:val="21"/>
              </w:rPr>
            </w:pPr>
          </w:p>
        </w:tc>
      </w:tr>
    </w:tbl>
    <w:p w14:paraId="62E5ECA7">
      <w:pPr>
        <w:spacing w:line="360" w:lineRule="auto"/>
        <w:rPr>
          <w:rFonts w:ascii="宋体" w:hAnsi="宋体" w:cs="宋体"/>
          <w:b/>
          <w:color w:val="auto"/>
          <w:szCs w:val="21"/>
        </w:rPr>
        <w:sectPr>
          <w:pgSz w:w="11907" w:h="16840"/>
          <w:pgMar w:top="1304" w:right="1134" w:bottom="1134" w:left="1304" w:header="851" w:footer="851" w:gutter="0"/>
          <w:cols w:space="720" w:num="1"/>
          <w:docGrid w:linePitch="312" w:charSpace="0"/>
        </w:sectPr>
      </w:pPr>
    </w:p>
    <w:p w14:paraId="43C19698">
      <w:pPr>
        <w:jc w:val="left"/>
        <w:rPr>
          <w:bCs/>
          <w:color w:val="auto"/>
          <w:spacing w:val="10"/>
          <w:sz w:val="24"/>
        </w:rPr>
      </w:pPr>
    </w:p>
    <w:p w14:paraId="499455C1">
      <w:pPr>
        <w:spacing w:line="360" w:lineRule="auto"/>
        <w:rPr>
          <w:rFonts w:ascii="宋体" w:hAnsi="宋体" w:cs="宋体"/>
          <w:b/>
          <w:color w:val="auto"/>
          <w:szCs w:val="21"/>
        </w:rPr>
      </w:pPr>
      <w:r>
        <w:rPr>
          <w:rFonts w:hint="eastAsia" w:ascii="宋体" w:hAnsi="宋体" w:cs="宋体"/>
          <w:b/>
          <w:color w:val="auto"/>
          <w:szCs w:val="21"/>
        </w:rPr>
        <w:t>附件2：</w:t>
      </w:r>
    </w:p>
    <w:p w14:paraId="2285DC85">
      <w:pPr>
        <w:spacing w:beforeLines="50" w:afterLines="50" w:line="360" w:lineRule="auto"/>
        <w:jc w:val="center"/>
        <w:rPr>
          <w:rFonts w:ascii="宋体" w:hAnsi="宋体" w:cs="宋体"/>
          <w:color w:val="auto"/>
          <w:sz w:val="32"/>
          <w:szCs w:val="32"/>
        </w:rPr>
      </w:pPr>
      <w:r>
        <w:rPr>
          <w:rFonts w:hint="eastAsia" w:ascii="宋体" w:hAnsi="宋体" w:cs="宋体"/>
          <w:color w:val="auto"/>
          <w:sz w:val="32"/>
          <w:szCs w:val="32"/>
        </w:rPr>
        <w:t>承包人主要施工管理人员表</w:t>
      </w: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95"/>
        <w:gridCol w:w="1094"/>
        <w:gridCol w:w="1434"/>
        <w:gridCol w:w="1433"/>
        <w:gridCol w:w="3584"/>
      </w:tblGrid>
      <w:tr w14:paraId="292667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5" w:hRule="atLeast"/>
          <w:jc w:val="center"/>
        </w:trPr>
        <w:tc>
          <w:tcPr>
            <w:tcW w:w="1895" w:type="dxa"/>
            <w:tcBorders>
              <w:top w:val="single" w:color="auto" w:sz="12" w:space="0"/>
              <w:bottom w:val="double" w:color="auto" w:sz="6" w:space="0"/>
            </w:tcBorders>
            <w:vAlign w:val="center"/>
          </w:tcPr>
          <w:p w14:paraId="16ECB108">
            <w:pPr>
              <w:keepNext/>
              <w:spacing w:after="120" w:line="360" w:lineRule="auto"/>
              <w:ind w:left="63" w:right="63"/>
              <w:rPr>
                <w:rFonts w:ascii="宋体" w:hAnsi="宋体" w:cs="宋体"/>
                <w:color w:val="auto"/>
                <w:szCs w:val="21"/>
              </w:rPr>
            </w:pPr>
            <w:r>
              <w:rPr>
                <w:rFonts w:hint="eastAsia" w:ascii="宋体" w:hAnsi="宋体" w:cs="宋体"/>
                <w:color w:val="auto"/>
                <w:szCs w:val="21"/>
              </w:rPr>
              <w:t>名    称</w:t>
            </w:r>
          </w:p>
        </w:tc>
        <w:tc>
          <w:tcPr>
            <w:tcW w:w="1094" w:type="dxa"/>
            <w:tcBorders>
              <w:top w:val="single" w:color="auto" w:sz="12" w:space="0"/>
              <w:bottom w:val="double" w:color="auto" w:sz="6" w:space="0"/>
            </w:tcBorders>
            <w:vAlign w:val="center"/>
          </w:tcPr>
          <w:p w14:paraId="5EA20F81">
            <w:pPr>
              <w:keepNext/>
              <w:spacing w:after="120" w:line="360" w:lineRule="auto"/>
              <w:ind w:left="63" w:right="63"/>
              <w:rPr>
                <w:rFonts w:ascii="宋体" w:hAnsi="宋体" w:cs="宋体"/>
                <w:color w:val="auto"/>
                <w:szCs w:val="21"/>
              </w:rPr>
            </w:pPr>
            <w:r>
              <w:rPr>
                <w:rFonts w:hint="eastAsia" w:ascii="宋体" w:hAnsi="宋体" w:cs="宋体"/>
                <w:color w:val="auto"/>
                <w:szCs w:val="21"/>
              </w:rPr>
              <w:t>姓名</w:t>
            </w:r>
          </w:p>
        </w:tc>
        <w:tc>
          <w:tcPr>
            <w:tcW w:w="1434" w:type="dxa"/>
            <w:tcBorders>
              <w:top w:val="single" w:color="auto" w:sz="12" w:space="0"/>
              <w:bottom w:val="double" w:color="auto" w:sz="6" w:space="0"/>
            </w:tcBorders>
            <w:vAlign w:val="center"/>
          </w:tcPr>
          <w:p w14:paraId="2B50603A">
            <w:pPr>
              <w:keepNext/>
              <w:spacing w:after="120" w:line="360" w:lineRule="auto"/>
              <w:ind w:left="63" w:right="63"/>
              <w:rPr>
                <w:rFonts w:ascii="宋体" w:hAnsi="宋体" w:cs="宋体"/>
                <w:color w:val="auto"/>
                <w:szCs w:val="21"/>
              </w:rPr>
            </w:pPr>
            <w:r>
              <w:rPr>
                <w:rFonts w:hint="eastAsia" w:ascii="宋体" w:hAnsi="宋体" w:cs="宋体"/>
                <w:color w:val="auto"/>
                <w:szCs w:val="21"/>
              </w:rPr>
              <w:t>职务</w:t>
            </w:r>
          </w:p>
        </w:tc>
        <w:tc>
          <w:tcPr>
            <w:tcW w:w="1433" w:type="dxa"/>
            <w:tcBorders>
              <w:top w:val="single" w:color="auto" w:sz="12" w:space="0"/>
              <w:bottom w:val="double" w:color="auto" w:sz="6" w:space="0"/>
            </w:tcBorders>
            <w:vAlign w:val="center"/>
          </w:tcPr>
          <w:p w14:paraId="2CD63BEA">
            <w:pPr>
              <w:keepNext/>
              <w:spacing w:after="120" w:line="360" w:lineRule="auto"/>
              <w:ind w:left="63" w:right="63"/>
              <w:rPr>
                <w:rFonts w:ascii="宋体" w:hAnsi="宋体" w:cs="宋体"/>
                <w:color w:val="auto"/>
                <w:szCs w:val="21"/>
              </w:rPr>
            </w:pPr>
            <w:r>
              <w:rPr>
                <w:rFonts w:hint="eastAsia" w:ascii="宋体" w:hAnsi="宋体" w:cs="宋体"/>
                <w:color w:val="auto"/>
                <w:szCs w:val="21"/>
              </w:rPr>
              <w:t>职称</w:t>
            </w:r>
          </w:p>
        </w:tc>
        <w:tc>
          <w:tcPr>
            <w:tcW w:w="3584" w:type="dxa"/>
            <w:tcBorders>
              <w:top w:val="single" w:color="auto" w:sz="12" w:space="0"/>
              <w:bottom w:val="double" w:color="auto" w:sz="6" w:space="0"/>
            </w:tcBorders>
            <w:vAlign w:val="center"/>
          </w:tcPr>
          <w:p w14:paraId="1B8F6855">
            <w:pPr>
              <w:keepNext/>
              <w:spacing w:after="120" w:line="360" w:lineRule="auto"/>
              <w:ind w:left="63" w:right="63"/>
              <w:rPr>
                <w:rFonts w:ascii="宋体" w:hAnsi="宋体" w:cs="宋体"/>
                <w:color w:val="auto"/>
                <w:szCs w:val="21"/>
              </w:rPr>
            </w:pPr>
            <w:r>
              <w:rPr>
                <w:rFonts w:hint="eastAsia" w:ascii="宋体" w:hAnsi="宋体" w:cs="宋体"/>
                <w:color w:val="auto"/>
                <w:szCs w:val="21"/>
              </w:rPr>
              <w:t>主要资历、经验及承担过的项目</w:t>
            </w:r>
          </w:p>
        </w:tc>
      </w:tr>
      <w:tr w14:paraId="70EEC9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7" w:hRule="atLeast"/>
          <w:jc w:val="center"/>
        </w:trPr>
        <w:tc>
          <w:tcPr>
            <w:tcW w:w="9440" w:type="dxa"/>
            <w:gridSpan w:val="5"/>
            <w:tcBorders>
              <w:top w:val="double" w:color="auto" w:sz="6" w:space="0"/>
              <w:bottom w:val="single" w:color="auto" w:sz="6" w:space="0"/>
            </w:tcBorders>
            <w:vAlign w:val="center"/>
          </w:tcPr>
          <w:p w14:paraId="435007DE">
            <w:pPr>
              <w:keepNext/>
              <w:spacing w:after="120" w:line="360" w:lineRule="auto"/>
              <w:ind w:left="63" w:right="63"/>
              <w:rPr>
                <w:rFonts w:ascii="宋体" w:hAnsi="宋体" w:cs="宋体"/>
                <w:color w:val="auto"/>
                <w:szCs w:val="21"/>
              </w:rPr>
            </w:pPr>
            <w:r>
              <w:rPr>
                <w:rFonts w:hint="eastAsia" w:ascii="宋体" w:hAnsi="宋体" w:cs="宋体"/>
                <w:color w:val="auto"/>
                <w:szCs w:val="21"/>
              </w:rPr>
              <w:t>一、总部人员</w:t>
            </w:r>
          </w:p>
        </w:tc>
      </w:tr>
      <w:tr w14:paraId="6C2A9B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1895" w:type="dxa"/>
            <w:tcBorders>
              <w:top w:val="nil"/>
              <w:bottom w:val="nil"/>
            </w:tcBorders>
            <w:vAlign w:val="center"/>
          </w:tcPr>
          <w:p w14:paraId="21B36CAD">
            <w:pPr>
              <w:keepNext/>
              <w:spacing w:after="120" w:line="360" w:lineRule="auto"/>
              <w:ind w:left="63" w:right="63"/>
              <w:rPr>
                <w:rFonts w:ascii="宋体" w:hAnsi="宋体" w:cs="宋体"/>
                <w:color w:val="auto"/>
                <w:szCs w:val="21"/>
              </w:rPr>
            </w:pPr>
            <w:r>
              <w:rPr>
                <w:rFonts w:hint="eastAsia" w:ascii="宋体" w:hAnsi="宋体" w:cs="宋体"/>
                <w:color w:val="auto"/>
                <w:szCs w:val="21"/>
              </w:rPr>
              <w:t>项目主管</w:t>
            </w:r>
          </w:p>
        </w:tc>
        <w:tc>
          <w:tcPr>
            <w:tcW w:w="1094" w:type="dxa"/>
            <w:tcBorders>
              <w:top w:val="nil"/>
            </w:tcBorders>
            <w:vAlign w:val="center"/>
          </w:tcPr>
          <w:p w14:paraId="1389C1B4">
            <w:pPr>
              <w:keepNext/>
              <w:spacing w:after="120" w:line="360" w:lineRule="auto"/>
              <w:ind w:left="63" w:right="63"/>
              <w:rPr>
                <w:rFonts w:ascii="宋体" w:hAnsi="宋体" w:cs="宋体"/>
                <w:color w:val="auto"/>
                <w:szCs w:val="21"/>
              </w:rPr>
            </w:pPr>
          </w:p>
        </w:tc>
        <w:tc>
          <w:tcPr>
            <w:tcW w:w="1434" w:type="dxa"/>
            <w:tcBorders>
              <w:top w:val="nil"/>
            </w:tcBorders>
            <w:vAlign w:val="center"/>
          </w:tcPr>
          <w:p w14:paraId="1E58D6CB">
            <w:pPr>
              <w:keepNext/>
              <w:spacing w:after="120" w:line="360" w:lineRule="auto"/>
              <w:ind w:left="63" w:right="63"/>
              <w:rPr>
                <w:rFonts w:ascii="宋体" w:hAnsi="宋体" w:cs="宋体"/>
                <w:color w:val="auto"/>
                <w:szCs w:val="21"/>
              </w:rPr>
            </w:pPr>
          </w:p>
        </w:tc>
        <w:tc>
          <w:tcPr>
            <w:tcW w:w="1433" w:type="dxa"/>
            <w:tcBorders>
              <w:top w:val="nil"/>
            </w:tcBorders>
            <w:vAlign w:val="center"/>
          </w:tcPr>
          <w:p w14:paraId="3D700CBB">
            <w:pPr>
              <w:keepNext/>
              <w:spacing w:after="120" w:line="360" w:lineRule="auto"/>
              <w:ind w:left="63" w:right="63"/>
              <w:rPr>
                <w:rFonts w:ascii="宋体" w:hAnsi="宋体" w:cs="宋体"/>
                <w:color w:val="auto"/>
                <w:szCs w:val="21"/>
              </w:rPr>
            </w:pPr>
          </w:p>
        </w:tc>
        <w:tc>
          <w:tcPr>
            <w:tcW w:w="3584" w:type="dxa"/>
            <w:tcBorders>
              <w:top w:val="nil"/>
            </w:tcBorders>
            <w:vAlign w:val="center"/>
          </w:tcPr>
          <w:p w14:paraId="62A54200">
            <w:pPr>
              <w:keepNext/>
              <w:spacing w:after="120" w:line="360" w:lineRule="auto"/>
              <w:ind w:left="63" w:right="63"/>
              <w:rPr>
                <w:rFonts w:ascii="宋体" w:hAnsi="宋体" w:cs="宋体"/>
                <w:color w:val="auto"/>
                <w:szCs w:val="21"/>
              </w:rPr>
            </w:pPr>
          </w:p>
        </w:tc>
      </w:tr>
      <w:tr w14:paraId="285C7F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1895" w:type="dxa"/>
            <w:tcBorders>
              <w:top w:val="single" w:color="auto" w:sz="6" w:space="0"/>
              <w:bottom w:val="nil"/>
            </w:tcBorders>
            <w:vAlign w:val="center"/>
          </w:tcPr>
          <w:p w14:paraId="4EF9924A">
            <w:pPr>
              <w:keepNext/>
              <w:spacing w:after="120" w:line="360" w:lineRule="auto"/>
              <w:ind w:left="63" w:right="63"/>
              <w:rPr>
                <w:rFonts w:ascii="宋体" w:hAnsi="宋体" w:cs="宋体"/>
                <w:color w:val="auto"/>
                <w:szCs w:val="21"/>
              </w:rPr>
            </w:pPr>
          </w:p>
        </w:tc>
        <w:tc>
          <w:tcPr>
            <w:tcW w:w="1094" w:type="dxa"/>
            <w:vAlign w:val="center"/>
          </w:tcPr>
          <w:p w14:paraId="207E3971">
            <w:pPr>
              <w:keepNext/>
              <w:spacing w:after="120" w:line="360" w:lineRule="auto"/>
              <w:ind w:left="63" w:right="63"/>
              <w:rPr>
                <w:rFonts w:ascii="宋体" w:hAnsi="宋体" w:cs="宋体"/>
                <w:color w:val="auto"/>
                <w:szCs w:val="21"/>
              </w:rPr>
            </w:pPr>
          </w:p>
        </w:tc>
        <w:tc>
          <w:tcPr>
            <w:tcW w:w="1434" w:type="dxa"/>
            <w:vAlign w:val="center"/>
          </w:tcPr>
          <w:p w14:paraId="6119B10C">
            <w:pPr>
              <w:keepNext/>
              <w:spacing w:after="120" w:line="360" w:lineRule="auto"/>
              <w:ind w:left="63" w:right="63"/>
              <w:rPr>
                <w:rFonts w:ascii="宋体" w:hAnsi="宋体" w:cs="宋体"/>
                <w:color w:val="auto"/>
                <w:szCs w:val="21"/>
              </w:rPr>
            </w:pPr>
          </w:p>
        </w:tc>
        <w:tc>
          <w:tcPr>
            <w:tcW w:w="1433" w:type="dxa"/>
            <w:vAlign w:val="center"/>
          </w:tcPr>
          <w:p w14:paraId="3FD99C88">
            <w:pPr>
              <w:keepNext/>
              <w:spacing w:after="120" w:line="360" w:lineRule="auto"/>
              <w:ind w:left="63" w:right="63"/>
              <w:rPr>
                <w:rFonts w:ascii="宋体" w:hAnsi="宋体" w:cs="宋体"/>
                <w:color w:val="auto"/>
                <w:szCs w:val="21"/>
              </w:rPr>
            </w:pPr>
          </w:p>
        </w:tc>
        <w:tc>
          <w:tcPr>
            <w:tcW w:w="3584" w:type="dxa"/>
            <w:vAlign w:val="center"/>
          </w:tcPr>
          <w:p w14:paraId="7AD89C0B">
            <w:pPr>
              <w:keepNext/>
              <w:spacing w:after="120" w:line="360" w:lineRule="auto"/>
              <w:ind w:left="63" w:right="63"/>
              <w:rPr>
                <w:rFonts w:ascii="宋体" w:hAnsi="宋体" w:cs="宋体"/>
                <w:color w:val="auto"/>
                <w:szCs w:val="21"/>
              </w:rPr>
            </w:pPr>
          </w:p>
        </w:tc>
      </w:tr>
      <w:tr w14:paraId="0E68A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1895" w:type="dxa"/>
            <w:tcBorders>
              <w:top w:val="nil"/>
              <w:bottom w:val="nil"/>
            </w:tcBorders>
            <w:vAlign w:val="center"/>
          </w:tcPr>
          <w:p w14:paraId="7043F51A">
            <w:pPr>
              <w:keepNext/>
              <w:spacing w:after="120" w:line="360" w:lineRule="auto"/>
              <w:ind w:left="63" w:right="63"/>
              <w:rPr>
                <w:rFonts w:ascii="宋体" w:hAnsi="宋体" w:cs="宋体"/>
                <w:color w:val="auto"/>
                <w:szCs w:val="21"/>
              </w:rPr>
            </w:pPr>
            <w:r>
              <w:rPr>
                <w:rFonts w:hint="eastAsia" w:ascii="宋体" w:hAnsi="宋体" w:cs="宋体"/>
                <w:color w:val="auto"/>
                <w:szCs w:val="21"/>
              </w:rPr>
              <w:t>其他人员</w:t>
            </w:r>
          </w:p>
        </w:tc>
        <w:tc>
          <w:tcPr>
            <w:tcW w:w="1094" w:type="dxa"/>
            <w:vAlign w:val="center"/>
          </w:tcPr>
          <w:p w14:paraId="702927E5">
            <w:pPr>
              <w:keepNext/>
              <w:spacing w:after="120" w:line="360" w:lineRule="auto"/>
              <w:ind w:left="63" w:right="63"/>
              <w:rPr>
                <w:rFonts w:ascii="宋体" w:hAnsi="宋体" w:cs="宋体"/>
                <w:color w:val="auto"/>
                <w:szCs w:val="21"/>
              </w:rPr>
            </w:pPr>
          </w:p>
        </w:tc>
        <w:tc>
          <w:tcPr>
            <w:tcW w:w="1434" w:type="dxa"/>
            <w:vAlign w:val="center"/>
          </w:tcPr>
          <w:p w14:paraId="6B48C04C">
            <w:pPr>
              <w:keepNext/>
              <w:spacing w:after="120" w:line="360" w:lineRule="auto"/>
              <w:ind w:left="63" w:right="63"/>
              <w:rPr>
                <w:rFonts w:ascii="宋体" w:hAnsi="宋体" w:cs="宋体"/>
                <w:color w:val="auto"/>
                <w:szCs w:val="21"/>
              </w:rPr>
            </w:pPr>
          </w:p>
        </w:tc>
        <w:tc>
          <w:tcPr>
            <w:tcW w:w="1433" w:type="dxa"/>
            <w:vAlign w:val="center"/>
          </w:tcPr>
          <w:p w14:paraId="757E61B3">
            <w:pPr>
              <w:keepNext/>
              <w:spacing w:after="120" w:line="360" w:lineRule="auto"/>
              <w:ind w:left="63" w:right="63"/>
              <w:rPr>
                <w:rFonts w:ascii="宋体" w:hAnsi="宋体" w:cs="宋体"/>
                <w:color w:val="auto"/>
                <w:szCs w:val="21"/>
              </w:rPr>
            </w:pPr>
          </w:p>
        </w:tc>
        <w:tc>
          <w:tcPr>
            <w:tcW w:w="3584" w:type="dxa"/>
            <w:vAlign w:val="center"/>
          </w:tcPr>
          <w:p w14:paraId="02B9FD9C">
            <w:pPr>
              <w:keepNext/>
              <w:spacing w:after="120" w:line="360" w:lineRule="auto"/>
              <w:ind w:left="63" w:right="63"/>
              <w:rPr>
                <w:rFonts w:ascii="宋体" w:hAnsi="宋体" w:cs="宋体"/>
                <w:color w:val="auto"/>
                <w:szCs w:val="21"/>
              </w:rPr>
            </w:pPr>
          </w:p>
        </w:tc>
      </w:tr>
      <w:tr w14:paraId="1A7595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1895" w:type="dxa"/>
            <w:tcBorders>
              <w:top w:val="nil"/>
              <w:bottom w:val="nil"/>
            </w:tcBorders>
            <w:vAlign w:val="center"/>
          </w:tcPr>
          <w:p w14:paraId="13F075D5">
            <w:pPr>
              <w:keepNext/>
              <w:spacing w:after="120" w:line="360" w:lineRule="auto"/>
              <w:ind w:left="63" w:right="63"/>
              <w:rPr>
                <w:rFonts w:ascii="宋体" w:hAnsi="宋体" w:cs="宋体"/>
                <w:color w:val="auto"/>
                <w:szCs w:val="21"/>
              </w:rPr>
            </w:pPr>
          </w:p>
        </w:tc>
        <w:tc>
          <w:tcPr>
            <w:tcW w:w="1094" w:type="dxa"/>
            <w:vAlign w:val="center"/>
          </w:tcPr>
          <w:p w14:paraId="6C90F4AE">
            <w:pPr>
              <w:keepNext/>
              <w:spacing w:after="120" w:line="360" w:lineRule="auto"/>
              <w:ind w:left="63" w:right="63"/>
              <w:rPr>
                <w:rFonts w:ascii="宋体" w:hAnsi="宋体" w:cs="宋体"/>
                <w:color w:val="auto"/>
                <w:szCs w:val="21"/>
              </w:rPr>
            </w:pPr>
          </w:p>
        </w:tc>
        <w:tc>
          <w:tcPr>
            <w:tcW w:w="1434" w:type="dxa"/>
            <w:vAlign w:val="center"/>
          </w:tcPr>
          <w:p w14:paraId="336157BC">
            <w:pPr>
              <w:keepNext/>
              <w:spacing w:after="120" w:line="360" w:lineRule="auto"/>
              <w:ind w:left="63" w:right="63"/>
              <w:rPr>
                <w:rFonts w:ascii="宋体" w:hAnsi="宋体" w:cs="宋体"/>
                <w:color w:val="auto"/>
                <w:szCs w:val="21"/>
              </w:rPr>
            </w:pPr>
          </w:p>
        </w:tc>
        <w:tc>
          <w:tcPr>
            <w:tcW w:w="1433" w:type="dxa"/>
            <w:vAlign w:val="center"/>
          </w:tcPr>
          <w:p w14:paraId="133AA055">
            <w:pPr>
              <w:keepNext/>
              <w:spacing w:after="120" w:line="360" w:lineRule="auto"/>
              <w:ind w:left="63" w:right="63"/>
              <w:rPr>
                <w:rFonts w:ascii="宋体" w:hAnsi="宋体" w:cs="宋体"/>
                <w:color w:val="auto"/>
                <w:szCs w:val="21"/>
              </w:rPr>
            </w:pPr>
          </w:p>
        </w:tc>
        <w:tc>
          <w:tcPr>
            <w:tcW w:w="3584" w:type="dxa"/>
            <w:vAlign w:val="center"/>
          </w:tcPr>
          <w:p w14:paraId="38215915">
            <w:pPr>
              <w:keepNext/>
              <w:spacing w:after="120" w:line="360" w:lineRule="auto"/>
              <w:ind w:left="63" w:right="63"/>
              <w:rPr>
                <w:rFonts w:ascii="宋体" w:hAnsi="宋体" w:cs="宋体"/>
                <w:color w:val="auto"/>
                <w:szCs w:val="21"/>
              </w:rPr>
            </w:pPr>
          </w:p>
        </w:tc>
      </w:tr>
      <w:tr w14:paraId="664A7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9440" w:type="dxa"/>
            <w:gridSpan w:val="5"/>
            <w:tcBorders>
              <w:top w:val="single" w:color="auto" w:sz="6" w:space="0"/>
              <w:bottom w:val="single" w:color="auto" w:sz="6" w:space="0"/>
            </w:tcBorders>
            <w:vAlign w:val="center"/>
          </w:tcPr>
          <w:p w14:paraId="33F6C331">
            <w:pPr>
              <w:keepNext/>
              <w:spacing w:after="120" w:line="360" w:lineRule="auto"/>
              <w:ind w:left="63" w:right="63"/>
              <w:rPr>
                <w:rFonts w:ascii="宋体" w:hAnsi="宋体" w:cs="宋体"/>
                <w:color w:val="auto"/>
                <w:szCs w:val="21"/>
              </w:rPr>
            </w:pPr>
            <w:r>
              <w:rPr>
                <w:rFonts w:hint="eastAsia" w:ascii="宋体" w:hAnsi="宋体" w:cs="宋体"/>
                <w:color w:val="auto"/>
                <w:szCs w:val="21"/>
              </w:rPr>
              <w:t>二、现场人员</w:t>
            </w:r>
          </w:p>
        </w:tc>
      </w:tr>
      <w:tr w14:paraId="5DEF07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1895" w:type="dxa"/>
            <w:tcBorders>
              <w:top w:val="single" w:color="auto" w:sz="6" w:space="0"/>
              <w:bottom w:val="single" w:color="auto" w:sz="6" w:space="0"/>
            </w:tcBorders>
            <w:vAlign w:val="center"/>
          </w:tcPr>
          <w:p w14:paraId="5F473FCD">
            <w:pPr>
              <w:keepNext/>
              <w:spacing w:after="120" w:line="360" w:lineRule="auto"/>
              <w:ind w:left="63" w:right="63"/>
              <w:rPr>
                <w:rFonts w:ascii="宋体" w:hAnsi="宋体" w:cs="宋体"/>
                <w:color w:val="auto"/>
                <w:szCs w:val="21"/>
              </w:rPr>
            </w:pPr>
          </w:p>
        </w:tc>
        <w:tc>
          <w:tcPr>
            <w:tcW w:w="1094" w:type="dxa"/>
            <w:vAlign w:val="center"/>
          </w:tcPr>
          <w:p w14:paraId="1F1361BA">
            <w:pPr>
              <w:keepNext/>
              <w:spacing w:after="120" w:line="360" w:lineRule="auto"/>
              <w:ind w:left="63" w:right="63"/>
              <w:rPr>
                <w:rFonts w:ascii="宋体" w:hAnsi="宋体" w:cs="宋体"/>
                <w:color w:val="auto"/>
                <w:szCs w:val="21"/>
              </w:rPr>
            </w:pPr>
          </w:p>
        </w:tc>
        <w:tc>
          <w:tcPr>
            <w:tcW w:w="1434" w:type="dxa"/>
            <w:vAlign w:val="center"/>
          </w:tcPr>
          <w:p w14:paraId="26E1B856">
            <w:pPr>
              <w:keepNext/>
              <w:spacing w:after="120" w:line="360" w:lineRule="auto"/>
              <w:ind w:left="63" w:right="63"/>
              <w:rPr>
                <w:rFonts w:ascii="宋体" w:hAnsi="宋体" w:cs="宋体"/>
                <w:color w:val="auto"/>
                <w:szCs w:val="21"/>
              </w:rPr>
            </w:pPr>
          </w:p>
        </w:tc>
        <w:tc>
          <w:tcPr>
            <w:tcW w:w="1433" w:type="dxa"/>
            <w:vAlign w:val="center"/>
          </w:tcPr>
          <w:p w14:paraId="1BC7670E">
            <w:pPr>
              <w:keepNext/>
              <w:spacing w:after="120" w:line="360" w:lineRule="auto"/>
              <w:ind w:left="63" w:right="63"/>
              <w:rPr>
                <w:rFonts w:ascii="宋体" w:hAnsi="宋体" w:cs="宋体"/>
                <w:color w:val="auto"/>
                <w:szCs w:val="21"/>
              </w:rPr>
            </w:pPr>
          </w:p>
        </w:tc>
        <w:tc>
          <w:tcPr>
            <w:tcW w:w="3584" w:type="dxa"/>
            <w:vAlign w:val="center"/>
          </w:tcPr>
          <w:p w14:paraId="3389971D">
            <w:pPr>
              <w:keepNext/>
              <w:spacing w:after="120" w:line="360" w:lineRule="auto"/>
              <w:ind w:left="63" w:right="63"/>
              <w:rPr>
                <w:rFonts w:ascii="宋体" w:hAnsi="宋体" w:cs="宋体"/>
                <w:color w:val="auto"/>
                <w:szCs w:val="21"/>
              </w:rPr>
            </w:pPr>
          </w:p>
        </w:tc>
      </w:tr>
      <w:tr w14:paraId="650AB0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1895" w:type="dxa"/>
            <w:tcBorders>
              <w:top w:val="single" w:color="auto" w:sz="6" w:space="0"/>
              <w:bottom w:val="single" w:color="auto" w:sz="6" w:space="0"/>
            </w:tcBorders>
            <w:vAlign w:val="center"/>
          </w:tcPr>
          <w:p w14:paraId="78125D43">
            <w:pPr>
              <w:keepNext/>
              <w:spacing w:after="120" w:line="360" w:lineRule="auto"/>
              <w:ind w:left="63" w:right="63"/>
              <w:rPr>
                <w:rFonts w:ascii="宋体" w:hAnsi="宋体" w:cs="宋体"/>
                <w:color w:val="auto"/>
                <w:szCs w:val="21"/>
              </w:rPr>
            </w:pPr>
          </w:p>
        </w:tc>
        <w:tc>
          <w:tcPr>
            <w:tcW w:w="1094" w:type="dxa"/>
            <w:vAlign w:val="center"/>
          </w:tcPr>
          <w:p w14:paraId="7D803DC7">
            <w:pPr>
              <w:keepNext/>
              <w:spacing w:after="120" w:line="360" w:lineRule="auto"/>
              <w:ind w:left="63" w:right="63"/>
              <w:rPr>
                <w:rFonts w:ascii="宋体" w:hAnsi="宋体" w:cs="宋体"/>
                <w:color w:val="auto"/>
                <w:szCs w:val="21"/>
              </w:rPr>
            </w:pPr>
          </w:p>
        </w:tc>
        <w:tc>
          <w:tcPr>
            <w:tcW w:w="1434" w:type="dxa"/>
            <w:vAlign w:val="center"/>
          </w:tcPr>
          <w:p w14:paraId="28DFDF68">
            <w:pPr>
              <w:keepNext/>
              <w:spacing w:after="120" w:line="360" w:lineRule="auto"/>
              <w:ind w:left="63" w:right="63"/>
              <w:rPr>
                <w:rFonts w:ascii="宋体" w:hAnsi="宋体" w:cs="宋体"/>
                <w:color w:val="auto"/>
                <w:szCs w:val="21"/>
              </w:rPr>
            </w:pPr>
          </w:p>
        </w:tc>
        <w:tc>
          <w:tcPr>
            <w:tcW w:w="1433" w:type="dxa"/>
            <w:vAlign w:val="center"/>
          </w:tcPr>
          <w:p w14:paraId="075929CE">
            <w:pPr>
              <w:keepNext/>
              <w:spacing w:after="120" w:line="360" w:lineRule="auto"/>
              <w:ind w:left="63" w:right="63"/>
              <w:rPr>
                <w:rFonts w:ascii="宋体" w:hAnsi="宋体" w:cs="宋体"/>
                <w:color w:val="auto"/>
                <w:szCs w:val="21"/>
              </w:rPr>
            </w:pPr>
          </w:p>
        </w:tc>
        <w:tc>
          <w:tcPr>
            <w:tcW w:w="3584" w:type="dxa"/>
            <w:vAlign w:val="center"/>
          </w:tcPr>
          <w:p w14:paraId="0AF41A6A">
            <w:pPr>
              <w:keepNext/>
              <w:spacing w:after="120" w:line="360" w:lineRule="auto"/>
              <w:ind w:left="63" w:right="63"/>
              <w:rPr>
                <w:rFonts w:ascii="宋体" w:hAnsi="宋体" w:cs="宋体"/>
                <w:color w:val="auto"/>
                <w:szCs w:val="21"/>
              </w:rPr>
            </w:pPr>
          </w:p>
        </w:tc>
      </w:tr>
      <w:tr w14:paraId="37D732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1895" w:type="dxa"/>
            <w:tcBorders>
              <w:top w:val="single" w:color="auto" w:sz="6" w:space="0"/>
              <w:bottom w:val="single" w:color="auto" w:sz="6" w:space="0"/>
            </w:tcBorders>
            <w:vAlign w:val="center"/>
          </w:tcPr>
          <w:p w14:paraId="5198C5F6">
            <w:pPr>
              <w:keepNext/>
              <w:spacing w:after="120" w:line="360" w:lineRule="auto"/>
              <w:ind w:left="63" w:right="63"/>
              <w:rPr>
                <w:rFonts w:ascii="宋体" w:hAnsi="宋体" w:cs="宋体"/>
                <w:color w:val="auto"/>
                <w:szCs w:val="21"/>
              </w:rPr>
            </w:pPr>
          </w:p>
        </w:tc>
        <w:tc>
          <w:tcPr>
            <w:tcW w:w="1094" w:type="dxa"/>
            <w:vAlign w:val="center"/>
          </w:tcPr>
          <w:p w14:paraId="54296BEE">
            <w:pPr>
              <w:keepNext/>
              <w:spacing w:after="120" w:line="360" w:lineRule="auto"/>
              <w:ind w:left="63" w:right="63"/>
              <w:rPr>
                <w:rFonts w:ascii="宋体" w:hAnsi="宋体" w:cs="宋体"/>
                <w:color w:val="auto"/>
                <w:szCs w:val="21"/>
              </w:rPr>
            </w:pPr>
          </w:p>
        </w:tc>
        <w:tc>
          <w:tcPr>
            <w:tcW w:w="1434" w:type="dxa"/>
            <w:vAlign w:val="center"/>
          </w:tcPr>
          <w:p w14:paraId="6695800A">
            <w:pPr>
              <w:keepNext/>
              <w:spacing w:after="120" w:line="360" w:lineRule="auto"/>
              <w:ind w:left="63" w:right="63"/>
              <w:rPr>
                <w:rFonts w:ascii="宋体" w:hAnsi="宋体" w:cs="宋体"/>
                <w:color w:val="auto"/>
                <w:szCs w:val="21"/>
              </w:rPr>
            </w:pPr>
          </w:p>
        </w:tc>
        <w:tc>
          <w:tcPr>
            <w:tcW w:w="1433" w:type="dxa"/>
            <w:vAlign w:val="center"/>
          </w:tcPr>
          <w:p w14:paraId="006149D1">
            <w:pPr>
              <w:keepNext/>
              <w:spacing w:after="120" w:line="360" w:lineRule="auto"/>
              <w:ind w:left="63" w:right="63"/>
              <w:rPr>
                <w:rFonts w:ascii="宋体" w:hAnsi="宋体" w:cs="宋体"/>
                <w:color w:val="auto"/>
                <w:szCs w:val="21"/>
              </w:rPr>
            </w:pPr>
          </w:p>
        </w:tc>
        <w:tc>
          <w:tcPr>
            <w:tcW w:w="3584" w:type="dxa"/>
            <w:vAlign w:val="center"/>
          </w:tcPr>
          <w:p w14:paraId="0E6C217C">
            <w:pPr>
              <w:keepNext/>
              <w:spacing w:after="120" w:line="360" w:lineRule="auto"/>
              <w:ind w:left="63" w:right="63"/>
              <w:rPr>
                <w:rFonts w:ascii="宋体" w:hAnsi="宋体" w:cs="宋体"/>
                <w:color w:val="auto"/>
                <w:szCs w:val="21"/>
              </w:rPr>
            </w:pPr>
          </w:p>
        </w:tc>
      </w:tr>
      <w:tr w14:paraId="4CDB10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1895" w:type="dxa"/>
            <w:tcBorders>
              <w:top w:val="single" w:color="auto" w:sz="6" w:space="0"/>
              <w:bottom w:val="single" w:color="auto" w:sz="6" w:space="0"/>
            </w:tcBorders>
            <w:vAlign w:val="center"/>
          </w:tcPr>
          <w:p w14:paraId="36C2DF7E">
            <w:pPr>
              <w:keepNext/>
              <w:spacing w:after="120" w:line="360" w:lineRule="auto"/>
              <w:ind w:left="63" w:right="63"/>
              <w:rPr>
                <w:rFonts w:ascii="宋体" w:hAnsi="宋体" w:cs="宋体"/>
                <w:color w:val="auto"/>
                <w:szCs w:val="21"/>
              </w:rPr>
            </w:pPr>
          </w:p>
        </w:tc>
        <w:tc>
          <w:tcPr>
            <w:tcW w:w="1094" w:type="dxa"/>
            <w:vAlign w:val="center"/>
          </w:tcPr>
          <w:p w14:paraId="04C82294">
            <w:pPr>
              <w:keepNext/>
              <w:spacing w:after="120" w:line="360" w:lineRule="auto"/>
              <w:ind w:left="63" w:right="63"/>
              <w:rPr>
                <w:rFonts w:ascii="宋体" w:hAnsi="宋体" w:cs="宋体"/>
                <w:color w:val="auto"/>
                <w:szCs w:val="21"/>
              </w:rPr>
            </w:pPr>
          </w:p>
        </w:tc>
        <w:tc>
          <w:tcPr>
            <w:tcW w:w="1434" w:type="dxa"/>
            <w:vAlign w:val="center"/>
          </w:tcPr>
          <w:p w14:paraId="416282F2">
            <w:pPr>
              <w:keepNext/>
              <w:spacing w:after="120" w:line="360" w:lineRule="auto"/>
              <w:ind w:left="63" w:right="63"/>
              <w:rPr>
                <w:rFonts w:ascii="宋体" w:hAnsi="宋体" w:cs="宋体"/>
                <w:color w:val="auto"/>
                <w:szCs w:val="21"/>
              </w:rPr>
            </w:pPr>
          </w:p>
        </w:tc>
        <w:tc>
          <w:tcPr>
            <w:tcW w:w="1433" w:type="dxa"/>
            <w:vAlign w:val="center"/>
          </w:tcPr>
          <w:p w14:paraId="6739D32C">
            <w:pPr>
              <w:keepNext/>
              <w:spacing w:after="120" w:line="360" w:lineRule="auto"/>
              <w:ind w:left="63" w:right="63"/>
              <w:rPr>
                <w:rFonts w:ascii="宋体" w:hAnsi="宋体" w:cs="宋体"/>
                <w:color w:val="auto"/>
                <w:szCs w:val="21"/>
              </w:rPr>
            </w:pPr>
          </w:p>
        </w:tc>
        <w:tc>
          <w:tcPr>
            <w:tcW w:w="3584" w:type="dxa"/>
            <w:vAlign w:val="center"/>
          </w:tcPr>
          <w:p w14:paraId="332514F8">
            <w:pPr>
              <w:keepNext/>
              <w:spacing w:after="120" w:line="360" w:lineRule="auto"/>
              <w:ind w:left="63" w:right="63"/>
              <w:rPr>
                <w:rFonts w:ascii="宋体" w:hAnsi="宋体" w:cs="宋体"/>
                <w:color w:val="auto"/>
                <w:szCs w:val="21"/>
              </w:rPr>
            </w:pPr>
          </w:p>
        </w:tc>
      </w:tr>
      <w:tr w14:paraId="5F6B1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1895" w:type="dxa"/>
            <w:tcBorders>
              <w:top w:val="single" w:color="auto" w:sz="6" w:space="0"/>
              <w:bottom w:val="single" w:color="auto" w:sz="6" w:space="0"/>
            </w:tcBorders>
            <w:vAlign w:val="center"/>
          </w:tcPr>
          <w:p w14:paraId="09651E41">
            <w:pPr>
              <w:keepNext/>
              <w:spacing w:after="120" w:line="360" w:lineRule="auto"/>
              <w:ind w:left="63" w:right="63"/>
              <w:rPr>
                <w:rFonts w:ascii="宋体" w:hAnsi="宋体" w:cs="宋体"/>
                <w:color w:val="auto"/>
                <w:szCs w:val="21"/>
              </w:rPr>
            </w:pPr>
          </w:p>
        </w:tc>
        <w:tc>
          <w:tcPr>
            <w:tcW w:w="1094" w:type="dxa"/>
            <w:vAlign w:val="center"/>
          </w:tcPr>
          <w:p w14:paraId="6B685CC6">
            <w:pPr>
              <w:keepNext/>
              <w:spacing w:after="120" w:line="360" w:lineRule="auto"/>
              <w:ind w:left="63" w:right="63"/>
              <w:rPr>
                <w:rFonts w:ascii="宋体" w:hAnsi="宋体" w:cs="宋体"/>
                <w:color w:val="auto"/>
                <w:szCs w:val="21"/>
              </w:rPr>
            </w:pPr>
          </w:p>
        </w:tc>
        <w:tc>
          <w:tcPr>
            <w:tcW w:w="1434" w:type="dxa"/>
            <w:vAlign w:val="center"/>
          </w:tcPr>
          <w:p w14:paraId="50DD0646">
            <w:pPr>
              <w:keepNext/>
              <w:spacing w:after="120" w:line="360" w:lineRule="auto"/>
              <w:ind w:left="63" w:right="63"/>
              <w:rPr>
                <w:rFonts w:ascii="宋体" w:hAnsi="宋体" w:cs="宋体"/>
                <w:color w:val="auto"/>
                <w:szCs w:val="21"/>
              </w:rPr>
            </w:pPr>
          </w:p>
        </w:tc>
        <w:tc>
          <w:tcPr>
            <w:tcW w:w="1433" w:type="dxa"/>
            <w:vAlign w:val="center"/>
          </w:tcPr>
          <w:p w14:paraId="30E17E07">
            <w:pPr>
              <w:keepNext/>
              <w:spacing w:after="120" w:line="360" w:lineRule="auto"/>
              <w:ind w:left="63" w:right="63"/>
              <w:rPr>
                <w:rFonts w:ascii="宋体" w:hAnsi="宋体" w:cs="宋体"/>
                <w:color w:val="auto"/>
                <w:szCs w:val="21"/>
              </w:rPr>
            </w:pPr>
          </w:p>
        </w:tc>
        <w:tc>
          <w:tcPr>
            <w:tcW w:w="3584" w:type="dxa"/>
            <w:vAlign w:val="center"/>
          </w:tcPr>
          <w:p w14:paraId="628290AA">
            <w:pPr>
              <w:keepNext/>
              <w:spacing w:after="120" w:line="360" w:lineRule="auto"/>
              <w:ind w:left="63" w:right="63"/>
              <w:rPr>
                <w:rFonts w:ascii="宋体" w:hAnsi="宋体" w:cs="宋体"/>
                <w:color w:val="auto"/>
                <w:szCs w:val="21"/>
              </w:rPr>
            </w:pPr>
          </w:p>
        </w:tc>
      </w:tr>
      <w:tr w14:paraId="3994A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1895" w:type="dxa"/>
            <w:tcBorders>
              <w:top w:val="single" w:color="auto" w:sz="6" w:space="0"/>
              <w:bottom w:val="single" w:color="auto" w:sz="6" w:space="0"/>
            </w:tcBorders>
            <w:vAlign w:val="center"/>
          </w:tcPr>
          <w:p w14:paraId="7C36021C">
            <w:pPr>
              <w:keepNext/>
              <w:spacing w:after="120" w:line="360" w:lineRule="auto"/>
              <w:ind w:left="63" w:right="63"/>
              <w:rPr>
                <w:rFonts w:ascii="宋体" w:hAnsi="宋体" w:cs="宋体"/>
                <w:color w:val="auto"/>
                <w:szCs w:val="21"/>
              </w:rPr>
            </w:pPr>
          </w:p>
        </w:tc>
        <w:tc>
          <w:tcPr>
            <w:tcW w:w="1094" w:type="dxa"/>
            <w:vAlign w:val="center"/>
          </w:tcPr>
          <w:p w14:paraId="314E1FFD">
            <w:pPr>
              <w:keepNext/>
              <w:spacing w:after="120" w:line="360" w:lineRule="auto"/>
              <w:ind w:left="63" w:right="63"/>
              <w:rPr>
                <w:rFonts w:ascii="宋体" w:hAnsi="宋体" w:cs="宋体"/>
                <w:color w:val="auto"/>
                <w:szCs w:val="21"/>
              </w:rPr>
            </w:pPr>
          </w:p>
        </w:tc>
        <w:tc>
          <w:tcPr>
            <w:tcW w:w="1434" w:type="dxa"/>
            <w:vAlign w:val="center"/>
          </w:tcPr>
          <w:p w14:paraId="3AB09D7E">
            <w:pPr>
              <w:keepNext/>
              <w:spacing w:after="120" w:line="360" w:lineRule="auto"/>
              <w:ind w:left="63" w:right="63"/>
              <w:rPr>
                <w:rFonts w:ascii="宋体" w:hAnsi="宋体" w:cs="宋体"/>
                <w:color w:val="auto"/>
                <w:szCs w:val="21"/>
              </w:rPr>
            </w:pPr>
          </w:p>
        </w:tc>
        <w:tc>
          <w:tcPr>
            <w:tcW w:w="1433" w:type="dxa"/>
            <w:vAlign w:val="center"/>
          </w:tcPr>
          <w:p w14:paraId="3064375B">
            <w:pPr>
              <w:keepNext/>
              <w:spacing w:after="120" w:line="360" w:lineRule="auto"/>
              <w:ind w:left="63" w:right="63"/>
              <w:rPr>
                <w:rFonts w:ascii="宋体" w:hAnsi="宋体" w:cs="宋体"/>
                <w:color w:val="auto"/>
                <w:szCs w:val="21"/>
              </w:rPr>
            </w:pPr>
          </w:p>
        </w:tc>
        <w:tc>
          <w:tcPr>
            <w:tcW w:w="3584" w:type="dxa"/>
            <w:vAlign w:val="center"/>
          </w:tcPr>
          <w:p w14:paraId="40D7FA1C">
            <w:pPr>
              <w:keepNext/>
              <w:spacing w:after="120" w:line="360" w:lineRule="auto"/>
              <w:ind w:left="63" w:right="63"/>
              <w:rPr>
                <w:rFonts w:ascii="宋体" w:hAnsi="宋体" w:cs="宋体"/>
                <w:color w:val="auto"/>
                <w:szCs w:val="21"/>
              </w:rPr>
            </w:pPr>
          </w:p>
        </w:tc>
      </w:tr>
      <w:tr w14:paraId="670E1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1895" w:type="dxa"/>
            <w:tcBorders>
              <w:top w:val="single" w:color="auto" w:sz="6" w:space="0"/>
              <w:bottom w:val="single" w:color="auto" w:sz="6" w:space="0"/>
            </w:tcBorders>
            <w:vAlign w:val="center"/>
          </w:tcPr>
          <w:p w14:paraId="4CA8F6F6">
            <w:pPr>
              <w:keepNext/>
              <w:spacing w:after="120" w:line="360" w:lineRule="auto"/>
              <w:ind w:left="63" w:right="63"/>
              <w:rPr>
                <w:rFonts w:ascii="宋体" w:hAnsi="宋体" w:cs="宋体"/>
                <w:color w:val="auto"/>
                <w:szCs w:val="21"/>
              </w:rPr>
            </w:pPr>
          </w:p>
        </w:tc>
        <w:tc>
          <w:tcPr>
            <w:tcW w:w="1094" w:type="dxa"/>
            <w:vAlign w:val="center"/>
          </w:tcPr>
          <w:p w14:paraId="55A23FA1">
            <w:pPr>
              <w:keepNext/>
              <w:spacing w:after="120" w:line="360" w:lineRule="auto"/>
              <w:ind w:left="63" w:right="63"/>
              <w:rPr>
                <w:rFonts w:ascii="宋体" w:hAnsi="宋体" w:cs="宋体"/>
                <w:color w:val="auto"/>
                <w:szCs w:val="21"/>
              </w:rPr>
            </w:pPr>
          </w:p>
        </w:tc>
        <w:tc>
          <w:tcPr>
            <w:tcW w:w="1434" w:type="dxa"/>
            <w:vAlign w:val="center"/>
          </w:tcPr>
          <w:p w14:paraId="4DF4720A">
            <w:pPr>
              <w:keepNext/>
              <w:spacing w:after="120" w:line="360" w:lineRule="auto"/>
              <w:ind w:left="63" w:right="63"/>
              <w:rPr>
                <w:rFonts w:ascii="宋体" w:hAnsi="宋体" w:cs="宋体"/>
                <w:color w:val="auto"/>
                <w:szCs w:val="21"/>
              </w:rPr>
            </w:pPr>
          </w:p>
        </w:tc>
        <w:tc>
          <w:tcPr>
            <w:tcW w:w="1433" w:type="dxa"/>
            <w:vAlign w:val="center"/>
          </w:tcPr>
          <w:p w14:paraId="66EAF21F">
            <w:pPr>
              <w:keepNext/>
              <w:spacing w:after="120" w:line="360" w:lineRule="auto"/>
              <w:ind w:left="63" w:right="63"/>
              <w:rPr>
                <w:rFonts w:ascii="宋体" w:hAnsi="宋体" w:cs="宋体"/>
                <w:color w:val="auto"/>
                <w:szCs w:val="21"/>
              </w:rPr>
            </w:pPr>
          </w:p>
        </w:tc>
        <w:tc>
          <w:tcPr>
            <w:tcW w:w="3584" w:type="dxa"/>
            <w:vAlign w:val="center"/>
          </w:tcPr>
          <w:p w14:paraId="59B7D780">
            <w:pPr>
              <w:keepNext/>
              <w:spacing w:after="120" w:line="360" w:lineRule="auto"/>
              <w:ind w:left="63" w:right="63"/>
              <w:rPr>
                <w:rFonts w:ascii="宋体" w:hAnsi="宋体" w:cs="宋体"/>
                <w:color w:val="auto"/>
                <w:szCs w:val="21"/>
              </w:rPr>
            </w:pPr>
          </w:p>
        </w:tc>
      </w:tr>
      <w:tr w14:paraId="648023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1895" w:type="dxa"/>
            <w:tcBorders>
              <w:top w:val="single" w:color="auto" w:sz="6" w:space="0"/>
              <w:bottom w:val="single" w:color="auto" w:sz="6" w:space="0"/>
            </w:tcBorders>
            <w:vAlign w:val="center"/>
          </w:tcPr>
          <w:p w14:paraId="17E75D03">
            <w:pPr>
              <w:keepNext/>
              <w:spacing w:after="120" w:line="360" w:lineRule="auto"/>
              <w:ind w:left="63" w:right="63"/>
              <w:rPr>
                <w:rFonts w:ascii="宋体" w:hAnsi="宋体" w:cs="宋体"/>
                <w:color w:val="auto"/>
                <w:szCs w:val="21"/>
              </w:rPr>
            </w:pPr>
          </w:p>
        </w:tc>
        <w:tc>
          <w:tcPr>
            <w:tcW w:w="1094" w:type="dxa"/>
            <w:vAlign w:val="center"/>
          </w:tcPr>
          <w:p w14:paraId="7306C486">
            <w:pPr>
              <w:keepNext/>
              <w:spacing w:after="120" w:line="360" w:lineRule="auto"/>
              <w:ind w:left="63" w:right="63"/>
              <w:rPr>
                <w:rFonts w:ascii="宋体" w:hAnsi="宋体" w:cs="宋体"/>
                <w:color w:val="auto"/>
                <w:szCs w:val="21"/>
              </w:rPr>
            </w:pPr>
          </w:p>
        </w:tc>
        <w:tc>
          <w:tcPr>
            <w:tcW w:w="1434" w:type="dxa"/>
            <w:vAlign w:val="center"/>
          </w:tcPr>
          <w:p w14:paraId="6FA1CD81">
            <w:pPr>
              <w:keepNext/>
              <w:spacing w:after="120" w:line="360" w:lineRule="auto"/>
              <w:ind w:left="63" w:right="63"/>
              <w:rPr>
                <w:rFonts w:ascii="宋体" w:hAnsi="宋体" w:cs="宋体"/>
                <w:color w:val="auto"/>
                <w:szCs w:val="21"/>
              </w:rPr>
            </w:pPr>
          </w:p>
        </w:tc>
        <w:tc>
          <w:tcPr>
            <w:tcW w:w="1433" w:type="dxa"/>
            <w:vAlign w:val="center"/>
          </w:tcPr>
          <w:p w14:paraId="110888FD">
            <w:pPr>
              <w:keepNext/>
              <w:spacing w:after="120" w:line="360" w:lineRule="auto"/>
              <w:ind w:left="63" w:right="63"/>
              <w:rPr>
                <w:rFonts w:ascii="宋体" w:hAnsi="宋体" w:cs="宋体"/>
                <w:color w:val="auto"/>
                <w:szCs w:val="21"/>
              </w:rPr>
            </w:pPr>
          </w:p>
        </w:tc>
        <w:tc>
          <w:tcPr>
            <w:tcW w:w="3584" w:type="dxa"/>
            <w:vAlign w:val="center"/>
          </w:tcPr>
          <w:p w14:paraId="4EF269BA">
            <w:pPr>
              <w:keepNext/>
              <w:spacing w:after="120" w:line="360" w:lineRule="auto"/>
              <w:ind w:left="63" w:right="63"/>
              <w:rPr>
                <w:rFonts w:ascii="宋体" w:hAnsi="宋体" w:cs="宋体"/>
                <w:color w:val="auto"/>
                <w:szCs w:val="21"/>
              </w:rPr>
            </w:pPr>
          </w:p>
        </w:tc>
      </w:tr>
    </w:tbl>
    <w:p w14:paraId="0A52F87F">
      <w:pPr>
        <w:spacing w:line="360" w:lineRule="auto"/>
        <w:rPr>
          <w:rFonts w:ascii="宋体" w:hAnsi="宋体" w:cs="宋体"/>
          <w:color w:val="auto"/>
          <w:szCs w:val="21"/>
        </w:rPr>
      </w:pPr>
    </w:p>
    <w:p w14:paraId="12773B2F">
      <w:pPr>
        <w:spacing w:line="360" w:lineRule="auto"/>
        <w:rPr>
          <w:rFonts w:ascii="宋体" w:hAnsi="宋体" w:cs="宋体"/>
          <w:b/>
          <w:color w:val="auto"/>
          <w:szCs w:val="21"/>
        </w:rPr>
      </w:pPr>
    </w:p>
    <w:p w14:paraId="581C2929">
      <w:pPr>
        <w:spacing w:line="360" w:lineRule="auto"/>
        <w:rPr>
          <w:rFonts w:ascii="宋体" w:hAnsi="宋体" w:cs="宋体"/>
          <w:b/>
          <w:color w:val="auto"/>
          <w:szCs w:val="21"/>
        </w:rPr>
      </w:pPr>
    </w:p>
    <w:p w14:paraId="6BB55374">
      <w:pPr>
        <w:spacing w:line="360" w:lineRule="auto"/>
        <w:rPr>
          <w:rFonts w:ascii="宋体" w:hAnsi="宋体" w:cs="宋体"/>
          <w:b/>
          <w:color w:val="auto"/>
          <w:szCs w:val="21"/>
        </w:rPr>
      </w:pPr>
    </w:p>
    <w:p w14:paraId="317A30BB">
      <w:pPr>
        <w:spacing w:line="360" w:lineRule="auto"/>
        <w:rPr>
          <w:rFonts w:ascii="宋体" w:hAnsi="宋体" w:cs="宋体"/>
          <w:b/>
          <w:color w:val="auto"/>
          <w:szCs w:val="21"/>
        </w:rPr>
        <w:sectPr>
          <w:pgSz w:w="11907" w:h="16840"/>
          <w:pgMar w:top="1304" w:right="1134" w:bottom="1134" w:left="1304" w:header="851" w:footer="851" w:gutter="0"/>
          <w:cols w:space="720" w:num="1"/>
          <w:docGrid w:linePitch="312" w:charSpace="0"/>
        </w:sectPr>
      </w:pPr>
    </w:p>
    <w:p w14:paraId="5EF85D03">
      <w:pPr>
        <w:spacing w:line="360" w:lineRule="auto"/>
        <w:rPr>
          <w:rFonts w:ascii="宋体" w:hAnsi="宋体" w:cs="宋体"/>
          <w:b/>
          <w:color w:val="auto"/>
          <w:szCs w:val="21"/>
        </w:rPr>
      </w:pPr>
    </w:p>
    <w:p w14:paraId="57DA864E">
      <w:pPr>
        <w:spacing w:line="360" w:lineRule="auto"/>
        <w:rPr>
          <w:rFonts w:ascii="宋体" w:hAnsi="宋体" w:cs="宋体"/>
          <w:color w:val="auto"/>
          <w:szCs w:val="21"/>
        </w:rPr>
      </w:pPr>
      <w:r>
        <w:rPr>
          <w:rFonts w:hint="eastAsia" w:ascii="宋体" w:hAnsi="宋体" w:cs="宋体"/>
          <w:b/>
          <w:bCs/>
          <w:color w:val="auto"/>
          <w:szCs w:val="21"/>
        </w:rPr>
        <w:t>附件3：</w:t>
      </w:r>
    </w:p>
    <w:p w14:paraId="7E5D860D">
      <w:pPr>
        <w:spacing w:line="360" w:lineRule="auto"/>
        <w:jc w:val="center"/>
        <w:rPr>
          <w:rFonts w:ascii="宋体" w:hAnsi="宋体" w:cs="宋体"/>
          <w:b/>
          <w:color w:val="auto"/>
          <w:szCs w:val="21"/>
        </w:rPr>
      </w:pPr>
      <w:r>
        <w:rPr>
          <w:rFonts w:hint="eastAsia" w:ascii="宋体" w:hAnsi="宋体" w:cs="宋体"/>
          <w:b/>
          <w:color w:val="auto"/>
          <w:szCs w:val="21"/>
        </w:rPr>
        <w:t>安全生产承诺书</w:t>
      </w:r>
    </w:p>
    <w:p w14:paraId="63FCB7F0">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根据《中华人民共和国安全生产法》、《中华人民共和国建筑法》、《建筑工程安全生产管理条例》和《建筑工程安全生产监督管理工作导则》及与</w:t>
      </w:r>
      <w:r>
        <w:rPr>
          <w:rFonts w:hint="eastAsia" w:ascii="宋体" w:hAnsi="宋体" w:cs="宋体"/>
          <w:color w:val="auto"/>
          <w:szCs w:val="21"/>
          <w:u w:val="single"/>
        </w:rPr>
        <w:t xml:space="preserve">         　</w:t>
      </w:r>
      <w:r>
        <w:rPr>
          <w:rFonts w:hint="eastAsia" w:ascii="宋体" w:hAnsi="宋体" w:cs="宋体"/>
          <w:color w:val="auto"/>
          <w:szCs w:val="21"/>
        </w:rPr>
        <w:t>签订的施工合同的相关约定，我公司将对工程中的安全生产实施全过程全方位的管理，加大检查力度，增加安全投入，消除各类安全隐患，认真履行以下安全生产管理责任：</w:t>
      </w:r>
    </w:p>
    <w:p w14:paraId="2F9F29CF">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1、严格按合同约定（符合国家相关规定）计取安全生产费，并保证此项经费专户核算、按施工进度使用，同时还自愿接受</w:t>
      </w:r>
      <w:r>
        <w:rPr>
          <w:rFonts w:hint="eastAsia" w:ascii="宋体" w:hAnsi="宋体" w:cs="宋体"/>
          <w:color w:val="auto"/>
          <w:szCs w:val="21"/>
          <w:u w:val="single"/>
        </w:rPr>
        <w:t xml:space="preserve">             　</w:t>
      </w:r>
      <w:r>
        <w:rPr>
          <w:rFonts w:hint="eastAsia" w:ascii="宋体" w:hAnsi="宋体" w:cs="宋体"/>
          <w:color w:val="auto"/>
          <w:szCs w:val="21"/>
        </w:rPr>
        <w:t>和监理单位对此项费用的使用进行监督。</w:t>
      </w:r>
    </w:p>
    <w:p w14:paraId="0E9A656C">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 建立安全生产责任制度和安全生产教育培训制度，制定安全生产规章制度、安全生产检查制度和操作规程，保证对该工程定期进行专项安全检查，并做好安全检查记录。现委托项目经理（注册证号：）对该工程项目的安全施工负责，落实安全生产责任制度、安全生产规章制度和操作规程，确保安全生产费用的有效使用，并根据工程的特点组织制定安全施工措施。消除安全事故隐患，及时、如实报告生产安全事故，并保证每周在施工现场履职时间按招投标合同中的要求执行。</w:t>
      </w:r>
    </w:p>
    <w:p w14:paraId="4172BBD1">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3、委派同志（证书编号： ）担任该工程的专职安全生产管理人员，负责对安全生产进行现场监督检查。发现安全事故隐患，应当及时向项目经理和安全生产管理机构报告；对违章指挥、违章操作的，应当立即制止，且保证其每周常驻现场不少于6天。电工、电焊工、塔吊司机、垂直运输机械作业人员、安装拆卸工、起重信号工、登高架设作业人员等特种作业人员持有特种作业操作资格证书，方允许其上岗作业。</w:t>
      </w:r>
    </w:p>
    <w:p w14:paraId="1DBD1171">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按照建设部“建质[2009]87号”规定，对施工过程中含有危险性较（重）大的分部（分项）工程，必须严格执行专项施工方案的编制、审核、审批程序，在施工时还应做好安全技术交底和检查验收工作。对危险性重大工程（重大危险源工程）的专项施工方案，还应组织不少于5人（本专业工程的高级工程师）的专家组对已编制的方案进行论证审查，且要有专家组作出书面论证的审查报告后，方可进行施工。</w:t>
      </w:r>
    </w:p>
    <w:p w14:paraId="5DF06FC4">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5、该工程施工前，我公司负责项目管理的技术人员对有关安全施工的技术要求向施工作业班组、作业人员作出详细说明，并由双方签字确认。对该工程施工现场的出入口处、施工起重机械、临时用电设施、脚手架、出入通道口、楼梯口、电梯井口、孔洞口、基坑边沿等危险部位，设置安全防护和明显的安全警示标志，安全警示标志的设置必须符合有关标准。</w:t>
      </w:r>
    </w:p>
    <w:p w14:paraId="2191CA5E">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6、施工现场的办公、生活区与作业区做到分开设置，并保持安全距离；办公区、生活区的选址必须符合相关安全性规定要求。职工的伙食、饮水和休息场所应当符合卫生标准。坚决杜绝在尚未竣工的建筑物内设置员工集体宿舍。施工现场临时搭建的建筑物和施工场地、道路及施工围墙的设置必须符合相关安全性规定要求。</w:t>
      </w:r>
    </w:p>
    <w:p w14:paraId="5139B1E4">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7、对因施工可能造成损害的毗邻建筑物、构筑物和地下管线等应当采取专项防护措施，并遵守环境保护有关的法律法规。在施工现场采取措施，防止或者减少粉尘、废气、废水、固体废物、噪声和施工照明对人和环境造成的危害和污染。在施工现场建立消防安全责任制度，确定消防安全责任人，制定用火、用电、使用易燃易爆材料等各项消防安全管理制度和操作规程，设置消防通道、储备消防水源、配备消防设施和器材，并在施工现场作业区设置明显标志。</w:t>
      </w:r>
    </w:p>
    <w:p w14:paraId="4207C707">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8、认真做好“三级”安全教育工作，作业人员进入新的岗位或者新的施工项目开工前，必须接受安全生产教育培训。未经教育培训或者教育培训考核不合格的人员不得上岗作业；同时要向作业人员提供必要的安全生产防护用具和用品，并告知危险岗位的操作规程和违章操作的危害。一旦在施工中发生危及人身安全的紧急情况时，立即停止作业，采取必要的应急措施或撤离危险区域。教育施工作业人员遵守安全施工的强制性标准、规章制度和操作规程，正确使用安全防护用具、机械设备等。在采用新技术、新工艺、新设备、新材料时，也要对作业人员进行相应的安全生产教育培训。</w:t>
      </w:r>
    </w:p>
    <w:p w14:paraId="6855DC75">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9、采购、租赁的安全防护用具、机械设备、施工机具及配件，应具有生产（制造）许可证、产品合格证，并在进入施工现场前进行查验。施工现场的安全防护用具、机械设备、施工机具及配件等由专人管理，定期进行检查、维修和保养，确保其性能指标处于良好的工作状态。</w:t>
      </w:r>
    </w:p>
    <w:p w14:paraId="70249A54">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10、所使用的各种施工起重机械和整体提升（自升式）脚手架、模板等危险性较大工程（设备）在安装、搭设、使用前，应组织有关单位对其安全性能进行验收，或委托具有相应资质的检验检测机构进行验收；使用承租的机械设备和施工机具及配件的，由施工总承包单位、分包单位、出租单位和安装单位共同进行安全性能验收。验收合格后方可使用，并按相关规定做好登记备案工作。</w:t>
      </w:r>
    </w:p>
    <w:p w14:paraId="1880FFD2">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11、认真抓好</w:t>
      </w:r>
      <w:r>
        <w:rPr>
          <w:rFonts w:hint="eastAsia" w:ascii="宋体" w:hAnsi="宋体" w:cs="宋体"/>
          <w:color w:val="auto"/>
          <w:szCs w:val="21"/>
          <w:u w:val="single"/>
        </w:rPr>
        <w:t xml:space="preserve">          　</w:t>
      </w:r>
      <w:r>
        <w:rPr>
          <w:rFonts w:hint="eastAsia" w:ascii="宋体" w:hAnsi="宋体" w:cs="宋体"/>
          <w:color w:val="auto"/>
          <w:szCs w:val="21"/>
        </w:rPr>
        <w:t>安全生产监督部门对该项工程存在事故隐患下达的限期安全整改通知单的整改、复查及回复工作，坚决做到令行禁止，不违法违规施工。</w:t>
      </w:r>
    </w:p>
    <w:p w14:paraId="2B3E8046">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12、扎实做好该项目部所有从业人员的维权工作，保证所有从业人员的工资按合同约定及时、足额发放。</w:t>
      </w:r>
    </w:p>
    <w:p w14:paraId="31F6BD53">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我代表公司承诺：严格执行上述内容及标准抓好该项工程的安全管理，随时接受</w:t>
      </w:r>
      <w:r>
        <w:rPr>
          <w:rFonts w:hint="eastAsia" w:ascii="宋体" w:hAnsi="宋体" w:cs="宋体"/>
          <w:color w:val="auto"/>
          <w:szCs w:val="21"/>
          <w:u w:val="single"/>
        </w:rPr>
        <w:t xml:space="preserve">     　</w:t>
      </w:r>
      <w:r>
        <w:rPr>
          <w:rFonts w:hint="eastAsia" w:ascii="宋体" w:hAnsi="宋体" w:cs="宋体"/>
          <w:color w:val="auto"/>
          <w:szCs w:val="21"/>
        </w:rPr>
        <w:t>安全生产监督部门的监督。如果违反相关法律法规的条款造成不良社会影响或者严重后果的，本公司自愿接受</w:t>
      </w:r>
      <w:r>
        <w:rPr>
          <w:rFonts w:hint="eastAsia" w:ascii="宋体" w:hAnsi="宋体" w:cs="宋体"/>
          <w:color w:val="auto"/>
          <w:szCs w:val="21"/>
          <w:u w:val="single"/>
        </w:rPr>
        <w:t xml:space="preserve">                　</w:t>
      </w:r>
      <w:r>
        <w:rPr>
          <w:rFonts w:hint="eastAsia" w:ascii="宋体" w:hAnsi="宋体" w:cs="宋体"/>
          <w:color w:val="auto"/>
          <w:szCs w:val="21"/>
        </w:rPr>
        <w:t>参照双方签订的施工合同中约定的相关条款实施的各项处罚。</w:t>
      </w:r>
    </w:p>
    <w:p w14:paraId="54AEF9F6">
      <w:pPr>
        <w:adjustRightInd w:val="0"/>
        <w:snapToGrid w:val="0"/>
        <w:spacing w:line="360" w:lineRule="auto"/>
        <w:ind w:firstLine="420" w:firstLineChars="200"/>
        <w:rPr>
          <w:rFonts w:ascii="宋体" w:hAnsi="宋体" w:cs="宋体"/>
          <w:color w:val="auto"/>
          <w:szCs w:val="21"/>
        </w:rPr>
      </w:pPr>
    </w:p>
    <w:p w14:paraId="658509C4">
      <w:pPr>
        <w:adjustRightInd w:val="0"/>
        <w:snapToGrid w:val="0"/>
        <w:spacing w:line="360" w:lineRule="auto"/>
        <w:ind w:firstLine="420" w:firstLineChars="200"/>
        <w:rPr>
          <w:rFonts w:ascii="宋体" w:hAnsi="宋体" w:cs="宋体"/>
          <w:color w:val="auto"/>
          <w:szCs w:val="21"/>
        </w:rPr>
      </w:pPr>
    </w:p>
    <w:p w14:paraId="4C00BE8D">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发包人：（盖章）                     承包人：（盖章）</w:t>
      </w:r>
    </w:p>
    <w:p w14:paraId="5D78790C">
      <w:pPr>
        <w:adjustRightInd w:val="0"/>
        <w:snapToGrid w:val="0"/>
        <w:spacing w:line="360" w:lineRule="auto"/>
        <w:ind w:firstLine="420" w:firstLineChars="200"/>
        <w:rPr>
          <w:rFonts w:ascii="宋体" w:hAnsi="宋体" w:cs="宋体"/>
          <w:color w:val="auto"/>
          <w:szCs w:val="21"/>
        </w:rPr>
      </w:pPr>
    </w:p>
    <w:p w14:paraId="1057A86A">
      <w:pPr>
        <w:adjustRightInd w:val="0"/>
        <w:snapToGrid w:val="0"/>
        <w:spacing w:line="360" w:lineRule="auto"/>
        <w:rPr>
          <w:rFonts w:ascii="宋体" w:hAnsi="宋体" w:cs="宋体"/>
          <w:color w:val="auto"/>
          <w:szCs w:val="21"/>
        </w:rPr>
      </w:pPr>
      <w:r>
        <w:rPr>
          <w:rFonts w:hint="eastAsia" w:ascii="宋体" w:hAnsi="宋体" w:cs="宋体"/>
          <w:color w:val="auto"/>
          <w:szCs w:val="21"/>
        </w:rPr>
        <w:t xml:space="preserve">   年    月      日                     年    月      日  </w:t>
      </w:r>
    </w:p>
    <w:p w14:paraId="7F67C919">
      <w:pPr>
        <w:adjustRightInd w:val="0"/>
        <w:snapToGrid w:val="0"/>
        <w:spacing w:line="360" w:lineRule="auto"/>
        <w:rPr>
          <w:rFonts w:ascii="宋体" w:hAnsi="宋体" w:cs="宋体"/>
          <w:color w:val="auto"/>
          <w:szCs w:val="21"/>
        </w:rPr>
      </w:pPr>
    </w:p>
    <w:p w14:paraId="1F49D917">
      <w:pPr>
        <w:spacing w:line="360" w:lineRule="auto"/>
        <w:rPr>
          <w:rFonts w:ascii="宋体" w:hAnsi="宋体" w:cs="宋体"/>
          <w:b/>
          <w:color w:val="auto"/>
          <w:szCs w:val="21"/>
        </w:rPr>
        <w:sectPr>
          <w:pgSz w:w="11907" w:h="16840"/>
          <w:pgMar w:top="1304" w:right="1134" w:bottom="1134" w:left="1304" w:header="851" w:footer="851" w:gutter="0"/>
          <w:cols w:space="720" w:num="1"/>
          <w:docGrid w:linePitch="312" w:charSpace="0"/>
        </w:sectPr>
      </w:pPr>
    </w:p>
    <w:p w14:paraId="6F504972">
      <w:pPr>
        <w:spacing w:line="360" w:lineRule="auto"/>
        <w:rPr>
          <w:rFonts w:ascii="宋体" w:hAnsi="宋体" w:cs="宋体"/>
          <w:b/>
          <w:color w:val="auto"/>
          <w:szCs w:val="21"/>
        </w:rPr>
      </w:pPr>
    </w:p>
    <w:p w14:paraId="72EB3355">
      <w:pPr>
        <w:spacing w:line="360" w:lineRule="auto"/>
        <w:rPr>
          <w:rFonts w:ascii="宋体" w:hAnsi="宋体" w:cs="宋体"/>
          <w:b/>
          <w:color w:val="auto"/>
          <w:szCs w:val="21"/>
        </w:rPr>
      </w:pPr>
      <w:r>
        <w:rPr>
          <w:rFonts w:hint="eastAsia" w:ascii="宋体" w:hAnsi="宋体" w:cs="宋体"/>
          <w:b/>
          <w:color w:val="auto"/>
          <w:szCs w:val="21"/>
        </w:rPr>
        <w:t>附件4：</w:t>
      </w:r>
    </w:p>
    <w:p w14:paraId="56E71425">
      <w:pPr>
        <w:spacing w:line="360" w:lineRule="auto"/>
        <w:jc w:val="center"/>
        <w:rPr>
          <w:rFonts w:ascii="宋体" w:hAnsi="宋体" w:cs="宋体"/>
          <w:color w:val="auto"/>
          <w:sz w:val="32"/>
          <w:szCs w:val="32"/>
        </w:rPr>
      </w:pPr>
      <w:r>
        <w:rPr>
          <w:rFonts w:hint="eastAsia" w:ascii="宋体" w:hAnsi="宋体" w:cs="宋体"/>
          <w:color w:val="auto"/>
          <w:sz w:val="32"/>
          <w:szCs w:val="32"/>
        </w:rPr>
        <w:t>工程建设项目廉政责任书</w:t>
      </w:r>
    </w:p>
    <w:p w14:paraId="4F24FF44">
      <w:pPr>
        <w:adjustRightInd w:val="0"/>
        <w:snapToGrid w:val="0"/>
        <w:spacing w:line="360" w:lineRule="auto"/>
        <w:rPr>
          <w:rFonts w:ascii="宋体" w:hAnsi="宋体" w:cs="宋体"/>
          <w:color w:val="auto"/>
          <w:szCs w:val="21"/>
        </w:rPr>
      </w:pPr>
      <w:r>
        <w:rPr>
          <w:rFonts w:hint="eastAsia" w:ascii="宋体" w:hAnsi="宋体" w:cs="宋体"/>
          <w:color w:val="auto"/>
          <w:szCs w:val="21"/>
        </w:rPr>
        <w:t>工程项目名称：</w:t>
      </w:r>
    </w:p>
    <w:p w14:paraId="653C9789">
      <w:pPr>
        <w:adjustRightInd w:val="0"/>
        <w:snapToGrid w:val="0"/>
        <w:spacing w:line="360" w:lineRule="auto"/>
        <w:rPr>
          <w:rFonts w:ascii="宋体" w:hAnsi="宋体" w:cs="宋体"/>
          <w:b/>
          <w:color w:val="auto"/>
          <w:szCs w:val="21"/>
        </w:rPr>
      </w:pPr>
      <w:r>
        <w:rPr>
          <w:rFonts w:hint="eastAsia" w:ascii="宋体" w:hAnsi="宋体" w:cs="宋体"/>
          <w:color w:val="auto"/>
          <w:szCs w:val="21"/>
        </w:rPr>
        <w:t>工程项目地址：</w:t>
      </w:r>
    </w:p>
    <w:p w14:paraId="5A74D9F4">
      <w:pPr>
        <w:adjustRightInd w:val="0"/>
        <w:snapToGrid w:val="0"/>
        <w:spacing w:line="360" w:lineRule="auto"/>
        <w:rPr>
          <w:rFonts w:ascii="宋体" w:hAnsi="宋体" w:cs="宋体"/>
          <w:color w:val="auto"/>
          <w:szCs w:val="21"/>
        </w:rPr>
      </w:pPr>
      <w:r>
        <w:rPr>
          <w:rFonts w:hint="eastAsia" w:ascii="宋体" w:hAnsi="宋体" w:cs="宋体"/>
          <w:color w:val="auto"/>
          <w:szCs w:val="21"/>
        </w:rPr>
        <w:t>建设单位（甲方）：</w:t>
      </w:r>
      <w:r>
        <w:rPr>
          <w:rFonts w:hint="eastAsia" w:ascii="宋体" w:hAnsi="宋体" w:cs="宋体"/>
          <w:color w:val="auto"/>
          <w:szCs w:val="21"/>
          <w:u w:val="single"/>
        </w:rPr>
        <w:t xml:space="preserve">                       　</w:t>
      </w:r>
    </w:p>
    <w:p w14:paraId="60302CA7">
      <w:pPr>
        <w:spacing w:line="360" w:lineRule="auto"/>
        <w:rPr>
          <w:rFonts w:ascii="宋体" w:hAnsi="宋体" w:cs="宋体"/>
          <w:color w:val="auto"/>
          <w:szCs w:val="21"/>
        </w:rPr>
      </w:pPr>
      <w:r>
        <w:rPr>
          <w:rFonts w:hint="eastAsia" w:ascii="宋体" w:hAnsi="宋体" w:cs="宋体"/>
          <w:color w:val="auto"/>
          <w:szCs w:val="21"/>
        </w:rPr>
        <w:t>施工单位（乙方）：</w:t>
      </w:r>
    </w:p>
    <w:p w14:paraId="0EA2BEA5">
      <w:pPr>
        <w:adjustRightInd w:val="0"/>
        <w:snapToGrid w:val="0"/>
        <w:spacing w:line="360" w:lineRule="auto"/>
        <w:ind w:firstLine="315" w:firstLineChars="150"/>
        <w:rPr>
          <w:rFonts w:ascii="宋体" w:hAnsi="宋体" w:cs="宋体"/>
          <w:color w:val="auto"/>
          <w:szCs w:val="21"/>
        </w:rPr>
      </w:pPr>
      <w:r>
        <w:rPr>
          <w:rFonts w:hint="eastAsia" w:ascii="宋体" w:hAnsi="宋体" w:cs="宋体"/>
          <w:color w:val="auto"/>
          <w:szCs w:val="21"/>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14:paraId="0F5DAFD7">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第一条  甲乙方双方的责任</w:t>
      </w:r>
    </w:p>
    <w:p w14:paraId="532CF622">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（一）应严格遵守国家关于市场准入、项目招标投标、工程建设、施工安装和市场活动等有关法律、法规、相关政策，以及廉政建设的各项规定。</w:t>
      </w:r>
    </w:p>
    <w:p w14:paraId="30BE4E43">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（二）严格执行建设工程项目承发包合同文件，自觉按合同办事。</w:t>
      </w:r>
    </w:p>
    <w:p w14:paraId="5480BD7A">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（三）业务活动必须坚持公开、公平、公正、诚信、透明的原则（除法律法规另有规定者外），不得为获取不正当的利益，损害国家、集体和对方利益，不得违反工程建设管理、施工安装的规章制度。</w:t>
      </w:r>
    </w:p>
    <w:p w14:paraId="630F0475">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（四）发现对方在业务活动中有违规、违纪、违法行为的，应及时提醒对方，情节严重的，应向其上级主管部门或纪检监察、司法等有关机关举报。</w:t>
      </w:r>
    </w:p>
    <w:p w14:paraId="26A06C2D">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第二条  甲方相关人员的责任</w:t>
      </w:r>
    </w:p>
    <w:p w14:paraId="0B9C35AD">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甲方的领导和从事该建设工程项目的工作人员，在工程建设的事前、事中、事后应遵守以下规定：</w:t>
      </w:r>
    </w:p>
    <w:p w14:paraId="32F85C1F">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（一）不准向乙方和相关单位索要或接受回扣、礼金、有价证券、贵重物品和好处费、感谢费等。</w:t>
      </w:r>
    </w:p>
    <w:p w14:paraId="7F752798">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（二）不准在乙方和相关单位报销任何应由甲方或个人支付的费用。</w:t>
      </w:r>
    </w:p>
    <w:p w14:paraId="35B6F38E">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（三）不准要求、暗示和接受乙方和相关单位为个人装修住房、婚丧嫁娶、配偶子女的工作安排以及出国（境）、旅游等提供方便。</w:t>
      </w:r>
    </w:p>
    <w:p w14:paraId="6C33C49D">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（四）不准参加有可能影响公正执行公务的乙方和相关单位的宴请和健身、娱乐等活动。</w:t>
      </w:r>
    </w:p>
    <w:p w14:paraId="4295E62F">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14:paraId="0446B480">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第三条  乙方相关人员的责任</w:t>
      </w:r>
    </w:p>
    <w:p w14:paraId="442993D1">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应与甲方保持正常的业务交往，按照有关法律法规和程序开展业务工作，严格执行工程建设的有关方针、政策，尤其是有关建筑施工安装的强制性标准和规范，并遵守以下规定：</w:t>
      </w:r>
    </w:p>
    <w:p w14:paraId="76BC5E42">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（一）不准以任何理由向甲方、相关单位及其工作人员索要、接受或赠送礼金、有价证券、贵重物品和回扣、好处费、感谢费等。</w:t>
      </w:r>
    </w:p>
    <w:p w14:paraId="3EAA062A">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（二）不准以任何理由为甲方和相关单位报销应由对方或个人支付的费用。</w:t>
      </w:r>
    </w:p>
    <w:p w14:paraId="355FDB18">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（三）不准接受或暗示为甲方、相关单位或个人装修住房、婚丧嫁娶、配偶子女的工作安排以及出国（境）、旅游等提供方便。</w:t>
      </w:r>
    </w:p>
    <w:p w14:paraId="26B76BCB">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（四）不准以任何理由为甲方、相关单位或个人组织有可能影响公正执行公务的宴请和健身、娱乐等活动。</w:t>
      </w:r>
    </w:p>
    <w:p w14:paraId="6AD8BDA5">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第四条  违约责任</w:t>
      </w:r>
    </w:p>
    <w:p w14:paraId="779554A1">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一）甲方工作人员有违反本责任书第一、二条责任行为的，按照管理权限，依据有关法律法规和规定给予党纪、政纪处分或组织处理；涉嫌犯罪的，移交司法机关追究刑事责任；给乙方单位造成经济损失的，应予赔偿。</w:t>
      </w:r>
    </w:p>
    <w:p w14:paraId="477E5519">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二）乙方工作人员有违反本责任书第一、三条责任行为的，按照管理权限，依据有关法律法规和规定给予党纪、政纪处分或组织处理；涉嫌犯罪的，移交司法机关追究刑事责任；给甲方单位造成经济损失的，应予赔偿。</w:t>
      </w:r>
    </w:p>
    <w:p w14:paraId="4C9841AA">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第五条  本责任书为工程施工合同的附件，与工程施工合同具有同等法律效力。经双方签署后立即生效。</w:t>
      </w:r>
    </w:p>
    <w:p w14:paraId="5507C1C8">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第六条  本责任书的有效期为双方签署之日起至该工程项目竣工验收合格时止。</w:t>
      </w:r>
    </w:p>
    <w:p w14:paraId="7B9C84B6">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第七条  本责任书份数与合同协议书一致。</w:t>
      </w:r>
    </w:p>
    <w:p w14:paraId="216AC0D3">
      <w:pPr>
        <w:adjustRightInd w:val="0"/>
        <w:snapToGrid w:val="0"/>
        <w:spacing w:line="360" w:lineRule="auto"/>
        <w:rPr>
          <w:rFonts w:ascii="宋体" w:hAnsi="宋体" w:cs="宋体"/>
          <w:color w:val="auto"/>
          <w:szCs w:val="21"/>
        </w:rPr>
      </w:pPr>
    </w:p>
    <w:tbl>
      <w:tblPr>
        <w:tblStyle w:val="45"/>
        <w:tblpPr w:leftFromText="180" w:rightFromText="180" w:vertAnchor="text" w:horzAnchor="page" w:tblpX="1393" w:tblpY="245"/>
        <w:tblOverlap w:val="never"/>
        <w:tblW w:w="0" w:type="auto"/>
        <w:tblInd w:w="0" w:type="dxa"/>
        <w:tblLayout w:type="fixed"/>
        <w:tblCellMar>
          <w:top w:w="0" w:type="dxa"/>
          <w:left w:w="0" w:type="dxa"/>
          <w:bottom w:w="0" w:type="dxa"/>
          <w:right w:w="0" w:type="dxa"/>
        </w:tblCellMar>
      </w:tblPr>
      <w:tblGrid>
        <w:gridCol w:w="4753"/>
        <w:gridCol w:w="4744"/>
      </w:tblGrid>
      <w:tr w14:paraId="0567A083">
        <w:tblPrEx>
          <w:tblCellMar>
            <w:top w:w="0" w:type="dxa"/>
            <w:left w:w="0" w:type="dxa"/>
            <w:bottom w:w="0" w:type="dxa"/>
            <w:right w:w="0" w:type="dxa"/>
          </w:tblCellMar>
        </w:tblPrEx>
        <w:trPr>
          <w:trHeight w:val="330" w:hRule="atLeast"/>
        </w:trPr>
        <w:tc>
          <w:tcPr>
            <w:tcW w:w="4753" w:type="dxa"/>
          </w:tcPr>
          <w:p w14:paraId="7D8B6E80">
            <w:pPr>
              <w:spacing w:line="360" w:lineRule="auto"/>
              <w:ind w:right="-11" w:firstLine="840" w:firstLineChars="400"/>
              <w:jc w:val="left"/>
              <w:rPr>
                <w:rFonts w:ascii="宋体" w:hAnsi="宋体" w:cs="宋体"/>
                <w:color w:val="auto"/>
                <w:kern w:val="0"/>
              </w:rPr>
            </w:pPr>
            <w:r>
              <w:rPr>
                <w:rFonts w:hint="eastAsia" w:ascii="宋体" w:hAnsi="宋体" w:cs="宋体"/>
                <w:color w:val="auto"/>
                <w:kern w:val="0"/>
              </w:rPr>
              <w:t>发 包 人（盖章）：</w:t>
            </w:r>
          </w:p>
        </w:tc>
        <w:tc>
          <w:tcPr>
            <w:tcW w:w="4744" w:type="dxa"/>
            <w:tcMar>
              <w:right w:w="0" w:type="dxa"/>
            </w:tcMar>
          </w:tcPr>
          <w:p w14:paraId="7C1035C1">
            <w:pPr>
              <w:spacing w:line="360" w:lineRule="auto"/>
              <w:ind w:right="-11"/>
              <w:jc w:val="left"/>
              <w:rPr>
                <w:rFonts w:ascii="宋体" w:hAnsi="宋体" w:cs="宋体"/>
                <w:color w:val="auto"/>
                <w:kern w:val="0"/>
              </w:rPr>
            </w:pPr>
            <w:r>
              <w:rPr>
                <w:rFonts w:hint="eastAsia" w:ascii="宋体" w:hAnsi="宋体" w:cs="宋体"/>
                <w:color w:val="auto"/>
                <w:kern w:val="0"/>
              </w:rPr>
              <w:t xml:space="preserve">   承 包 人（盖章）：</w:t>
            </w:r>
          </w:p>
          <w:p w14:paraId="62FDFBDC">
            <w:pPr>
              <w:spacing w:line="360" w:lineRule="auto"/>
              <w:ind w:right="-11" w:firstLine="1995" w:firstLineChars="950"/>
              <w:jc w:val="left"/>
              <w:rPr>
                <w:rFonts w:ascii="宋体" w:hAnsi="宋体" w:cs="宋体"/>
                <w:color w:val="auto"/>
                <w:kern w:val="0"/>
              </w:rPr>
            </w:pPr>
          </w:p>
        </w:tc>
      </w:tr>
      <w:tr w14:paraId="453C8F5E">
        <w:tblPrEx>
          <w:tblCellMar>
            <w:top w:w="0" w:type="dxa"/>
            <w:left w:w="0" w:type="dxa"/>
            <w:bottom w:w="0" w:type="dxa"/>
            <w:right w:w="0" w:type="dxa"/>
          </w:tblCellMar>
        </w:tblPrEx>
        <w:tc>
          <w:tcPr>
            <w:tcW w:w="4753" w:type="dxa"/>
          </w:tcPr>
          <w:p w14:paraId="3C04C5F3">
            <w:pPr>
              <w:spacing w:line="360" w:lineRule="auto"/>
              <w:ind w:right="-11" w:firstLine="840" w:firstLineChars="400"/>
              <w:jc w:val="left"/>
              <w:rPr>
                <w:rFonts w:ascii="宋体" w:hAnsi="宋体" w:cs="宋体"/>
                <w:color w:val="auto"/>
                <w:kern w:val="0"/>
              </w:rPr>
            </w:pPr>
            <w:r>
              <w:rPr>
                <w:rFonts w:hint="eastAsia" w:ascii="宋体" w:hAnsi="宋体" w:cs="宋体"/>
                <w:color w:val="auto"/>
                <w:kern w:val="0"/>
              </w:rPr>
              <w:t>法定代表人：</w:t>
            </w:r>
          </w:p>
          <w:p w14:paraId="775BAC80">
            <w:pPr>
              <w:spacing w:line="360" w:lineRule="auto"/>
              <w:ind w:right="-11" w:firstLine="735" w:firstLineChars="350"/>
              <w:jc w:val="left"/>
              <w:rPr>
                <w:rFonts w:ascii="宋体" w:hAnsi="宋体" w:cs="宋体"/>
                <w:color w:val="auto"/>
                <w:kern w:val="0"/>
              </w:rPr>
            </w:pPr>
            <w:r>
              <w:rPr>
                <w:rFonts w:hint="eastAsia" w:ascii="宋体" w:hAnsi="宋体" w:cs="宋体"/>
                <w:color w:val="auto"/>
                <w:kern w:val="0"/>
              </w:rPr>
              <w:t>（签字或盖章）</w:t>
            </w:r>
          </w:p>
        </w:tc>
        <w:tc>
          <w:tcPr>
            <w:tcW w:w="4744" w:type="dxa"/>
            <w:tcMar>
              <w:right w:w="0" w:type="dxa"/>
            </w:tcMar>
          </w:tcPr>
          <w:p w14:paraId="6F64F9E3">
            <w:pPr>
              <w:spacing w:line="360" w:lineRule="auto"/>
              <w:ind w:right="-11"/>
              <w:jc w:val="left"/>
              <w:rPr>
                <w:rFonts w:ascii="宋体" w:hAnsi="宋体" w:cs="宋体"/>
                <w:color w:val="auto"/>
                <w:kern w:val="0"/>
              </w:rPr>
            </w:pPr>
            <w:r>
              <w:rPr>
                <w:rFonts w:hint="eastAsia" w:ascii="宋体" w:hAnsi="宋体" w:cs="宋体"/>
                <w:color w:val="auto"/>
                <w:kern w:val="0"/>
              </w:rPr>
              <w:t xml:space="preserve">   法定代表人：</w:t>
            </w:r>
          </w:p>
          <w:p w14:paraId="7B2C5CB5">
            <w:pPr>
              <w:spacing w:line="360" w:lineRule="auto"/>
              <w:ind w:right="-11" w:firstLine="210" w:firstLineChars="100"/>
              <w:jc w:val="left"/>
              <w:rPr>
                <w:rFonts w:ascii="宋体" w:hAnsi="宋体" w:cs="宋体"/>
                <w:color w:val="auto"/>
                <w:kern w:val="0"/>
              </w:rPr>
            </w:pPr>
            <w:r>
              <w:rPr>
                <w:rFonts w:hint="eastAsia" w:ascii="宋体" w:hAnsi="宋体" w:cs="宋体"/>
                <w:color w:val="auto"/>
                <w:kern w:val="0"/>
              </w:rPr>
              <w:t>（签字或盖章）</w:t>
            </w:r>
          </w:p>
          <w:p w14:paraId="22CAEEBD">
            <w:pPr>
              <w:spacing w:line="360" w:lineRule="auto"/>
              <w:ind w:right="-11"/>
              <w:jc w:val="left"/>
              <w:rPr>
                <w:rFonts w:ascii="宋体" w:hAnsi="宋体" w:cs="宋体"/>
                <w:color w:val="auto"/>
                <w:kern w:val="0"/>
              </w:rPr>
            </w:pPr>
          </w:p>
        </w:tc>
      </w:tr>
    </w:tbl>
    <w:p w14:paraId="42BC9E06">
      <w:pPr>
        <w:spacing w:line="360" w:lineRule="auto"/>
        <w:rPr>
          <w:rFonts w:ascii="宋体" w:hAnsi="宋体" w:cs="宋体"/>
          <w:color w:val="auto"/>
          <w:szCs w:val="21"/>
        </w:rPr>
      </w:pPr>
    </w:p>
    <w:p w14:paraId="10C4C554">
      <w:pPr>
        <w:spacing w:line="360" w:lineRule="auto"/>
        <w:rPr>
          <w:rFonts w:ascii="宋体" w:hAnsi="宋体" w:cs="宋体"/>
          <w:color w:val="auto"/>
          <w:szCs w:val="21"/>
        </w:rPr>
      </w:pPr>
    </w:p>
    <w:p w14:paraId="28DDD8CC">
      <w:pPr>
        <w:spacing w:line="360" w:lineRule="auto"/>
        <w:rPr>
          <w:rFonts w:ascii="宋体" w:hAnsi="宋体" w:cs="宋体"/>
          <w:color w:val="auto"/>
          <w:szCs w:val="21"/>
        </w:rPr>
      </w:pPr>
    </w:p>
    <w:p w14:paraId="3A6F3005">
      <w:pPr>
        <w:spacing w:line="360" w:lineRule="auto"/>
        <w:rPr>
          <w:rFonts w:ascii="宋体" w:hAnsi="宋体" w:cs="宋体"/>
          <w:color w:val="auto"/>
          <w:szCs w:val="21"/>
        </w:rPr>
      </w:pPr>
    </w:p>
    <w:p w14:paraId="3F28D198">
      <w:pPr>
        <w:tabs>
          <w:tab w:val="left" w:pos="1080"/>
        </w:tabs>
        <w:spacing w:line="360" w:lineRule="auto"/>
        <w:rPr>
          <w:rFonts w:ascii="宋体" w:hAnsi="宋体"/>
          <w:b/>
          <w:color w:val="auto"/>
          <w:sz w:val="24"/>
        </w:rPr>
      </w:pPr>
    </w:p>
    <w:p w14:paraId="6FBE93C4">
      <w:pPr>
        <w:rPr>
          <w:rFonts w:ascii="宋体" w:hAnsi="宋体"/>
          <w:b/>
          <w:color w:val="auto"/>
          <w:sz w:val="32"/>
          <w:szCs w:val="32"/>
        </w:rPr>
      </w:pPr>
    </w:p>
    <w:p w14:paraId="47E0F459">
      <w:pPr>
        <w:rPr>
          <w:rFonts w:ascii="宋体" w:hAnsi="宋体"/>
          <w:b/>
          <w:color w:val="auto"/>
          <w:sz w:val="32"/>
          <w:szCs w:val="32"/>
        </w:rPr>
      </w:pPr>
      <w:r>
        <w:rPr>
          <w:rFonts w:ascii="宋体" w:hAnsi="宋体"/>
          <w:b/>
          <w:color w:val="auto"/>
          <w:sz w:val="32"/>
          <w:szCs w:val="32"/>
        </w:rPr>
        <w:br w:type="page"/>
      </w:r>
    </w:p>
    <w:p w14:paraId="3A4DCF56">
      <w:pPr>
        <w:pStyle w:val="2"/>
        <w:spacing w:line="500" w:lineRule="exact"/>
        <w:jc w:val="center"/>
        <w:rPr>
          <w:rFonts w:ascii="宋体" w:hAnsi="宋体" w:cs="宋体"/>
          <w:color w:val="auto"/>
          <w:sz w:val="32"/>
        </w:rPr>
      </w:pPr>
      <w:bookmarkStart w:id="242" w:name="_Toc25107"/>
      <w:r>
        <w:rPr>
          <w:rFonts w:hint="eastAsia" w:ascii="宋体" w:hAnsi="宋体" w:cs="宋体"/>
          <w:color w:val="auto"/>
          <w:sz w:val="32"/>
        </w:rPr>
        <w:t>第</w:t>
      </w:r>
      <w:r>
        <w:rPr>
          <w:rFonts w:hint="eastAsia" w:ascii="宋体" w:hAnsi="宋体" w:cs="宋体"/>
          <w:color w:val="auto"/>
          <w:sz w:val="32"/>
          <w:lang w:val="en-US" w:eastAsia="zh-CN"/>
        </w:rPr>
        <w:t>五</w:t>
      </w:r>
      <w:r>
        <w:rPr>
          <w:rFonts w:hint="eastAsia" w:ascii="宋体" w:hAnsi="宋体" w:cs="宋体"/>
          <w:color w:val="auto"/>
          <w:sz w:val="32"/>
        </w:rPr>
        <w:t>章  图纸</w:t>
      </w:r>
      <w:bookmarkEnd w:id="128"/>
      <w:bookmarkEnd w:id="242"/>
    </w:p>
    <w:p w14:paraId="31FACA4B">
      <w:pPr>
        <w:spacing w:line="312" w:lineRule="auto"/>
        <w:ind w:firstLine="3080" w:firstLineChars="1100"/>
        <w:jc w:val="left"/>
        <w:rPr>
          <w:bCs/>
          <w:color w:val="auto"/>
          <w:kern w:val="0"/>
          <w:sz w:val="28"/>
          <w:szCs w:val="28"/>
        </w:rPr>
      </w:pPr>
      <w:r>
        <w:rPr>
          <w:rFonts w:hint="eastAsia"/>
          <w:bCs/>
          <w:color w:val="auto"/>
          <w:kern w:val="0"/>
          <w:sz w:val="28"/>
          <w:szCs w:val="28"/>
        </w:rPr>
        <w:t>图纸详见本采购文件附件。</w:t>
      </w:r>
    </w:p>
    <w:p w14:paraId="6F88E2E1">
      <w:pPr>
        <w:rPr>
          <w:color w:val="auto"/>
        </w:rPr>
      </w:pPr>
    </w:p>
    <w:p w14:paraId="7E21E369">
      <w:pPr>
        <w:rPr>
          <w:color w:val="auto"/>
        </w:rPr>
      </w:pPr>
    </w:p>
    <w:p w14:paraId="0F8E2CD0">
      <w:pPr>
        <w:rPr>
          <w:color w:val="auto"/>
        </w:rPr>
      </w:pPr>
    </w:p>
    <w:p w14:paraId="28949009">
      <w:pPr>
        <w:rPr>
          <w:color w:val="auto"/>
        </w:rPr>
      </w:pPr>
    </w:p>
    <w:p w14:paraId="6EBFD154">
      <w:pPr>
        <w:pStyle w:val="2"/>
        <w:jc w:val="center"/>
        <w:rPr>
          <w:rFonts w:ascii="宋体" w:hAnsi="宋体"/>
          <w:color w:val="auto"/>
          <w:sz w:val="32"/>
          <w:szCs w:val="32"/>
        </w:rPr>
      </w:pPr>
      <w:bookmarkStart w:id="243" w:name="_Toc23421"/>
      <w:r>
        <w:rPr>
          <w:rFonts w:hint="eastAsia" w:ascii="宋体" w:hAnsi="宋体"/>
          <w:color w:val="auto"/>
          <w:sz w:val="32"/>
          <w:szCs w:val="32"/>
        </w:rPr>
        <w:t>第</w:t>
      </w:r>
      <w:r>
        <w:rPr>
          <w:rFonts w:hint="eastAsia" w:ascii="宋体" w:hAnsi="宋体"/>
          <w:color w:val="auto"/>
          <w:sz w:val="32"/>
          <w:szCs w:val="32"/>
          <w:lang w:val="en-US" w:eastAsia="zh-CN"/>
        </w:rPr>
        <w:t>六</w:t>
      </w:r>
      <w:r>
        <w:rPr>
          <w:rFonts w:hint="eastAsia" w:ascii="宋体" w:hAnsi="宋体"/>
          <w:color w:val="auto"/>
          <w:sz w:val="32"/>
          <w:szCs w:val="32"/>
        </w:rPr>
        <w:t>章  技术规范</w:t>
      </w:r>
      <w:bookmarkEnd w:id="243"/>
    </w:p>
    <w:p w14:paraId="1F9DD0EA">
      <w:pPr>
        <w:jc w:val="center"/>
        <w:rPr>
          <w:color w:val="auto"/>
        </w:rPr>
      </w:pPr>
      <w:r>
        <w:rPr>
          <w:rFonts w:hint="eastAsia" w:ascii="宋体" w:hAnsi="宋体" w:cs="宋体"/>
          <w:color w:val="auto"/>
          <w:sz w:val="28"/>
          <w:szCs w:val="28"/>
        </w:rPr>
        <w:t>按国家行业和地方现行标准、规范和规程等要求执行。</w:t>
      </w:r>
    </w:p>
    <w:p w14:paraId="57FAD7EE">
      <w:pPr>
        <w:rPr>
          <w:color w:val="auto"/>
        </w:rPr>
      </w:pPr>
    </w:p>
    <w:p w14:paraId="6D6FF7F7">
      <w:pPr>
        <w:pStyle w:val="2"/>
        <w:spacing w:line="276" w:lineRule="auto"/>
        <w:jc w:val="center"/>
        <w:rPr>
          <w:rFonts w:ascii="宋体" w:hAnsi="宋体"/>
          <w:color w:val="auto"/>
          <w:sz w:val="32"/>
          <w:szCs w:val="32"/>
        </w:rPr>
      </w:pPr>
      <w:bookmarkStart w:id="244" w:name="_Toc24361"/>
      <w:r>
        <w:rPr>
          <w:rFonts w:ascii="宋体" w:hAnsi="宋体"/>
          <w:color w:val="auto"/>
          <w:sz w:val="32"/>
          <w:szCs w:val="32"/>
        </w:rPr>
        <w:t>第</w:t>
      </w:r>
      <w:r>
        <w:rPr>
          <w:rFonts w:hint="eastAsia" w:ascii="宋体" w:hAnsi="宋体"/>
          <w:color w:val="auto"/>
          <w:sz w:val="32"/>
          <w:szCs w:val="32"/>
          <w:lang w:val="en-US" w:eastAsia="zh-CN"/>
        </w:rPr>
        <w:t>七</w:t>
      </w:r>
      <w:r>
        <w:rPr>
          <w:rFonts w:ascii="宋体" w:hAnsi="宋体"/>
          <w:color w:val="auto"/>
          <w:sz w:val="32"/>
          <w:szCs w:val="32"/>
        </w:rPr>
        <w:t>章工程量清单</w:t>
      </w:r>
      <w:bookmarkEnd w:id="244"/>
    </w:p>
    <w:p w14:paraId="342FA596">
      <w:pPr>
        <w:spacing w:line="312" w:lineRule="auto"/>
        <w:ind w:firstLine="562" w:firstLineChars="200"/>
        <w:jc w:val="left"/>
        <w:outlineLvl w:val="1"/>
        <w:rPr>
          <w:rFonts w:ascii="黑体" w:hAnsi="黑体" w:eastAsia="黑体" w:cs="Arial"/>
          <w:b/>
          <w:color w:val="auto"/>
          <w:kern w:val="0"/>
          <w:sz w:val="28"/>
          <w:szCs w:val="28"/>
        </w:rPr>
      </w:pPr>
      <w:r>
        <w:rPr>
          <w:rFonts w:ascii="黑体" w:hAnsi="黑体" w:eastAsia="黑体" w:cs="Arial"/>
          <w:b/>
          <w:color w:val="auto"/>
          <w:kern w:val="0"/>
          <w:sz w:val="28"/>
          <w:szCs w:val="28"/>
        </w:rPr>
        <w:t>工程量清单</w:t>
      </w:r>
    </w:p>
    <w:p w14:paraId="14D9E9BA">
      <w:pPr>
        <w:spacing w:line="312" w:lineRule="auto"/>
        <w:ind w:firstLine="422" w:firstLineChars="200"/>
        <w:jc w:val="left"/>
        <w:rPr>
          <w:b/>
          <w:bCs/>
          <w:color w:val="auto"/>
          <w:kern w:val="0"/>
          <w:szCs w:val="21"/>
        </w:rPr>
      </w:pPr>
      <w:r>
        <w:rPr>
          <w:rFonts w:hint="eastAsia"/>
          <w:b/>
          <w:bCs/>
          <w:color w:val="auto"/>
          <w:kern w:val="0"/>
          <w:szCs w:val="21"/>
        </w:rPr>
        <w:t>1</w:t>
      </w:r>
      <w:r>
        <w:rPr>
          <w:b/>
          <w:bCs/>
          <w:color w:val="auto"/>
          <w:kern w:val="0"/>
          <w:szCs w:val="21"/>
        </w:rPr>
        <w:t>.工程量清单说明</w:t>
      </w:r>
    </w:p>
    <w:p w14:paraId="3F3251BD">
      <w:pPr>
        <w:spacing w:line="360" w:lineRule="auto"/>
        <w:ind w:firstLine="420" w:firstLineChars="200"/>
        <w:rPr>
          <w:color w:val="auto"/>
        </w:rPr>
      </w:pPr>
      <w:r>
        <w:rPr>
          <w:color w:val="auto"/>
        </w:rPr>
        <w:t>1.1</w:t>
      </w:r>
      <w:r>
        <w:rPr>
          <w:rFonts w:hint="eastAsia" w:hAnsi="宋体" w:cs="宋体"/>
          <w:color w:val="auto"/>
        </w:rPr>
        <w:t>本工程量清单依据</w:t>
      </w:r>
      <w:r>
        <w:rPr>
          <w:rFonts w:hint="eastAsia" w:cs="宋体"/>
          <w:color w:val="auto"/>
        </w:rPr>
        <w:t>《建设工程工程量清单计价规范（</w:t>
      </w:r>
      <w:r>
        <w:rPr>
          <w:rFonts w:cs="宋体"/>
          <w:color w:val="auto"/>
        </w:rPr>
        <w:t>GB50500-2013</w:t>
      </w:r>
      <w:r>
        <w:rPr>
          <w:rFonts w:hint="eastAsia" w:cs="宋体"/>
          <w:color w:val="auto"/>
        </w:rPr>
        <w:t>）广西实施细则》（以下简称</w:t>
      </w:r>
      <w:r>
        <w:rPr>
          <w:rFonts w:cs="宋体"/>
          <w:color w:val="auto"/>
        </w:rPr>
        <w:t>“</w:t>
      </w:r>
      <w:r>
        <w:rPr>
          <w:rFonts w:hint="eastAsia" w:cs="宋体"/>
          <w:color w:val="auto"/>
        </w:rPr>
        <w:t>《计价规范》</w:t>
      </w:r>
      <w:r>
        <w:rPr>
          <w:rFonts w:cs="宋体"/>
          <w:color w:val="auto"/>
        </w:rPr>
        <w:t>”</w:t>
      </w:r>
      <w:r>
        <w:rPr>
          <w:rFonts w:hint="eastAsia" w:cs="宋体"/>
          <w:color w:val="auto"/>
        </w:rPr>
        <w:t>）、《工程量清单计算规范（</w:t>
      </w:r>
      <w:r>
        <w:rPr>
          <w:rFonts w:cs="宋体"/>
          <w:color w:val="auto"/>
        </w:rPr>
        <w:t>GB50854~50862-2013</w:t>
      </w:r>
      <w:r>
        <w:rPr>
          <w:rFonts w:hint="eastAsia" w:cs="宋体"/>
          <w:color w:val="auto"/>
        </w:rPr>
        <w:t>）》及广西实施细则（修订本）（以下简称</w:t>
      </w:r>
      <w:r>
        <w:rPr>
          <w:rFonts w:cs="宋体"/>
          <w:color w:val="auto"/>
        </w:rPr>
        <w:t>“</w:t>
      </w:r>
      <w:r>
        <w:rPr>
          <w:rFonts w:hint="eastAsia" w:cs="宋体"/>
          <w:color w:val="auto"/>
        </w:rPr>
        <w:t>《计算规范》</w:t>
      </w:r>
      <w:r>
        <w:rPr>
          <w:rFonts w:cs="宋体"/>
          <w:color w:val="auto"/>
        </w:rPr>
        <w:t>”</w:t>
      </w:r>
      <w:r>
        <w:rPr>
          <w:rFonts w:hint="eastAsia" w:cs="宋体"/>
          <w:color w:val="auto"/>
        </w:rPr>
        <w:t>）、《关于建筑业实施营业税改征增值税后广西壮族自治区建设工程计价依据调整的通知》（桂建标〔</w:t>
      </w:r>
      <w:r>
        <w:rPr>
          <w:rFonts w:cs="宋体"/>
          <w:color w:val="auto"/>
        </w:rPr>
        <w:t>2016</w:t>
      </w:r>
      <w:r>
        <w:rPr>
          <w:rFonts w:hint="eastAsia" w:cs="宋体"/>
          <w:color w:val="auto"/>
        </w:rPr>
        <w:t>〕</w:t>
      </w:r>
      <w:r>
        <w:rPr>
          <w:rFonts w:cs="宋体"/>
          <w:color w:val="auto"/>
        </w:rPr>
        <w:t>17</w:t>
      </w:r>
      <w:r>
        <w:rPr>
          <w:rFonts w:hint="eastAsia" w:cs="宋体"/>
          <w:color w:val="auto"/>
        </w:rPr>
        <w:t>号）</w:t>
      </w:r>
      <w:r>
        <w:rPr>
          <w:rFonts w:hint="eastAsia" w:hAnsi="宋体" w:cs="宋体"/>
          <w:color w:val="auto"/>
          <w:kern w:val="0"/>
        </w:rPr>
        <w:t>、招</w:t>
      </w:r>
      <w:r>
        <w:rPr>
          <w:rFonts w:hint="eastAsia" w:hAnsi="宋体" w:cs="宋体"/>
          <w:color w:val="auto"/>
        </w:rPr>
        <w:t>标文件、施工图等编制。计算规范中没有的清单项目，应在本章第</w:t>
      </w:r>
      <w:r>
        <w:rPr>
          <w:color w:val="auto"/>
        </w:rPr>
        <w:t>1.4</w:t>
      </w:r>
      <w:r>
        <w:rPr>
          <w:rFonts w:hint="eastAsia" w:hAnsi="宋体" w:cs="宋体"/>
          <w:color w:val="auto"/>
        </w:rPr>
        <w:t>款约定。</w:t>
      </w:r>
    </w:p>
    <w:p w14:paraId="1CBF6F51">
      <w:pPr>
        <w:spacing w:line="360" w:lineRule="auto"/>
        <w:ind w:firstLine="420" w:firstLineChars="200"/>
        <w:rPr>
          <w:color w:val="auto"/>
        </w:rPr>
      </w:pPr>
      <w:r>
        <w:rPr>
          <w:color w:val="auto"/>
        </w:rPr>
        <w:t xml:space="preserve">1.2 </w:t>
      </w:r>
      <w:r>
        <w:rPr>
          <w:rFonts w:hint="eastAsia"/>
          <w:color w:val="auto"/>
        </w:rPr>
        <w:t>工程量清单应与供应商须知、合同协议条款、合同的通用条款、合同专用条款、技术规范及图纸等文件一起结合使用。</w:t>
      </w:r>
    </w:p>
    <w:p w14:paraId="6270E5AE">
      <w:pPr>
        <w:spacing w:line="360" w:lineRule="auto"/>
        <w:ind w:firstLine="420" w:firstLineChars="200"/>
        <w:rPr>
          <w:color w:val="auto"/>
        </w:rPr>
      </w:pPr>
      <w:r>
        <w:rPr>
          <w:color w:val="auto"/>
        </w:rPr>
        <w:t xml:space="preserve">1.3 </w:t>
      </w:r>
      <w:r>
        <w:rPr>
          <w:rFonts w:hint="eastAsia" w:cs="宋体"/>
          <w:color w:val="auto"/>
        </w:rPr>
        <w:t>工程量清单是采购文件的组成部分，是工程量清单计价的基础，作为编制控制价、响应报价、计算或调整工程量、索赔等的依据之一。</w:t>
      </w:r>
    </w:p>
    <w:p w14:paraId="766F0937">
      <w:pPr>
        <w:spacing w:line="360" w:lineRule="auto"/>
        <w:ind w:firstLine="420" w:firstLineChars="200"/>
        <w:rPr>
          <w:color w:val="auto"/>
        </w:rPr>
      </w:pPr>
      <w:r>
        <w:rPr>
          <w:color w:val="auto"/>
        </w:rPr>
        <w:t xml:space="preserve">1.4 </w:t>
      </w:r>
      <w:r>
        <w:rPr>
          <w:rFonts w:hint="eastAsia" w:cs="宋体"/>
          <w:color w:val="auto"/>
        </w:rPr>
        <w:t>补充清单项目的特征、计量单位、工程量计算规则及工作内容说明如下：</w:t>
      </w:r>
    </w:p>
    <w:p w14:paraId="63375AFD">
      <w:pPr>
        <w:spacing w:line="360" w:lineRule="auto"/>
        <w:ind w:left="2"/>
        <w:rPr>
          <w:color w:val="auto"/>
        </w:rPr>
      </w:pPr>
      <w:r>
        <w:rPr>
          <w:color w:val="auto"/>
        </w:rPr>
        <w:t xml:space="preserve">   </w:t>
      </w:r>
      <w:r>
        <w:rPr>
          <w:color w:val="auto"/>
          <w:u w:val="single"/>
        </w:rPr>
        <w:t xml:space="preserve">                                                                                                                                                               </w:t>
      </w:r>
      <w:r>
        <w:rPr>
          <w:rFonts w:hint="eastAsia" w:hAnsi="宋体" w:cs="宋体"/>
          <w:color w:val="auto"/>
        </w:rPr>
        <w:t>。</w:t>
      </w:r>
    </w:p>
    <w:p w14:paraId="10CB1180">
      <w:pPr>
        <w:pStyle w:val="24"/>
        <w:spacing w:line="360" w:lineRule="auto"/>
        <w:ind w:firstLine="420" w:firstLineChars="200"/>
        <w:rPr>
          <w:rFonts w:ascii="Times New Roman" w:hAnsi="Times New Roman"/>
          <w:color w:val="auto"/>
        </w:rPr>
      </w:pPr>
      <w:r>
        <w:rPr>
          <w:rFonts w:ascii="Times New Roman" w:hAnsi="Times New Roman"/>
          <w:color w:val="auto"/>
        </w:rPr>
        <w:t xml:space="preserve">1.5 </w:t>
      </w:r>
      <w:r>
        <w:rPr>
          <w:rFonts w:hint="eastAsia" w:ascii="Times New Roman" w:hAnsi="Times New Roman"/>
          <w:color w:val="auto"/>
        </w:rPr>
        <w:t>《允许调整主要材料和工程设备一览表》（表</w:t>
      </w:r>
      <w:r>
        <w:rPr>
          <w:rFonts w:ascii="Times New Roman" w:hAnsi="Times New Roman"/>
          <w:color w:val="auto"/>
        </w:rPr>
        <w:t>-22</w:t>
      </w:r>
      <w:r>
        <w:rPr>
          <w:rFonts w:hint="eastAsia" w:ascii="Times New Roman" w:hAnsi="Times New Roman"/>
          <w:color w:val="auto"/>
        </w:rPr>
        <w:t>，表格编号为计价规范相应表格编号，下同）作为项目实施过程中材料和设备价格风险调整依据。</w:t>
      </w:r>
    </w:p>
    <w:p w14:paraId="3FE0C848">
      <w:pPr>
        <w:pStyle w:val="24"/>
        <w:spacing w:line="360" w:lineRule="auto"/>
        <w:ind w:firstLine="420" w:firstLineChars="200"/>
        <w:rPr>
          <w:rFonts w:ascii="Times New Roman" w:hAnsi="Times New Roman"/>
          <w:color w:val="auto"/>
        </w:rPr>
      </w:pPr>
      <w:r>
        <w:rPr>
          <w:rFonts w:ascii="Times New Roman" w:hAnsi="Times New Roman"/>
          <w:color w:val="auto"/>
        </w:rPr>
        <w:t xml:space="preserve">1.6 </w:t>
      </w:r>
      <w:r>
        <w:rPr>
          <w:rFonts w:hint="eastAsia" w:ascii="Times New Roman" w:hAnsi="Times New Roman"/>
          <w:color w:val="auto"/>
        </w:rPr>
        <w:t>本工程暂列金额（约按合同造价</w:t>
      </w:r>
      <w:r>
        <w:rPr>
          <w:rFonts w:ascii="Times New Roman" w:hAnsi="Times New Roman"/>
          <w:color w:val="auto"/>
          <w:u w:val="single"/>
        </w:rPr>
        <w:t xml:space="preserve">        </w:t>
      </w:r>
      <w:r>
        <w:rPr>
          <w:rFonts w:ascii="Times New Roman" w:hAnsi="Times New Roman"/>
          <w:color w:val="auto"/>
        </w:rPr>
        <w:t>%</w:t>
      </w:r>
      <w:r>
        <w:rPr>
          <w:rFonts w:hint="eastAsia" w:ascii="Times New Roman" w:hAnsi="Times New Roman"/>
          <w:color w:val="auto"/>
        </w:rPr>
        <w:t>计算），共</w:t>
      </w:r>
      <w:r>
        <w:rPr>
          <w:rFonts w:ascii="Times New Roman" w:hAnsi="Times New Roman"/>
          <w:color w:val="auto"/>
          <w:u w:val="single"/>
        </w:rPr>
        <w:t xml:space="preserve">        </w:t>
      </w:r>
      <w:r>
        <w:rPr>
          <w:rFonts w:hint="eastAsia" w:ascii="Times New Roman" w:hAnsi="Times New Roman"/>
          <w:color w:val="auto"/>
        </w:rPr>
        <w:t>元，作为合同签订时尚未确定或者不可预见但施工中可能发生的费用。</w:t>
      </w:r>
    </w:p>
    <w:p w14:paraId="4FA45ABE">
      <w:pPr>
        <w:pStyle w:val="24"/>
        <w:spacing w:line="360" w:lineRule="auto"/>
        <w:ind w:firstLine="420" w:firstLineChars="200"/>
        <w:rPr>
          <w:rFonts w:ascii="Times New Roman" w:hAnsi="Times New Roman"/>
          <w:color w:val="auto"/>
        </w:rPr>
      </w:pPr>
      <w:r>
        <w:rPr>
          <w:rFonts w:ascii="Times New Roman" w:hAnsi="Times New Roman"/>
          <w:color w:val="auto"/>
        </w:rPr>
        <w:t xml:space="preserve">1.7 </w:t>
      </w:r>
      <w:r>
        <w:rPr>
          <w:rFonts w:hint="eastAsia" w:ascii="Times New Roman" w:hAnsi="Times New Roman"/>
          <w:color w:val="auto"/>
        </w:rPr>
        <w:t>本工程发包人提供的材料和设备详见《发包人提供的主要材料和工程设备一览表》（表</w:t>
      </w:r>
      <w:r>
        <w:rPr>
          <w:rFonts w:ascii="Times New Roman" w:hAnsi="Times New Roman"/>
          <w:color w:val="auto"/>
        </w:rPr>
        <w:t>-21</w:t>
      </w:r>
      <w:r>
        <w:rPr>
          <w:rFonts w:hint="eastAsia" w:ascii="Times New Roman" w:hAnsi="Times New Roman"/>
          <w:color w:val="auto"/>
        </w:rPr>
        <w:t>）。</w:t>
      </w:r>
    </w:p>
    <w:p w14:paraId="54A8E76D">
      <w:pPr>
        <w:spacing w:line="360" w:lineRule="auto"/>
        <w:ind w:firstLine="420" w:firstLineChars="200"/>
        <w:rPr>
          <w:color w:val="auto"/>
        </w:rPr>
      </w:pPr>
      <w:r>
        <w:rPr>
          <w:color w:val="auto"/>
        </w:rPr>
        <w:t xml:space="preserve">1.8 </w:t>
      </w:r>
      <w:r>
        <w:rPr>
          <w:rFonts w:hint="eastAsia" w:cs="宋体"/>
          <w:color w:val="auto"/>
        </w:rPr>
        <w:t>本工程部分材料和设备在招标时作为暂估价计列，结算按实调整，具体内容详见《材料（工程设备）暂估单价及调整表》（表</w:t>
      </w:r>
      <w:r>
        <w:rPr>
          <w:color w:val="auto"/>
        </w:rPr>
        <w:t>12-2</w:t>
      </w:r>
      <w:r>
        <w:rPr>
          <w:rFonts w:hint="eastAsia" w:cs="宋体"/>
          <w:color w:val="auto"/>
        </w:rPr>
        <w:t>）。</w:t>
      </w:r>
    </w:p>
    <w:p w14:paraId="11BE22B7">
      <w:pPr>
        <w:spacing w:line="360" w:lineRule="auto"/>
        <w:ind w:firstLine="420" w:firstLineChars="200"/>
        <w:rPr>
          <w:color w:val="auto"/>
        </w:rPr>
      </w:pPr>
      <w:r>
        <w:rPr>
          <w:color w:val="auto"/>
        </w:rPr>
        <w:t xml:space="preserve">1.9 </w:t>
      </w:r>
      <w:r>
        <w:rPr>
          <w:rFonts w:hint="eastAsia" w:cs="宋体"/>
          <w:color w:val="auto"/>
        </w:rPr>
        <w:t>招标时暂估专业工程的价款属于暂估价，结算按实调整，具体内容详见《专业工程暂估价及结算价表》（表</w:t>
      </w:r>
      <w:r>
        <w:rPr>
          <w:color w:val="auto"/>
        </w:rPr>
        <w:t>12-3</w:t>
      </w:r>
      <w:r>
        <w:rPr>
          <w:rFonts w:hint="eastAsia" w:cs="宋体"/>
          <w:color w:val="auto"/>
        </w:rPr>
        <w:t>）。</w:t>
      </w:r>
    </w:p>
    <w:p w14:paraId="7784AC1B">
      <w:pPr>
        <w:spacing w:line="360" w:lineRule="auto"/>
        <w:ind w:firstLine="420" w:firstLineChars="200"/>
        <w:rPr>
          <w:color w:val="auto"/>
        </w:rPr>
      </w:pPr>
      <w:r>
        <w:rPr>
          <w:color w:val="auto"/>
        </w:rPr>
        <w:t xml:space="preserve">1.10 </w:t>
      </w:r>
      <w:r>
        <w:rPr>
          <w:rFonts w:hint="eastAsia" w:cs="宋体"/>
          <w:color w:val="auto"/>
        </w:rPr>
        <w:t>本工程量清单编码处标注</w:t>
      </w:r>
      <w:r>
        <w:rPr>
          <w:color w:val="auto"/>
        </w:rPr>
        <w:t>“*”</w:t>
      </w:r>
      <w:r>
        <w:rPr>
          <w:rFonts w:hint="eastAsia" w:cs="宋体"/>
          <w:color w:val="auto"/>
        </w:rPr>
        <w:t>号的清单项目作为主要清单项目，需要投标人提供</w:t>
      </w:r>
      <w:r>
        <w:rPr>
          <w:rFonts w:hint="eastAsia" w:hAnsi="宋体" w:cs="宋体"/>
          <w:color w:val="auto"/>
        </w:rPr>
        <w:t>《主要清单项目工料机分析表》（表</w:t>
      </w:r>
      <w:r>
        <w:rPr>
          <w:color w:val="auto"/>
        </w:rPr>
        <w:t>-10</w:t>
      </w:r>
      <w:r>
        <w:rPr>
          <w:rFonts w:hint="eastAsia" w:hAnsi="宋体" w:cs="宋体"/>
          <w:color w:val="auto"/>
        </w:rPr>
        <w:t>）</w:t>
      </w:r>
      <w:r>
        <w:rPr>
          <w:rFonts w:hint="eastAsia" w:cs="宋体"/>
          <w:color w:val="auto"/>
        </w:rPr>
        <w:t>。</w:t>
      </w:r>
    </w:p>
    <w:p w14:paraId="659AFF91">
      <w:pPr>
        <w:spacing w:line="360" w:lineRule="auto"/>
        <w:ind w:firstLine="420" w:firstLineChars="200"/>
        <w:rPr>
          <w:color w:val="auto"/>
          <w:u w:val="single"/>
        </w:rPr>
      </w:pPr>
      <w:r>
        <w:rPr>
          <w:color w:val="auto"/>
        </w:rPr>
        <w:t xml:space="preserve">1.11 </w:t>
      </w:r>
      <w:r>
        <w:rPr>
          <w:rFonts w:hint="eastAsia" w:cs="宋体"/>
          <w:color w:val="auto"/>
        </w:rPr>
        <w:t>其它需要说明的问题：</w:t>
      </w:r>
      <w:r>
        <w:rPr>
          <w:color w:val="auto"/>
          <w:u w:val="single"/>
        </w:rPr>
        <w:t xml:space="preserve">                                                       </w:t>
      </w:r>
    </w:p>
    <w:p w14:paraId="5A87DEE5">
      <w:pPr>
        <w:spacing w:line="360" w:lineRule="auto"/>
        <w:rPr>
          <w:color w:val="auto"/>
        </w:rPr>
      </w:pPr>
      <w:r>
        <w:rPr>
          <w:color w:val="auto"/>
          <w:u w:val="single"/>
        </w:rPr>
        <w:t xml:space="preserve">                                                                                 </w:t>
      </w:r>
      <w:r>
        <w:rPr>
          <w:rFonts w:hint="eastAsia" w:cs="宋体"/>
          <w:color w:val="auto"/>
        </w:rPr>
        <w:t>。</w:t>
      </w:r>
    </w:p>
    <w:p w14:paraId="0CEB8EA8">
      <w:pPr>
        <w:spacing w:line="312" w:lineRule="auto"/>
        <w:ind w:firstLine="422" w:firstLineChars="200"/>
        <w:jc w:val="left"/>
        <w:rPr>
          <w:b/>
          <w:bCs/>
          <w:color w:val="auto"/>
          <w:kern w:val="0"/>
          <w:szCs w:val="21"/>
        </w:rPr>
      </w:pPr>
      <w:r>
        <w:rPr>
          <w:rFonts w:hint="eastAsia"/>
          <w:b/>
          <w:bCs/>
          <w:color w:val="auto"/>
          <w:kern w:val="0"/>
          <w:szCs w:val="21"/>
        </w:rPr>
        <w:t>2</w:t>
      </w:r>
      <w:r>
        <w:rPr>
          <w:b/>
          <w:bCs/>
          <w:color w:val="auto"/>
          <w:kern w:val="0"/>
          <w:szCs w:val="21"/>
        </w:rPr>
        <w:t>.本工程预算金额评审依据</w:t>
      </w:r>
    </w:p>
    <w:p w14:paraId="4E7AC8B8">
      <w:pPr>
        <w:spacing w:line="360" w:lineRule="auto"/>
        <w:ind w:firstLine="420" w:firstLineChars="200"/>
        <w:rPr>
          <w:rFonts w:hint="eastAsia"/>
          <w:color w:val="auto"/>
        </w:rPr>
      </w:pPr>
      <w:r>
        <w:rPr>
          <w:color w:val="auto"/>
        </w:rPr>
        <w:t>2.1</w:t>
      </w:r>
      <w:r>
        <w:rPr>
          <w:rFonts w:hint="eastAsia" w:hAnsi="宋体" w:cs="宋体"/>
          <w:color w:val="auto"/>
        </w:rPr>
        <w:t>编制依据：</w:t>
      </w:r>
    </w:p>
    <w:p w14:paraId="3086630C">
      <w:pPr>
        <w:spacing w:line="360" w:lineRule="auto"/>
        <w:ind w:firstLine="420" w:firstLineChars="200"/>
        <w:rPr>
          <w:rFonts w:hAnsi="宋体"/>
          <w:color w:val="auto"/>
        </w:rPr>
      </w:pPr>
      <w:r>
        <w:rPr>
          <w:rFonts w:hint="eastAsia" w:cs="宋体"/>
          <w:color w:val="auto"/>
        </w:rPr>
        <w:t>（</w:t>
      </w:r>
      <w:r>
        <w:rPr>
          <w:color w:val="auto"/>
        </w:rPr>
        <w:t>1</w:t>
      </w:r>
      <w:r>
        <w:rPr>
          <w:rFonts w:hint="eastAsia" w:cs="宋体"/>
          <w:color w:val="auto"/>
        </w:rPr>
        <w:t>）</w:t>
      </w:r>
      <w:r>
        <w:rPr>
          <w:rFonts w:hint="eastAsia" w:hAnsi="宋体" w:cs="宋体"/>
          <w:color w:val="auto"/>
        </w:rPr>
        <w:t>《计价规范》及《计算规范》、</w:t>
      </w:r>
      <w:r>
        <w:rPr>
          <w:rFonts w:hint="eastAsia" w:hAnsi="宋体" w:cs="宋体"/>
          <w:color w:val="auto"/>
          <w:kern w:val="0"/>
        </w:rPr>
        <w:t>《关于建筑业实施营业税改征增值税后广西壮族自治区建设工程计价依据调整的通知》（桂建标〔</w:t>
      </w:r>
      <w:r>
        <w:rPr>
          <w:rFonts w:hAnsi="宋体"/>
          <w:color w:val="auto"/>
          <w:kern w:val="0"/>
        </w:rPr>
        <w:t>2016</w:t>
      </w:r>
      <w:r>
        <w:rPr>
          <w:rFonts w:hint="eastAsia" w:hAnsi="宋体" w:cs="宋体"/>
          <w:color w:val="auto"/>
          <w:kern w:val="0"/>
        </w:rPr>
        <w:t>〕</w:t>
      </w:r>
      <w:r>
        <w:rPr>
          <w:rFonts w:hAnsi="宋体"/>
          <w:color w:val="auto"/>
          <w:kern w:val="0"/>
        </w:rPr>
        <w:t>17</w:t>
      </w:r>
      <w:r>
        <w:rPr>
          <w:rFonts w:hint="eastAsia" w:hAnsi="宋体" w:cs="宋体"/>
          <w:color w:val="auto"/>
          <w:kern w:val="0"/>
        </w:rPr>
        <w:t>号）等</w:t>
      </w:r>
      <w:r>
        <w:rPr>
          <w:rFonts w:hint="eastAsia" w:hAnsi="宋体" w:cs="宋体"/>
          <w:color w:val="auto"/>
        </w:rPr>
        <w:t>；</w:t>
      </w:r>
    </w:p>
    <w:p w14:paraId="2C714967">
      <w:pPr>
        <w:spacing w:line="360" w:lineRule="auto"/>
        <w:ind w:firstLine="420" w:firstLineChars="200"/>
        <w:rPr>
          <w:color w:val="auto"/>
          <w:u w:val="single"/>
        </w:rPr>
      </w:pPr>
      <w:r>
        <w:rPr>
          <w:rFonts w:hint="eastAsia" w:cs="宋体"/>
          <w:color w:val="auto"/>
        </w:rPr>
        <w:t>（</w:t>
      </w:r>
      <w:r>
        <w:rPr>
          <w:color w:val="auto"/>
        </w:rPr>
        <w:t>2</w:t>
      </w:r>
      <w:r>
        <w:rPr>
          <w:rFonts w:hint="eastAsia" w:cs="宋体"/>
          <w:color w:val="auto"/>
        </w:rPr>
        <w:t>）自治区住房城乡建设行政主管部门颁发的计价定额及有关规定：</w:t>
      </w:r>
      <w:r>
        <w:rPr>
          <w:color w:val="auto"/>
          <w:u w:val="single"/>
        </w:rPr>
        <w:t xml:space="preserve">                  </w:t>
      </w:r>
    </w:p>
    <w:p w14:paraId="47D2D7BF">
      <w:pPr>
        <w:spacing w:line="360" w:lineRule="auto"/>
        <w:rPr>
          <w:color w:val="auto"/>
        </w:rPr>
      </w:pPr>
      <w:r>
        <w:rPr>
          <w:color w:val="auto"/>
          <w:u w:val="single"/>
        </w:rPr>
        <w:t xml:space="preserve">                                                                            </w:t>
      </w:r>
      <w:r>
        <w:rPr>
          <w:rFonts w:hint="eastAsia" w:cs="宋体"/>
          <w:color w:val="auto"/>
        </w:rPr>
        <w:t>。</w:t>
      </w:r>
    </w:p>
    <w:p w14:paraId="2029B983">
      <w:pPr>
        <w:spacing w:line="360" w:lineRule="auto"/>
        <w:ind w:firstLine="420" w:firstLineChars="200"/>
        <w:rPr>
          <w:color w:val="auto"/>
        </w:rPr>
      </w:pPr>
      <w:r>
        <w:rPr>
          <w:rFonts w:hint="eastAsia" w:cs="宋体"/>
          <w:color w:val="auto"/>
        </w:rPr>
        <w:t>（</w:t>
      </w:r>
      <w:r>
        <w:rPr>
          <w:color w:val="auto"/>
        </w:rPr>
        <w:t>3</w:t>
      </w:r>
      <w:r>
        <w:rPr>
          <w:rFonts w:hint="eastAsia" w:cs="宋体"/>
          <w:color w:val="auto"/>
        </w:rPr>
        <w:t>）建设工程设计文件及相关资料：</w:t>
      </w:r>
      <w:r>
        <w:rPr>
          <w:color w:val="auto"/>
          <w:u w:val="single"/>
        </w:rPr>
        <w:t xml:space="preserve">                                          </w:t>
      </w:r>
      <w:r>
        <w:rPr>
          <w:rFonts w:hint="eastAsia" w:cs="宋体"/>
          <w:color w:val="auto"/>
        </w:rPr>
        <w:t>。</w:t>
      </w:r>
      <w:r>
        <w:rPr>
          <w:color w:val="auto"/>
        </w:rPr>
        <w:t xml:space="preserve"> </w:t>
      </w:r>
    </w:p>
    <w:p w14:paraId="43B7393C">
      <w:pPr>
        <w:spacing w:line="360" w:lineRule="auto"/>
        <w:ind w:firstLine="420" w:firstLineChars="200"/>
        <w:rPr>
          <w:color w:val="auto"/>
        </w:rPr>
      </w:pPr>
      <w:r>
        <w:rPr>
          <w:rFonts w:hint="eastAsia" w:cs="宋体"/>
          <w:color w:val="auto"/>
        </w:rPr>
        <w:t>（</w:t>
      </w:r>
      <w:r>
        <w:rPr>
          <w:color w:val="auto"/>
        </w:rPr>
        <w:t>4</w:t>
      </w:r>
      <w:r>
        <w:rPr>
          <w:rFonts w:hint="eastAsia" w:cs="宋体"/>
          <w:color w:val="auto"/>
        </w:rPr>
        <w:t>）本工程采购文件及工程量清单；</w:t>
      </w:r>
    </w:p>
    <w:p w14:paraId="4C43BE0A">
      <w:pPr>
        <w:spacing w:line="360" w:lineRule="auto"/>
        <w:ind w:firstLine="420" w:firstLineChars="200"/>
        <w:rPr>
          <w:color w:val="auto"/>
        </w:rPr>
      </w:pPr>
      <w:r>
        <w:rPr>
          <w:rFonts w:hint="eastAsia" w:cs="宋体"/>
          <w:color w:val="auto"/>
        </w:rPr>
        <w:t>（</w:t>
      </w:r>
      <w:r>
        <w:rPr>
          <w:color w:val="auto"/>
        </w:rPr>
        <w:t>5</w:t>
      </w:r>
      <w:r>
        <w:rPr>
          <w:rFonts w:hint="eastAsia" w:cs="宋体"/>
          <w:color w:val="auto"/>
        </w:rPr>
        <w:t>）与建设项目相关的标准、规范、技术资料；</w:t>
      </w:r>
    </w:p>
    <w:p w14:paraId="08CAC023">
      <w:pPr>
        <w:spacing w:line="360" w:lineRule="auto"/>
        <w:ind w:firstLine="420" w:firstLineChars="200"/>
        <w:rPr>
          <w:color w:val="auto"/>
        </w:rPr>
      </w:pPr>
      <w:r>
        <w:rPr>
          <w:rFonts w:hint="eastAsia" w:cs="宋体"/>
          <w:color w:val="auto"/>
        </w:rPr>
        <w:t>（</w:t>
      </w:r>
      <w:r>
        <w:rPr>
          <w:color w:val="auto"/>
        </w:rPr>
        <w:t>6</w:t>
      </w:r>
      <w:r>
        <w:rPr>
          <w:rFonts w:hint="eastAsia" w:cs="宋体"/>
          <w:color w:val="auto"/>
        </w:rPr>
        <w:t>）施工现场情况、工程特点及常规施工方案；</w:t>
      </w:r>
    </w:p>
    <w:p w14:paraId="2A1E7D20">
      <w:pPr>
        <w:spacing w:line="360" w:lineRule="auto"/>
        <w:ind w:firstLine="420" w:firstLineChars="200"/>
        <w:rPr>
          <w:rFonts w:hAnsi="宋体"/>
          <w:color w:val="auto"/>
        </w:rPr>
      </w:pPr>
      <w:r>
        <w:rPr>
          <w:rFonts w:hint="eastAsia" w:cs="宋体"/>
          <w:color w:val="auto"/>
        </w:rPr>
        <w:t>（</w:t>
      </w:r>
      <w:r>
        <w:rPr>
          <w:color w:val="auto"/>
        </w:rPr>
        <w:t>7</w:t>
      </w:r>
      <w:r>
        <w:rPr>
          <w:rFonts w:hint="eastAsia" w:cs="宋体"/>
          <w:color w:val="auto"/>
        </w:rPr>
        <w:t>）材料价格信息</w:t>
      </w:r>
      <w:r>
        <w:rPr>
          <w:rFonts w:hint="eastAsia" w:hAnsi="宋体" w:cs="宋体"/>
          <w:color w:val="auto"/>
        </w:rPr>
        <w:t>：材料价格主要按照</w:t>
      </w:r>
      <w:r>
        <w:rPr>
          <w:color w:val="auto"/>
          <w:u w:val="single"/>
        </w:rPr>
        <w:t xml:space="preserve">      </w:t>
      </w:r>
      <w:r>
        <w:rPr>
          <w:rFonts w:hint="eastAsia" w:cs="宋体"/>
          <w:color w:val="auto"/>
        </w:rPr>
        <w:t>市建设工程造价管理机构发布的工程造价信息</w:t>
      </w:r>
      <w:r>
        <w:rPr>
          <w:color w:val="auto"/>
          <w:u w:val="single"/>
        </w:rPr>
        <w:t xml:space="preserve">     </w:t>
      </w:r>
      <w:r>
        <w:rPr>
          <w:rFonts w:hint="eastAsia" w:cs="宋体"/>
          <w:color w:val="auto"/>
        </w:rPr>
        <w:t>年第</w:t>
      </w:r>
      <w:r>
        <w:rPr>
          <w:color w:val="auto"/>
          <w:u w:val="single"/>
        </w:rPr>
        <w:t xml:space="preserve">      </w:t>
      </w:r>
      <w:r>
        <w:rPr>
          <w:rFonts w:hint="eastAsia" w:cs="宋体"/>
          <w:color w:val="auto"/>
        </w:rPr>
        <w:t>期，不足部分参考市场定价</w:t>
      </w:r>
      <w:r>
        <w:rPr>
          <w:rFonts w:hint="eastAsia" w:hAnsi="宋体" w:cs="宋体"/>
          <w:color w:val="auto"/>
        </w:rPr>
        <w:t>。</w:t>
      </w:r>
    </w:p>
    <w:p w14:paraId="22D91525">
      <w:pPr>
        <w:spacing w:line="360" w:lineRule="auto"/>
        <w:ind w:firstLine="420" w:firstLineChars="200"/>
        <w:rPr>
          <w:color w:val="auto"/>
        </w:rPr>
      </w:pPr>
      <w:r>
        <w:rPr>
          <w:color w:val="auto"/>
        </w:rPr>
        <w:t xml:space="preserve">2.2 </w:t>
      </w:r>
      <w:r>
        <w:rPr>
          <w:rFonts w:hint="eastAsia" w:hAnsi="宋体" w:cs="宋体"/>
          <w:color w:val="auto"/>
        </w:rPr>
        <w:t>分部分项及单价措施项目综合单价应包括</w:t>
      </w:r>
      <w:r>
        <w:rPr>
          <w:rFonts w:hint="eastAsia" w:cs="宋体"/>
          <w:color w:val="auto"/>
        </w:rPr>
        <w:t>采购</w:t>
      </w:r>
      <w:r>
        <w:rPr>
          <w:rFonts w:hint="eastAsia" w:hAnsi="宋体" w:cs="宋体"/>
          <w:color w:val="auto"/>
        </w:rPr>
        <w:t>文件中</w:t>
      </w:r>
      <w:r>
        <w:rPr>
          <w:rFonts w:hint="eastAsia" w:cs="宋体"/>
          <w:color w:val="auto"/>
        </w:rPr>
        <w:t>采购</w:t>
      </w:r>
      <w:r>
        <w:rPr>
          <w:rFonts w:hint="eastAsia" w:hAnsi="宋体" w:cs="宋体"/>
          <w:color w:val="auto"/>
        </w:rPr>
        <w:t>人要求成交供应商所承担的风险内容及其范围（幅度）产生的风险费用。</w:t>
      </w:r>
    </w:p>
    <w:p w14:paraId="44A01AF7">
      <w:pPr>
        <w:spacing w:line="360" w:lineRule="auto"/>
        <w:ind w:firstLine="420"/>
        <w:rPr>
          <w:color w:val="auto"/>
        </w:rPr>
      </w:pPr>
      <w:r>
        <w:rPr>
          <w:color w:val="auto"/>
        </w:rPr>
        <w:t xml:space="preserve">2.3 </w:t>
      </w:r>
      <w:r>
        <w:rPr>
          <w:rFonts w:hint="eastAsia" w:hAnsi="宋体" w:cs="宋体"/>
          <w:color w:val="auto"/>
        </w:rPr>
        <w:t>总价措施项目应根据拟定的</w:t>
      </w:r>
      <w:r>
        <w:rPr>
          <w:rFonts w:hint="eastAsia" w:cs="宋体"/>
          <w:color w:val="auto"/>
        </w:rPr>
        <w:t>采购</w:t>
      </w:r>
      <w:r>
        <w:rPr>
          <w:rFonts w:hint="eastAsia" w:hAnsi="宋体" w:cs="宋体"/>
          <w:color w:val="auto"/>
        </w:rPr>
        <w:t>文件和常规施工方案按《计价规范》和《计算规范》规定编制。</w:t>
      </w:r>
    </w:p>
    <w:p w14:paraId="354440FC">
      <w:pPr>
        <w:spacing w:line="360" w:lineRule="auto"/>
        <w:ind w:firstLine="420" w:firstLineChars="200"/>
        <w:rPr>
          <w:color w:val="auto"/>
        </w:rPr>
      </w:pPr>
      <w:r>
        <w:rPr>
          <w:color w:val="auto"/>
        </w:rPr>
        <w:t xml:space="preserve">2.4 </w:t>
      </w:r>
      <w:r>
        <w:rPr>
          <w:rFonts w:hint="eastAsia" w:cs="宋体"/>
          <w:color w:val="auto"/>
        </w:rPr>
        <w:t>其他项目费应按下列规定报价：</w:t>
      </w:r>
    </w:p>
    <w:p w14:paraId="2DAB44BA">
      <w:pPr>
        <w:spacing w:line="360" w:lineRule="auto"/>
        <w:ind w:firstLine="420" w:firstLineChars="200"/>
        <w:rPr>
          <w:color w:val="auto"/>
        </w:rPr>
      </w:pPr>
      <w:r>
        <w:rPr>
          <w:rFonts w:hint="eastAsia" w:cs="宋体"/>
          <w:color w:val="auto"/>
        </w:rPr>
        <w:t>（</w:t>
      </w:r>
      <w:r>
        <w:rPr>
          <w:color w:val="auto"/>
        </w:rPr>
        <w:t>1</w:t>
      </w:r>
      <w:r>
        <w:rPr>
          <w:rFonts w:hint="eastAsia" w:cs="宋体"/>
          <w:color w:val="auto"/>
        </w:rPr>
        <w:t>）暂列金额应按招标工程量清单中列出的金额填写；</w:t>
      </w:r>
    </w:p>
    <w:p w14:paraId="165B9E90">
      <w:pPr>
        <w:pStyle w:val="181"/>
        <w:spacing w:line="360" w:lineRule="auto"/>
        <w:ind w:firstLine="420" w:firstLineChars="200"/>
        <w:rPr>
          <w:color w:val="auto"/>
        </w:rPr>
      </w:pPr>
      <w:r>
        <w:rPr>
          <w:rFonts w:hint="eastAsia" w:cs="宋体"/>
          <w:color w:val="auto"/>
        </w:rPr>
        <w:t>（</w:t>
      </w:r>
      <w:r>
        <w:rPr>
          <w:color w:val="auto"/>
        </w:rPr>
        <w:t>2</w:t>
      </w:r>
      <w:r>
        <w:rPr>
          <w:rFonts w:hint="eastAsia" w:cs="宋体"/>
          <w:color w:val="auto"/>
        </w:rPr>
        <w:t>）材料、工程设备暂估价应按招标工程量清单中列出的单价计入综合单价；</w:t>
      </w:r>
    </w:p>
    <w:p w14:paraId="0E95FE9B">
      <w:pPr>
        <w:spacing w:line="360" w:lineRule="auto"/>
        <w:ind w:firstLine="420" w:firstLineChars="200"/>
        <w:rPr>
          <w:color w:val="auto"/>
        </w:rPr>
      </w:pPr>
      <w:r>
        <w:rPr>
          <w:rFonts w:hint="eastAsia" w:cs="宋体"/>
          <w:color w:val="auto"/>
        </w:rPr>
        <w:t>（</w:t>
      </w:r>
      <w:r>
        <w:rPr>
          <w:color w:val="auto"/>
        </w:rPr>
        <w:t>3</w:t>
      </w:r>
      <w:r>
        <w:rPr>
          <w:rFonts w:hint="eastAsia" w:cs="宋体"/>
          <w:color w:val="auto"/>
        </w:rPr>
        <w:t>）专业工程暂估价应按工程量清单中列出的金额填写；</w:t>
      </w:r>
    </w:p>
    <w:p w14:paraId="62EE3601">
      <w:pPr>
        <w:spacing w:line="360" w:lineRule="auto"/>
        <w:ind w:firstLine="420" w:firstLineChars="200"/>
        <w:rPr>
          <w:color w:val="auto"/>
        </w:rPr>
      </w:pPr>
      <w:r>
        <w:rPr>
          <w:rFonts w:hint="eastAsia" w:cs="宋体"/>
          <w:color w:val="auto"/>
        </w:rPr>
        <w:t>（</w:t>
      </w:r>
      <w:r>
        <w:rPr>
          <w:color w:val="auto"/>
        </w:rPr>
        <w:t>4</w:t>
      </w:r>
      <w:r>
        <w:rPr>
          <w:rFonts w:hint="eastAsia" w:cs="宋体"/>
          <w:color w:val="auto"/>
        </w:rPr>
        <w:t>）计日工应按工程量清单中列出的项目和数量，根据工程特点和有关计价依据确定的综合单价计算；</w:t>
      </w:r>
    </w:p>
    <w:p w14:paraId="09921860">
      <w:pPr>
        <w:spacing w:line="360" w:lineRule="auto"/>
        <w:ind w:firstLine="420" w:firstLineChars="200"/>
        <w:rPr>
          <w:rFonts w:cs="宋体"/>
          <w:color w:val="auto"/>
        </w:rPr>
      </w:pPr>
      <w:r>
        <w:rPr>
          <w:rFonts w:hint="eastAsia" w:cs="宋体"/>
          <w:color w:val="auto"/>
        </w:rPr>
        <w:t>（</w:t>
      </w:r>
      <w:r>
        <w:rPr>
          <w:color w:val="auto"/>
        </w:rPr>
        <w:t>5</w:t>
      </w:r>
      <w:r>
        <w:rPr>
          <w:rFonts w:hint="eastAsia" w:cs="宋体"/>
          <w:color w:val="auto"/>
        </w:rPr>
        <w:t>）总承包服务费应根据招标工程量清单列出的内容</w:t>
      </w:r>
      <w:r>
        <w:rPr>
          <w:rFonts w:hint="eastAsia" w:hAnsi="宋体" w:cs="宋体"/>
          <w:color w:val="auto"/>
        </w:rPr>
        <w:t>和要求，按自治区住房城乡建设行政主管部门颁发的计价定额及有关规定计算</w:t>
      </w:r>
      <w:r>
        <w:rPr>
          <w:rFonts w:hint="eastAsia" w:cs="宋体"/>
          <w:color w:val="auto"/>
        </w:rPr>
        <w:t>。</w:t>
      </w:r>
    </w:p>
    <w:p w14:paraId="1F82B60A">
      <w:pPr>
        <w:spacing w:line="360" w:lineRule="auto"/>
        <w:ind w:firstLine="420" w:firstLineChars="200"/>
        <w:rPr>
          <w:rFonts w:hint="eastAsia"/>
          <w:color w:val="auto"/>
        </w:rPr>
      </w:pPr>
      <w:r>
        <w:rPr>
          <w:rFonts w:hint="eastAsia"/>
          <w:color w:val="auto"/>
        </w:rPr>
        <w:t>（6）对建设单位创建优质工程的，鼓励在控制价和预算中按我区工程建设定额规定计列工程优质费，并明确工程优质费不可竞争。</w:t>
      </w:r>
    </w:p>
    <w:p w14:paraId="51F34E88">
      <w:pPr>
        <w:spacing w:line="360" w:lineRule="auto"/>
        <w:ind w:firstLine="420" w:firstLineChars="200"/>
        <w:rPr>
          <w:color w:val="auto"/>
        </w:rPr>
      </w:pPr>
      <w:r>
        <w:rPr>
          <w:color w:val="auto"/>
        </w:rPr>
        <w:t xml:space="preserve">2.5 </w:t>
      </w:r>
      <w:r>
        <w:rPr>
          <w:rFonts w:hint="eastAsia" w:cs="宋体"/>
          <w:color w:val="auto"/>
        </w:rPr>
        <w:t>规费和增值税应按规定确定，作为不可竞争费用。</w:t>
      </w:r>
    </w:p>
    <w:p w14:paraId="70A79A9A">
      <w:pPr>
        <w:spacing w:line="360" w:lineRule="auto"/>
        <w:ind w:firstLine="420"/>
        <w:rPr>
          <w:color w:val="auto"/>
          <w:u w:val="single"/>
        </w:rPr>
      </w:pPr>
      <w:r>
        <w:rPr>
          <w:color w:val="auto"/>
        </w:rPr>
        <w:t xml:space="preserve">2.6 </w:t>
      </w:r>
      <w:r>
        <w:rPr>
          <w:rFonts w:hint="eastAsia" w:hAnsi="宋体" w:cs="宋体"/>
          <w:color w:val="auto"/>
        </w:rPr>
        <w:t>其它需要说明的问题：</w:t>
      </w:r>
      <w:r>
        <w:rPr>
          <w:color w:val="auto"/>
          <w:u w:val="single"/>
        </w:rPr>
        <w:t xml:space="preserve">                                                       </w:t>
      </w:r>
    </w:p>
    <w:p w14:paraId="1A6CFB01">
      <w:pPr>
        <w:spacing w:line="360" w:lineRule="auto"/>
        <w:rPr>
          <w:rFonts w:hAnsi="宋体"/>
          <w:color w:val="auto"/>
        </w:rPr>
      </w:pPr>
      <w:r>
        <w:rPr>
          <w:color w:val="auto"/>
          <w:u w:val="single"/>
        </w:rPr>
        <w:t xml:space="preserve">                                                                                 </w:t>
      </w:r>
      <w:r>
        <w:rPr>
          <w:rFonts w:hint="eastAsia" w:hAnsi="宋体" w:cs="宋体"/>
          <w:color w:val="auto"/>
        </w:rPr>
        <w:t>。</w:t>
      </w:r>
    </w:p>
    <w:p w14:paraId="70B7C7DC">
      <w:pPr>
        <w:spacing w:line="312" w:lineRule="auto"/>
        <w:ind w:firstLine="422" w:firstLineChars="200"/>
        <w:jc w:val="left"/>
        <w:rPr>
          <w:b/>
          <w:bCs/>
          <w:color w:val="auto"/>
          <w:kern w:val="0"/>
          <w:szCs w:val="21"/>
        </w:rPr>
      </w:pPr>
      <w:r>
        <w:rPr>
          <w:b/>
          <w:bCs/>
          <w:color w:val="auto"/>
          <w:kern w:val="0"/>
          <w:szCs w:val="21"/>
        </w:rPr>
        <w:t>3.</w:t>
      </w:r>
      <w:r>
        <w:rPr>
          <w:rFonts w:hint="eastAsia"/>
          <w:b/>
          <w:bCs/>
          <w:color w:val="auto"/>
          <w:kern w:val="0"/>
          <w:szCs w:val="21"/>
        </w:rPr>
        <w:t>响应</w:t>
      </w:r>
      <w:r>
        <w:rPr>
          <w:b/>
          <w:bCs/>
          <w:color w:val="auto"/>
          <w:kern w:val="0"/>
          <w:szCs w:val="21"/>
        </w:rPr>
        <w:t>报价（已标价工程量清单）编制说明</w:t>
      </w:r>
    </w:p>
    <w:p w14:paraId="55AE6EC4">
      <w:pPr>
        <w:spacing w:line="312" w:lineRule="auto"/>
        <w:ind w:firstLine="420" w:firstLineChars="200"/>
        <w:jc w:val="left"/>
        <w:rPr>
          <w:bCs/>
          <w:color w:val="auto"/>
          <w:kern w:val="0"/>
          <w:szCs w:val="21"/>
        </w:rPr>
      </w:pPr>
      <w:r>
        <w:rPr>
          <w:bCs/>
          <w:color w:val="auto"/>
          <w:kern w:val="0"/>
          <w:szCs w:val="21"/>
        </w:rPr>
        <w:t>3.1供应商应依据采购文件、工程量清单以及《计价规范》、《计算规范》自主报价，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7EEEC03F">
      <w:pPr>
        <w:spacing w:line="312" w:lineRule="auto"/>
        <w:ind w:firstLine="420" w:firstLineChars="200"/>
        <w:jc w:val="left"/>
        <w:rPr>
          <w:bCs/>
          <w:color w:val="auto"/>
          <w:kern w:val="0"/>
          <w:szCs w:val="21"/>
        </w:rPr>
      </w:pPr>
      <w:r>
        <w:rPr>
          <w:bCs/>
          <w:color w:val="auto"/>
          <w:kern w:val="0"/>
          <w:szCs w:val="21"/>
        </w:rPr>
        <w:t>3.2供应商应按工程量清单填报价格。项目编码、项目名称、项目特征、计量单位、</w:t>
      </w:r>
      <w:r>
        <w:rPr>
          <w:rFonts w:hint="eastAsia"/>
          <w:bCs/>
          <w:color w:val="auto"/>
          <w:kern w:val="0"/>
          <w:szCs w:val="21"/>
        </w:rPr>
        <w:t>已标价</w:t>
      </w:r>
      <w:r>
        <w:rPr>
          <w:bCs/>
          <w:color w:val="auto"/>
          <w:kern w:val="0"/>
          <w:szCs w:val="21"/>
        </w:rPr>
        <w:t>工程量必须与工程量清单一致，供应商不得对工程量清单项目进行增减调整。</w:t>
      </w:r>
    </w:p>
    <w:p w14:paraId="17971CB1">
      <w:pPr>
        <w:spacing w:line="312" w:lineRule="auto"/>
        <w:ind w:firstLine="420" w:firstLineChars="200"/>
        <w:jc w:val="left"/>
        <w:rPr>
          <w:bCs/>
          <w:color w:val="auto"/>
          <w:kern w:val="0"/>
          <w:szCs w:val="21"/>
        </w:rPr>
      </w:pPr>
      <w:r>
        <w:rPr>
          <w:bCs/>
          <w:color w:val="auto"/>
          <w:kern w:val="0"/>
          <w:szCs w:val="21"/>
        </w:rPr>
        <w:t>3.3综合单价中应包含采购文件中划分的应由供应商承担的风险范围及其费用。</w:t>
      </w:r>
    </w:p>
    <w:p w14:paraId="4CAAD0BB">
      <w:pPr>
        <w:spacing w:line="312" w:lineRule="auto"/>
        <w:ind w:firstLine="420" w:firstLineChars="200"/>
        <w:jc w:val="left"/>
        <w:rPr>
          <w:bCs/>
          <w:color w:val="auto"/>
          <w:kern w:val="0"/>
          <w:szCs w:val="21"/>
        </w:rPr>
      </w:pPr>
      <w:r>
        <w:rPr>
          <w:bCs/>
          <w:color w:val="auto"/>
          <w:kern w:val="0"/>
          <w:szCs w:val="21"/>
        </w:rPr>
        <w:t>3.4分部分项工程项目和单价措施项目，应根据采购文件和工程量清单项目中的特征描述确定综合单价计算。如出现工程量清单特征描述与设计图纸不符时，供应商应以工程量清单的项目特征描述为准，确定</w:t>
      </w:r>
      <w:r>
        <w:rPr>
          <w:rFonts w:hint="eastAsia"/>
          <w:bCs/>
          <w:color w:val="auto"/>
          <w:kern w:val="0"/>
          <w:szCs w:val="21"/>
        </w:rPr>
        <w:t>响应</w:t>
      </w:r>
      <w:r>
        <w:rPr>
          <w:bCs/>
          <w:color w:val="auto"/>
          <w:kern w:val="0"/>
          <w:szCs w:val="21"/>
        </w:rPr>
        <w:t>报价的综合单价。</w:t>
      </w:r>
    </w:p>
    <w:p w14:paraId="283D278E">
      <w:pPr>
        <w:spacing w:line="312" w:lineRule="auto"/>
        <w:ind w:firstLine="420" w:firstLineChars="200"/>
        <w:jc w:val="left"/>
        <w:rPr>
          <w:bCs/>
          <w:color w:val="auto"/>
          <w:kern w:val="0"/>
          <w:szCs w:val="21"/>
        </w:rPr>
      </w:pPr>
      <w:r>
        <w:rPr>
          <w:bCs/>
          <w:color w:val="auto"/>
          <w:kern w:val="0"/>
          <w:szCs w:val="21"/>
        </w:rPr>
        <w:t>3.5总价措施项目的金额应根据采购文件及拟定的施工组织设计或施工方案，按计价规范的规定自主确定。但安全文明施工费按国家、省级或行业建设主管部门的有关规定执行，作为不竞争费用单列。</w:t>
      </w:r>
    </w:p>
    <w:p w14:paraId="3E509071">
      <w:pPr>
        <w:spacing w:line="312" w:lineRule="auto"/>
        <w:ind w:firstLine="420" w:firstLineChars="200"/>
        <w:jc w:val="left"/>
        <w:rPr>
          <w:bCs/>
          <w:color w:val="auto"/>
          <w:kern w:val="0"/>
          <w:szCs w:val="21"/>
        </w:rPr>
      </w:pPr>
      <w:r>
        <w:rPr>
          <w:bCs/>
          <w:color w:val="auto"/>
          <w:kern w:val="0"/>
          <w:szCs w:val="21"/>
        </w:rPr>
        <w:t>3.6其他项目费应按下列规定报价：</w:t>
      </w:r>
    </w:p>
    <w:p w14:paraId="63458C59">
      <w:pPr>
        <w:spacing w:line="312" w:lineRule="auto"/>
        <w:ind w:firstLine="420" w:firstLineChars="200"/>
        <w:jc w:val="left"/>
        <w:rPr>
          <w:bCs/>
          <w:color w:val="auto"/>
          <w:kern w:val="0"/>
          <w:szCs w:val="21"/>
        </w:rPr>
      </w:pPr>
      <w:r>
        <w:rPr>
          <w:bCs/>
          <w:color w:val="auto"/>
          <w:kern w:val="0"/>
          <w:szCs w:val="21"/>
        </w:rPr>
        <w:t>（1）暂列金额应按工程量清单中列出的金额填写；</w:t>
      </w:r>
    </w:p>
    <w:p w14:paraId="45308BAE">
      <w:pPr>
        <w:spacing w:line="312" w:lineRule="auto"/>
        <w:ind w:firstLine="420" w:firstLineChars="200"/>
        <w:jc w:val="left"/>
        <w:rPr>
          <w:bCs/>
          <w:color w:val="auto"/>
          <w:kern w:val="0"/>
          <w:szCs w:val="21"/>
        </w:rPr>
      </w:pPr>
      <w:r>
        <w:rPr>
          <w:bCs/>
          <w:color w:val="auto"/>
          <w:kern w:val="0"/>
          <w:szCs w:val="21"/>
        </w:rPr>
        <w:t>（2）材料、工程设备暂估价应按工程量清单中列出的单价计入综合单价；</w:t>
      </w:r>
    </w:p>
    <w:p w14:paraId="05A60EF8">
      <w:pPr>
        <w:spacing w:line="312" w:lineRule="auto"/>
        <w:ind w:firstLine="420" w:firstLineChars="200"/>
        <w:jc w:val="left"/>
        <w:rPr>
          <w:bCs/>
          <w:color w:val="auto"/>
          <w:kern w:val="0"/>
          <w:szCs w:val="21"/>
        </w:rPr>
      </w:pPr>
      <w:r>
        <w:rPr>
          <w:bCs/>
          <w:color w:val="auto"/>
          <w:kern w:val="0"/>
          <w:szCs w:val="21"/>
        </w:rPr>
        <w:t>（3）专业工程暂估价应按工程量清单中列出的金额填写；</w:t>
      </w:r>
    </w:p>
    <w:p w14:paraId="6E7B3F54">
      <w:pPr>
        <w:spacing w:line="312" w:lineRule="auto"/>
        <w:ind w:firstLine="420" w:firstLineChars="200"/>
        <w:jc w:val="left"/>
        <w:rPr>
          <w:bCs/>
          <w:color w:val="auto"/>
          <w:kern w:val="0"/>
          <w:szCs w:val="21"/>
        </w:rPr>
      </w:pPr>
      <w:r>
        <w:rPr>
          <w:bCs/>
          <w:color w:val="auto"/>
          <w:kern w:val="0"/>
          <w:szCs w:val="21"/>
        </w:rPr>
        <w:t>（4）计日工应按工程量清单中列出的项目和估算数量，自主确定综合单价并计算计日工总额；计日工单价均不含规费和税金；</w:t>
      </w:r>
    </w:p>
    <w:p w14:paraId="0FB9E4B6">
      <w:pPr>
        <w:spacing w:line="360" w:lineRule="auto"/>
        <w:ind w:firstLine="420" w:firstLineChars="200"/>
        <w:rPr>
          <w:bCs/>
          <w:color w:val="auto"/>
          <w:kern w:val="0"/>
          <w:szCs w:val="21"/>
        </w:rPr>
      </w:pPr>
      <w:r>
        <w:rPr>
          <w:bCs/>
          <w:color w:val="auto"/>
          <w:kern w:val="0"/>
          <w:szCs w:val="21"/>
        </w:rPr>
        <w:t>（5）总承包服务费应根据工程量清单中列出的内容和供应材料、设备情况，按照采购人提出的协调、配合与服务要求和施工现场管理需要自主确定。</w:t>
      </w:r>
    </w:p>
    <w:p w14:paraId="75056578">
      <w:pPr>
        <w:spacing w:line="360" w:lineRule="auto"/>
        <w:ind w:firstLine="420" w:firstLineChars="200"/>
        <w:rPr>
          <w:rFonts w:hint="eastAsia"/>
          <w:color w:val="auto"/>
        </w:rPr>
      </w:pPr>
      <w:r>
        <w:rPr>
          <w:rFonts w:hint="eastAsia"/>
          <w:color w:val="auto"/>
        </w:rPr>
        <w:t>（6）对建设单位创建优质工程的，鼓励在控制价和预算中按我区工程建设定额规定计列工程优质费，并明确工程优质费不可竞争。</w:t>
      </w:r>
    </w:p>
    <w:p w14:paraId="056C438A">
      <w:pPr>
        <w:spacing w:line="312" w:lineRule="auto"/>
        <w:ind w:firstLine="420" w:firstLineChars="200"/>
        <w:jc w:val="left"/>
        <w:rPr>
          <w:bCs/>
          <w:color w:val="auto"/>
          <w:kern w:val="0"/>
          <w:szCs w:val="21"/>
        </w:rPr>
      </w:pPr>
      <w:r>
        <w:rPr>
          <w:bCs/>
          <w:color w:val="auto"/>
          <w:kern w:val="0"/>
          <w:szCs w:val="21"/>
        </w:rPr>
        <w:t>3.7规费和增值税应按规定确定，作为不可竞争费用。</w:t>
      </w:r>
    </w:p>
    <w:p w14:paraId="09059CC4">
      <w:pPr>
        <w:spacing w:line="312" w:lineRule="auto"/>
        <w:ind w:firstLine="420" w:firstLineChars="200"/>
        <w:jc w:val="left"/>
        <w:rPr>
          <w:bCs/>
          <w:color w:val="auto"/>
          <w:kern w:val="0"/>
          <w:szCs w:val="21"/>
        </w:rPr>
      </w:pPr>
      <w:r>
        <w:rPr>
          <w:bCs/>
          <w:color w:val="auto"/>
          <w:kern w:val="0"/>
          <w:szCs w:val="21"/>
        </w:rPr>
        <w:t>3.8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5B1234E2">
      <w:pPr>
        <w:spacing w:line="312" w:lineRule="auto"/>
        <w:ind w:firstLine="420" w:firstLineChars="200"/>
        <w:jc w:val="left"/>
        <w:rPr>
          <w:bCs/>
          <w:color w:val="auto"/>
          <w:kern w:val="0"/>
          <w:szCs w:val="21"/>
        </w:rPr>
      </w:pPr>
      <w:r>
        <w:rPr>
          <w:bCs/>
          <w:color w:val="auto"/>
          <w:kern w:val="0"/>
          <w:szCs w:val="21"/>
        </w:rPr>
        <w:t>3.9</w:t>
      </w:r>
      <w:r>
        <w:rPr>
          <w:rFonts w:hint="eastAsia"/>
          <w:bCs/>
          <w:color w:val="auto"/>
          <w:kern w:val="0"/>
          <w:szCs w:val="21"/>
        </w:rPr>
        <w:t>响应</w:t>
      </w:r>
      <w:r>
        <w:rPr>
          <w:bCs/>
          <w:color w:val="auto"/>
          <w:kern w:val="0"/>
          <w:szCs w:val="21"/>
        </w:rPr>
        <w:t>总价应当与分部分项工程费、措施项目费、其他项目费和规费、增值税的合计金额一致。</w:t>
      </w:r>
    </w:p>
    <w:p w14:paraId="3F7E99FE">
      <w:pPr>
        <w:spacing w:line="312" w:lineRule="auto"/>
        <w:ind w:firstLine="420" w:firstLineChars="200"/>
        <w:jc w:val="left"/>
        <w:rPr>
          <w:bCs/>
          <w:color w:val="auto"/>
          <w:kern w:val="0"/>
          <w:szCs w:val="21"/>
        </w:rPr>
      </w:pPr>
      <w:r>
        <w:rPr>
          <w:bCs/>
          <w:color w:val="auto"/>
          <w:kern w:val="0"/>
          <w:szCs w:val="21"/>
        </w:rPr>
        <w:t>3.10供应商应按《</w:t>
      </w:r>
      <w:r>
        <w:rPr>
          <w:rFonts w:hint="eastAsia" w:cs="宋体"/>
          <w:color w:val="auto"/>
        </w:rPr>
        <w:t>允许调整主要材料和工程设备一览表</w:t>
      </w:r>
      <w:r>
        <w:rPr>
          <w:bCs/>
          <w:color w:val="auto"/>
          <w:kern w:val="0"/>
          <w:szCs w:val="21"/>
        </w:rPr>
        <w:t>》的内容填报，不得擅自调整材料和设备名称型号规格、单位、风险系数、基准单价。</w:t>
      </w:r>
    </w:p>
    <w:p w14:paraId="71E5451D">
      <w:pPr>
        <w:spacing w:line="312" w:lineRule="auto"/>
        <w:ind w:firstLine="420" w:firstLineChars="200"/>
        <w:jc w:val="left"/>
        <w:rPr>
          <w:bCs/>
          <w:color w:val="auto"/>
          <w:kern w:val="0"/>
          <w:szCs w:val="21"/>
        </w:rPr>
      </w:pPr>
      <w:r>
        <w:rPr>
          <w:bCs/>
          <w:color w:val="auto"/>
          <w:kern w:val="0"/>
          <w:szCs w:val="21"/>
        </w:rPr>
        <w:t>3.11</w:t>
      </w:r>
      <w:r>
        <w:rPr>
          <w:rFonts w:hint="eastAsia"/>
          <w:bCs/>
          <w:color w:val="auto"/>
          <w:kern w:val="0"/>
          <w:szCs w:val="21"/>
        </w:rPr>
        <w:t>响应</w:t>
      </w:r>
      <w:r>
        <w:rPr>
          <w:bCs/>
          <w:color w:val="auto"/>
          <w:kern w:val="0"/>
          <w:szCs w:val="21"/>
        </w:rPr>
        <w:t>报价表格按本工程工程量清单表格要求填写，并应按采购文件的要求，附上《工程量清单综合单价分析表》和《主要清单项目工料机分析表》。</w:t>
      </w:r>
    </w:p>
    <w:p w14:paraId="46071DF0">
      <w:pPr>
        <w:spacing w:line="312" w:lineRule="auto"/>
        <w:ind w:firstLine="420" w:firstLineChars="200"/>
        <w:jc w:val="left"/>
        <w:rPr>
          <w:bCs/>
          <w:color w:val="auto"/>
          <w:kern w:val="0"/>
          <w:szCs w:val="21"/>
        </w:rPr>
      </w:pPr>
      <w:r>
        <w:rPr>
          <w:bCs/>
          <w:color w:val="auto"/>
          <w:kern w:val="0"/>
          <w:szCs w:val="21"/>
        </w:rPr>
        <w:t>未尽事宜详见本工程工程量清单、预算金额编制说明以及现行《计价规范》等有关规定执行。</w:t>
      </w:r>
    </w:p>
    <w:p w14:paraId="33536137">
      <w:pPr>
        <w:spacing w:line="312" w:lineRule="auto"/>
        <w:ind w:firstLine="562" w:firstLineChars="200"/>
        <w:jc w:val="left"/>
        <w:outlineLvl w:val="1"/>
        <w:rPr>
          <w:rFonts w:ascii="黑体" w:hAnsi="黑体" w:eastAsia="黑体" w:cs="Arial"/>
          <w:b/>
          <w:color w:val="auto"/>
          <w:kern w:val="0"/>
          <w:sz w:val="28"/>
          <w:szCs w:val="28"/>
        </w:rPr>
      </w:pPr>
      <w:r>
        <w:rPr>
          <w:rFonts w:hint="eastAsia" w:ascii="黑体" w:hAnsi="黑体" w:eastAsia="黑体" w:cs="Arial"/>
          <w:b/>
          <w:color w:val="auto"/>
          <w:kern w:val="0"/>
          <w:sz w:val="28"/>
          <w:szCs w:val="28"/>
        </w:rPr>
        <w:t>二、危险性较大的分部分项工程清单（如有）</w:t>
      </w:r>
    </w:p>
    <w:p w14:paraId="48AE2972">
      <w:pPr>
        <w:spacing w:line="312" w:lineRule="auto"/>
        <w:ind w:firstLine="420" w:firstLineChars="200"/>
        <w:jc w:val="left"/>
        <w:rPr>
          <w:bCs/>
          <w:color w:val="auto"/>
          <w:kern w:val="0"/>
          <w:szCs w:val="21"/>
        </w:rPr>
      </w:pPr>
      <w:r>
        <w:rPr>
          <w:bCs/>
          <w:color w:val="auto"/>
          <w:kern w:val="0"/>
          <w:szCs w:val="21"/>
        </w:rPr>
        <w:t>本</w:t>
      </w:r>
      <w:r>
        <w:rPr>
          <w:rFonts w:hint="eastAsia"/>
          <w:bCs/>
          <w:color w:val="auto"/>
          <w:kern w:val="0"/>
          <w:szCs w:val="21"/>
        </w:rPr>
        <w:t>部分</w:t>
      </w:r>
      <w:r>
        <w:rPr>
          <w:bCs/>
          <w:color w:val="auto"/>
          <w:kern w:val="0"/>
          <w:szCs w:val="21"/>
        </w:rPr>
        <w:t>由</w:t>
      </w:r>
      <w:r>
        <w:rPr>
          <w:rFonts w:hint="eastAsia"/>
          <w:bCs/>
          <w:color w:val="auto"/>
          <w:kern w:val="0"/>
          <w:szCs w:val="21"/>
        </w:rPr>
        <w:t>采购</w:t>
      </w:r>
      <w:r>
        <w:rPr>
          <w:bCs/>
          <w:color w:val="auto"/>
          <w:kern w:val="0"/>
          <w:szCs w:val="21"/>
        </w:rPr>
        <w:t>人根据国家行业和地方现行标准、规范和规程等</w:t>
      </w:r>
      <w:r>
        <w:rPr>
          <w:rFonts w:hint="eastAsia"/>
          <w:bCs/>
          <w:color w:val="auto"/>
          <w:kern w:val="0"/>
          <w:szCs w:val="21"/>
        </w:rPr>
        <w:t>，以及项目具体情况</w:t>
      </w:r>
      <w:r>
        <w:rPr>
          <w:bCs/>
          <w:color w:val="auto"/>
          <w:kern w:val="0"/>
          <w:szCs w:val="21"/>
        </w:rPr>
        <w:t>摘录</w:t>
      </w:r>
      <w:r>
        <w:rPr>
          <w:rFonts w:hint="eastAsia"/>
          <w:bCs/>
          <w:color w:val="auto"/>
          <w:kern w:val="0"/>
          <w:szCs w:val="21"/>
        </w:rPr>
        <w:t>。</w:t>
      </w:r>
    </w:p>
    <w:p w14:paraId="78EEE9F2">
      <w:pPr>
        <w:spacing w:line="360" w:lineRule="auto"/>
        <w:ind w:firstLine="420" w:firstLineChars="200"/>
        <w:rPr>
          <w:rFonts w:hint="eastAsia" w:ascii="宋体" w:hAnsi="宋体" w:eastAsia="宋体" w:cs="宋体"/>
          <w:color w:val="auto"/>
          <w:sz w:val="21"/>
          <w:szCs w:val="21"/>
        </w:rPr>
      </w:pPr>
      <w:r>
        <w:rPr>
          <w:rFonts w:hint="eastAsia" w:ascii="宋体" w:hAnsi="宋体" w:cs="宋体"/>
          <w:color w:val="auto"/>
        </w:rPr>
        <w:t>《危险性较大的分部分项工程安全管理规定》（建设部令第37号）</w:t>
      </w:r>
      <w:r>
        <w:rPr>
          <w:rFonts w:hint="eastAsia" w:ascii="宋体" w:hAnsi="宋体" w:cs="宋体"/>
          <w:color w:val="auto"/>
          <w:szCs w:val="22"/>
        </w:rPr>
        <w:t>2019年修订版</w:t>
      </w:r>
      <w:r>
        <w:rPr>
          <w:rFonts w:hint="eastAsia" w:ascii="宋体" w:hAnsi="宋体" w:cs="宋体"/>
          <w:color w:val="auto"/>
        </w:rPr>
        <w:t>以及《住房城乡建设部办公厅关于实施&lt;危险性较大的分部分项工程安全管理规定&gt;有关问题的通知》（建办质〔</w:t>
      </w:r>
      <w:r>
        <w:rPr>
          <w:rFonts w:ascii="宋体" w:hAnsi="宋体" w:cs="宋体"/>
          <w:color w:val="auto"/>
        </w:rPr>
        <w:t>2018〕31号</w:t>
      </w:r>
      <w:r>
        <w:rPr>
          <w:rFonts w:hint="eastAsia" w:ascii="宋体" w:hAnsi="宋体" w:cs="宋体"/>
          <w:color w:val="auto"/>
        </w:rPr>
        <w:t>）。</w:t>
      </w:r>
      <w:bookmarkStart w:id="245" w:name="_Toc346264361"/>
    </w:p>
    <w:p w14:paraId="6AEB34E8">
      <w:pPr>
        <w:pageBreakBefore w:val="0"/>
        <w:kinsoku/>
        <w:wordWrap/>
        <w:overflowPunct/>
        <w:topLinePunct w:val="0"/>
        <w:autoSpaceDE/>
        <w:autoSpaceDN/>
        <w:bidi w:val="0"/>
        <w:adjustRightInd/>
        <w:snapToGrid/>
        <w:spacing w:line="390" w:lineRule="exact"/>
        <w:textAlignment w:val="auto"/>
        <w:rPr>
          <w:rFonts w:ascii="宋体" w:hAnsi="宋体"/>
          <w:b/>
          <w:color w:val="auto"/>
          <w:szCs w:val="21"/>
        </w:rPr>
      </w:pPr>
    </w:p>
    <w:p w14:paraId="3BDAB692">
      <w:pPr>
        <w:pageBreakBefore w:val="0"/>
        <w:kinsoku/>
        <w:wordWrap/>
        <w:overflowPunct/>
        <w:topLinePunct w:val="0"/>
        <w:autoSpaceDE/>
        <w:autoSpaceDN/>
        <w:bidi w:val="0"/>
        <w:adjustRightInd/>
        <w:snapToGrid/>
        <w:textAlignment w:val="auto"/>
        <w:rPr>
          <w:color w:val="auto"/>
        </w:rPr>
      </w:pPr>
    </w:p>
    <w:p w14:paraId="7DA64A35">
      <w:pPr>
        <w:rPr>
          <w:rFonts w:hint="eastAsia" w:ascii="宋体" w:hAnsi="宋体"/>
          <w:color w:val="auto"/>
          <w:sz w:val="40"/>
          <w:szCs w:val="32"/>
        </w:rPr>
      </w:pPr>
    </w:p>
    <w:p w14:paraId="15E7AD4F">
      <w:pPr>
        <w:pStyle w:val="2"/>
        <w:pageBreakBefore w:val="0"/>
        <w:kinsoku/>
        <w:wordWrap/>
        <w:overflowPunct/>
        <w:topLinePunct w:val="0"/>
        <w:autoSpaceDE/>
        <w:autoSpaceDN/>
        <w:bidi w:val="0"/>
        <w:adjustRightInd/>
        <w:snapToGrid/>
        <w:spacing w:before="0" w:after="0"/>
        <w:jc w:val="center"/>
        <w:textAlignment w:val="auto"/>
        <w:rPr>
          <w:rFonts w:ascii="宋体" w:hAnsi="宋体"/>
          <w:color w:val="auto"/>
          <w:sz w:val="40"/>
          <w:szCs w:val="32"/>
        </w:rPr>
      </w:pPr>
      <w:bookmarkStart w:id="246" w:name="_Toc3996"/>
      <w:r>
        <w:rPr>
          <w:rFonts w:hint="eastAsia" w:ascii="宋体" w:hAnsi="宋体"/>
          <w:color w:val="auto"/>
          <w:sz w:val="40"/>
          <w:szCs w:val="32"/>
        </w:rPr>
        <w:t>第</w:t>
      </w:r>
      <w:r>
        <w:rPr>
          <w:rFonts w:hint="eastAsia" w:ascii="宋体" w:hAnsi="宋体"/>
          <w:color w:val="auto"/>
          <w:sz w:val="40"/>
          <w:szCs w:val="32"/>
          <w:lang w:val="en-US" w:eastAsia="zh-CN"/>
        </w:rPr>
        <w:t>八</w:t>
      </w:r>
      <w:r>
        <w:rPr>
          <w:rFonts w:hint="eastAsia" w:ascii="宋体" w:hAnsi="宋体"/>
          <w:color w:val="auto"/>
          <w:sz w:val="40"/>
          <w:szCs w:val="32"/>
        </w:rPr>
        <w:t>章  响应文件格式</w:t>
      </w:r>
      <w:bookmarkEnd w:id="245"/>
      <w:bookmarkEnd w:id="246"/>
    </w:p>
    <w:p w14:paraId="2565F8DC">
      <w:pPr>
        <w:pageBreakBefore w:val="0"/>
        <w:widowControl/>
        <w:kinsoku/>
        <w:wordWrap/>
        <w:overflowPunct/>
        <w:topLinePunct w:val="0"/>
        <w:autoSpaceDE/>
        <w:autoSpaceDN/>
        <w:bidi w:val="0"/>
        <w:adjustRightInd/>
        <w:snapToGrid/>
        <w:ind w:firstLine="2880" w:firstLineChars="900"/>
        <w:jc w:val="left"/>
        <w:textAlignment w:val="auto"/>
        <w:rPr>
          <w:rFonts w:ascii="宋体" w:hAnsi="宋体"/>
          <w:color w:val="auto"/>
          <w:kern w:val="0"/>
          <w:sz w:val="32"/>
          <w:szCs w:val="32"/>
        </w:rPr>
      </w:pPr>
      <w:r>
        <w:rPr>
          <w:rFonts w:hint="eastAsia" w:ascii="宋体" w:hAnsi="宋体"/>
          <w:color w:val="auto"/>
          <w:kern w:val="0"/>
          <w:sz w:val="32"/>
          <w:szCs w:val="32"/>
        </w:rPr>
        <w:t>封面格式</w:t>
      </w:r>
    </w:p>
    <w:p w14:paraId="34CE5990">
      <w:pPr>
        <w:pageBreakBefore w:val="0"/>
        <w:widowControl/>
        <w:kinsoku/>
        <w:wordWrap/>
        <w:overflowPunct/>
        <w:topLinePunct w:val="0"/>
        <w:autoSpaceDE/>
        <w:autoSpaceDN/>
        <w:bidi w:val="0"/>
        <w:adjustRightInd/>
        <w:snapToGrid/>
        <w:ind w:firstLine="420"/>
        <w:jc w:val="left"/>
        <w:textAlignment w:val="auto"/>
        <w:rPr>
          <w:rFonts w:ascii="宋体" w:hAnsi="宋体"/>
          <w:color w:val="auto"/>
          <w:kern w:val="0"/>
          <w:sz w:val="24"/>
        </w:rPr>
      </w:pPr>
    </w:p>
    <w:p w14:paraId="6AB0199F">
      <w:pPr>
        <w:pageBreakBefore w:val="0"/>
        <w:widowControl/>
        <w:kinsoku/>
        <w:wordWrap/>
        <w:overflowPunct/>
        <w:topLinePunct w:val="0"/>
        <w:autoSpaceDE/>
        <w:autoSpaceDN/>
        <w:bidi w:val="0"/>
        <w:adjustRightInd/>
        <w:snapToGrid/>
        <w:ind w:firstLine="420"/>
        <w:jc w:val="left"/>
        <w:textAlignment w:val="auto"/>
        <w:rPr>
          <w:rFonts w:ascii="宋体" w:hAnsi="宋体"/>
          <w:color w:val="auto"/>
          <w:kern w:val="0"/>
          <w:sz w:val="24"/>
        </w:rPr>
      </w:pPr>
    </w:p>
    <w:p w14:paraId="6107C3F6">
      <w:pPr>
        <w:pageBreakBefore w:val="0"/>
        <w:kinsoku/>
        <w:wordWrap/>
        <w:overflowPunct/>
        <w:topLinePunct w:val="0"/>
        <w:autoSpaceDE/>
        <w:autoSpaceDN/>
        <w:bidi w:val="0"/>
        <w:adjustRightInd/>
        <w:snapToGrid/>
        <w:spacing w:line="440" w:lineRule="exact"/>
        <w:ind w:firstLine="643" w:firstLineChars="200"/>
        <w:textAlignment w:val="auto"/>
        <w:rPr>
          <w:rFonts w:ascii="宋体" w:hAnsi="宋体"/>
          <w:b/>
          <w:color w:val="auto"/>
          <w:sz w:val="32"/>
          <w:szCs w:val="32"/>
          <w:u w:val="single"/>
        </w:rPr>
      </w:pPr>
      <w:r>
        <w:rPr>
          <w:rFonts w:hint="eastAsia" w:ascii="宋体" w:hAnsi="宋体"/>
          <w:b/>
          <w:color w:val="auto"/>
          <w:sz w:val="32"/>
          <w:szCs w:val="32"/>
        </w:rPr>
        <w:t>工程项目：</w:t>
      </w:r>
    </w:p>
    <w:p w14:paraId="3B2C9906">
      <w:pPr>
        <w:pageBreakBefore w:val="0"/>
        <w:widowControl/>
        <w:kinsoku/>
        <w:wordWrap/>
        <w:overflowPunct/>
        <w:topLinePunct w:val="0"/>
        <w:autoSpaceDE/>
        <w:autoSpaceDN/>
        <w:bidi w:val="0"/>
        <w:adjustRightInd/>
        <w:snapToGrid/>
        <w:ind w:firstLine="996" w:firstLineChars="310"/>
        <w:jc w:val="center"/>
        <w:textAlignment w:val="auto"/>
        <w:rPr>
          <w:rFonts w:ascii="宋体" w:hAnsi="宋体"/>
          <w:b/>
          <w:color w:val="auto"/>
          <w:sz w:val="32"/>
          <w:szCs w:val="32"/>
        </w:rPr>
      </w:pPr>
    </w:p>
    <w:p w14:paraId="342A17F1">
      <w:pPr>
        <w:pageBreakBefore w:val="0"/>
        <w:widowControl/>
        <w:kinsoku/>
        <w:wordWrap/>
        <w:overflowPunct/>
        <w:topLinePunct w:val="0"/>
        <w:autoSpaceDE/>
        <w:autoSpaceDN/>
        <w:bidi w:val="0"/>
        <w:adjustRightInd/>
        <w:snapToGrid/>
        <w:ind w:firstLine="992" w:firstLineChars="310"/>
        <w:jc w:val="left"/>
        <w:textAlignment w:val="auto"/>
        <w:rPr>
          <w:rFonts w:ascii="宋体" w:hAnsi="宋体"/>
          <w:color w:val="auto"/>
          <w:kern w:val="0"/>
          <w:sz w:val="32"/>
          <w:szCs w:val="32"/>
          <w:u w:val="single"/>
        </w:rPr>
      </w:pPr>
    </w:p>
    <w:p w14:paraId="73B6973F">
      <w:pPr>
        <w:pageBreakBefore w:val="0"/>
        <w:widowControl/>
        <w:kinsoku/>
        <w:wordWrap/>
        <w:overflowPunct/>
        <w:topLinePunct w:val="0"/>
        <w:autoSpaceDE/>
        <w:autoSpaceDN/>
        <w:bidi w:val="0"/>
        <w:adjustRightInd/>
        <w:snapToGrid/>
        <w:ind w:firstLine="689" w:firstLineChars="245"/>
        <w:textAlignment w:val="auto"/>
        <w:rPr>
          <w:rFonts w:ascii="宋体" w:hAnsi="宋体"/>
          <w:b/>
          <w:color w:val="auto"/>
          <w:kern w:val="0"/>
          <w:sz w:val="28"/>
          <w:szCs w:val="28"/>
        </w:rPr>
      </w:pPr>
      <w:r>
        <w:rPr>
          <w:rFonts w:hint="eastAsia" w:ascii="宋体" w:hAnsi="宋体"/>
          <w:b/>
          <w:color w:val="auto"/>
          <w:kern w:val="0"/>
          <w:sz w:val="28"/>
          <w:szCs w:val="28"/>
        </w:rPr>
        <w:t>项目编号：</w:t>
      </w:r>
    </w:p>
    <w:p w14:paraId="1E456648">
      <w:pPr>
        <w:pageBreakBefore w:val="0"/>
        <w:widowControl/>
        <w:kinsoku/>
        <w:wordWrap/>
        <w:overflowPunct/>
        <w:topLinePunct w:val="0"/>
        <w:autoSpaceDE/>
        <w:autoSpaceDN/>
        <w:bidi w:val="0"/>
        <w:adjustRightInd/>
        <w:snapToGrid/>
        <w:ind w:firstLine="992" w:firstLineChars="310"/>
        <w:jc w:val="left"/>
        <w:textAlignment w:val="auto"/>
        <w:rPr>
          <w:rFonts w:ascii="宋体" w:hAnsi="宋体"/>
          <w:color w:val="auto"/>
          <w:kern w:val="0"/>
          <w:sz w:val="32"/>
          <w:szCs w:val="32"/>
          <w:u w:val="single"/>
        </w:rPr>
      </w:pPr>
    </w:p>
    <w:p w14:paraId="16338643">
      <w:pPr>
        <w:widowControl/>
        <w:ind w:firstLine="992" w:firstLineChars="310"/>
        <w:jc w:val="left"/>
        <w:rPr>
          <w:rFonts w:ascii="宋体" w:hAnsi="宋体"/>
          <w:color w:val="auto"/>
          <w:kern w:val="0"/>
          <w:sz w:val="32"/>
          <w:szCs w:val="32"/>
          <w:u w:val="single"/>
        </w:rPr>
      </w:pPr>
    </w:p>
    <w:p w14:paraId="09B19471">
      <w:pPr>
        <w:widowControl/>
        <w:ind w:firstLine="992" w:firstLineChars="310"/>
        <w:jc w:val="left"/>
        <w:rPr>
          <w:rFonts w:ascii="宋体" w:hAnsi="宋体"/>
          <w:color w:val="auto"/>
          <w:kern w:val="0"/>
          <w:sz w:val="32"/>
          <w:szCs w:val="32"/>
          <w:u w:val="single"/>
        </w:rPr>
      </w:pPr>
    </w:p>
    <w:p w14:paraId="77E3D856">
      <w:pPr>
        <w:widowControl/>
        <w:jc w:val="center"/>
        <w:rPr>
          <w:rFonts w:ascii="宋体" w:hAnsi="宋体"/>
          <w:b/>
          <w:color w:val="auto"/>
          <w:kern w:val="0"/>
          <w:sz w:val="48"/>
          <w:szCs w:val="32"/>
        </w:rPr>
      </w:pPr>
      <w:r>
        <w:rPr>
          <w:rFonts w:hint="eastAsia" w:ascii="宋体" w:hAnsi="宋体"/>
          <w:b/>
          <w:color w:val="auto"/>
          <w:kern w:val="0"/>
          <w:sz w:val="48"/>
          <w:szCs w:val="32"/>
        </w:rPr>
        <w:t xml:space="preserve"> 响 应 文 件</w:t>
      </w:r>
    </w:p>
    <w:p w14:paraId="29BF66A3">
      <w:pPr>
        <w:widowControl/>
        <w:ind w:firstLine="868" w:firstLineChars="310"/>
        <w:jc w:val="left"/>
        <w:rPr>
          <w:rFonts w:ascii="宋体" w:hAnsi="宋体"/>
          <w:color w:val="auto"/>
          <w:kern w:val="0"/>
          <w:sz w:val="28"/>
          <w:szCs w:val="28"/>
        </w:rPr>
      </w:pPr>
    </w:p>
    <w:p w14:paraId="3064748D">
      <w:pPr>
        <w:widowControl/>
        <w:jc w:val="center"/>
        <w:rPr>
          <w:rFonts w:ascii="宋体" w:hAnsi="宋体"/>
          <w:color w:val="auto"/>
          <w:kern w:val="0"/>
          <w:sz w:val="28"/>
          <w:szCs w:val="28"/>
        </w:rPr>
      </w:pPr>
    </w:p>
    <w:p w14:paraId="734B8FBA">
      <w:pPr>
        <w:widowControl/>
        <w:jc w:val="center"/>
        <w:rPr>
          <w:rFonts w:ascii="宋体" w:hAnsi="宋体"/>
          <w:b/>
          <w:color w:val="auto"/>
          <w:kern w:val="0"/>
          <w:sz w:val="28"/>
          <w:szCs w:val="28"/>
        </w:rPr>
      </w:pPr>
    </w:p>
    <w:p w14:paraId="0C60CC02">
      <w:pPr>
        <w:widowControl/>
        <w:ind w:firstLine="868" w:firstLineChars="310"/>
        <w:rPr>
          <w:rFonts w:ascii="宋体" w:hAnsi="宋体"/>
          <w:color w:val="auto"/>
          <w:kern w:val="0"/>
          <w:sz w:val="28"/>
          <w:szCs w:val="28"/>
        </w:rPr>
      </w:pPr>
    </w:p>
    <w:p w14:paraId="43B801E2">
      <w:pPr>
        <w:widowControl/>
        <w:jc w:val="left"/>
        <w:rPr>
          <w:color w:val="auto"/>
          <w:kern w:val="0"/>
          <w:sz w:val="20"/>
          <w:szCs w:val="20"/>
        </w:rPr>
      </w:pPr>
    </w:p>
    <w:p w14:paraId="45077F64">
      <w:pPr>
        <w:widowControl/>
        <w:ind w:firstLine="420"/>
        <w:jc w:val="left"/>
        <w:rPr>
          <w:color w:val="auto"/>
          <w:kern w:val="0"/>
          <w:sz w:val="20"/>
          <w:szCs w:val="20"/>
        </w:rPr>
      </w:pPr>
    </w:p>
    <w:p w14:paraId="605326E2">
      <w:pPr>
        <w:widowControl/>
        <w:ind w:firstLine="420"/>
        <w:jc w:val="left"/>
        <w:rPr>
          <w:color w:val="auto"/>
          <w:kern w:val="0"/>
          <w:sz w:val="20"/>
          <w:szCs w:val="20"/>
        </w:rPr>
      </w:pPr>
    </w:p>
    <w:p w14:paraId="61C90251">
      <w:pPr>
        <w:widowControl/>
        <w:ind w:firstLine="700" w:firstLineChars="249"/>
        <w:rPr>
          <w:rFonts w:ascii="宋体" w:hAnsi="宋体"/>
          <w:b/>
          <w:color w:val="auto"/>
          <w:kern w:val="0"/>
          <w:sz w:val="28"/>
          <w:szCs w:val="28"/>
          <w:u w:val="single"/>
        </w:rPr>
      </w:pPr>
      <w:r>
        <w:rPr>
          <w:rFonts w:hint="eastAsia" w:ascii="宋体" w:hAnsi="宋体"/>
          <w:b/>
          <w:color w:val="auto"/>
          <w:kern w:val="0"/>
          <w:sz w:val="28"/>
          <w:szCs w:val="28"/>
        </w:rPr>
        <w:t>供应商：</w:t>
      </w:r>
      <w:r>
        <w:rPr>
          <w:rFonts w:hint="eastAsia" w:ascii="宋体" w:hAnsi="宋体"/>
          <w:b/>
          <w:color w:val="auto"/>
          <w:kern w:val="0"/>
          <w:sz w:val="28"/>
          <w:szCs w:val="28"/>
          <w:u w:val="single"/>
        </w:rPr>
        <w:t xml:space="preserve">                                   （盖章）</w:t>
      </w:r>
    </w:p>
    <w:p w14:paraId="0967558B">
      <w:pPr>
        <w:widowControl/>
        <w:ind w:firstLine="647" w:firstLineChars="230"/>
        <w:rPr>
          <w:rFonts w:ascii="宋体" w:hAnsi="宋体"/>
          <w:b/>
          <w:color w:val="auto"/>
          <w:kern w:val="0"/>
          <w:sz w:val="28"/>
          <w:szCs w:val="28"/>
        </w:rPr>
      </w:pPr>
    </w:p>
    <w:p w14:paraId="4EDA757D">
      <w:pPr>
        <w:widowControl/>
        <w:ind w:firstLine="647" w:firstLineChars="230"/>
        <w:rPr>
          <w:rFonts w:ascii="宋体" w:hAnsi="宋体"/>
          <w:b/>
          <w:color w:val="auto"/>
          <w:kern w:val="0"/>
          <w:sz w:val="28"/>
          <w:szCs w:val="28"/>
          <w:u w:val="single"/>
        </w:rPr>
      </w:pPr>
      <w:r>
        <w:rPr>
          <w:rFonts w:hint="eastAsia" w:ascii="宋体" w:hAnsi="宋体"/>
          <w:b/>
          <w:color w:val="auto"/>
          <w:kern w:val="0"/>
          <w:sz w:val="28"/>
          <w:szCs w:val="28"/>
        </w:rPr>
        <w:t>法定代表人或其委托代理人：</w:t>
      </w:r>
      <w:r>
        <w:rPr>
          <w:rFonts w:hint="eastAsia" w:ascii="宋体" w:hAnsi="宋体"/>
          <w:b/>
          <w:color w:val="auto"/>
          <w:kern w:val="0"/>
          <w:sz w:val="28"/>
          <w:szCs w:val="28"/>
          <w:u w:val="single"/>
        </w:rPr>
        <w:t xml:space="preserve">               （签字或盖章）</w:t>
      </w:r>
    </w:p>
    <w:p w14:paraId="39B0DC64">
      <w:pPr>
        <w:adjustRightInd w:val="0"/>
        <w:spacing w:line="312" w:lineRule="atLeast"/>
        <w:jc w:val="center"/>
        <w:textAlignment w:val="baseline"/>
        <w:rPr>
          <w:rFonts w:ascii="宋体" w:hAnsi="宋体"/>
          <w:b/>
          <w:color w:val="auto"/>
          <w:kern w:val="0"/>
          <w:sz w:val="28"/>
          <w:szCs w:val="28"/>
        </w:rPr>
      </w:pPr>
    </w:p>
    <w:p w14:paraId="7633FEDB">
      <w:pPr>
        <w:adjustRightInd w:val="0"/>
        <w:spacing w:line="312" w:lineRule="atLeast"/>
        <w:ind w:firstLine="689" w:firstLineChars="245"/>
        <w:textAlignment w:val="baseline"/>
        <w:rPr>
          <w:b/>
          <w:color w:val="auto"/>
          <w:kern w:val="0"/>
          <w:sz w:val="28"/>
          <w:szCs w:val="28"/>
        </w:rPr>
      </w:pPr>
      <w:r>
        <w:rPr>
          <w:rFonts w:hint="eastAsia" w:ascii="宋体" w:hAnsi="宋体"/>
          <w:b/>
          <w:color w:val="auto"/>
          <w:kern w:val="0"/>
          <w:sz w:val="28"/>
          <w:szCs w:val="28"/>
        </w:rPr>
        <w:t>日期：年月日</w:t>
      </w:r>
    </w:p>
    <w:p w14:paraId="41773C07">
      <w:pPr>
        <w:spacing w:line="400" w:lineRule="exact"/>
        <w:jc w:val="center"/>
        <w:rPr>
          <w:rFonts w:ascii="宋体" w:hAnsi="宋体"/>
          <w:b/>
          <w:color w:val="auto"/>
          <w:sz w:val="44"/>
          <w:szCs w:val="44"/>
        </w:rPr>
      </w:pPr>
      <w:r>
        <w:rPr>
          <w:b/>
          <w:color w:val="auto"/>
          <w:kern w:val="0"/>
          <w:szCs w:val="20"/>
        </w:rPr>
        <w:br w:type="page"/>
      </w:r>
      <w:r>
        <w:rPr>
          <w:rFonts w:hint="eastAsia" w:ascii="宋体" w:hAnsi="宋体"/>
          <w:b/>
          <w:color w:val="auto"/>
          <w:sz w:val="36"/>
          <w:szCs w:val="36"/>
        </w:rPr>
        <w:t>目  录</w:t>
      </w:r>
    </w:p>
    <w:p w14:paraId="6BE6C721">
      <w:pPr>
        <w:spacing w:line="360" w:lineRule="auto"/>
        <w:jc w:val="center"/>
        <w:rPr>
          <w:rFonts w:ascii="宋体" w:hAnsi="宋体"/>
          <w:b/>
          <w:color w:val="auto"/>
          <w:sz w:val="44"/>
          <w:szCs w:val="44"/>
        </w:rPr>
      </w:pPr>
    </w:p>
    <w:p w14:paraId="0B2D11AE">
      <w:pPr>
        <w:spacing w:line="600" w:lineRule="exact"/>
        <w:ind w:firstLine="472" w:firstLineChars="196"/>
        <w:rPr>
          <w:rFonts w:ascii="宋体" w:hAnsi="宋体"/>
          <w:b/>
          <w:color w:val="auto"/>
          <w:sz w:val="24"/>
        </w:rPr>
      </w:pPr>
      <w:r>
        <w:rPr>
          <w:rFonts w:hint="eastAsia" w:ascii="宋体" w:hAnsi="宋体"/>
          <w:b/>
          <w:color w:val="auto"/>
          <w:sz w:val="24"/>
        </w:rPr>
        <w:t>一、资格文件</w:t>
      </w:r>
    </w:p>
    <w:p w14:paraId="281F9F37">
      <w:pPr>
        <w:snapToGrid w:val="0"/>
        <w:spacing w:line="600" w:lineRule="exact"/>
        <w:ind w:firstLine="480" w:firstLineChars="200"/>
        <w:rPr>
          <w:rFonts w:ascii="宋体" w:hAnsi="宋体"/>
          <w:bCs/>
          <w:color w:val="auto"/>
          <w:sz w:val="24"/>
        </w:rPr>
      </w:pPr>
      <w:r>
        <w:rPr>
          <w:rFonts w:hint="eastAsia" w:ascii="宋体" w:hAnsi="宋体"/>
          <w:bCs/>
          <w:color w:val="auto"/>
          <w:sz w:val="24"/>
        </w:rPr>
        <w:t>（按供应商须知第9.2条要求内容顺序编写）</w:t>
      </w:r>
    </w:p>
    <w:p w14:paraId="2B38A775">
      <w:pPr>
        <w:spacing w:line="600" w:lineRule="exact"/>
        <w:ind w:firstLine="472" w:firstLineChars="196"/>
        <w:rPr>
          <w:rFonts w:ascii="宋体" w:hAnsi="宋体"/>
          <w:b/>
          <w:color w:val="auto"/>
          <w:sz w:val="24"/>
        </w:rPr>
      </w:pPr>
      <w:r>
        <w:rPr>
          <w:rFonts w:hint="eastAsia" w:ascii="宋体" w:hAnsi="宋体"/>
          <w:b/>
          <w:color w:val="auto"/>
          <w:sz w:val="24"/>
        </w:rPr>
        <w:t>二、</w:t>
      </w:r>
      <w:r>
        <w:rPr>
          <w:rFonts w:ascii="宋体" w:hAnsi="宋体"/>
          <w:b/>
          <w:color w:val="auto"/>
          <w:sz w:val="24"/>
        </w:rPr>
        <w:t>商务</w:t>
      </w:r>
      <w:r>
        <w:rPr>
          <w:rFonts w:hint="eastAsia" w:ascii="宋体" w:hAnsi="宋体"/>
          <w:b/>
          <w:color w:val="auto"/>
          <w:sz w:val="24"/>
        </w:rPr>
        <w:t>技术文件</w:t>
      </w:r>
    </w:p>
    <w:p w14:paraId="330FCFD2">
      <w:pPr>
        <w:snapToGrid w:val="0"/>
        <w:spacing w:line="600" w:lineRule="exact"/>
        <w:ind w:firstLine="480" w:firstLineChars="200"/>
        <w:rPr>
          <w:rFonts w:ascii="宋体" w:hAnsi="宋体"/>
          <w:bCs/>
          <w:color w:val="auto"/>
          <w:sz w:val="24"/>
        </w:rPr>
      </w:pPr>
      <w:r>
        <w:rPr>
          <w:rFonts w:hint="eastAsia" w:ascii="宋体" w:hAnsi="宋体"/>
          <w:bCs/>
          <w:color w:val="auto"/>
          <w:sz w:val="24"/>
        </w:rPr>
        <w:t>（按供应商须知第9.3条要求内容顺序编写）</w:t>
      </w:r>
    </w:p>
    <w:p w14:paraId="073F0037">
      <w:pPr>
        <w:spacing w:line="600" w:lineRule="exact"/>
        <w:ind w:firstLine="472" w:firstLineChars="196"/>
        <w:rPr>
          <w:rFonts w:ascii="宋体" w:hAnsi="宋体"/>
          <w:b/>
          <w:color w:val="auto"/>
          <w:sz w:val="24"/>
        </w:rPr>
      </w:pPr>
      <w:r>
        <w:rPr>
          <w:rFonts w:hint="eastAsia" w:ascii="宋体" w:hAnsi="宋体"/>
          <w:b/>
          <w:color w:val="auto"/>
          <w:sz w:val="24"/>
        </w:rPr>
        <w:t>三、报价文件</w:t>
      </w:r>
    </w:p>
    <w:p w14:paraId="5D1F9D4E">
      <w:pPr>
        <w:spacing w:line="600" w:lineRule="exact"/>
        <w:ind w:firstLine="470" w:firstLineChars="196"/>
        <w:rPr>
          <w:rFonts w:ascii="宋体" w:hAnsi="宋体"/>
          <w:bCs/>
          <w:color w:val="auto"/>
          <w:sz w:val="24"/>
        </w:rPr>
      </w:pPr>
      <w:r>
        <w:rPr>
          <w:rFonts w:hint="eastAsia" w:ascii="宋体" w:hAnsi="宋体"/>
          <w:bCs/>
          <w:color w:val="auto"/>
          <w:sz w:val="24"/>
        </w:rPr>
        <w:t>（按供应商须知第9.4条要求内容顺序编写）</w:t>
      </w:r>
    </w:p>
    <w:p w14:paraId="5E6742CC">
      <w:pPr>
        <w:snapToGrid w:val="0"/>
        <w:spacing w:line="600" w:lineRule="exact"/>
        <w:ind w:firstLine="552" w:firstLineChars="250"/>
        <w:rPr>
          <w:rFonts w:ascii="宋体" w:hAnsi="宋体" w:cs="宋体"/>
          <w:b/>
          <w:color w:val="auto"/>
          <w:sz w:val="22"/>
          <w:szCs w:val="21"/>
        </w:rPr>
      </w:pPr>
    </w:p>
    <w:p w14:paraId="26AB4687">
      <w:pPr>
        <w:spacing w:line="600" w:lineRule="exact"/>
        <w:jc w:val="center"/>
        <w:rPr>
          <w:rFonts w:hint="eastAsia" w:ascii="宋体" w:hAnsi="宋体" w:eastAsia="宋体" w:cs="宋体"/>
          <w:b/>
          <w:bCs/>
          <w:color w:val="auto"/>
          <w:sz w:val="32"/>
          <w:szCs w:val="32"/>
          <w:lang w:eastAsia="zh-CN"/>
        </w:rPr>
      </w:pPr>
      <w:r>
        <w:rPr>
          <w:rFonts w:hint="eastAsia" w:ascii="宋体" w:hAnsi="宋体" w:cs="宋体"/>
          <w:b/>
          <w:bCs/>
          <w:color w:val="auto"/>
          <w:sz w:val="32"/>
          <w:szCs w:val="32"/>
          <w:lang w:eastAsia="zh-CN"/>
        </w:rPr>
        <w:t>（供应商在编制竞标文件的过程中如发现采购文件提供的格式模板不合适，可以按照竞标目录的内容自行拟定格式编制。）</w:t>
      </w:r>
    </w:p>
    <w:p w14:paraId="6333233A">
      <w:pPr>
        <w:spacing w:line="600" w:lineRule="exact"/>
        <w:rPr>
          <w:rFonts w:ascii="宋体" w:hAnsi="宋体" w:cs="宋体"/>
          <w:color w:val="auto"/>
        </w:rPr>
      </w:pPr>
    </w:p>
    <w:p w14:paraId="41081BE1">
      <w:pPr>
        <w:spacing w:line="600" w:lineRule="exact"/>
        <w:ind w:firstLine="660" w:firstLineChars="300"/>
        <w:rPr>
          <w:rFonts w:ascii="宋体" w:hAnsi="宋体" w:cs="宋体"/>
          <w:color w:val="auto"/>
          <w:sz w:val="22"/>
          <w:szCs w:val="21"/>
        </w:rPr>
      </w:pPr>
    </w:p>
    <w:p w14:paraId="15F5AB35">
      <w:pPr>
        <w:snapToGrid w:val="0"/>
        <w:spacing w:line="600" w:lineRule="exact"/>
        <w:ind w:firstLine="315" w:firstLineChars="150"/>
        <w:rPr>
          <w:rFonts w:ascii="宋体" w:hAnsi="宋体" w:cs="宋体"/>
          <w:color w:val="auto"/>
          <w:szCs w:val="21"/>
        </w:rPr>
      </w:pPr>
    </w:p>
    <w:p w14:paraId="563EFB9E">
      <w:pPr>
        <w:snapToGrid w:val="0"/>
        <w:spacing w:line="600" w:lineRule="exact"/>
        <w:ind w:firstLine="315" w:firstLineChars="150"/>
        <w:rPr>
          <w:rFonts w:ascii="宋体" w:hAnsi="宋体" w:cs="宋体"/>
          <w:color w:val="auto"/>
          <w:szCs w:val="21"/>
        </w:rPr>
      </w:pPr>
    </w:p>
    <w:p w14:paraId="0D047488">
      <w:pPr>
        <w:snapToGrid w:val="0"/>
        <w:spacing w:line="360" w:lineRule="auto"/>
        <w:ind w:firstLine="315" w:firstLineChars="150"/>
        <w:rPr>
          <w:rFonts w:ascii="宋体" w:hAnsi="宋体" w:cs="宋体"/>
          <w:color w:val="auto"/>
          <w:szCs w:val="21"/>
        </w:rPr>
      </w:pPr>
    </w:p>
    <w:p w14:paraId="77A6988F">
      <w:pPr>
        <w:snapToGrid w:val="0"/>
        <w:spacing w:line="360" w:lineRule="auto"/>
        <w:ind w:firstLine="315" w:firstLineChars="150"/>
        <w:rPr>
          <w:rFonts w:ascii="宋体" w:hAnsi="宋体" w:cs="宋体"/>
          <w:color w:val="auto"/>
          <w:szCs w:val="21"/>
        </w:rPr>
      </w:pPr>
    </w:p>
    <w:p w14:paraId="120AFFF1">
      <w:pPr>
        <w:snapToGrid w:val="0"/>
        <w:spacing w:line="360" w:lineRule="auto"/>
        <w:ind w:firstLine="315" w:firstLineChars="150"/>
        <w:rPr>
          <w:rFonts w:ascii="宋体" w:hAnsi="宋体" w:cs="宋体"/>
          <w:color w:val="auto"/>
          <w:szCs w:val="21"/>
        </w:rPr>
      </w:pPr>
    </w:p>
    <w:p w14:paraId="20B0D0E0">
      <w:pPr>
        <w:snapToGrid w:val="0"/>
        <w:spacing w:line="360" w:lineRule="auto"/>
        <w:ind w:firstLine="315" w:firstLineChars="150"/>
        <w:rPr>
          <w:rFonts w:ascii="宋体" w:hAnsi="宋体" w:cs="宋体"/>
          <w:color w:val="auto"/>
          <w:szCs w:val="21"/>
        </w:rPr>
      </w:pPr>
    </w:p>
    <w:p w14:paraId="21B1280F">
      <w:pPr>
        <w:snapToGrid w:val="0"/>
        <w:spacing w:line="360" w:lineRule="auto"/>
        <w:ind w:firstLine="315" w:firstLineChars="150"/>
        <w:rPr>
          <w:rFonts w:ascii="宋体" w:hAnsi="宋体" w:cs="宋体"/>
          <w:color w:val="auto"/>
          <w:szCs w:val="21"/>
        </w:rPr>
      </w:pPr>
    </w:p>
    <w:p w14:paraId="062DCE02">
      <w:pPr>
        <w:adjustRightInd w:val="0"/>
        <w:spacing w:line="360" w:lineRule="auto"/>
        <w:jc w:val="center"/>
        <w:textAlignment w:val="baseline"/>
        <w:rPr>
          <w:rFonts w:ascii="宋体"/>
          <w:b/>
          <w:color w:val="auto"/>
          <w:kern w:val="0"/>
          <w:sz w:val="32"/>
          <w:szCs w:val="20"/>
        </w:rPr>
      </w:pPr>
    </w:p>
    <w:p w14:paraId="744CB9A1">
      <w:pPr>
        <w:adjustRightInd w:val="0"/>
        <w:spacing w:line="360" w:lineRule="auto"/>
        <w:jc w:val="center"/>
        <w:textAlignment w:val="baseline"/>
        <w:rPr>
          <w:rFonts w:ascii="宋体"/>
          <w:b/>
          <w:color w:val="auto"/>
          <w:kern w:val="0"/>
          <w:sz w:val="32"/>
          <w:szCs w:val="20"/>
        </w:rPr>
      </w:pPr>
    </w:p>
    <w:p w14:paraId="1C02764A">
      <w:pPr>
        <w:adjustRightInd w:val="0"/>
        <w:spacing w:line="360" w:lineRule="auto"/>
        <w:jc w:val="center"/>
        <w:textAlignment w:val="baseline"/>
        <w:rPr>
          <w:rFonts w:ascii="宋体"/>
          <w:b/>
          <w:color w:val="auto"/>
          <w:kern w:val="0"/>
          <w:sz w:val="32"/>
          <w:szCs w:val="20"/>
        </w:rPr>
      </w:pPr>
    </w:p>
    <w:p w14:paraId="037F1DC0">
      <w:pPr>
        <w:adjustRightInd w:val="0"/>
        <w:spacing w:line="360" w:lineRule="auto"/>
        <w:jc w:val="center"/>
        <w:textAlignment w:val="baseline"/>
        <w:rPr>
          <w:rFonts w:ascii="宋体"/>
          <w:b/>
          <w:color w:val="auto"/>
          <w:kern w:val="0"/>
          <w:sz w:val="32"/>
          <w:szCs w:val="20"/>
        </w:rPr>
      </w:pPr>
    </w:p>
    <w:p w14:paraId="203AC9F1">
      <w:pPr>
        <w:adjustRightInd w:val="0"/>
        <w:spacing w:line="360" w:lineRule="auto"/>
        <w:jc w:val="center"/>
        <w:textAlignment w:val="baseline"/>
        <w:rPr>
          <w:rFonts w:ascii="宋体"/>
          <w:b/>
          <w:color w:val="auto"/>
          <w:kern w:val="0"/>
          <w:sz w:val="32"/>
          <w:szCs w:val="20"/>
        </w:rPr>
      </w:pPr>
    </w:p>
    <w:p w14:paraId="0C7706E1">
      <w:pPr>
        <w:adjustRightInd w:val="0"/>
        <w:spacing w:line="360" w:lineRule="auto"/>
        <w:jc w:val="center"/>
        <w:textAlignment w:val="baseline"/>
        <w:rPr>
          <w:rFonts w:ascii="宋体"/>
          <w:b/>
          <w:color w:val="auto"/>
          <w:kern w:val="0"/>
          <w:sz w:val="32"/>
          <w:szCs w:val="20"/>
        </w:rPr>
      </w:pPr>
    </w:p>
    <w:p w14:paraId="756C2D6D">
      <w:pPr>
        <w:keepNext w:val="0"/>
        <w:keepLines w:val="0"/>
        <w:widowControl/>
        <w:suppressLineNumbers w:val="0"/>
        <w:ind w:left="0" w:leftChars="0" w:firstLine="0" w:firstLineChars="0"/>
        <w:jc w:val="left"/>
        <w:rPr>
          <w:rFonts w:hint="eastAsia" w:ascii="方正小标宋简体" w:hAnsi="方正小标宋简体" w:eastAsia="方正小标宋简体" w:cs="方正小标宋简体"/>
          <w:color w:val="auto"/>
          <w:kern w:val="0"/>
          <w:sz w:val="43"/>
          <w:szCs w:val="43"/>
          <w:lang w:val="en-US" w:eastAsia="zh-CN" w:bidi="ar"/>
        </w:rPr>
      </w:pPr>
      <w:r>
        <w:rPr>
          <w:rFonts w:hint="eastAsia" w:ascii="方正黑体_GBK" w:hAnsi="方正黑体_GBK" w:eastAsia="方正黑体_GBK" w:cs="方正黑体_GBK"/>
          <w:color w:val="auto"/>
          <w:kern w:val="0"/>
          <w:sz w:val="31"/>
          <w:szCs w:val="31"/>
          <w:lang w:val="en-US" w:eastAsia="zh-CN" w:bidi="ar"/>
        </w:rPr>
        <w:t>格式一：</w:t>
      </w:r>
      <w:r>
        <w:rPr>
          <w:rFonts w:ascii="方正黑体_GBK" w:hAnsi="方正黑体_GBK" w:eastAsia="方正黑体_GBK" w:cs="方正黑体_GBK"/>
          <w:color w:val="auto"/>
          <w:kern w:val="0"/>
          <w:sz w:val="31"/>
          <w:szCs w:val="31"/>
          <w:lang w:val="en-US" w:eastAsia="zh-CN" w:bidi="ar"/>
        </w:rPr>
        <w:t xml:space="preserve"> </w:t>
      </w:r>
    </w:p>
    <w:p w14:paraId="0781139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color w:val="auto"/>
          <w:sz w:val="32"/>
          <w:szCs w:val="32"/>
        </w:rPr>
      </w:pPr>
      <w:r>
        <w:rPr>
          <w:rFonts w:hint="eastAsia" w:ascii="方正小标宋简体" w:hAnsi="方正小标宋简体" w:eastAsia="方正小标宋简体" w:cs="方正小标宋简体"/>
          <w:color w:val="auto"/>
          <w:kern w:val="0"/>
          <w:sz w:val="36"/>
          <w:szCs w:val="36"/>
          <w:lang w:val="en-US" w:eastAsia="zh-CN" w:bidi="ar"/>
        </w:rPr>
        <w:t>崇左</w:t>
      </w:r>
      <w:r>
        <w:rPr>
          <w:rFonts w:ascii="方正小标宋简体" w:hAnsi="方正小标宋简体" w:eastAsia="方正小标宋简体" w:cs="方正小标宋简体"/>
          <w:color w:val="auto"/>
          <w:kern w:val="0"/>
          <w:sz w:val="36"/>
          <w:szCs w:val="36"/>
          <w:lang w:val="en-US" w:eastAsia="zh-CN" w:bidi="ar"/>
        </w:rPr>
        <w:t>市政府采购供应商信用承诺函（格式）</w:t>
      </w:r>
    </w:p>
    <w:p w14:paraId="253608A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32"/>
          <w:szCs w:val="32"/>
          <w:lang w:val="en-US" w:eastAsia="zh-CN" w:bidi="ar"/>
        </w:rPr>
      </w:pPr>
    </w:p>
    <w:p w14:paraId="1B390D16">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color w:val="auto"/>
          <w:sz w:val="21"/>
          <w:szCs w:val="21"/>
          <w:u w:val="single"/>
          <w:lang w:val="en-US" w:eastAsia="zh-CN"/>
        </w:rPr>
      </w:pPr>
      <w:r>
        <w:rPr>
          <w:rFonts w:hint="eastAsia" w:ascii="仿宋_GB2312" w:hAnsi="仿宋_GB2312" w:eastAsia="仿宋_GB2312" w:cs="仿宋_GB2312"/>
          <w:color w:val="auto"/>
          <w:kern w:val="0"/>
          <w:sz w:val="21"/>
          <w:szCs w:val="21"/>
          <w:lang w:val="en-US" w:eastAsia="zh-CN" w:bidi="ar"/>
        </w:rPr>
        <w:t>致</w:t>
      </w:r>
      <w:r>
        <w:rPr>
          <w:rFonts w:hint="eastAsia" w:ascii="仿宋_GB2312" w:hAnsi="仿宋_GB2312" w:eastAsia="仿宋_GB2312" w:cs="仿宋_GB2312"/>
          <w:color w:val="auto"/>
          <w:kern w:val="0"/>
          <w:sz w:val="21"/>
          <w:szCs w:val="21"/>
          <w:u w:val="single"/>
          <w:lang w:val="en-US" w:eastAsia="zh-CN" w:bidi="ar"/>
        </w:rPr>
        <w:t>（采购代理机构名称）</w:t>
      </w:r>
      <w:r>
        <w:rPr>
          <w:rFonts w:hint="eastAsia" w:ascii="仿宋_GB2312" w:hAnsi="仿宋_GB2312" w:eastAsia="仿宋_GB2312" w:cs="仿宋_GB2312"/>
          <w:color w:val="auto"/>
          <w:kern w:val="0"/>
          <w:sz w:val="21"/>
          <w:szCs w:val="21"/>
          <w:u w:val="none"/>
          <w:lang w:val="en-US" w:eastAsia="zh-CN" w:bidi="ar"/>
        </w:rPr>
        <w:t>:</w:t>
      </w:r>
    </w:p>
    <w:p w14:paraId="1BA5EA4C">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仿宋_GB2312" w:hAnsi="仿宋_GB2312" w:eastAsia="仿宋_GB2312" w:cs="仿宋_GB2312"/>
          <w:color w:val="auto"/>
          <w:spacing w:val="-6"/>
          <w:sz w:val="21"/>
          <w:szCs w:val="21"/>
        </w:rPr>
      </w:pPr>
      <w:r>
        <w:rPr>
          <w:rFonts w:hint="eastAsia" w:ascii="仿宋_GB2312" w:hAnsi="仿宋_GB2312" w:eastAsia="仿宋_GB2312" w:cs="仿宋_GB2312"/>
          <w:color w:val="auto"/>
          <w:kern w:val="0"/>
          <w:sz w:val="21"/>
          <w:szCs w:val="21"/>
          <w:lang w:val="en-US" w:eastAsia="zh-CN" w:bidi="ar"/>
        </w:rPr>
        <w:t>我方自愿参加</w:t>
      </w:r>
      <w:r>
        <w:rPr>
          <w:rFonts w:hint="eastAsia" w:ascii="仿宋_GB2312" w:hAnsi="仿宋_GB2312" w:eastAsia="仿宋_GB2312" w:cs="仿宋_GB2312"/>
          <w:color w:val="auto"/>
          <w:kern w:val="0"/>
          <w:sz w:val="21"/>
          <w:szCs w:val="21"/>
          <w:u w:val="single"/>
          <w:lang w:val="en-US" w:eastAsia="zh-CN" w:bidi="ar"/>
        </w:rPr>
        <w:t xml:space="preserve"> （项目名称） </w:t>
      </w:r>
      <w:r>
        <w:rPr>
          <w:rFonts w:hint="eastAsia" w:ascii="仿宋_GB2312" w:hAnsi="仿宋_GB2312" w:eastAsia="仿宋_GB2312" w:cs="仿宋_GB2312"/>
          <w:color w:val="auto"/>
          <w:kern w:val="0"/>
          <w:sz w:val="21"/>
          <w:szCs w:val="21"/>
          <w:lang w:val="en-US" w:eastAsia="zh-CN" w:bidi="ar"/>
        </w:rPr>
        <w:t>项目</w:t>
      </w:r>
      <w:r>
        <w:rPr>
          <w:rFonts w:hint="eastAsia" w:ascii="仿宋_GB2312" w:hAnsi="Times New Roman" w:eastAsia="仿宋_GB2312" w:cs="Times New Roman"/>
          <w:color w:val="auto"/>
          <w:spacing w:val="6"/>
          <w:sz w:val="21"/>
          <w:szCs w:val="21"/>
        </w:rPr>
        <w:t>（项目编号：</w:t>
      </w:r>
      <w:r>
        <w:rPr>
          <w:rFonts w:hint="eastAsia" w:ascii="仿宋_GB2312" w:hAnsi="Times New Roman" w:eastAsia="仿宋_GB2312" w:cs="Times New Roman"/>
          <w:color w:val="auto"/>
          <w:spacing w:val="6"/>
          <w:sz w:val="21"/>
          <w:szCs w:val="21"/>
          <w:u w:val="single"/>
        </w:rPr>
        <w:t xml:space="preserve">       </w:t>
      </w:r>
      <w:r>
        <w:rPr>
          <w:rFonts w:hint="eastAsia" w:ascii="仿宋_GB2312" w:eastAsia="仿宋_GB2312" w:cs="Times New Roman"/>
          <w:color w:val="auto"/>
          <w:spacing w:val="6"/>
          <w:sz w:val="21"/>
          <w:szCs w:val="21"/>
          <w:u w:val="single"/>
          <w:lang w:val="en-US" w:eastAsia="zh-CN"/>
        </w:rPr>
        <w:t xml:space="preserve">  </w:t>
      </w:r>
      <w:r>
        <w:rPr>
          <w:rFonts w:hint="eastAsia" w:ascii="仿宋_GB2312" w:hAnsi="Times New Roman" w:eastAsia="仿宋_GB2312" w:cs="Times New Roman"/>
          <w:color w:val="auto"/>
          <w:spacing w:val="6"/>
          <w:sz w:val="21"/>
          <w:szCs w:val="21"/>
        </w:rPr>
        <w:t>）</w:t>
      </w:r>
      <w:r>
        <w:rPr>
          <w:rFonts w:hint="eastAsia" w:ascii="仿宋_GB2312" w:hAnsi="仿宋_GB2312" w:eastAsia="仿宋_GB2312" w:cs="仿宋_GB2312"/>
          <w:color w:val="auto"/>
          <w:kern w:val="0"/>
          <w:sz w:val="21"/>
          <w:szCs w:val="21"/>
          <w:lang w:val="en-US" w:eastAsia="zh-CN" w:bidi="ar"/>
        </w:rPr>
        <w:t>的政府采购活动，严格遵守《中华人民共和国政府采购法》及相关法律法规，依法诚信经营，无条件遵守本次政府采购活动的各项规定，并郑重承诺</w:t>
      </w:r>
      <w:r>
        <w:rPr>
          <w:rFonts w:hint="eastAsia" w:ascii="仿宋_GB2312" w:hAnsi="仿宋_GB2312" w:eastAsia="仿宋_GB2312" w:cs="仿宋_GB2312"/>
          <w:color w:val="auto"/>
          <w:spacing w:val="-6"/>
          <w:kern w:val="0"/>
          <w:sz w:val="21"/>
          <w:szCs w:val="21"/>
          <w:lang w:val="en-US" w:eastAsia="zh-CN" w:bidi="ar"/>
        </w:rPr>
        <w:t xml:space="preserve">： </w:t>
      </w:r>
    </w:p>
    <w:p w14:paraId="2E79CDD7">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1.我方</w:t>
      </w:r>
      <w:r>
        <w:rPr>
          <w:rFonts w:hint="eastAsia" w:ascii="仿宋_GB2312" w:hAnsi="Times New Roman" w:eastAsia="仿宋_GB2312" w:cs="Times New Roman"/>
          <w:color w:val="auto"/>
          <w:spacing w:val="6"/>
          <w:sz w:val="21"/>
          <w:szCs w:val="21"/>
          <w:lang w:val="en-US" w:eastAsia="zh-CN"/>
        </w:rPr>
        <w:t>具有独立承担民事责任的能力或我方属于银行、保险、石油石化、电力、电信等有行业特殊情况的法人的分支机构在参加本次政府采购活动前已取得总公司的授权。</w:t>
      </w:r>
    </w:p>
    <w:p w14:paraId="675ABF2D">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 xml:space="preserve">2.我方具有符合采购文件资格要求的财务状况报告。 </w:t>
      </w:r>
    </w:p>
    <w:p w14:paraId="408357FB">
      <w:pPr>
        <w:keepNext w:val="0"/>
        <w:keepLines w:val="0"/>
        <w:pageBreakBefore w:val="0"/>
        <w:widowControl/>
        <w:suppressLineNumbers w:val="0"/>
        <w:kinsoku/>
        <w:wordWrap/>
        <w:overflowPunct/>
        <w:topLinePunct w:val="0"/>
        <w:autoSpaceDE/>
        <w:autoSpaceDN/>
        <w:bidi w:val="0"/>
        <w:adjustRightInd/>
        <w:snapToGrid/>
        <w:spacing w:line="440" w:lineRule="exact"/>
        <w:ind w:firstLine="396" w:firstLineChars="200"/>
        <w:jc w:val="both"/>
        <w:textAlignment w:val="auto"/>
        <w:rPr>
          <w:rFonts w:hint="eastAsia" w:ascii="仿宋_GB2312" w:hAnsi="仿宋_GB2312" w:eastAsia="仿宋_GB2312" w:cs="仿宋_GB2312"/>
          <w:color w:val="auto"/>
          <w:spacing w:val="-17"/>
          <w:sz w:val="21"/>
          <w:szCs w:val="21"/>
        </w:rPr>
      </w:pPr>
      <w:r>
        <w:rPr>
          <w:rFonts w:hint="eastAsia" w:ascii="仿宋_GB2312" w:hAnsi="仿宋_GB2312" w:eastAsia="仿宋_GB2312" w:cs="仿宋_GB2312"/>
          <w:color w:val="auto"/>
          <w:spacing w:val="-6"/>
          <w:kern w:val="0"/>
          <w:sz w:val="21"/>
          <w:szCs w:val="21"/>
          <w:lang w:val="en-US" w:eastAsia="zh-CN" w:bidi="ar"/>
        </w:rPr>
        <w:t>3.我方具有符合采购文件资格要求的依法缴纳税收和社会保障资金的良好记录。</w:t>
      </w:r>
      <w:r>
        <w:rPr>
          <w:rFonts w:hint="eastAsia" w:ascii="仿宋_GB2312" w:hAnsi="仿宋_GB2312" w:eastAsia="仿宋_GB2312" w:cs="仿宋_GB2312"/>
          <w:color w:val="auto"/>
          <w:spacing w:val="-17"/>
          <w:kern w:val="0"/>
          <w:sz w:val="21"/>
          <w:szCs w:val="21"/>
          <w:lang w:val="en-US" w:eastAsia="zh-CN" w:bidi="ar"/>
        </w:rPr>
        <w:t xml:space="preserve"> </w:t>
      </w:r>
    </w:p>
    <w:p w14:paraId="54CD7C15">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 xml:space="preserve">4.我方具有符合采购文件资格要求履行合同所必需的设备和专业技术能力。 </w:t>
      </w:r>
    </w:p>
    <w:p w14:paraId="69A42CE4">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 xml:space="preserve">5.我方参加政府采购活动前3年内在经营活动中没有重大违法记录。 </w:t>
      </w:r>
    </w:p>
    <w:p w14:paraId="7A246659">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我方对以上承诺内容的真实性负责。如有虚假，将依法承担相应责任。</w:t>
      </w:r>
    </w:p>
    <w:p w14:paraId="484F0256">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仿宋_GB2312" w:hAnsi="仿宋_GB2312" w:eastAsia="仿宋_GB2312" w:cs="仿宋_GB2312"/>
          <w:color w:val="auto"/>
          <w:kern w:val="0"/>
          <w:sz w:val="21"/>
          <w:szCs w:val="21"/>
          <w:lang w:val="en-US" w:eastAsia="zh-CN" w:bidi="ar"/>
        </w:rPr>
      </w:pPr>
    </w:p>
    <w:p w14:paraId="2C79D11D">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仿宋_GB2312" w:hAnsi="仿宋_GB2312" w:eastAsia="仿宋_GB2312" w:cs="仿宋_GB2312"/>
          <w:color w:val="auto"/>
          <w:kern w:val="0"/>
          <w:sz w:val="21"/>
          <w:szCs w:val="21"/>
          <w:lang w:val="en-US" w:eastAsia="zh-CN" w:bidi="ar"/>
        </w:rPr>
      </w:pPr>
    </w:p>
    <w:p w14:paraId="6CE3A7CD">
      <w:pPr>
        <w:keepNext w:val="0"/>
        <w:keepLines w:val="0"/>
        <w:pageBreakBefore w:val="0"/>
        <w:widowControl/>
        <w:suppressLineNumbers w:val="0"/>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供应商名称</w:t>
      </w:r>
      <w:r>
        <w:rPr>
          <w:rFonts w:hint="eastAsia" w:ascii="仿宋_GB2312" w:hAnsi="仿宋" w:eastAsia="仿宋_GB2312" w:cs="仿宋_GB2312"/>
          <w:color w:val="auto"/>
          <w:kern w:val="0"/>
          <w:sz w:val="21"/>
          <w:szCs w:val="21"/>
          <w:highlight w:val="none"/>
        </w:rPr>
        <w:t>（电子签章）</w:t>
      </w:r>
      <w:r>
        <w:rPr>
          <w:rFonts w:hint="eastAsia" w:ascii="仿宋_GB2312" w:hAnsi="仿宋_GB2312" w:eastAsia="仿宋_GB2312" w:cs="仿宋_GB2312"/>
          <w:color w:val="auto"/>
          <w:kern w:val="0"/>
          <w:sz w:val="21"/>
          <w:szCs w:val="21"/>
          <w:lang w:val="en-US" w:eastAsia="zh-CN" w:bidi="ar"/>
        </w:rPr>
        <w:t xml:space="preserve">： </w:t>
      </w:r>
    </w:p>
    <w:p w14:paraId="4F005781">
      <w:pPr>
        <w:keepNext w:val="0"/>
        <w:keepLines w:val="0"/>
        <w:pageBreakBefore w:val="0"/>
        <w:tabs>
          <w:tab w:val="left" w:pos="7560"/>
        </w:tabs>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日期：</w:t>
      </w:r>
    </w:p>
    <w:p w14:paraId="01685E66">
      <w:pPr>
        <w:rPr>
          <w:rFonts w:ascii="宋体" w:hAnsi="宋体"/>
          <w:b/>
          <w:color w:val="auto"/>
          <w:sz w:val="24"/>
        </w:rPr>
      </w:pPr>
    </w:p>
    <w:p w14:paraId="6944FEEA">
      <w:pPr>
        <w:jc w:val="left"/>
        <w:rPr>
          <w:rFonts w:hint="eastAsia" w:ascii="宋体" w:hAnsi="宋体"/>
          <w:b/>
          <w:color w:val="auto"/>
          <w:sz w:val="24"/>
        </w:rPr>
      </w:pPr>
    </w:p>
    <w:p w14:paraId="716460D1">
      <w:pPr>
        <w:jc w:val="left"/>
        <w:rPr>
          <w:rFonts w:hint="eastAsia" w:ascii="宋体" w:hAnsi="宋体"/>
          <w:b/>
          <w:color w:val="auto"/>
          <w:sz w:val="24"/>
        </w:rPr>
      </w:pPr>
    </w:p>
    <w:p w14:paraId="688B67DC">
      <w:pPr>
        <w:jc w:val="left"/>
        <w:rPr>
          <w:rFonts w:hint="eastAsia" w:ascii="宋体" w:hAnsi="宋体"/>
          <w:b/>
          <w:color w:val="auto"/>
          <w:sz w:val="24"/>
        </w:rPr>
      </w:pPr>
    </w:p>
    <w:p w14:paraId="41C92BEC">
      <w:pPr>
        <w:jc w:val="left"/>
        <w:rPr>
          <w:rFonts w:hint="eastAsia" w:ascii="宋体" w:hAnsi="宋体"/>
          <w:b/>
          <w:color w:val="auto"/>
          <w:sz w:val="24"/>
        </w:rPr>
      </w:pPr>
    </w:p>
    <w:p w14:paraId="0B491206">
      <w:pPr>
        <w:jc w:val="left"/>
        <w:rPr>
          <w:rFonts w:hint="eastAsia" w:ascii="宋体" w:hAnsi="宋体"/>
          <w:b/>
          <w:color w:val="auto"/>
          <w:sz w:val="24"/>
        </w:rPr>
      </w:pPr>
    </w:p>
    <w:p w14:paraId="1570C3E6">
      <w:pPr>
        <w:jc w:val="left"/>
        <w:rPr>
          <w:rFonts w:hint="eastAsia" w:ascii="宋体" w:hAnsi="宋体"/>
          <w:b/>
          <w:color w:val="auto"/>
          <w:sz w:val="24"/>
        </w:rPr>
      </w:pPr>
    </w:p>
    <w:p w14:paraId="578DC72C">
      <w:pPr>
        <w:rPr>
          <w:rFonts w:hint="eastAsia" w:ascii="宋体" w:hAnsi="宋体"/>
          <w:b/>
          <w:color w:val="auto"/>
          <w:sz w:val="24"/>
        </w:rPr>
      </w:pPr>
      <w:r>
        <w:rPr>
          <w:rFonts w:hint="eastAsia" w:ascii="宋体" w:hAnsi="宋体"/>
          <w:b/>
          <w:color w:val="auto"/>
          <w:sz w:val="24"/>
        </w:rPr>
        <w:br w:type="page"/>
      </w:r>
    </w:p>
    <w:p w14:paraId="06381DE4">
      <w:pPr>
        <w:jc w:val="left"/>
        <w:rPr>
          <w:rFonts w:ascii="宋体" w:hAnsi="宋体"/>
          <w:b/>
          <w:color w:val="auto"/>
          <w:sz w:val="24"/>
        </w:rPr>
      </w:pPr>
      <w:r>
        <w:rPr>
          <w:rFonts w:hint="eastAsia" w:ascii="宋体" w:hAnsi="宋体"/>
          <w:b/>
          <w:color w:val="auto"/>
          <w:sz w:val="24"/>
        </w:rPr>
        <w:t>格式</w:t>
      </w:r>
      <w:r>
        <w:rPr>
          <w:rFonts w:hint="eastAsia" w:ascii="宋体" w:hAnsi="宋体"/>
          <w:b/>
          <w:color w:val="auto"/>
          <w:sz w:val="24"/>
          <w:lang w:eastAsia="zh-CN"/>
        </w:rPr>
        <w:t>二</w:t>
      </w:r>
      <w:r>
        <w:rPr>
          <w:rFonts w:hint="eastAsia" w:ascii="宋体" w:hAnsi="宋体"/>
          <w:b/>
          <w:color w:val="auto"/>
          <w:sz w:val="24"/>
        </w:rPr>
        <w:t>：</w:t>
      </w:r>
    </w:p>
    <w:p w14:paraId="2B0B36A6">
      <w:pPr>
        <w:spacing w:line="420" w:lineRule="exact"/>
        <w:ind w:firstLine="482" w:firstLineChars="200"/>
        <w:jc w:val="left"/>
        <w:rPr>
          <w:rFonts w:ascii="宋体" w:hAnsi="宋体"/>
          <w:b/>
          <w:color w:val="auto"/>
          <w:sz w:val="24"/>
        </w:rPr>
      </w:pPr>
    </w:p>
    <w:p w14:paraId="723CCD1C">
      <w:pPr>
        <w:spacing w:line="420" w:lineRule="exact"/>
        <w:ind w:firstLine="482" w:firstLineChars="200"/>
        <w:jc w:val="left"/>
        <w:rPr>
          <w:rFonts w:ascii="宋体" w:hAnsi="宋体"/>
          <w:color w:val="auto"/>
          <w:sz w:val="24"/>
        </w:rPr>
      </w:pPr>
      <w:r>
        <w:rPr>
          <w:rFonts w:hint="eastAsia" w:ascii="宋体" w:hAnsi="宋体"/>
          <w:b/>
          <w:color w:val="auto"/>
          <w:sz w:val="24"/>
        </w:rPr>
        <w:t>供应商参与政府采购活动前三年在经营活动中没有重大违法记录的书面声明函</w:t>
      </w:r>
    </w:p>
    <w:p w14:paraId="4CE0D888">
      <w:pPr>
        <w:spacing w:line="400" w:lineRule="exact"/>
        <w:ind w:left="28" w:firstLine="452"/>
        <w:jc w:val="center"/>
        <w:rPr>
          <w:rFonts w:ascii="宋体" w:hAnsi="宋体"/>
          <w:b/>
          <w:color w:val="auto"/>
          <w:sz w:val="24"/>
        </w:rPr>
      </w:pPr>
    </w:p>
    <w:p w14:paraId="7252F364">
      <w:pPr>
        <w:spacing w:line="400" w:lineRule="exact"/>
        <w:ind w:left="28" w:firstLine="452"/>
        <w:jc w:val="center"/>
        <w:rPr>
          <w:rFonts w:ascii="宋体" w:hAnsi="宋体"/>
          <w:b/>
          <w:color w:val="auto"/>
          <w:sz w:val="24"/>
        </w:rPr>
      </w:pPr>
    </w:p>
    <w:p w14:paraId="7524285B">
      <w:pPr>
        <w:spacing w:line="460" w:lineRule="exact"/>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（采购人） </w:t>
      </w:r>
    </w:p>
    <w:p w14:paraId="2F4EB2BD">
      <w:pPr>
        <w:spacing w:line="460" w:lineRule="exact"/>
        <w:ind w:firstLine="315" w:firstLineChars="150"/>
        <w:rPr>
          <w:rFonts w:ascii="宋体" w:hAnsi="宋体"/>
          <w:color w:val="auto"/>
          <w:szCs w:val="21"/>
        </w:rPr>
      </w:pPr>
    </w:p>
    <w:p w14:paraId="2BC91C44">
      <w:pPr>
        <w:spacing w:line="460" w:lineRule="exact"/>
        <w:ind w:firstLine="315" w:firstLineChars="150"/>
        <w:rPr>
          <w:rFonts w:ascii="宋体" w:hAnsi="宋体"/>
          <w:color w:val="auto"/>
          <w:szCs w:val="21"/>
        </w:rPr>
      </w:pPr>
      <w:r>
        <w:rPr>
          <w:rFonts w:hint="eastAsia" w:ascii="宋体" w:hAnsi="宋体"/>
          <w:color w:val="auto"/>
          <w:szCs w:val="21"/>
        </w:rPr>
        <w:t>我单位近三年在经营活动中没有重大违法记录（包括：因违法经营受到刑事处罚或者责令停产停业，吊销许可证或者执照、较大数额罚款等行政处罚），特此声明。</w:t>
      </w:r>
    </w:p>
    <w:p w14:paraId="6AEB6823">
      <w:pPr>
        <w:spacing w:line="460" w:lineRule="exact"/>
        <w:ind w:firstLine="315" w:firstLineChars="150"/>
        <w:rPr>
          <w:rFonts w:ascii="宋体" w:hAnsi="宋体"/>
          <w:color w:val="auto"/>
          <w:szCs w:val="21"/>
        </w:rPr>
      </w:pPr>
      <w:r>
        <w:rPr>
          <w:rFonts w:hint="eastAsia" w:ascii="宋体" w:hAnsi="宋体"/>
          <w:color w:val="auto"/>
          <w:szCs w:val="21"/>
        </w:rPr>
        <w:t>若采购单位在本项目采购过程中发现我单位近三年内在经营活动中有重大违法记录，我单位将无条件地退出本项目的磋商，并承担因此引起的一切后果。</w:t>
      </w:r>
    </w:p>
    <w:p w14:paraId="1A734AB4">
      <w:pPr>
        <w:spacing w:line="460" w:lineRule="exact"/>
        <w:ind w:firstLine="315" w:firstLineChars="150"/>
        <w:rPr>
          <w:rFonts w:ascii="宋体" w:hAnsi="宋体"/>
          <w:color w:val="auto"/>
          <w:szCs w:val="21"/>
        </w:rPr>
      </w:pPr>
    </w:p>
    <w:p w14:paraId="41FB58B6">
      <w:pPr>
        <w:spacing w:line="360" w:lineRule="exact"/>
        <w:rPr>
          <w:rFonts w:ascii="宋体" w:hAnsi="宋体"/>
          <w:color w:val="auto"/>
          <w:szCs w:val="21"/>
        </w:rPr>
      </w:pPr>
    </w:p>
    <w:p w14:paraId="2E61F12B">
      <w:pPr>
        <w:keepNext w:val="0"/>
        <w:keepLines w:val="0"/>
        <w:pageBreakBefore w:val="0"/>
        <w:widowControl/>
        <w:suppressLineNumbers w:val="0"/>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供应商名称</w:t>
      </w:r>
      <w:r>
        <w:rPr>
          <w:rFonts w:hint="eastAsia" w:ascii="仿宋_GB2312" w:hAnsi="仿宋" w:eastAsia="仿宋_GB2312" w:cs="仿宋_GB2312"/>
          <w:color w:val="auto"/>
          <w:kern w:val="0"/>
          <w:sz w:val="21"/>
          <w:szCs w:val="21"/>
          <w:highlight w:val="none"/>
        </w:rPr>
        <w:t>（电子签章）</w:t>
      </w:r>
      <w:r>
        <w:rPr>
          <w:rFonts w:hint="eastAsia" w:ascii="仿宋_GB2312" w:hAnsi="仿宋_GB2312" w:eastAsia="仿宋_GB2312" w:cs="仿宋_GB2312"/>
          <w:color w:val="auto"/>
          <w:kern w:val="0"/>
          <w:sz w:val="21"/>
          <w:szCs w:val="21"/>
          <w:lang w:val="en-US" w:eastAsia="zh-CN" w:bidi="ar"/>
        </w:rPr>
        <w:t xml:space="preserve">： </w:t>
      </w:r>
    </w:p>
    <w:p w14:paraId="09A70047">
      <w:pPr>
        <w:keepNext w:val="0"/>
        <w:keepLines w:val="0"/>
        <w:pageBreakBefore w:val="0"/>
        <w:tabs>
          <w:tab w:val="left" w:pos="7560"/>
        </w:tabs>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日期：</w:t>
      </w:r>
    </w:p>
    <w:p w14:paraId="0BC30BB6">
      <w:pPr>
        <w:jc w:val="center"/>
        <w:rPr>
          <w:rFonts w:ascii="宋体" w:hAnsi="宋体"/>
          <w:b/>
          <w:color w:val="auto"/>
          <w:sz w:val="24"/>
        </w:rPr>
      </w:pPr>
    </w:p>
    <w:p w14:paraId="22ECEB4B">
      <w:pPr>
        <w:jc w:val="center"/>
        <w:rPr>
          <w:rFonts w:ascii="宋体" w:hAnsi="宋体"/>
          <w:b/>
          <w:color w:val="auto"/>
          <w:sz w:val="24"/>
        </w:rPr>
      </w:pPr>
    </w:p>
    <w:p w14:paraId="1BECF559">
      <w:pPr>
        <w:jc w:val="center"/>
        <w:rPr>
          <w:rFonts w:ascii="宋体" w:hAnsi="宋体"/>
          <w:b/>
          <w:color w:val="auto"/>
          <w:sz w:val="24"/>
        </w:rPr>
      </w:pPr>
    </w:p>
    <w:p w14:paraId="1BE50C23">
      <w:pPr>
        <w:jc w:val="center"/>
        <w:rPr>
          <w:rFonts w:ascii="宋体" w:hAnsi="宋体"/>
          <w:b/>
          <w:color w:val="auto"/>
          <w:sz w:val="24"/>
        </w:rPr>
      </w:pPr>
    </w:p>
    <w:p w14:paraId="491D4A32">
      <w:pPr>
        <w:jc w:val="center"/>
        <w:rPr>
          <w:rFonts w:ascii="宋体" w:hAnsi="宋体"/>
          <w:b/>
          <w:color w:val="auto"/>
          <w:sz w:val="24"/>
        </w:rPr>
      </w:pPr>
    </w:p>
    <w:p w14:paraId="05E0A397">
      <w:pPr>
        <w:jc w:val="center"/>
        <w:rPr>
          <w:rFonts w:ascii="宋体" w:hAnsi="宋体"/>
          <w:b/>
          <w:color w:val="auto"/>
          <w:sz w:val="24"/>
        </w:rPr>
      </w:pPr>
    </w:p>
    <w:p w14:paraId="331198C2">
      <w:pPr>
        <w:jc w:val="center"/>
        <w:rPr>
          <w:rFonts w:ascii="宋体" w:hAnsi="宋体"/>
          <w:b/>
          <w:color w:val="auto"/>
          <w:sz w:val="24"/>
        </w:rPr>
      </w:pPr>
    </w:p>
    <w:p w14:paraId="7EC850D9">
      <w:pPr>
        <w:jc w:val="center"/>
        <w:rPr>
          <w:rFonts w:ascii="宋体" w:hAnsi="宋体"/>
          <w:b/>
          <w:color w:val="auto"/>
          <w:sz w:val="24"/>
        </w:rPr>
      </w:pPr>
    </w:p>
    <w:p w14:paraId="706AD754">
      <w:pPr>
        <w:jc w:val="center"/>
        <w:rPr>
          <w:rFonts w:ascii="宋体" w:hAnsi="宋体"/>
          <w:b/>
          <w:color w:val="auto"/>
          <w:sz w:val="24"/>
        </w:rPr>
      </w:pPr>
    </w:p>
    <w:p w14:paraId="16F75587">
      <w:pPr>
        <w:jc w:val="center"/>
        <w:rPr>
          <w:rFonts w:ascii="宋体" w:hAnsi="宋体"/>
          <w:b/>
          <w:color w:val="auto"/>
          <w:sz w:val="24"/>
        </w:rPr>
      </w:pPr>
    </w:p>
    <w:p w14:paraId="547461CD">
      <w:pPr>
        <w:jc w:val="center"/>
        <w:rPr>
          <w:rFonts w:ascii="宋体" w:hAnsi="宋体"/>
          <w:b/>
          <w:color w:val="auto"/>
          <w:sz w:val="24"/>
        </w:rPr>
      </w:pPr>
    </w:p>
    <w:p w14:paraId="72A6F00D">
      <w:pPr>
        <w:jc w:val="center"/>
        <w:rPr>
          <w:rFonts w:ascii="宋体" w:hAnsi="宋体"/>
          <w:b/>
          <w:color w:val="auto"/>
          <w:sz w:val="24"/>
        </w:rPr>
      </w:pPr>
    </w:p>
    <w:p w14:paraId="44BB8FAE">
      <w:pPr>
        <w:jc w:val="center"/>
        <w:rPr>
          <w:rFonts w:ascii="宋体" w:hAnsi="宋体"/>
          <w:b/>
          <w:color w:val="auto"/>
          <w:sz w:val="24"/>
        </w:rPr>
      </w:pPr>
    </w:p>
    <w:p w14:paraId="5ED6E3C5">
      <w:pPr>
        <w:jc w:val="center"/>
        <w:rPr>
          <w:rFonts w:ascii="宋体" w:hAnsi="宋体"/>
          <w:b/>
          <w:color w:val="auto"/>
          <w:sz w:val="24"/>
        </w:rPr>
      </w:pPr>
    </w:p>
    <w:p w14:paraId="39062BC3">
      <w:pPr>
        <w:jc w:val="center"/>
        <w:rPr>
          <w:rFonts w:ascii="宋体" w:hAnsi="宋体"/>
          <w:b/>
          <w:color w:val="auto"/>
          <w:sz w:val="24"/>
        </w:rPr>
      </w:pPr>
    </w:p>
    <w:p w14:paraId="6D889157">
      <w:pPr>
        <w:jc w:val="center"/>
        <w:rPr>
          <w:rFonts w:ascii="宋体" w:hAnsi="宋体"/>
          <w:b/>
          <w:color w:val="auto"/>
          <w:sz w:val="24"/>
        </w:rPr>
      </w:pPr>
    </w:p>
    <w:p w14:paraId="16BAD677">
      <w:pPr>
        <w:pStyle w:val="18"/>
        <w:rPr>
          <w:rFonts w:ascii="宋体" w:hAnsi="宋体"/>
          <w:b/>
          <w:color w:val="auto"/>
          <w:sz w:val="24"/>
        </w:rPr>
      </w:pPr>
    </w:p>
    <w:p w14:paraId="5E8BCF6A">
      <w:pPr>
        <w:pStyle w:val="43"/>
        <w:rPr>
          <w:rFonts w:ascii="宋体" w:hAnsi="宋体"/>
          <w:b/>
          <w:color w:val="auto"/>
          <w:sz w:val="24"/>
        </w:rPr>
      </w:pPr>
    </w:p>
    <w:p w14:paraId="10AD9C07">
      <w:pPr>
        <w:rPr>
          <w:rFonts w:ascii="宋体" w:hAnsi="宋体"/>
          <w:b/>
          <w:color w:val="auto"/>
          <w:sz w:val="24"/>
        </w:rPr>
      </w:pPr>
    </w:p>
    <w:p w14:paraId="565D78C9">
      <w:pPr>
        <w:pStyle w:val="4"/>
        <w:rPr>
          <w:color w:val="auto"/>
        </w:rPr>
      </w:pPr>
    </w:p>
    <w:p w14:paraId="3DC61B5F">
      <w:pPr>
        <w:rPr>
          <w:rFonts w:ascii="宋体" w:hAnsi="宋体"/>
          <w:b/>
          <w:color w:val="auto"/>
          <w:sz w:val="24"/>
        </w:rPr>
      </w:pPr>
    </w:p>
    <w:p w14:paraId="43E5A8EA">
      <w:pPr>
        <w:pStyle w:val="18"/>
        <w:rPr>
          <w:rFonts w:ascii="宋体" w:hAnsi="宋体"/>
          <w:b/>
          <w:color w:val="auto"/>
          <w:sz w:val="24"/>
        </w:rPr>
      </w:pPr>
    </w:p>
    <w:p w14:paraId="70183CB6">
      <w:pPr>
        <w:spacing w:line="360" w:lineRule="auto"/>
        <w:contextualSpacing/>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lang w:eastAsia="zh-CN"/>
        </w:rPr>
        <w:t>格式三：</w:t>
      </w:r>
      <w:r>
        <w:rPr>
          <w:rFonts w:hint="eastAsia" w:ascii="仿宋" w:hAnsi="仿宋" w:eastAsia="仿宋" w:cs="仿宋_GB2312"/>
          <w:b/>
          <w:color w:val="auto"/>
          <w:kern w:val="0"/>
          <w:sz w:val="30"/>
          <w:szCs w:val="30"/>
          <w:highlight w:val="none"/>
        </w:rPr>
        <w:t>供应商直接控股股东信息</w:t>
      </w:r>
      <w:r>
        <w:rPr>
          <w:rFonts w:hint="eastAsia" w:ascii="仿宋" w:hAnsi="仿宋" w:eastAsia="仿宋" w:cs="仿宋_GB2312"/>
          <w:b/>
          <w:color w:val="auto"/>
          <w:kern w:val="0"/>
          <w:sz w:val="30"/>
          <w:szCs w:val="30"/>
          <w:highlight w:val="none"/>
          <w:lang w:eastAsia="zh-CN"/>
        </w:rPr>
        <w:t>、</w:t>
      </w:r>
      <w:r>
        <w:rPr>
          <w:rFonts w:hint="eastAsia" w:ascii="仿宋" w:hAnsi="仿宋" w:eastAsia="仿宋" w:cs="仿宋_GB2312"/>
          <w:b/>
          <w:color w:val="auto"/>
          <w:kern w:val="0"/>
          <w:sz w:val="30"/>
          <w:szCs w:val="30"/>
          <w:highlight w:val="none"/>
        </w:rPr>
        <w:t>供应商直接管理关系信息表</w:t>
      </w:r>
    </w:p>
    <w:p w14:paraId="30674324">
      <w:pPr>
        <w:pStyle w:val="18"/>
        <w:rPr>
          <w:rFonts w:hint="eastAsia"/>
          <w:color w:val="auto"/>
          <w:highlight w:val="none"/>
          <w:lang w:eastAsia="zh-CN"/>
        </w:rPr>
      </w:pPr>
    </w:p>
    <w:p w14:paraId="0C1045A8">
      <w:pPr>
        <w:spacing w:line="360" w:lineRule="auto"/>
        <w:ind w:firstLine="596" w:firstLineChars="198"/>
        <w:contextualSpacing/>
        <w:jc w:val="center"/>
        <w:rPr>
          <w:rFonts w:hint="eastAsia" w:ascii="宋体" w:hAnsi="宋体"/>
          <w:b/>
          <w:color w:val="auto"/>
          <w:sz w:val="24"/>
          <w:highlight w:val="none"/>
        </w:rPr>
      </w:pPr>
      <w:r>
        <w:rPr>
          <w:rFonts w:hint="eastAsia" w:ascii="仿宋" w:hAnsi="仿宋" w:eastAsia="仿宋" w:cs="仿宋_GB2312"/>
          <w:b/>
          <w:color w:val="auto"/>
          <w:kern w:val="0"/>
          <w:sz w:val="30"/>
          <w:szCs w:val="30"/>
          <w:highlight w:val="none"/>
        </w:rPr>
        <w:t>供应商直接控股股东信息</w:t>
      </w:r>
    </w:p>
    <w:tbl>
      <w:tblPr>
        <w:tblStyle w:val="45"/>
        <w:tblW w:w="9485" w:type="dxa"/>
        <w:jc w:val="center"/>
        <w:shd w:val="clear" w:color="auto" w:fill="FBFBFB"/>
        <w:tblLayout w:type="fixed"/>
        <w:tblCellMar>
          <w:top w:w="0" w:type="dxa"/>
          <w:left w:w="0" w:type="dxa"/>
          <w:bottom w:w="0" w:type="dxa"/>
          <w:right w:w="0" w:type="dxa"/>
        </w:tblCellMar>
      </w:tblPr>
      <w:tblGrid>
        <w:gridCol w:w="870"/>
        <w:gridCol w:w="2445"/>
        <w:gridCol w:w="1263"/>
        <w:gridCol w:w="4052"/>
        <w:gridCol w:w="855"/>
      </w:tblGrid>
      <w:tr w14:paraId="200DA42D">
        <w:tblPrEx>
          <w:shd w:val="clear" w:color="auto" w:fill="FBFBFB"/>
          <w:tblCellMar>
            <w:top w:w="0" w:type="dxa"/>
            <w:left w:w="0" w:type="dxa"/>
            <w:bottom w:w="0" w:type="dxa"/>
            <w:right w:w="0" w:type="dxa"/>
          </w:tblCellMar>
        </w:tblPrEx>
        <w:trPr>
          <w:tblHeader/>
          <w:jc w:val="center"/>
        </w:trPr>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9D6354">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44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FA5334">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4D7674">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05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24D114">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7E255E">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1235B6E">
        <w:tblPrEx>
          <w:tblCellMar>
            <w:top w:w="0" w:type="dxa"/>
            <w:left w:w="0" w:type="dxa"/>
            <w:bottom w:w="0" w:type="dxa"/>
            <w:right w:w="0" w:type="dxa"/>
          </w:tblCellMar>
        </w:tblPrEx>
        <w:trPr>
          <w:jc w:val="center"/>
        </w:trPr>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3D5934">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44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261A75">
            <w:pPr>
              <w:widowControl/>
              <w:spacing w:line="360" w:lineRule="auto"/>
              <w:contextualSpacing/>
              <w:jc w:val="center"/>
              <w:rPr>
                <w:rFonts w:hint="eastAsia" w:ascii="宋体" w:hAnsi="宋体" w:cs="宋体"/>
                <w:color w:val="auto"/>
                <w:kern w:val="0"/>
                <w:sz w:val="24"/>
                <w:highlight w:val="none"/>
              </w:rPr>
            </w:pP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0CD4C9">
            <w:pPr>
              <w:widowControl/>
              <w:spacing w:line="360" w:lineRule="auto"/>
              <w:contextualSpacing/>
              <w:jc w:val="center"/>
              <w:rPr>
                <w:rFonts w:hint="eastAsia" w:ascii="宋体" w:hAnsi="宋体" w:cs="宋体"/>
                <w:color w:val="auto"/>
                <w:kern w:val="0"/>
                <w:sz w:val="24"/>
                <w:highlight w:val="none"/>
              </w:rPr>
            </w:pPr>
          </w:p>
        </w:tc>
        <w:tc>
          <w:tcPr>
            <w:tcW w:w="405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1F2299">
            <w:pPr>
              <w:widowControl/>
              <w:spacing w:line="360" w:lineRule="auto"/>
              <w:contextualSpacing/>
              <w:jc w:val="center"/>
              <w:rPr>
                <w:rFonts w:hint="eastAsia" w:ascii="宋体" w:hAnsi="宋体" w:cs="宋体"/>
                <w:color w:val="auto"/>
                <w:kern w:val="0"/>
                <w:sz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235716">
            <w:pPr>
              <w:widowControl/>
              <w:spacing w:line="360" w:lineRule="auto"/>
              <w:contextualSpacing/>
              <w:jc w:val="center"/>
              <w:rPr>
                <w:rFonts w:hint="eastAsia" w:ascii="宋体" w:hAnsi="宋体" w:cs="宋体"/>
                <w:color w:val="auto"/>
                <w:kern w:val="0"/>
                <w:sz w:val="24"/>
                <w:highlight w:val="none"/>
              </w:rPr>
            </w:pPr>
          </w:p>
        </w:tc>
      </w:tr>
      <w:tr w14:paraId="06617B4C">
        <w:tblPrEx>
          <w:tblCellMar>
            <w:top w:w="0" w:type="dxa"/>
            <w:left w:w="0" w:type="dxa"/>
            <w:bottom w:w="0" w:type="dxa"/>
            <w:right w:w="0" w:type="dxa"/>
          </w:tblCellMar>
        </w:tblPrEx>
        <w:trPr>
          <w:jc w:val="center"/>
        </w:trPr>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3943E4">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44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621DB5">
            <w:pPr>
              <w:widowControl/>
              <w:spacing w:line="360" w:lineRule="auto"/>
              <w:contextualSpacing/>
              <w:jc w:val="center"/>
              <w:rPr>
                <w:rFonts w:hint="eastAsia" w:ascii="宋体" w:hAnsi="宋体" w:cs="宋体"/>
                <w:color w:val="auto"/>
                <w:kern w:val="0"/>
                <w:sz w:val="24"/>
                <w:highlight w:val="none"/>
              </w:rPr>
            </w:pP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1CA6E8">
            <w:pPr>
              <w:widowControl/>
              <w:spacing w:line="360" w:lineRule="auto"/>
              <w:contextualSpacing/>
              <w:jc w:val="center"/>
              <w:rPr>
                <w:rFonts w:hint="eastAsia" w:ascii="宋体" w:hAnsi="宋体" w:cs="宋体"/>
                <w:color w:val="auto"/>
                <w:kern w:val="0"/>
                <w:sz w:val="24"/>
                <w:highlight w:val="none"/>
              </w:rPr>
            </w:pPr>
          </w:p>
        </w:tc>
        <w:tc>
          <w:tcPr>
            <w:tcW w:w="405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9D6AD6">
            <w:pPr>
              <w:widowControl/>
              <w:spacing w:line="360" w:lineRule="auto"/>
              <w:contextualSpacing/>
              <w:jc w:val="center"/>
              <w:rPr>
                <w:rFonts w:hint="eastAsia" w:ascii="宋体" w:hAnsi="宋体" w:cs="宋体"/>
                <w:color w:val="auto"/>
                <w:kern w:val="0"/>
                <w:sz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F986EC">
            <w:pPr>
              <w:widowControl/>
              <w:spacing w:line="360" w:lineRule="auto"/>
              <w:contextualSpacing/>
              <w:jc w:val="center"/>
              <w:rPr>
                <w:rFonts w:hint="eastAsia" w:ascii="宋体" w:hAnsi="宋体" w:cs="宋体"/>
                <w:color w:val="auto"/>
                <w:kern w:val="0"/>
                <w:sz w:val="24"/>
                <w:highlight w:val="none"/>
              </w:rPr>
            </w:pPr>
          </w:p>
        </w:tc>
      </w:tr>
      <w:tr w14:paraId="1F3E2719">
        <w:tblPrEx>
          <w:tblCellMar>
            <w:top w:w="0" w:type="dxa"/>
            <w:left w:w="0" w:type="dxa"/>
            <w:bottom w:w="0" w:type="dxa"/>
            <w:right w:w="0" w:type="dxa"/>
          </w:tblCellMar>
        </w:tblPrEx>
        <w:trPr>
          <w:jc w:val="center"/>
        </w:trPr>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43B4D6">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44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BBEAD8">
            <w:pPr>
              <w:widowControl/>
              <w:spacing w:line="360" w:lineRule="auto"/>
              <w:contextualSpacing/>
              <w:jc w:val="center"/>
              <w:rPr>
                <w:rFonts w:hint="eastAsia" w:ascii="宋体" w:hAnsi="宋体" w:cs="宋体"/>
                <w:color w:val="auto"/>
                <w:kern w:val="0"/>
                <w:sz w:val="24"/>
                <w:highlight w:val="none"/>
              </w:rPr>
            </w:pP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102FF6">
            <w:pPr>
              <w:widowControl/>
              <w:spacing w:line="360" w:lineRule="auto"/>
              <w:contextualSpacing/>
              <w:jc w:val="center"/>
              <w:rPr>
                <w:rFonts w:hint="eastAsia" w:ascii="宋体" w:hAnsi="宋体" w:cs="宋体"/>
                <w:color w:val="auto"/>
                <w:kern w:val="0"/>
                <w:sz w:val="24"/>
                <w:highlight w:val="none"/>
              </w:rPr>
            </w:pPr>
          </w:p>
        </w:tc>
        <w:tc>
          <w:tcPr>
            <w:tcW w:w="405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A29829">
            <w:pPr>
              <w:widowControl/>
              <w:spacing w:line="360" w:lineRule="auto"/>
              <w:contextualSpacing/>
              <w:jc w:val="center"/>
              <w:rPr>
                <w:rFonts w:hint="eastAsia" w:ascii="宋体" w:hAnsi="宋体" w:cs="宋体"/>
                <w:color w:val="auto"/>
                <w:kern w:val="0"/>
                <w:sz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9C0FEB">
            <w:pPr>
              <w:widowControl/>
              <w:spacing w:line="360" w:lineRule="auto"/>
              <w:contextualSpacing/>
              <w:jc w:val="center"/>
              <w:rPr>
                <w:rFonts w:hint="eastAsia" w:ascii="宋体" w:hAnsi="宋体" w:cs="宋体"/>
                <w:color w:val="auto"/>
                <w:kern w:val="0"/>
                <w:sz w:val="24"/>
                <w:highlight w:val="none"/>
              </w:rPr>
            </w:pPr>
          </w:p>
        </w:tc>
      </w:tr>
      <w:tr w14:paraId="3ECB79E9">
        <w:tblPrEx>
          <w:tblCellMar>
            <w:top w:w="0" w:type="dxa"/>
            <w:left w:w="0" w:type="dxa"/>
            <w:bottom w:w="0" w:type="dxa"/>
            <w:right w:w="0" w:type="dxa"/>
          </w:tblCellMar>
        </w:tblPrEx>
        <w:trPr>
          <w:jc w:val="center"/>
        </w:trPr>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17E91F">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44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1DC7C5">
            <w:pPr>
              <w:widowControl/>
              <w:spacing w:line="360" w:lineRule="auto"/>
              <w:contextualSpacing/>
              <w:jc w:val="center"/>
              <w:rPr>
                <w:rFonts w:hint="eastAsia" w:ascii="宋体" w:hAnsi="宋体" w:cs="宋体"/>
                <w:color w:val="auto"/>
                <w:kern w:val="0"/>
                <w:sz w:val="24"/>
                <w:highlight w:val="none"/>
              </w:rPr>
            </w:pP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FB489B">
            <w:pPr>
              <w:widowControl/>
              <w:spacing w:line="360" w:lineRule="auto"/>
              <w:contextualSpacing/>
              <w:jc w:val="center"/>
              <w:rPr>
                <w:rFonts w:hint="eastAsia" w:ascii="宋体" w:hAnsi="宋体" w:cs="宋体"/>
                <w:color w:val="auto"/>
                <w:kern w:val="0"/>
                <w:sz w:val="24"/>
                <w:highlight w:val="none"/>
              </w:rPr>
            </w:pPr>
          </w:p>
        </w:tc>
        <w:tc>
          <w:tcPr>
            <w:tcW w:w="405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69C1A2">
            <w:pPr>
              <w:widowControl/>
              <w:spacing w:line="360" w:lineRule="auto"/>
              <w:contextualSpacing/>
              <w:jc w:val="center"/>
              <w:rPr>
                <w:rFonts w:hint="eastAsia" w:ascii="宋体" w:hAnsi="宋体" w:cs="宋体"/>
                <w:color w:val="auto"/>
                <w:kern w:val="0"/>
                <w:sz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AF6662">
            <w:pPr>
              <w:widowControl/>
              <w:spacing w:line="360" w:lineRule="auto"/>
              <w:contextualSpacing/>
              <w:jc w:val="center"/>
              <w:rPr>
                <w:rFonts w:hint="eastAsia" w:ascii="宋体" w:hAnsi="宋体" w:cs="宋体"/>
                <w:color w:val="auto"/>
                <w:kern w:val="0"/>
                <w:sz w:val="24"/>
                <w:highlight w:val="none"/>
              </w:rPr>
            </w:pPr>
          </w:p>
        </w:tc>
      </w:tr>
    </w:tbl>
    <w:p w14:paraId="6813DB2C">
      <w:pPr>
        <w:spacing w:line="360" w:lineRule="auto"/>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注：</w:t>
      </w:r>
    </w:p>
    <w:p w14:paraId="3B36FE2C">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B650550">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2.本表所指的控股关系仅限于直接控股关系，不包括间接的控股关系。公司实际控制人与公司之间的关系不属于本表所指的直接控股关系。</w:t>
      </w:r>
    </w:p>
    <w:p w14:paraId="541F075C">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3.供应商不存在直接控股股东的，则填“无”。</w:t>
      </w:r>
    </w:p>
    <w:p w14:paraId="434DF611">
      <w:pPr>
        <w:snapToGrid w:val="0"/>
        <w:spacing w:line="360" w:lineRule="auto"/>
        <w:jc w:val="left"/>
        <w:rPr>
          <w:rFonts w:hint="eastAsia" w:ascii="宋体" w:hAnsi="宋体" w:cs="宋体"/>
          <w:color w:val="auto"/>
          <w:sz w:val="24"/>
          <w:highlight w:val="none"/>
        </w:rPr>
      </w:pPr>
    </w:p>
    <w:p w14:paraId="032A3EAC">
      <w:pPr>
        <w:snapToGrid w:val="0"/>
        <w:spacing w:line="360" w:lineRule="auto"/>
        <w:jc w:val="left"/>
        <w:rPr>
          <w:rFonts w:hint="eastAsia" w:ascii="宋体" w:hAnsi="宋体" w:cs="宋体"/>
          <w:color w:val="auto"/>
          <w:sz w:val="24"/>
          <w:highlight w:val="none"/>
        </w:rPr>
      </w:pPr>
    </w:p>
    <w:p w14:paraId="28C00E15">
      <w:pPr>
        <w:keepNext w:val="0"/>
        <w:keepLines w:val="0"/>
        <w:pageBreakBefore w:val="0"/>
        <w:widowControl/>
        <w:suppressLineNumbers w:val="0"/>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供应商名称</w:t>
      </w:r>
      <w:r>
        <w:rPr>
          <w:rFonts w:hint="eastAsia" w:ascii="仿宋_GB2312" w:hAnsi="仿宋" w:eastAsia="仿宋_GB2312" w:cs="仿宋_GB2312"/>
          <w:color w:val="auto"/>
          <w:kern w:val="0"/>
          <w:sz w:val="21"/>
          <w:szCs w:val="21"/>
          <w:highlight w:val="none"/>
        </w:rPr>
        <w:t>（电子签章）</w:t>
      </w:r>
      <w:r>
        <w:rPr>
          <w:rFonts w:hint="eastAsia" w:ascii="仿宋_GB2312" w:hAnsi="仿宋_GB2312" w:eastAsia="仿宋_GB2312" w:cs="仿宋_GB2312"/>
          <w:color w:val="auto"/>
          <w:kern w:val="0"/>
          <w:sz w:val="21"/>
          <w:szCs w:val="21"/>
          <w:lang w:val="en-US" w:eastAsia="zh-CN" w:bidi="ar"/>
        </w:rPr>
        <w:t xml:space="preserve">： </w:t>
      </w:r>
    </w:p>
    <w:p w14:paraId="43EF0B4C">
      <w:pPr>
        <w:keepNext w:val="0"/>
        <w:keepLines w:val="0"/>
        <w:pageBreakBefore w:val="0"/>
        <w:tabs>
          <w:tab w:val="left" w:pos="7560"/>
        </w:tabs>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日期：</w:t>
      </w:r>
    </w:p>
    <w:p w14:paraId="6BC9682B">
      <w:pPr>
        <w:snapToGrid w:val="0"/>
        <w:rPr>
          <w:rFonts w:hint="eastAsia" w:ascii="仿宋" w:hAnsi="仿宋" w:eastAsia="仿宋" w:cs="仿宋_GB2312"/>
          <w:b/>
          <w:color w:val="auto"/>
          <w:kern w:val="0"/>
          <w:sz w:val="30"/>
          <w:szCs w:val="30"/>
          <w:highlight w:val="none"/>
        </w:rPr>
      </w:pPr>
    </w:p>
    <w:p w14:paraId="27590C1F">
      <w:pPr>
        <w:snapToGrid w:val="0"/>
        <w:ind w:firstLine="596" w:firstLineChars="198"/>
        <w:jc w:val="center"/>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br w:type="page"/>
      </w:r>
      <w:r>
        <w:rPr>
          <w:rFonts w:hint="eastAsia" w:ascii="仿宋" w:hAnsi="仿宋" w:eastAsia="仿宋" w:cs="仿宋_GB2312"/>
          <w:b/>
          <w:color w:val="auto"/>
          <w:kern w:val="0"/>
          <w:sz w:val="30"/>
          <w:szCs w:val="30"/>
          <w:highlight w:val="none"/>
        </w:rPr>
        <w:t>供应商直接管理关系信息表</w:t>
      </w:r>
    </w:p>
    <w:p w14:paraId="0D2BB2F3">
      <w:pPr>
        <w:snapToGrid w:val="0"/>
        <w:spacing w:line="360" w:lineRule="auto"/>
        <w:jc w:val="center"/>
        <w:rPr>
          <w:rFonts w:hint="eastAsia" w:ascii="宋体" w:hAnsi="宋体"/>
          <w:b/>
          <w:color w:val="auto"/>
          <w:sz w:val="24"/>
          <w:highlight w:val="none"/>
        </w:rPr>
      </w:pPr>
    </w:p>
    <w:tbl>
      <w:tblPr>
        <w:tblStyle w:val="45"/>
        <w:tblW w:w="9118" w:type="dxa"/>
        <w:jc w:val="center"/>
        <w:shd w:val="clear" w:color="auto" w:fill="FBFBFB"/>
        <w:tblLayout w:type="fixed"/>
        <w:tblCellMar>
          <w:top w:w="0" w:type="dxa"/>
          <w:left w:w="0" w:type="dxa"/>
          <w:bottom w:w="0" w:type="dxa"/>
          <w:right w:w="0" w:type="dxa"/>
        </w:tblCellMar>
      </w:tblPr>
      <w:tblGrid>
        <w:gridCol w:w="763"/>
        <w:gridCol w:w="3401"/>
        <w:gridCol w:w="3359"/>
        <w:gridCol w:w="1595"/>
      </w:tblGrid>
      <w:tr w14:paraId="28B4D6DE">
        <w:tblPrEx>
          <w:shd w:val="clear" w:color="auto" w:fill="FBFBFB"/>
          <w:tblCellMar>
            <w:top w:w="0" w:type="dxa"/>
            <w:left w:w="0" w:type="dxa"/>
            <w:bottom w:w="0" w:type="dxa"/>
            <w:right w:w="0" w:type="dxa"/>
          </w:tblCellMar>
        </w:tblPrEx>
        <w:trPr>
          <w:trHeight w:val="0" w:hRule="atLeast"/>
          <w:tblHeader/>
          <w:jc w:val="center"/>
        </w:trPr>
        <w:tc>
          <w:tcPr>
            <w:tcW w:w="763"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38E7480E">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401"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53A1C4A9">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359"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28851B04">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511E5B52">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1256AD0">
        <w:tblPrEx>
          <w:tblCellMar>
            <w:top w:w="0" w:type="dxa"/>
            <w:left w:w="0" w:type="dxa"/>
            <w:bottom w:w="0" w:type="dxa"/>
            <w:right w:w="0" w:type="dxa"/>
          </w:tblCellMar>
        </w:tblPrEx>
        <w:trPr>
          <w:trHeight w:val="0"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02342D66">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401"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3F79A649">
            <w:pPr>
              <w:widowControl/>
              <w:spacing w:line="360" w:lineRule="auto"/>
              <w:contextualSpacing/>
              <w:jc w:val="center"/>
              <w:rPr>
                <w:rFonts w:ascii="宋体" w:hAnsi="宋体" w:cs="宋体"/>
                <w:color w:val="auto"/>
                <w:kern w:val="0"/>
                <w:sz w:val="24"/>
                <w:highlight w:val="none"/>
              </w:rPr>
            </w:pPr>
          </w:p>
        </w:tc>
        <w:tc>
          <w:tcPr>
            <w:tcW w:w="3359"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717D1ED0">
            <w:pPr>
              <w:widowControl/>
              <w:spacing w:line="360" w:lineRule="auto"/>
              <w:contextualSpacing/>
              <w:jc w:val="center"/>
              <w:rPr>
                <w:rFonts w:ascii="宋体" w:hAnsi="宋体" w:cs="宋体"/>
                <w:color w:val="auto"/>
                <w:kern w:val="0"/>
                <w:sz w:val="24"/>
                <w:highlight w:val="none"/>
              </w:rPr>
            </w:pPr>
          </w:p>
        </w:tc>
        <w:tc>
          <w:tcPr>
            <w:tcW w:w="1595"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40B4AE93">
            <w:pPr>
              <w:widowControl/>
              <w:spacing w:line="360" w:lineRule="auto"/>
              <w:contextualSpacing/>
              <w:jc w:val="center"/>
              <w:rPr>
                <w:rFonts w:ascii="宋体" w:hAnsi="宋体" w:cs="宋体"/>
                <w:color w:val="auto"/>
                <w:kern w:val="0"/>
                <w:sz w:val="24"/>
                <w:highlight w:val="none"/>
              </w:rPr>
            </w:pPr>
          </w:p>
        </w:tc>
      </w:tr>
      <w:tr w14:paraId="1A1CD61D">
        <w:tblPrEx>
          <w:tblCellMar>
            <w:top w:w="0" w:type="dxa"/>
            <w:left w:w="0" w:type="dxa"/>
            <w:bottom w:w="0" w:type="dxa"/>
            <w:right w:w="0" w:type="dxa"/>
          </w:tblCellMar>
        </w:tblPrEx>
        <w:trPr>
          <w:trHeight w:val="0"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56A6FB60">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401"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2EE39F44">
            <w:pPr>
              <w:widowControl/>
              <w:spacing w:line="360" w:lineRule="auto"/>
              <w:contextualSpacing/>
              <w:jc w:val="center"/>
              <w:rPr>
                <w:rFonts w:ascii="宋体" w:hAnsi="宋体" w:cs="宋体"/>
                <w:color w:val="auto"/>
                <w:kern w:val="0"/>
                <w:sz w:val="24"/>
                <w:highlight w:val="none"/>
              </w:rPr>
            </w:pPr>
          </w:p>
        </w:tc>
        <w:tc>
          <w:tcPr>
            <w:tcW w:w="3359"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0CCFA93E">
            <w:pPr>
              <w:widowControl/>
              <w:spacing w:line="360" w:lineRule="auto"/>
              <w:contextualSpacing/>
              <w:jc w:val="center"/>
              <w:rPr>
                <w:rFonts w:ascii="宋体" w:hAnsi="宋体" w:cs="宋体"/>
                <w:color w:val="auto"/>
                <w:kern w:val="0"/>
                <w:sz w:val="24"/>
                <w:highlight w:val="none"/>
              </w:rPr>
            </w:pPr>
          </w:p>
        </w:tc>
        <w:tc>
          <w:tcPr>
            <w:tcW w:w="1595"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11796FB4">
            <w:pPr>
              <w:widowControl/>
              <w:spacing w:line="360" w:lineRule="auto"/>
              <w:contextualSpacing/>
              <w:jc w:val="center"/>
              <w:rPr>
                <w:rFonts w:ascii="宋体" w:hAnsi="宋体" w:cs="宋体"/>
                <w:color w:val="auto"/>
                <w:kern w:val="0"/>
                <w:sz w:val="24"/>
                <w:highlight w:val="none"/>
              </w:rPr>
            </w:pPr>
          </w:p>
        </w:tc>
      </w:tr>
      <w:tr w14:paraId="7F825ECE">
        <w:tblPrEx>
          <w:tblCellMar>
            <w:top w:w="0" w:type="dxa"/>
            <w:left w:w="0" w:type="dxa"/>
            <w:bottom w:w="0" w:type="dxa"/>
            <w:right w:w="0" w:type="dxa"/>
          </w:tblCellMar>
        </w:tblPrEx>
        <w:trPr>
          <w:trHeight w:val="0"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54C9496E">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401"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285FC303">
            <w:pPr>
              <w:widowControl/>
              <w:spacing w:line="360" w:lineRule="auto"/>
              <w:contextualSpacing/>
              <w:jc w:val="center"/>
              <w:rPr>
                <w:rFonts w:ascii="宋体" w:hAnsi="宋体" w:cs="宋体"/>
                <w:color w:val="auto"/>
                <w:kern w:val="0"/>
                <w:sz w:val="24"/>
                <w:highlight w:val="none"/>
              </w:rPr>
            </w:pPr>
          </w:p>
        </w:tc>
        <w:tc>
          <w:tcPr>
            <w:tcW w:w="3359"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58060BE9">
            <w:pPr>
              <w:widowControl/>
              <w:spacing w:line="360" w:lineRule="auto"/>
              <w:contextualSpacing/>
              <w:jc w:val="center"/>
              <w:rPr>
                <w:rFonts w:ascii="宋体" w:hAnsi="宋体" w:cs="宋体"/>
                <w:color w:val="auto"/>
                <w:kern w:val="0"/>
                <w:sz w:val="24"/>
                <w:highlight w:val="none"/>
              </w:rPr>
            </w:pPr>
          </w:p>
        </w:tc>
        <w:tc>
          <w:tcPr>
            <w:tcW w:w="1595"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16EA2ECB">
            <w:pPr>
              <w:widowControl/>
              <w:spacing w:line="360" w:lineRule="auto"/>
              <w:contextualSpacing/>
              <w:jc w:val="center"/>
              <w:rPr>
                <w:rFonts w:ascii="宋体" w:hAnsi="宋体" w:cs="宋体"/>
                <w:color w:val="auto"/>
                <w:kern w:val="0"/>
                <w:sz w:val="24"/>
                <w:highlight w:val="none"/>
              </w:rPr>
            </w:pPr>
          </w:p>
        </w:tc>
      </w:tr>
      <w:tr w14:paraId="3CDD6628">
        <w:tblPrEx>
          <w:tblCellMar>
            <w:top w:w="0" w:type="dxa"/>
            <w:left w:w="0" w:type="dxa"/>
            <w:bottom w:w="0" w:type="dxa"/>
            <w:right w:w="0" w:type="dxa"/>
          </w:tblCellMar>
        </w:tblPrEx>
        <w:trPr>
          <w:trHeight w:val="0"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5F6C38D8">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401"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6B9536B3">
            <w:pPr>
              <w:widowControl/>
              <w:spacing w:line="360" w:lineRule="auto"/>
              <w:contextualSpacing/>
              <w:jc w:val="center"/>
              <w:rPr>
                <w:rFonts w:ascii="宋体" w:hAnsi="宋体" w:cs="宋体"/>
                <w:color w:val="auto"/>
                <w:kern w:val="0"/>
                <w:sz w:val="24"/>
                <w:highlight w:val="none"/>
              </w:rPr>
            </w:pPr>
          </w:p>
        </w:tc>
        <w:tc>
          <w:tcPr>
            <w:tcW w:w="3359"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76CD1EDC">
            <w:pPr>
              <w:widowControl/>
              <w:spacing w:line="360" w:lineRule="auto"/>
              <w:contextualSpacing/>
              <w:jc w:val="center"/>
              <w:rPr>
                <w:rFonts w:ascii="宋体" w:hAnsi="宋体" w:cs="宋体"/>
                <w:color w:val="auto"/>
                <w:kern w:val="0"/>
                <w:sz w:val="24"/>
                <w:highlight w:val="none"/>
              </w:rPr>
            </w:pPr>
          </w:p>
        </w:tc>
        <w:tc>
          <w:tcPr>
            <w:tcW w:w="1595"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43298117">
            <w:pPr>
              <w:widowControl/>
              <w:spacing w:line="360" w:lineRule="auto"/>
              <w:contextualSpacing/>
              <w:jc w:val="center"/>
              <w:rPr>
                <w:rFonts w:ascii="宋体" w:hAnsi="宋体" w:cs="宋体"/>
                <w:color w:val="auto"/>
                <w:kern w:val="0"/>
                <w:sz w:val="24"/>
                <w:highlight w:val="none"/>
              </w:rPr>
            </w:pPr>
          </w:p>
        </w:tc>
      </w:tr>
    </w:tbl>
    <w:p w14:paraId="1C16064B">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注：</w:t>
      </w:r>
    </w:p>
    <w:p w14:paraId="475730BD">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1.管理关系：是指不具有出资持股关系的其他单位之间存在的管理与被管理关系，如一些上下级关系的事业单位和团体组织。</w:t>
      </w:r>
    </w:p>
    <w:p w14:paraId="79897AA1">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2.本表所指的管理关系仅限于直接管理关系，不包括间接的管理关系。</w:t>
      </w:r>
    </w:p>
    <w:p w14:paraId="1DEEE544">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3.供应商不存在直接管理关系的，则填“无”。</w:t>
      </w:r>
    </w:p>
    <w:p w14:paraId="6E0B2EF7">
      <w:pPr>
        <w:spacing w:line="360" w:lineRule="auto"/>
        <w:contextualSpacing/>
        <w:jc w:val="left"/>
        <w:rPr>
          <w:rFonts w:hint="eastAsia"/>
          <w:color w:val="auto"/>
          <w:sz w:val="24"/>
          <w:highlight w:val="none"/>
        </w:rPr>
      </w:pPr>
    </w:p>
    <w:p w14:paraId="2C3AB526">
      <w:pPr>
        <w:autoSpaceDE w:val="0"/>
        <w:autoSpaceDN w:val="0"/>
        <w:spacing w:line="360" w:lineRule="auto"/>
        <w:ind w:left="4365" w:leftChars="1850" w:hanging="480" w:hangingChars="200"/>
        <w:rPr>
          <w:rFonts w:hint="eastAsia" w:ascii="仿宋_GB2312" w:hAnsi="仿宋" w:eastAsia="仿宋_GB2312" w:cs="仿宋_GB2312"/>
          <w:color w:val="auto"/>
          <w:kern w:val="0"/>
          <w:sz w:val="24"/>
          <w:highlight w:val="none"/>
        </w:rPr>
      </w:pPr>
    </w:p>
    <w:p w14:paraId="02B15DA4">
      <w:pPr>
        <w:autoSpaceDE w:val="0"/>
        <w:autoSpaceDN w:val="0"/>
        <w:spacing w:line="360" w:lineRule="auto"/>
        <w:ind w:left="4365" w:leftChars="1850" w:hanging="480" w:hangingChars="200"/>
        <w:rPr>
          <w:rFonts w:hint="eastAsia" w:ascii="仿宋_GB2312" w:hAnsi="仿宋" w:eastAsia="仿宋_GB2312" w:cs="仿宋_GB2312"/>
          <w:color w:val="auto"/>
          <w:kern w:val="0"/>
          <w:sz w:val="24"/>
          <w:highlight w:val="none"/>
        </w:rPr>
      </w:pPr>
    </w:p>
    <w:p w14:paraId="238395B3">
      <w:pPr>
        <w:keepNext w:val="0"/>
        <w:keepLines w:val="0"/>
        <w:pageBreakBefore w:val="0"/>
        <w:widowControl/>
        <w:suppressLineNumbers w:val="0"/>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供应商名称</w:t>
      </w:r>
      <w:r>
        <w:rPr>
          <w:rFonts w:hint="eastAsia" w:ascii="仿宋_GB2312" w:hAnsi="仿宋" w:eastAsia="仿宋_GB2312" w:cs="仿宋_GB2312"/>
          <w:color w:val="auto"/>
          <w:kern w:val="0"/>
          <w:sz w:val="21"/>
          <w:szCs w:val="21"/>
          <w:highlight w:val="none"/>
        </w:rPr>
        <w:t>（电子签章）</w:t>
      </w:r>
      <w:r>
        <w:rPr>
          <w:rFonts w:hint="eastAsia" w:ascii="仿宋_GB2312" w:hAnsi="仿宋_GB2312" w:eastAsia="仿宋_GB2312" w:cs="仿宋_GB2312"/>
          <w:color w:val="auto"/>
          <w:kern w:val="0"/>
          <w:sz w:val="21"/>
          <w:szCs w:val="21"/>
          <w:lang w:val="en-US" w:eastAsia="zh-CN" w:bidi="ar"/>
        </w:rPr>
        <w:t xml:space="preserve">： </w:t>
      </w:r>
    </w:p>
    <w:p w14:paraId="583E22E8">
      <w:pPr>
        <w:keepNext w:val="0"/>
        <w:keepLines w:val="0"/>
        <w:pageBreakBefore w:val="0"/>
        <w:tabs>
          <w:tab w:val="left" w:pos="7560"/>
        </w:tabs>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日期：</w:t>
      </w:r>
    </w:p>
    <w:p w14:paraId="2D919E04">
      <w:pPr>
        <w:jc w:val="center"/>
        <w:rPr>
          <w:rFonts w:ascii="宋体" w:hAnsi="宋体"/>
          <w:b/>
          <w:color w:val="auto"/>
          <w:sz w:val="24"/>
        </w:rPr>
      </w:pPr>
    </w:p>
    <w:p w14:paraId="520B0ABC">
      <w:pPr>
        <w:jc w:val="center"/>
        <w:rPr>
          <w:rFonts w:ascii="宋体" w:hAnsi="宋体"/>
          <w:b/>
          <w:color w:val="auto"/>
          <w:sz w:val="24"/>
        </w:rPr>
      </w:pPr>
    </w:p>
    <w:p w14:paraId="2E6E4226">
      <w:pPr>
        <w:jc w:val="center"/>
        <w:rPr>
          <w:rFonts w:ascii="宋体" w:hAnsi="宋体"/>
          <w:b/>
          <w:color w:val="auto"/>
          <w:sz w:val="24"/>
        </w:rPr>
      </w:pPr>
    </w:p>
    <w:p w14:paraId="29D2B71F">
      <w:pPr>
        <w:pStyle w:val="4"/>
        <w:rPr>
          <w:rFonts w:ascii="宋体" w:hAnsi="宋体"/>
          <w:b/>
          <w:color w:val="auto"/>
          <w:sz w:val="24"/>
        </w:rPr>
      </w:pPr>
    </w:p>
    <w:p w14:paraId="427DD761">
      <w:pPr>
        <w:rPr>
          <w:rFonts w:ascii="宋体" w:hAnsi="宋体"/>
          <w:b/>
          <w:color w:val="auto"/>
          <w:sz w:val="24"/>
        </w:rPr>
      </w:pPr>
    </w:p>
    <w:p w14:paraId="57757025">
      <w:pPr>
        <w:pStyle w:val="4"/>
        <w:rPr>
          <w:rFonts w:ascii="宋体" w:hAnsi="宋体"/>
          <w:b/>
          <w:color w:val="auto"/>
          <w:sz w:val="24"/>
        </w:rPr>
      </w:pPr>
    </w:p>
    <w:p w14:paraId="328A057F">
      <w:pPr>
        <w:rPr>
          <w:rFonts w:ascii="宋体" w:hAnsi="宋体"/>
          <w:b/>
          <w:color w:val="auto"/>
          <w:sz w:val="24"/>
        </w:rPr>
      </w:pPr>
    </w:p>
    <w:p w14:paraId="6E5191A2">
      <w:pPr>
        <w:jc w:val="center"/>
        <w:rPr>
          <w:rFonts w:ascii="宋体" w:hAnsi="宋体"/>
          <w:b/>
          <w:color w:val="auto"/>
          <w:sz w:val="24"/>
        </w:rPr>
      </w:pPr>
    </w:p>
    <w:p w14:paraId="022897B2">
      <w:pPr>
        <w:jc w:val="center"/>
        <w:rPr>
          <w:rFonts w:ascii="宋体" w:hAnsi="宋体"/>
          <w:b/>
          <w:color w:val="auto"/>
          <w:sz w:val="24"/>
        </w:rPr>
      </w:pPr>
    </w:p>
    <w:p w14:paraId="557C2129">
      <w:pPr>
        <w:jc w:val="center"/>
        <w:rPr>
          <w:rFonts w:ascii="宋体" w:hAnsi="宋体"/>
          <w:b/>
          <w:color w:val="auto"/>
          <w:sz w:val="24"/>
        </w:rPr>
      </w:pPr>
    </w:p>
    <w:p w14:paraId="136AC319">
      <w:pPr>
        <w:rPr>
          <w:rFonts w:hint="eastAsia" w:ascii="宋体" w:hAnsi="宋体"/>
          <w:b/>
          <w:color w:val="auto"/>
          <w:sz w:val="24"/>
        </w:rPr>
      </w:pPr>
      <w:r>
        <w:rPr>
          <w:rFonts w:hint="eastAsia" w:ascii="宋体" w:hAnsi="宋体"/>
          <w:b/>
          <w:color w:val="auto"/>
          <w:sz w:val="24"/>
        </w:rPr>
        <w:br w:type="page"/>
      </w:r>
    </w:p>
    <w:p w14:paraId="4404AB62">
      <w:pPr>
        <w:jc w:val="left"/>
        <w:rPr>
          <w:rFonts w:ascii="宋体" w:hAnsi="宋体"/>
          <w:b/>
          <w:color w:val="auto"/>
          <w:sz w:val="24"/>
        </w:rPr>
      </w:pPr>
      <w:r>
        <w:rPr>
          <w:rFonts w:hint="eastAsia" w:ascii="宋体" w:hAnsi="宋体"/>
          <w:b/>
          <w:color w:val="auto"/>
          <w:sz w:val="24"/>
        </w:rPr>
        <w:t>格式</w:t>
      </w:r>
      <w:r>
        <w:rPr>
          <w:rFonts w:hint="eastAsia" w:ascii="宋体" w:hAnsi="宋体"/>
          <w:b/>
          <w:color w:val="auto"/>
          <w:sz w:val="24"/>
          <w:lang w:eastAsia="zh-CN"/>
        </w:rPr>
        <w:t>四</w:t>
      </w:r>
      <w:r>
        <w:rPr>
          <w:rFonts w:hint="eastAsia" w:ascii="宋体" w:hAnsi="宋体"/>
          <w:b/>
          <w:color w:val="auto"/>
          <w:sz w:val="24"/>
        </w:rPr>
        <w:t>：</w:t>
      </w:r>
    </w:p>
    <w:p w14:paraId="52368BBA">
      <w:pPr>
        <w:jc w:val="both"/>
        <w:rPr>
          <w:rFonts w:ascii="宋体" w:hAnsi="宋体"/>
          <w:b/>
          <w:color w:val="auto"/>
          <w:sz w:val="24"/>
        </w:rPr>
      </w:pPr>
    </w:p>
    <w:p w14:paraId="388F033A">
      <w:pPr>
        <w:jc w:val="center"/>
        <w:rPr>
          <w:rFonts w:ascii="宋体" w:hAnsi="宋体"/>
          <w:b/>
          <w:color w:val="auto"/>
          <w:sz w:val="24"/>
        </w:rPr>
      </w:pPr>
    </w:p>
    <w:p w14:paraId="30DB43E5">
      <w:pPr>
        <w:jc w:val="center"/>
        <w:rPr>
          <w:rFonts w:ascii="宋体" w:hAnsi="宋体"/>
          <w:b/>
          <w:color w:val="auto"/>
          <w:sz w:val="24"/>
        </w:rPr>
      </w:pPr>
      <w:r>
        <w:rPr>
          <w:rFonts w:ascii="宋体" w:hAnsi="宋体"/>
          <w:b/>
          <w:color w:val="auto"/>
          <w:sz w:val="24"/>
        </w:rPr>
        <w:t>诚信声明</w:t>
      </w:r>
    </w:p>
    <w:p w14:paraId="50F6595C">
      <w:pPr>
        <w:spacing w:line="520" w:lineRule="exact"/>
        <w:rPr>
          <w:rFonts w:ascii="宋体" w:hAnsi="宋体"/>
          <w:color w:val="auto"/>
        </w:rPr>
      </w:pPr>
    </w:p>
    <w:p w14:paraId="107BBC95">
      <w:pPr>
        <w:spacing w:line="460" w:lineRule="exact"/>
        <w:ind w:firstLine="315" w:firstLineChars="150"/>
        <w:rPr>
          <w:rFonts w:ascii="宋体" w:hAnsi="宋体"/>
          <w:color w:val="auto"/>
        </w:rPr>
      </w:pPr>
      <w:r>
        <w:rPr>
          <w:rFonts w:hint="eastAsia" w:ascii="宋体" w:hAnsi="宋体"/>
          <w:color w:val="auto"/>
        </w:rPr>
        <w:t>本人</w:t>
      </w:r>
      <w:r>
        <w:rPr>
          <w:rFonts w:hint="eastAsia" w:ascii="宋体" w:hAnsi="宋体"/>
          <w:color w:val="auto"/>
          <w:u w:val="single"/>
        </w:rPr>
        <w:t>（法定代表人、身份证号码）</w:t>
      </w:r>
      <w:r>
        <w:rPr>
          <w:rFonts w:hint="eastAsia" w:ascii="宋体" w:hAnsi="宋体"/>
          <w:color w:val="auto"/>
        </w:rPr>
        <w:t>郑重声明，本企业参加</w:t>
      </w:r>
      <w:r>
        <w:rPr>
          <w:rFonts w:hint="eastAsia" w:ascii="宋体" w:hAnsi="宋体"/>
          <w:color w:val="auto"/>
          <w:u w:val="single"/>
        </w:rPr>
        <w:t>（项目名称）</w:t>
      </w:r>
      <w:r>
        <w:rPr>
          <w:rFonts w:hint="eastAsia" w:ascii="宋体" w:hAnsi="宋体"/>
          <w:color w:val="auto"/>
        </w:rPr>
        <w:t>磋商活动所提交的所有资料、填写数据及所包含的附件资料内容是真实的、合法的、有效的，同样我在此所作的声明也是真实有效的，并愿意对在磋商过程中有关部门的调查结果承担责任。</w:t>
      </w:r>
    </w:p>
    <w:p w14:paraId="3B6A64EB">
      <w:pPr>
        <w:spacing w:line="460" w:lineRule="exact"/>
        <w:ind w:firstLine="480"/>
        <w:rPr>
          <w:rFonts w:ascii="宋体" w:hAnsi="宋体"/>
          <w:color w:val="auto"/>
        </w:rPr>
      </w:pPr>
      <w:r>
        <w:rPr>
          <w:rFonts w:hint="eastAsia" w:ascii="宋体" w:hAnsi="宋体"/>
          <w:color w:val="auto"/>
        </w:rPr>
        <w:t>本企业提交的所有磋商资料如有不实，愿接受政府采购监督管理部门和建设行政主管部门依据有关法律法规给予的处罚。</w:t>
      </w:r>
    </w:p>
    <w:p w14:paraId="20C5AFE6">
      <w:pPr>
        <w:spacing w:line="460" w:lineRule="exact"/>
        <w:rPr>
          <w:rFonts w:ascii="宋体" w:hAnsi="宋体"/>
          <w:color w:val="auto"/>
        </w:rPr>
      </w:pPr>
    </w:p>
    <w:p w14:paraId="789F5645">
      <w:pPr>
        <w:spacing w:line="440" w:lineRule="exact"/>
        <w:rPr>
          <w:rFonts w:ascii="宋体" w:hAnsi="宋体"/>
          <w:color w:val="auto"/>
        </w:rPr>
      </w:pPr>
    </w:p>
    <w:p w14:paraId="356BAD4A">
      <w:pPr>
        <w:keepNext w:val="0"/>
        <w:keepLines w:val="0"/>
        <w:pageBreakBefore w:val="0"/>
        <w:widowControl/>
        <w:suppressLineNumbers w:val="0"/>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供应商名称</w:t>
      </w:r>
      <w:r>
        <w:rPr>
          <w:rFonts w:hint="eastAsia" w:ascii="仿宋_GB2312" w:hAnsi="仿宋" w:eastAsia="仿宋_GB2312" w:cs="仿宋_GB2312"/>
          <w:color w:val="auto"/>
          <w:kern w:val="0"/>
          <w:sz w:val="21"/>
          <w:szCs w:val="21"/>
          <w:highlight w:val="none"/>
        </w:rPr>
        <w:t>（电子签章）</w:t>
      </w:r>
      <w:r>
        <w:rPr>
          <w:rFonts w:hint="eastAsia" w:ascii="仿宋_GB2312" w:hAnsi="仿宋_GB2312" w:eastAsia="仿宋_GB2312" w:cs="仿宋_GB2312"/>
          <w:color w:val="auto"/>
          <w:kern w:val="0"/>
          <w:sz w:val="21"/>
          <w:szCs w:val="21"/>
          <w:lang w:val="en-US" w:eastAsia="zh-CN" w:bidi="ar"/>
        </w:rPr>
        <w:t xml:space="preserve">： </w:t>
      </w:r>
    </w:p>
    <w:p w14:paraId="7C177AD4">
      <w:pPr>
        <w:keepNext w:val="0"/>
        <w:keepLines w:val="0"/>
        <w:pageBreakBefore w:val="0"/>
        <w:tabs>
          <w:tab w:val="left" w:pos="7560"/>
        </w:tabs>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日期：</w:t>
      </w:r>
    </w:p>
    <w:p w14:paraId="42CB8639">
      <w:pPr>
        <w:spacing w:line="440" w:lineRule="exact"/>
        <w:rPr>
          <w:rFonts w:ascii="宋体" w:hAnsi="宋体"/>
          <w:color w:val="auto"/>
          <w:sz w:val="24"/>
        </w:rPr>
      </w:pPr>
    </w:p>
    <w:p w14:paraId="126AF259">
      <w:pPr>
        <w:spacing w:line="440" w:lineRule="exact"/>
        <w:rPr>
          <w:rFonts w:ascii="宋体" w:hAnsi="宋体"/>
          <w:color w:val="auto"/>
          <w:sz w:val="24"/>
        </w:rPr>
      </w:pPr>
    </w:p>
    <w:p w14:paraId="6DB9D08D">
      <w:pPr>
        <w:spacing w:line="440" w:lineRule="exact"/>
        <w:rPr>
          <w:rFonts w:ascii="宋体" w:hAnsi="宋体"/>
          <w:color w:val="auto"/>
          <w:sz w:val="24"/>
        </w:rPr>
      </w:pPr>
    </w:p>
    <w:p w14:paraId="7B2CEA26">
      <w:pPr>
        <w:jc w:val="center"/>
        <w:rPr>
          <w:rFonts w:ascii="宋体" w:hAnsi="宋体"/>
          <w:b/>
          <w:color w:val="auto"/>
          <w:sz w:val="24"/>
        </w:rPr>
      </w:pPr>
    </w:p>
    <w:p w14:paraId="242726D8">
      <w:pPr>
        <w:jc w:val="center"/>
        <w:rPr>
          <w:rFonts w:ascii="宋体" w:hAnsi="宋体"/>
          <w:b/>
          <w:color w:val="auto"/>
          <w:sz w:val="24"/>
        </w:rPr>
      </w:pPr>
    </w:p>
    <w:p w14:paraId="0266C316">
      <w:pPr>
        <w:jc w:val="center"/>
        <w:rPr>
          <w:rFonts w:ascii="宋体" w:hAnsi="宋体"/>
          <w:b/>
          <w:color w:val="auto"/>
          <w:sz w:val="24"/>
        </w:rPr>
      </w:pPr>
    </w:p>
    <w:p w14:paraId="2A5140ED">
      <w:pPr>
        <w:jc w:val="center"/>
        <w:rPr>
          <w:rFonts w:ascii="宋体" w:hAnsi="宋体"/>
          <w:b/>
          <w:color w:val="auto"/>
          <w:sz w:val="24"/>
        </w:rPr>
      </w:pPr>
    </w:p>
    <w:p w14:paraId="295AD32C">
      <w:pPr>
        <w:jc w:val="center"/>
        <w:rPr>
          <w:rFonts w:ascii="宋体" w:hAnsi="宋体"/>
          <w:b/>
          <w:color w:val="auto"/>
          <w:sz w:val="24"/>
        </w:rPr>
      </w:pPr>
    </w:p>
    <w:p w14:paraId="4AA26A7B">
      <w:pPr>
        <w:jc w:val="center"/>
        <w:rPr>
          <w:rFonts w:ascii="宋体" w:hAnsi="宋体"/>
          <w:b/>
          <w:color w:val="auto"/>
          <w:sz w:val="24"/>
        </w:rPr>
      </w:pPr>
    </w:p>
    <w:p w14:paraId="6A386FF0">
      <w:pPr>
        <w:spacing w:line="440" w:lineRule="exact"/>
        <w:rPr>
          <w:rFonts w:ascii="宋体" w:hAnsi="宋体"/>
          <w:color w:val="auto"/>
          <w:sz w:val="24"/>
        </w:rPr>
      </w:pPr>
      <w:bookmarkStart w:id="247" w:name="_Toc158458008"/>
      <w:bookmarkStart w:id="248" w:name="_Toc163270989"/>
    </w:p>
    <w:p w14:paraId="0A39FEA4">
      <w:pPr>
        <w:spacing w:line="440" w:lineRule="exact"/>
        <w:rPr>
          <w:rFonts w:ascii="宋体" w:hAnsi="宋体"/>
          <w:color w:val="auto"/>
          <w:sz w:val="24"/>
        </w:rPr>
      </w:pPr>
    </w:p>
    <w:p w14:paraId="715942E2">
      <w:pPr>
        <w:spacing w:line="440" w:lineRule="exact"/>
        <w:rPr>
          <w:rFonts w:ascii="宋体" w:hAnsi="宋体"/>
          <w:color w:val="auto"/>
          <w:sz w:val="24"/>
        </w:rPr>
      </w:pPr>
    </w:p>
    <w:p w14:paraId="0BDB5DC1">
      <w:pPr>
        <w:spacing w:line="440" w:lineRule="exact"/>
        <w:rPr>
          <w:rFonts w:ascii="宋体" w:hAnsi="宋体"/>
          <w:color w:val="auto"/>
          <w:sz w:val="24"/>
        </w:rPr>
      </w:pPr>
    </w:p>
    <w:p w14:paraId="5DE141E4">
      <w:pPr>
        <w:spacing w:line="440" w:lineRule="exact"/>
        <w:rPr>
          <w:rFonts w:ascii="宋体" w:hAnsi="宋体"/>
          <w:color w:val="auto"/>
          <w:sz w:val="24"/>
        </w:rPr>
      </w:pPr>
    </w:p>
    <w:p w14:paraId="52A82047">
      <w:pPr>
        <w:spacing w:line="440" w:lineRule="exact"/>
        <w:jc w:val="left"/>
        <w:rPr>
          <w:rFonts w:ascii="宋体" w:hAnsi="宋体"/>
          <w:b/>
          <w:color w:val="auto"/>
          <w:sz w:val="24"/>
        </w:rPr>
      </w:pPr>
      <w:r>
        <w:rPr>
          <w:rFonts w:ascii="宋体" w:hAnsi="宋体"/>
          <w:color w:val="auto"/>
          <w:sz w:val="24"/>
        </w:rPr>
        <w:br w:type="page"/>
      </w:r>
      <w:bookmarkEnd w:id="247"/>
      <w:bookmarkEnd w:id="248"/>
      <w:bookmarkStart w:id="249" w:name="_Toc173558684"/>
      <w:r>
        <w:rPr>
          <w:rFonts w:hint="eastAsia" w:ascii="宋体" w:hAnsi="宋体"/>
          <w:b/>
          <w:color w:val="auto"/>
          <w:sz w:val="24"/>
        </w:rPr>
        <w:t>格式</w:t>
      </w:r>
      <w:r>
        <w:rPr>
          <w:rFonts w:hint="eastAsia" w:ascii="宋体" w:hAnsi="宋体"/>
          <w:b/>
          <w:color w:val="auto"/>
          <w:sz w:val="24"/>
          <w:lang w:val="en-US" w:eastAsia="zh-CN"/>
        </w:rPr>
        <w:t>五</w:t>
      </w:r>
      <w:r>
        <w:rPr>
          <w:rFonts w:hint="eastAsia" w:ascii="宋体" w:hAnsi="宋体"/>
          <w:b/>
          <w:color w:val="auto"/>
          <w:sz w:val="24"/>
        </w:rPr>
        <w:t>：</w:t>
      </w:r>
    </w:p>
    <w:p w14:paraId="7007C887">
      <w:pPr>
        <w:jc w:val="center"/>
        <w:rPr>
          <w:rFonts w:ascii="宋体" w:hAnsi="宋体"/>
          <w:b/>
          <w:color w:val="auto"/>
          <w:sz w:val="24"/>
        </w:rPr>
      </w:pPr>
      <w:r>
        <w:rPr>
          <w:rFonts w:hint="eastAsia" w:ascii="宋体" w:hAnsi="宋体"/>
          <w:b/>
          <w:color w:val="auto"/>
          <w:sz w:val="24"/>
        </w:rPr>
        <w:t>法定代表人授权委托书</w:t>
      </w:r>
    </w:p>
    <w:p w14:paraId="2583D2B5">
      <w:pPr>
        <w:spacing w:after="156" w:line="360" w:lineRule="auto"/>
        <w:rPr>
          <w:rFonts w:ascii="宋体" w:hAnsi="宋体"/>
          <w:color w:val="auto"/>
        </w:rPr>
      </w:pPr>
    </w:p>
    <w:p w14:paraId="4A986F60">
      <w:pPr>
        <w:spacing w:line="440" w:lineRule="exact"/>
        <w:ind w:firstLine="420" w:firstLineChars="200"/>
        <w:rPr>
          <w:rFonts w:ascii="宋体" w:hAnsi="宋体"/>
          <w:color w:val="auto"/>
        </w:rPr>
      </w:pPr>
      <w:r>
        <w:rPr>
          <w:rFonts w:ascii="宋体" w:hAnsi="宋体"/>
          <w:color w:val="auto"/>
        </w:rPr>
        <w:t>本授权委托书声明：我</w:t>
      </w:r>
      <w:r>
        <w:rPr>
          <w:rFonts w:ascii="宋体" w:hAnsi="宋体"/>
          <w:color w:val="auto"/>
          <w:u w:val="single"/>
        </w:rPr>
        <w:t>（姓名）</w:t>
      </w:r>
      <w:r>
        <w:rPr>
          <w:rFonts w:ascii="宋体" w:hAnsi="宋体"/>
          <w:color w:val="auto"/>
        </w:rPr>
        <w:t>系</w:t>
      </w:r>
      <w:r>
        <w:rPr>
          <w:rFonts w:ascii="宋体" w:hAnsi="宋体"/>
          <w:color w:val="auto"/>
          <w:u w:val="single"/>
        </w:rPr>
        <w:t>（</w:t>
      </w:r>
      <w:r>
        <w:rPr>
          <w:rFonts w:hint="eastAsia" w:ascii="宋体" w:hAnsi="宋体"/>
          <w:color w:val="auto"/>
          <w:u w:val="single"/>
        </w:rPr>
        <w:t>供应商</w:t>
      </w:r>
      <w:r>
        <w:rPr>
          <w:rFonts w:ascii="宋体" w:hAnsi="宋体"/>
          <w:color w:val="auto"/>
          <w:u w:val="single"/>
        </w:rPr>
        <w:t>名称）</w:t>
      </w:r>
      <w:r>
        <w:rPr>
          <w:rFonts w:ascii="宋体" w:hAnsi="宋体"/>
          <w:color w:val="auto"/>
        </w:rPr>
        <w:t>的法定代表人，现授权委托</w:t>
      </w:r>
      <w:r>
        <w:rPr>
          <w:rFonts w:ascii="宋体" w:hAnsi="宋体"/>
          <w:color w:val="auto"/>
          <w:u w:val="single"/>
        </w:rPr>
        <w:t>（单位名称）</w:t>
      </w:r>
      <w:r>
        <w:rPr>
          <w:rFonts w:ascii="宋体" w:hAnsi="宋体"/>
          <w:color w:val="auto"/>
        </w:rPr>
        <w:t>的</w:t>
      </w:r>
      <w:r>
        <w:rPr>
          <w:rFonts w:ascii="宋体" w:hAnsi="宋体"/>
          <w:color w:val="auto"/>
          <w:u w:val="single"/>
        </w:rPr>
        <w:t>（姓名）</w:t>
      </w:r>
      <w:r>
        <w:rPr>
          <w:rFonts w:ascii="宋体" w:hAnsi="宋体"/>
          <w:color w:val="auto"/>
        </w:rPr>
        <w:t>为我公司签署</w:t>
      </w:r>
      <w:r>
        <w:rPr>
          <w:rFonts w:hint="eastAsia" w:ascii="宋体" w:hAnsi="宋体"/>
          <w:color w:val="auto"/>
          <w:u w:val="single"/>
        </w:rPr>
        <w:t>（项目名称）</w:t>
      </w:r>
      <w:r>
        <w:rPr>
          <w:rFonts w:hint="eastAsia" w:ascii="宋体" w:hAnsi="宋体"/>
          <w:color w:val="auto"/>
        </w:rPr>
        <w:t>，项目编号</w:t>
      </w:r>
      <w:r>
        <w:rPr>
          <w:rFonts w:hint="eastAsia" w:ascii="宋体" w:hAnsi="宋体"/>
          <w:color w:val="auto"/>
          <w:u w:val="single"/>
          <w:lang w:val="en-US" w:eastAsia="zh-CN"/>
        </w:rPr>
        <w:t xml:space="preserve">       </w:t>
      </w:r>
      <w:r>
        <w:rPr>
          <w:rFonts w:hint="eastAsia" w:ascii="宋体" w:hAnsi="宋体"/>
          <w:color w:val="auto"/>
        </w:rPr>
        <w:t>为</w:t>
      </w:r>
      <w:r>
        <w:rPr>
          <w:rFonts w:ascii="宋体" w:hAnsi="宋体"/>
          <w:color w:val="auto"/>
        </w:rPr>
        <w:t>的</w:t>
      </w:r>
      <w:r>
        <w:rPr>
          <w:rFonts w:hint="eastAsia" w:ascii="宋体" w:hAnsi="宋体"/>
          <w:color w:val="auto"/>
        </w:rPr>
        <w:t>响应文件</w:t>
      </w:r>
      <w:r>
        <w:rPr>
          <w:rFonts w:ascii="宋体" w:hAnsi="宋体"/>
          <w:color w:val="auto"/>
        </w:rPr>
        <w:t>的法定代表人授权委托代理人，我承认代理人全权代表我所签署的本工程的</w:t>
      </w:r>
      <w:r>
        <w:rPr>
          <w:rFonts w:hint="eastAsia" w:ascii="宋体" w:hAnsi="宋体"/>
          <w:color w:val="auto"/>
        </w:rPr>
        <w:t>响应文件</w:t>
      </w:r>
      <w:r>
        <w:rPr>
          <w:rFonts w:ascii="宋体" w:hAnsi="宋体"/>
          <w:color w:val="auto"/>
        </w:rPr>
        <w:t>的内容。</w:t>
      </w:r>
    </w:p>
    <w:p w14:paraId="0C7119B5">
      <w:pPr>
        <w:spacing w:line="440" w:lineRule="exact"/>
        <w:ind w:firstLine="420" w:firstLineChars="200"/>
        <w:rPr>
          <w:rFonts w:ascii="宋体" w:hAnsi="宋体"/>
          <w:color w:val="auto"/>
        </w:rPr>
      </w:pPr>
      <w:r>
        <w:rPr>
          <w:rFonts w:ascii="宋体" w:hAnsi="宋体"/>
          <w:color w:val="auto"/>
        </w:rPr>
        <w:t>代理人无转委托权，特此委托。</w:t>
      </w:r>
    </w:p>
    <w:p w14:paraId="53672714">
      <w:pPr>
        <w:spacing w:line="440" w:lineRule="exact"/>
        <w:ind w:firstLine="420" w:firstLineChars="200"/>
        <w:rPr>
          <w:rFonts w:ascii="宋体" w:hAnsi="宋体"/>
          <w:color w:val="auto"/>
        </w:rPr>
      </w:pPr>
      <w:r>
        <w:rPr>
          <w:rFonts w:ascii="宋体" w:hAnsi="宋体"/>
          <w:color w:val="auto"/>
        </w:rPr>
        <w:t>授权</w:t>
      </w:r>
      <w:r>
        <w:rPr>
          <w:rFonts w:hint="eastAsia" w:ascii="宋体" w:hAnsi="宋体"/>
          <w:color w:val="auto"/>
        </w:rPr>
        <w:t>委托</w:t>
      </w:r>
      <w:r>
        <w:rPr>
          <w:rFonts w:ascii="宋体" w:hAnsi="宋体"/>
          <w:color w:val="auto"/>
        </w:rPr>
        <w:t>代理</w:t>
      </w:r>
      <w:r>
        <w:rPr>
          <w:rFonts w:hint="eastAsia" w:ascii="宋体" w:hAnsi="宋体"/>
          <w:color w:val="auto"/>
        </w:rPr>
        <w:t>期限：202</w:t>
      </w:r>
      <w:r>
        <w:rPr>
          <w:rFonts w:hint="eastAsia" w:ascii="宋体" w:hAnsi="宋体"/>
          <w:color w:val="auto"/>
          <w:lang w:val="en-US" w:eastAsia="zh-CN"/>
        </w:rPr>
        <w:t xml:space="preserve"> </w:t>
      </w:r>
      <w:r>
        <w:rPr>
          <w:rFonts w:hint="eastAsia" w:ascii="宋体" w:hAnsi="宋体"/>
          <w:color w:val="auto"/>
        </w:rPr>
        <w:t>年</w:t>
      </w:r>
      <w:r>
        <w:rPr>
          <w:rFonts w:hint="eastAsia" w:ascii="宋体" w:hAnsi="宋体"/>
          <w:color w:val="auto"/>
          <w:lang w:val="en-US" w:eastAsia="zh-CN"/>
        </w:rPr>
        <w:t xml:space="preserve">  </w:t>
      </w:r>
      <w:r>
        <w:rPr>
          <w:rFonts w:hint="eastAsia" w:ascii="宋体" w:hAnsi="宋体"/>
          <w:color w:val="auto"/>
        </w:rPr>
        <w:t>月</w:t>
      </w:r>
      <w:r>
        <w:rPr>
          <w:rFonts w:hint="eastAsia" w:ascii="宋体" w:hAnsi="宋体"/>
          <w:color w:val="auto"/>
          <w:lang w:val="en-US" w:eastAsia="zh-CN"/>
        </w:rPr>
        <w:t xml:space="preserve">  </w:t>
      </w:r>
      <w:r>
        <w:rPr>
          <w:rFonts w:hint="eastAsia" w:ascii="宋体" w:hAnsi="宋体"/>
          <w:color w:val="auto"/>
        </w:rPr>
        <w:t>日</w:t>
      </w:r>
      <w:r>
        <w:rPr>
          <w:rFonts w:hint="eastAsia" w:ascii="宋体" w:hAnsi="宋体"/>
          <w:color w:val="auto"/>
          <w:lang w:val="en-US" w:eastAsia="zh-CN"/>
        </w:rPr>
        <w:t xml:space="preserve"> </w:t>
      </w:r>
      <w:r>
        <w:rPr>
          <w:rFonts w:hint="eastAsia" w:ascii="宋体" w:hAnsi="宋体"/>
          <w:color w:val="auto"/>
        </w:rPr>
        <w:t>至</w:t>
      </w:r>
      <w:r>
        <w:rPr>
          <w:rFonts w:hint="eastAsia" w:ascii="宋体" w:hAnsi="宋体"/>
          <w:color w:val="auto"/>
          <w:lang w:val="en-US" w:eastAsia="zh-CN"/>
        </w:rPr>
        <w:t xml:space="preserve">  年  </w:t>
      </w:r>
      <w:r>
        <w:rPr>
          <w:rFonts w:hint="eastAsia" w:ascii="宋体" w:hAnsi="宋体"/>
          <w:color w:val="auto"/>
        </w:rPr>
        <w:t>月</w:t>
      </w:r>
      <w:r>
        <w:rPr>
          <w:rFonts w:hint="eastAsia" w:ascii="宋体" w:hAnsi="宋体"/>
          <w:color w:val="auto"/>
          <w:lang w:val="en-US" w:eastAsia="zh-CN"/>
        </w:rPr>
        <w:t xml:space="preserve">  </w:t>
      </w:r>
      <w:r>
        <w:rPr>
          <w:rFonts w:hint="eastAsia" w:ascii="宋体" w:hAnsi="宋体"/>
          <w:color w:val="auto"/>
        </w:rPr>
        <w:t>日</w:t>
      </w:r>
    </w:p>
    <w:p w14:paraId="2A6321AD">
      <w:pPr>
        <w:spacing w:line="440" w:lineRule="exact"/>
        <w:ind w:firstLine="413" w:firstLineChars="196"/>
        <w:rPr>
          <w:rFonts w:ascii="宋体" w:hAnsi="宋体"/>
          <w:color w:val="auto"/>
        </w:rPr>
      </w:pPr>
      <w:r>
        <w:rPr>
          <w:rFonts w:hint="eastAsia" w:ascii="宋体" w:hAnsi="宋体"/>
          <w:b/>
          <w:color w:val="auto"/>
        </w:rPr>
        <w:t>附：委托代理人身份证复印件</w:t>
      </w:r>
    </w:p>
    <w:p w14:paraId="46AE9FC6">
      <w:pPr>
        <w:spacing w:line="440" w:lineRule="exact"/>
        <w:rPr>
          <w:rFonts w:ascii="宋体" w:hAnsi="宋体"/>
          <w:color w:val="auto"/>
        </w:rPr>
      </w:pPr>
    </w:p>
    <w:p w14:paraId="09C20858">
      <w:pPr>
        <w:spacing w:line="440" w:lineRule="exact"/>
        <w:ind w:left="2699"/>
        <w:rPr>
          <w:rFonts w:ascii="宋体" w:hAnsi="宋体"/>
          <w:color w:val="auto"/>
          <w:u w:val="single"/>
        </w:rPr>
      </w:pPr>
      <w:r>
        <w:rPr>
          <w:rFonts w:ascii="宋体" w:hAnsi="宋体"/>
          <w:color w:val="auto"/>
        </w:rPr>
        <w:t>代理人：</w:t>
      </w:r>
      <w:r>
        <w:rPr>
          <w:rFonts w:ascii="宋体" w:hAnsi="宋体"/>
          <w:color w:val="auto"/>
          <w:u w:val="single"/>
        </w:rPr>
        <w:t xml:space="preserve">   （</w:t>
      </w:r>
      <w:r>
        <w:rPr>
          <w:rFonts w:hint="eastAsia" w:ascii="宋体" w:hAnsi="宋体"/>
          <w:color w:val="auto"/>
          <w:u w:val="single"/>
          <w:lang w:eastAsia="zh-CN"/>
        </w:rPr>
        <w:t>盖章或</w:t>
      </w:r>
      <w:r>
        <w:rPr>
          <w:rFonts w:ascii="宋体" w:hAnsi="宋体"/>
          <w:color w:val="auto"/>
          <w:u w:val="single"/>
        </w:rPr>
        <w:t>签字）</w:t>
      </w:r>
      <w:r>
        <w:rPr>
          <w:rFonts w:ascii="宋体" w:hAnsi="宋体"/>
          <w:color w:val="auto"/>
        </w:rPr>
        <w:t>性别 ：年龄：_______</w:t>
      </w:r>
    </w:p>
    <w:p w14:paraId="11FF7FE0">
      <w:pPr>
        <w:spacing w:line="440" w:lineRule="exact"/>
        <w:ind w:left="2699"/>
        <w:rPr>
          <w:rFonts w:ascii="宋体" w:hAnsi="宋体"/>
          <w:b/>
          <w:color w:val="auto"/>
          <w:u w:val="single"/>
        </w:rPr>
      </w:pPr>
      <w:r>
        <w:rPr>
          <w:rFonts w:ascii="宋体" w:hAnsi="宋体"/>
          <w:color w:val="auto"/>
        </w:rPr>
        <w:t>身份证号码：职务：</w:t>
      </w:r>
    </w:p>
    <w:p w14:paraId="41898158">
      <w:pPr>
        <w:spacing w:line="440" w:lineRule="exact"/>
        <w:ind w:left="2699"/>
        <w:rPr>
          <w:rFonts w:ascii="宋体" w:hAnsi="宋体"/>
          <w:color w:val="auto"/>
        </w:rPr>
      </w:pPr>
      <w:r>
        <w:rPr>
          <w:rFonts w:hint="eastAsia" w:ascii="宋体" w:hAnsi="宋体"/>
          <w:color w:val="auto"/>
        </w:rPr>
        <w:t>供应商</w:t>
      </w:r>
      <w:r>
        <w:rPr>
          <w:rFonts w:ascii="宋体" w:hAnsi="宋体"/>
          <w:color w:val="auto"/>
        </w:rPr>
        <w:t>：</w:t>
      </w:r>
      <w:r>
        <w:rPr>
          <w:rFonts w:hint="eastAsia" w:ascii="宋体" w:hAnsi="宋体"/>
          <w:color w:val="auto"/>
          <w:u w:val="single"/>
        </w:rPr>
        <w:t>（全称）</w:t>
      </w:r>
      <w:r>
        <w:rPr>
          <w:rFonts w:hint="eastAsia" w:ascii="仿宋_GB2312" w:hAnsi="仿宋" w:eastAsia="仿宋_GB2312" w:cs="仿宋_GB2312"/>
          <w:color w:val="auto"/>
          <w:kern w:val="0"/>
          <w:sz w:val="24"/>
          <w:highlight w:val="none"/>
        </w:rPr>
        <w:t>（电子签章）</w:t>
      </w:r>
    </w:p>
    <w:p w14:paraId="290EF030">
      <w:pPr>
        <w:spacing w:line="440" w:lineRule="exact"/>
        <w:ind w:left="2699"/>
        <w:rPr>
          <w:rFonts w:ascii="宋体" w:hAnsi="宋体"/>
          <w:color w:val="auto"/>
        </w:rPr>
      </w:pPr>
      <w:r>
        <w:rPr>
          <w:rFonts w:ascii="宋体" w:hAnsi="宋体"/>
          <w:color w:val="auto"/>
        </w:rPr>
        <w:t>法定代表人：（</w:t>
      </w:r>
      <w:r>
        <w:rPr>
          <w:rFonts w:hint="eastAsia" w:ascii="宋体" w:hAnsi="宋体"/>
          <w:color w:val="auto"/>
          <w:lang w:eastAsia="zh-CN"/>
        </w:rPr>
        <w:t>盖章或</w:t>
      </w:r>
      <w:r>
        <w:rPr>
          <w:rFonts w:ascii="宋体" w:hAnsi="宋体"/>
          <w:color w:val="auto"/>
        </w:rPr>
        <w:t>签字）</w:t>
      </w:r>
    </w:p>
    <w:p w14:paraId="61F40163">
      <w:pPr>
        <w:spacing w:line="440" w:lineRule="exact"/>
        <w:ind w:left="2699"/>
        <w:rPr>
          <w:rFonts w:ascii="宋体" w:hAnsi="宋体"/>
          <w:color w:val="auto"/>
        </w:rPr>
      </w:pPr>
      <w:r>
        <w:rPr>
          <w:rFonts w:ascii="宋体" w:hAnsi="宋体"/>
          <w:color w:val="auto"/>
        </w:rPr>
        <w:t>授权委托日期：</w:t>
      </w:r>
      <w:r>
        <w:rPr>
          <w:rFonts w:hint="eastAsia" w:ascii="宋体" w:hAnsi="宋体"/>
          <w:color w:val="auto"/>
          <w:lang w:val="en-US" w:eastAsia="zh-CN"/>
        </w:rPr>
        <w:t xml:space="preserve">  </w:t>
      </w:r>
      <w:r>
        <w:rPr>
          <w:rFonts w:ascii="宋体" w:hAnsi="宋体"/>
          <w:color w:val="auto"/>
        </w:rPr>
        <w:t>年</w:t>
      </w:r>
      <w:r>
        <w:rPr>
          <w:rFonts w:hint="eastAsia" w:ascii="宋体" w:hAnsi="宋体"/>
          <w:color w:val="auto"/>
          <w:lang w:val="en-US" w:eastAsia="zh-CN"/>
        </w:rPr>
        <w:t xml:space="preserve">  </w:t>
      </w:r>
      <w:r>
        <w:rPr>
          <w:rFonts w:ascii="宋体" w:hAnsi="宋体"/>
          <w:color w:val="auto"/>
        </w:rPr>
        <w:t>月</w:t>
      </w:r>
      <w:r>
        <w:rPr>
          <w:rFonts w:hint="eastAsia" w:ascii="宋体" w:hAnsi="宋体"/>
          <w:color w:val="auto"/>
          <w:lang w:val="en-US" w:eastAsia="zh-CN"/>
        </w:rPr>
        <w:t xml:space="preserve">  </w:t>
      </w:r>
      <w:r>
        <w:rPr>
          <w:rFonts w:ascii="宋体" w:hAnsi="宋体"/>
          <w:color w:val="auto"/>
        </w:rPr>
        <w:t>日</w:t>
      </w:r>
    </w:p>
    <w:p w14:paraId="7E45D035">
      <w:pPr>
        <w:spacing w:line="360" w:lineRule="auto"/>
        <w:rPr>
          <w:rFonts w:ascii="宋体" w:hAnsi="宋体"/>
          <w:color w:val="auto"/>
        </w:rPr>
      </w:pPr>
    </w:p>
    <w:p w14:paraId="38365909">
      <w:pPr>
        <w:spacing w:line="400" w:lineRule="exact"/>
        <w:ind w:left="28" w:firstLine="452"/>
        <w:rPr>
          <w:rFonts w:ascii="宋体" w:hAnsi="宋体"/>
          <w:color w:val="auto"/>
        </w:rPr>
      </w:pPr>
      <w:r>
        <w:rPr>
          <w:rFonts w:ascii="宋体" w:hAnsi="宋体"/>
          <w:color w:val="auto"/>
        </w:rPr>
        <w:br w:type="page"/>
      </w:r>
      <w:r>
        <w:rPr>
          <w:rFonts w:hint="eastAsia" w:ascii="宋体" w:hAnsi="宋体"/>
          <w:b/>
          <w:color w:val="auto"/>
          <w:sz w:val="24"/>
        </w:rPr>
        <w:t>格式</w:t>
      </w:r>
      <w:r>
        <w:rPr>
          <w:rFonts w:hint="eastAsia" w:ascii="宋体" w:hAnsi="宋体"/>
          <w:b/>
          <w:color w:val="auto"/>
          <w:sz w:val="24"/>
          <w:lang w:val="en-US" w:eastAsia="zh-CN"/>
        </w:rPr>
        <w:t>六</w:t>
      </w:r>
      <w:r>
        <w:rPr>
          <w:rFonts w:hint="eastAsia" w:ascii="宋体" w:hAnsi="宋体"/>
          <w:b/>
          <w:color w:val="auto"/>
          <w:sz w:val="24"/>
        </w:rPr>
        <w:t>：</w:t>
      </w:r>
    </w:p>
    <w:p w14:paraId="0E0F643E">
      <w:pPr>
        <w:spacing w:line="400" w:lineRule="exact"/>
        <w:ind w:left="28" w:firstLine="452"/>
        <w:rPr>
          <w:rFonts w:ascii="宋体" w:hAnsi="宋体"/>
          <w:color w:val="auto"/>
        </w:rPr>
      </w:pPr>
    </w:p>
    <w:p w14:paraId="0E4275E3">
      <w:pPr>
        <w:spacing w:line="400" w:lineRule="exact"/>
        <w:ind w:left="28" w:firstLine="452"/>
        <w:jc w:val="center"/>
        <w:rPr>
          <w:rFonts w:ascii="宋体" w:hAnsi="宋体"/>
          <w:b/>
          <w:color w:val="auto"/>
          <w:sz w:val="24"/>
        </w:rPr>
      </w:pPr>
      <w:r>
        <w:rPr>
          <w:rFonts w:hint="eastAsia" w:ascii="宋体" w:hAnsi="宋体"/>
          <w:b/>
          <w:color w:val="auto"/>
          <w:sz w:val="24"/>
        </w:rPr>
        <w:t>足额缴纳农民工工资的承诺书</w:t>
      </w:r>
    </w:p>
    <w:p w14:paraId="388420F1">
      <w:pPr>
        <w:spacing w:line="400" w:lineRule="exact"/>
        <w:ind w:left="28" w:firstLine="452"/>
        <w:jc w:val="center"/>
        <w:rPr>
          <w:rFonts w:cs="宋体"/>
          <w:color w:val="auto"/>
        </w:rPr>
      </w:pPr>
    </w:p>
    <w:p w14:paraId="2D95FCD7">
      <w:pPr>
        <w:spacing w:line="480" w:lineRule="auto"/>
        <w:jc w:val="left"/>
        <w:rPr>
          <w:color w:val="auto"/>
        </w:rPr>
      </w:pPr>
      <w:r>
        <w:rPr>
          <w:rFonts w:hint="eastAsia" w:cs="宋体"/>
          <w:color w:val="auto"/>
        </w:rPr>
        <w:t>致</w:t>
      </w:r>
      <w:r>
        <w:rPr>
          <w:rFonts w:hint="eastAsia" w:cs="宋体"/>
          <w:color w:val="auto"/>
          <w:u w:val="single"/>
        </w:rPr>
        <w:t>（采购人名称）</w:t>
      </w:r>
      <w:r>
        <w:rPr>
          <w:rFonts w:hint="eastAsia" w:cs="宋体"/>
          <w:color w:val="auto"/>
        </w:rPr>
        <w:t>：</w:t>
      </w:r>
    </w:p>
    <w:p w14:paraId="3B21A39A">
      <w:pPr>
        <w:spacing w:line="520" w:lineRule="exact"/>
        <w:ind w:left="-10" w:firstLine="455" w:firstLineChars="217"/>
        <w:jc w:val="left"/>
        <w:rPr>
          <w:rFonts w:ascii="宋体" w:hAnsi="宋体"/>
          <w:b/>
          <w:color w:val="auto"/>
          <w:sz w:val="24"/>
        </w:rPr>
      </w:pPr>
      <w:r>
        <w:rPr>
          <w:rFonts w:hint="eastAsia" w:cs="宋体"/>
          <w:color w:val="auto"/>
        </w:rPr>
        <w:t>作为参与</w:t>
      </w:r>
      <w:r>
        <w:rPr>
          <w:rFonts w:hint="eastAsia" w:cs="宋体"/>
          <w:color w:val="auto"/>
          <w:u w:val="single"/>
        </w:rPr>
        <w:t>（工程名称）</w:t>
      </w:r>
      <w:r>
        <w:rPr>
          <w:rFonts w:hint="eastAsia" w:cs="宋体"/>
          <w:color w:val="auto"/>
        </w:rPr>
        <w:t>项目的供应商，根据国家、自治区相关文件规定，我方在此向采标人承诺：</w:t>
      </w:r>
    </w:p>
    <w:p w14:paraId="464AF5A3">
      <w:pPr>
        <w:spacing w:line="520" w:lineRule="exact"/>
        <w:ind w:left="-10" w:firstLine="455" w:firstLineChars="217"/>
        <w:jc w:val="left"/>
        <w:rPr>
          <w:rFonts w:cs="宋体"/>
          <w:color w:val="auto"/>
        </w:rPr>
      </w:pPr>
      <w:r>
        <w:rPr>
          <w:rFonts w:hint="eastAsia" w:cs="宋体"/>
          <w:color w:val="auto"/>
        </w:rPr>
        <w:t>一旦成交，我方保证按照政府相关部门的规定，在发出成交通知书之日起</w:t>
      </w:r>
      <w:r>
        <w:rPr>
          <w:color w:val="auto"/>
        </w:rPr>
        <w:t>7</w:t>
      </w:r>
      <w:r>
        <w:rPr>
          <w:rFonts w:hint="eastAsia" w:cs="宋体"/>
          <w:color w:val="auto"/>
        </w:rPr>
        <w:t>个工作日内足额将农民工工资保障金转入农民工工资保障金专用账户，或向采购人提供由工程项目所在地（工程项目所在省区范围内）商业银行出具同等金额农民工工资保证金银行保函，作为支付承包人拖欠的农民工工资的保证。一旦我方所承包的该项目中出现拖欠农民工工资情况，由劳动保障、住房城乡建设行政主管部门按照《关于进一步完善建筑行业农民工工资保证金制度的通知》（桂劳社发〔</w:t>
      </w:r>
      <w:r>
        <w:rPr>
          <w:color w:val="auto"/>
        </w:rPr>
        <w:t>2009</w:t>
      </w:r>
      <w:r>
        <w:rPr>
          <w:rFonts w:hint="eastAsia" w:cs="宋体"/>
          <w:color w:val="auto"/>
        </w:rPr>
        <w:t>〕</w:t>
      </w:r>
      <w:r>
        <w:rPr>
          <w:color w:val="auto"/>
        </w:rPr>
        <w:t>50</w:t>
      </w:r>
      <w:r>
        <w:rPr>
          <w:rFonts w:hint="eastAsia" w:cs="宋体"/>
          <w:color w:val="auto"/>
        </w:rPr>
        <w:t>号）从我方农民工工资保障金中先予划支。</w:t>
      </w:r>
    </w:p>
    <w:p w14:paraId="1C6D7CD7">
      <w:pPr>
        <w:spacing w:line="520" w:lineRule="exact"/>
        <w:ind w:left="-10" w:firstLine="455" w:firstLineChars="217"/>
        <w:jc w:val="left"/>
        <w:rPr>
          <w:rFonts w:cs="宋体"/>
          <w:color w:val="auto"/>
        </w:rPr>
      </w:pPr>
    </w:p>
    <w:p w14:paraId="4B97B6A4">
      <w:pPr>
        <w:pStyle w:val="24"/>
        <w:rPr>
          <w:rFonts w:hAnsi="宋体"/>
          <w:color w:val="auto"/>
          <w:sz w:val="24"/>
          <w:u w:val="single"/>
        </w:rPr>
      </w:pPr>
    </w:p>
    <w:p w14:paraId="41943EDE">
      <w:pPr>
        <w:keepNext w:val="0"/>
        <w:keepLines w:val="0"/>
        <w:pageBreakBefore w:val="0"/>
        <w:widowControl/>
        <w:suppressLineNumbers w:val="0"/>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供应商名称</w:t>
      </w:r>
      <w:r>
        <w:rPr>
          <w:rFonts w:hint="eastAsia" w:ascii="仿宋_GB2312" w:hAnsi="仿宋" w:eastAsia="仿宋_GB2312" w:cs="仿宋_GB2312"/>
          <w:color w:val="auto"/>
          <w:kern w:val="0"/>
          <w:sz w:val="21"/>
          <w:szCs w:val="21"/>
          <w:highlight w:val="none"/>
        </w:rPr>
        <w:t>（电子签章）</w:t>
      </w:r>
      <w:r>
        <w:rPr>
          <w:rFonts w:hint="eastAsia" w:ascii="仿宋_GB2312" w:hAnsi="仿宋_GB2312" w:eastAsia="仿宋_GB2312" w:cs="仿宋_GB2312"/>
          <w:color w:val="auto"/>
          <w:kern w:val="0"/>
          <w:sz w:val="21"/>
          <w:szCs w:val="21"/>
          <w:lang w:val="en-US" w:eastAsia="zh-CN" w:bidi="ar"/>
        </w:rPr>
        <w:t xml:space="preserve">： </w:t>
      </w:r>
    </w:p>
    <w:p w14:paraId="6240E39E">
      <w:pPr>
        <w:keepNext w:val="0"/>
        <w:keepLines w:val="0"/>
        <w:pageBreakBefore w:val="0"/>
        <w:tabs>
          <w:tab w:val="left" w:pos="7560"/>
        </w:tabs>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日期：</w:t>
      </w:r>
    </w:p>
    <w:p w14:paraId="0FF7DD8F">
      <w:pPr>
        <w:spacing w:line="520" w:lineRule="exact"/>
        <w:ind w:left="-10" w:firstLine="455" w:firstLineChars="217"/>
        <w:jc w:val="left"/>
        <w:rPr>
          <w:color w:val="auto"/>
        </w:rPr>
      </w:pPr>
    </w:p>
    <w:p w14:paraId="00562722">
      <w:pPr>
        <w:spacing w:line="520" w:lineRule="exact"/>
        <w:ind w:left="-10" w:firstLine="455" w:firstLineChars="217"/>
        <w:jc w:val="left"/>
        <w:rPr>
          <w:color w:val="auto"/>
        </w:rPr>
      </w:pPr>
    </w:p>
    <w:p w14:paraId="28BC21A2">
      <w:pPr>
        <w:spacing w:line="520" w:lineRule="exact"/>
        <w:ind w:left="-10" w:firstLine="455" w:firstLineChars="217"/>
        <w:jc w:val="left"/>
        <w:rPr>
          <w:color w:val="auto"/>
        </w:rPr>
      </w:pPr>
    </w:p>
    <w:p w14:paraId="0EDFFD1C">
      <w:pPr>
        <w:spacing w:line="520" w:lineRule="exact"/>
        <w:ind w:left="-10" w:firstLine="455" w:firstLineChars="217"/>
        <w:jc w:val="left"/>
        <w:rPr>
          <w:color w:val="auto"/>
        </w:rPr>
      </w:pPr>
    </w:p>
    <w:p w14:paraId="52AF725E">
      <w:pPr>
        <w:spacing w:line="520" w:lineRule="exact"/>
        <w:ind w:left="-10" w:firstLine="455" w:firstLineChars="217"/>
        <w:jc w:val="left"/>
        <w:rPr>
          <w:color w:val="auto"/>
        </w:rPr>
      </w:pPr>
    </w:p>
    <w:p w14:paraId="4726E699">
      <w:pPr>
        <w:spacing w:line="520" w:lineRule="exact"/>
        <w:ind w:left="-10" w:firstLine="455" w:firstLineChars="217"/>
        <w:jc w:val="left"/>
        <w:rPr>
          <w:color w:val="auto"/>
        </w:rPr>
      </w:pPr>
    </w:p>
    <w:p w14:paraId="1BF52D86">
      <w:pPr>
        <w:spacing w:line="520" w:lineRule="exact"/>
        <w:ind w:left="-10" w:firstLine="455" w:firstLineChars="217"/>
        <w:jc w:val="left"/>
        <w:rPr>
          <w:color w:val="auto"/>
        </w:rPr>
      </w:pPr>
    </w:p>
    <w:p w14:paraId="6C88896E">
      <w:pPr>
        <w:spacing w:line="520" w:lineRule="exact"/>
        <w:ind w:left="-10" w:firstLine="455" w:firstLineChars="217"/>
        <w:jc w:val="left"/>
        <w:rPr>
          <w:color w:val="auto"/>
        </w:rPr>
      </w:pPr>
    </w:p>
    <w:p w14:paraId="77A47946">
      <w:pPr>
        <w:spacing w:line="520" w:lineRule="exact"/>
        <w:ind w:left="-10" w:firstLine="455" w:firstLineChars="217"/>
        <w:jc w:val="left"/>
        <w:rPr>
          <w:color w:val="auto"/>
        </w:rPr>
      </w:pPr>
    </w:p>
    <w:p w14:paraId="55E01017">
      <w:pPr>
        <w:spacing w:line="520" w:lineRule="exact"/>
        <w:ind w:left="-10" w:firstLine="455" w:firstLineChars="217"/>
        <w:jc w:val="left"/>
        <w:rPr>
          <w:color w:val="auto"/>
        </w:rPr>
      </w:pPr>
    </w:p>
    <w:p w14:paraId="636516E0">
      <w:pPr>
        <w:spacing w:line="520" w:lineRule="exact"/>
        <w:ind w:left="-10" w:firstLine="523" w:firstLineChars="217"/>
        <w:jc w:val="left"/>
        <w:rPr>
          <w:rFonts w:hint="eastAsia" w:ascii="宋体" w:hAnsi="宋体"/>
          <w:b/>
          <w:color w:val="auto"/>
          <w:sz w:val="24"/>
        </w:rPr>
      </w:pPr>
    </w:p>
    <w:p w14:paraId="40953AD1">
      <w:pPr>
        <w:pStyle w:val="4"/>
        <w:rPr>
          <w:rFonts w:hint="eastAsia"/>
          <w:color w:val="auto"/>
        </w:rPr>
      </w:pPr>
    </w:p>
    <w:p w14:paraId="1D32EC18">
      <w:pPr>
        <w:spacing w:line="520" w:lineRule="exact"/>
        <w:ind w:left="-10" w:firstLine="523" w:firstLineChars="217"/>
        <w:jc w:val="left"/>
        <w:rPr>
          <w:rFonts w:hint="eastAsia" w:ascii="宋体" w:hAnsi="宋体"/>
          <w:b/>
          <w:color w:val="auto"/>
          <w:sz w:val="24"/>
        </w:rPr>
      </w:pPr>
    </w:p>
    <w:p w14:paraId="222649DB">
      <w:pPr>
        <w:spacing w:line="520" w:lineRule="exact"/>
        <w:ind w:left="-10" w:firstLine="523" w:firstLineChars="217"/>
        <w:jc w:val="left"/>
        <w:rPr>
          <w:color w:val="auto"/>
        </w:rPr>
      </w:pPr>
      <w:r>
        <w:rPr>
          <w:rFonts w:hint="eastAsia" w:ascii="宋体" w:hAnsi="宋体"/>
          <w:b/>
          <w:color w:val="auto"/>
          <w:sz w:val="24"/>
        </w:rPr>
        <w:t>格式</w:t>
      </w:r>
      <w:r>
        <w:rPr>
          <w:rFonts w:hint="eastAsia" w:ascii="宋体" w:hAnsi="宋体"/>
          <w:b/>
          <w:color w:val="auto"/>
          <w:sz w:val="24"/>
          <w:lang w:eastAsia="zh-CN"/>
        </w:rPr>
        <w:t>七</w:t>
      </w:r>
      <w:r>
        <w:rPr>
          <w:rFonts w:hint="eastAsia" w:ascii="宋体" w:hAnsi="宋体"/>
          <w:b/>
          <w:color w:val="auto"/>
          <w:sz w:val="24"/>
        </w:rPr>
        <w:t>：</w:t>
      </w:r>
    </w:p>
    <w:p w14:paraId="6CA6DC1D">
      <w:pPr>
        <w:spacing w:line="520" w:lineRule="exact"/>
        <w:ind w:left="-10" w:firstLine="523" w:firstLineChars="217"/>
        <w:jc w:val="center"/>
        <w:rPr>
          <w:rFonts w:ascii="宋体" w:hAnsi="宋体"/>
          <w:b/>
          <w:color w:val="auto"/>
          <w:sz w:val="24"/>
        </w:rPr>
      </w:pPr>
      <w:r>
        <w:rPr>
          <w:rFonts w:hint="eastAsia" w:ascii="宋体" w:hAnsi="宋体"/>
          <w:b/>
          <w:color w:val="auto"/>
          <w:sz w:val="24"/>
        </w:rPr>
        <w:t>安全防护、文明施工措施方案的承诺书</w:t>
      </w:r>
    </w:p>
    <w:p w14:paraId="5AFD8508">
      <w:pPr>
        <w:spacing w:line="520" w:lineRule="exact"/>
        <w:ind w:left="-10" w:firstLine="523" w:firstLineChars="217"/>
        <w:jc w:val="center"/>
        <w:rPr>
          <w:rFonts w:ascii="宋体" w:hAnsi="宋体"/>
          <w:b/>
          <w:color w:val="auto"/>
          <w:sz w:val="24"/>
        </w:rPr>
      </w:pPr>
    </w:p>
    <w:p w14:paraId="2A2A6985">
      <w:pPr>
        <w:spacing w:line="480" w:lineRule="auto"/>
        <w:jc w:val="left"/>
        <w:rPr>
          <w:color w:val="auto"/>
        </w:rPr>
      </w:pPr>
      <w:r>
        <w:rPr>
          <w:rFonts w:hint="eastAsia" w:hAnsi="宋体" w:cs="宋体"/>
          <w:color w:val="auto"/>
        </w:rPr>
        <w:t>致</w:t>
      </w:r>
      <w:r>
        <w:rPr>
          <w:rFonts w:hint="eastAsia" w:hAnsi="宋体" w:cs="宋体"/>
          <w:color w:val="auto"/>
          <w:u w:val="single"/>
        </w:rPr>
        <w:t>（采购人名称）</w:t>
      </w:r>
      <w:r>
        <w:rPr>
          <w:rFonts w:hint="eastAsia" w:hAnsi="宋体" w:cs="宋体"/>
          <w:color w:val="auto"/>
        </w:rPr>
        <w:t>：</w:t>
      </w:r>
    </w:p>
    <w:p w14:paraId="7BEFB17D">
      <w:pPr>
        <w:spacing w:line="480" w:lineRule="auto"/>
        <w:ind w:firstLine="422" w:firstLineChars="201"/>
        <w:jc w:val="left"/>
        <w:rPr>
          <w:color w:val="auto"/>
        </w:rPr>
      </w:pPr>
      <w:r>
        <w:rPr>
          <w:rFonts w:hint="eastAsia" w:hAnsi="宋体" w:cs="宋体"/>
          <w:color w:val="auto"/>
        </w:rPr>
        <w:t>根据桂建质</w:t>
      </w:r>
      <w:r>
        <w:rPr>
          <w:rFonts w:hAnsi="宋体" w:cs="宋体"/>
          <w:color w:val="auto"/>
        </w:rPr>
        <w:t>[2015]16</w:t>
      </w:r>
      <w:r>
        <w:rPr>
          <w:rFonts w:hint="eastAsia" w:hAnsi="宋体" w:cs="宋体"/>
          <w:color w:val="auto"/>
        </w:rPr>
        <w:t>号文件规定，我方在此向采购人承诺：</w:t>
      </w:r>
    </w:p>
    <w:p w14:paraId="75EB9C1E">
      <w:pPr>
        <w:spacing w:line="480" w:lineRule="auto"/>
        <w:ind w:left="-10" w:firstLine="455" w:firstLineChars="217"/>
        <w:jc w:val="left"/>
        <w:rPr>
          <w:color w:val="auto"/>
        </w:rPr>
      </w:pPr>
      <w:r>
        <w:rPr>
          <w:rFonts w:hAnsi="宋体" w:cs="宋体"/>
          <w:color w:val="auto"/>
        </w:rPr>
        <w:t>1</w:t>
      </w:r>
      <w:r>
        <w:rPr>
          <w:rFonts w:hint="eastAsia" w:hAnsi="宋体" w:cs="宋体"/>
          <w:color w:val="auto"/>
        </w:rPr>
        <w:t>、我方参与磋商的</w:t>
      </w:r>
      <w:r>
        <w:rPr>
          <w:rFonts w:hint="eastAsia" w:hAnsi="宋体" w:cs="宋体"/>
          <w:color w:val="auto"/>
          <w:u w:val="single"/>
        </w:rPr>
        <w:t xml:space="preserve">（工程名称） </w:t>
      </w:r>
      <w:r>
        <w:rPr>
          <w:rFonts w:hint="eastAsia" w:hAnsi="宋体" w:cs="宋体"/>
          <w:color w:val="auto"/>
        </w:rPr>
        <w:t>项目，一旦成交，我方保证在施工过程中，严格执行《广西壮族自治区建筑工程安全防护、文明施工措施费及使用管理细则》（桂建质</w:t>
      </w:r>
      <w:r>
        <w:rPr>
          <w:rFonts w:hAnsi="宋体" w:cs="宋体"/>
          <w:color w:val="auto"/>
        </w:rPr>
        <w:t>[2015]16</w:t>
      </w:r>
      <w:r>
        <w:rPr>
          <w:rFonts w:hint="eastAsia" w:hAnsi="宋体" w:cs="宋体"/>
          <w:color w:val="auto"/>
        </w:rPr>
        <w:t>号文）的有关规定，确保建设工程各项安全防护、文明施工措施落实到位。</w:t>
      </w:r>
    </w:p>
    <w:p w14:paraId="1DED3FF2">
      <w:pPr>
        <w:spacing w:line="480" w:lineRule="auto"/>
        <w:ind w:left="-10" w:firstLine="455" w:firstLineChars="217"/>
        <w:jc w:val="left"/>
        <w:rPr>
          <w:color w:val="auto"/>
        </w:rPr>
      </w:pPr>
      <w:r>
        <w:rPr>
          <w:rFonts w:hAnsi="宋体" w:cs="宋体"/>
          <w:color w:val="auto"/>
        </w:rPr>
        <w:t>2</w:t>
      </w:r>
      <w:r>
        <w:rPr>
          <w:rFonts w:hint="eastAsia" w:hAnsi="宋体" w:cs="宋体"/>
          <w:color w:val="auto"/>
        </w:rPr>
        <w:t>、如我方在承包的</w:t>
      </w:r>
      <w:r>
        <w:rPr>
          <w:rFonts w:hint="eastAsia" w:hAnsi="宋体" w:cs="宋体"/>
          <w:color w:val="auto"/>
          <w:u w:val="single"/>
        </w:rPr>
        <w:t>（工程名称）</w:t>
      </w:r>
      <w:r>
        <w:rPr>
          <w:rFonts w:hint="eastAsia" w:hAnsi="宋体" w:cs="宋体"/>
          <w:color w:val="auto"/>
        </w:rPr>
        <w:t>项目中出现未按桂建质</w:t>
      </w:r>
      <w:r>
        <w:rPr>
          <w:rFonts w:hAnsi="宋体" w:cs="宋体"/>
          <w:color w:val="auto"/>
        </w:rPr>
        <w:t>[2015]16</w:t>
      </w:r>
      <w:r>
        <w:rPr>
          <w:rFonts w:hint="eastAsia" w:hAnsi="宋体" w:cs="宋体"/>
          <w:color w:val="auto"/>
        </w:rPr>
        <w:t>号文附件一规定执行的情形，我方愿意按照相关规定接受采购人及有关主管部门的处罚。</w:t>
      </w:r>
    </w:p>
    <w:p w14:paraId="3713291D">
      <w:pPr>
        <w:spacing w:line="360" w:lineRule="auto"/>
        <w:ind w:left="-2" w:leftChars="-1" w:firstLine="449" w:firstLineChars="214"/>
        <w:jc w:val="left"/>
        <w:rPr>
          <w:color w:val="auto"/>
        </w:rPr>
      </w:pPr>
    </w:p>
    <w:p w14:paraId="231AF367">
      <w:pPr>
        <w:spacing w:line="360" w:lineRule="auto"/>
        <w:jc w:val="left"/>
        <w:rPr>
          <w:color w:val="auto"/>
        </w:rPr>
      </w:pPr>
    </w:p>
    <w:p w14:paraId="49840500">
      <w:pPr>
        <w:spacing w:line="360" w:lineRule="auto"/>
        <w:jc w:val="left"/>
        <w:rPr>
          <w:color w:val="auto"/>
        </w:rPr>
      </w:pPr>
    </w:p>
    <w:p w14:paraId="454E12BD">
      <w:pPr>
        <w:keepNext w:val="0"/>
        <w:keepLines w:val="0"/>
        <w:pageBreakBefore w:val="0"/>
        <w:widowControl/>
        <w:suppressLineNumbers w:val="0"/>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供应商名称</w:t>
      </w:r>
      <w:r>
        <w:rPr>
          <w:rFonts w:hint="eastAsia" w:ascii="仿宋_GB2312" w:hAnsi="仿宋" w:eastAsia="仿宋_GB2312" w:cs="仿宋_GB2312"/>
          <w:color w:val="auto"/>
          <w:kern w:val="0"/>
          <w:sz w:val="21"/>
          <w:szCs w:val="21"/>
          <w:highlight w:val="none"/>
        </w:rPr>
        <w:t>（电子签章）</w:t>
      </w:r>
      <w:r>
        <w:rPr>
          <w:rFonts w:hint="eastAsia" w:ascii="仿宋_GB2312" w:hAnsi="仿宋_GB2312" w:eastAsia="仿宋_GB2312" w:cs="仿宋_GB2312"/>
          <w:color w:val="auto"/>
          <w:kern w:val="0"/>
          <w:sz w:val="21"/>
          <w:szCs w:val="21"/>
          <w:lang w:val="en-US" w:eastAsia="zh-CN" w:bidi="ar"/>
        </w:rPr>
        <w:t xml:space="preserve">： </w:t>
      </w:r>
    </w:p>
    <w:p w14:paraId="47CE9FC4">
      <w:pPr>
        <w:keepNext w:val="0"/>
        <w:keepLines w:val="0"/>
        <w:pageBreakBefore w:val="0"/>
        <w:tabs>
          <w:tab w:val="left" w:pos="7560"/>
        </w:tabs>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日期：</w:t>
      </w:r>
    </w:p>
    <w:p w14:paraId="1F3CC33E">
      <w:pPr>
        <w:spacing w:line="520" w:lineRule="exact"/>
        <w:ind w:left="-10" w:firstLine="455" w:firstLineChars="217"/>
        <w:jc w:val="left"/>
        <w:rPr>
          <w:color w:val="auto"/>
        </w:rPr>
      </w:pPr>
    </w:p>
    <w:p w14:paraId="109F56EC">
      <w:pPr>
        <w:spacing w:line="520" w:lineRule="exact"/>
        <w:ind w:left="-10" w:firstLine="455" w:firstLineChars="217"/>
        <w:jc w:val="left"/>
        <w:rPr>
          <w:color w:val="auto"/>
        </w:rPr>
      </w:pPr>
    </w:p>
    <w:p w14:paraId="1BAC2139">
      <w:pPr>
        <w:spacing w:line="520" w:lineRule="exact"/>
        <w:ind w:left="-10" w:firstLine="455" w:firstLineChars="217"/>
        <w:jc w:val="left"/>
        <w:rPr>
          <w:color w:val="auto"/>
        </w:rPr>
      </w:pPr>
    </w:p>
    <w:p w14:paraId="7EB7977E">
      <w:pPr>
        <w:spacing w:line="520" w:lineRule="exact"/>
        <w:ind w:left="-10" w:firstLine="455" w:firstLineChars="217"/>
        <w:jc w:val="left"/>
        <w:rPr>
          <w:color w:val="auto"/>
        </w:rPr>
      </w:pPr>
    </w:p>
    <w:p w14:paraId="0499DBCD">
      <w:pPr>
        <w:spacing w:line="520" w:lineRule="exact"/>
        <w:ind w:left="-10" w:firstLine="455" w:firstLineChars="217"/>
        <w:jc w:val="left"/>
        <w:rPr>
          <w:color w:val="auto"/>
        </w:rPr>
      </w:pPr>
    </w:p>
    <w:p w14:paraId="439BA16B">
      <w:pPr>
        <w:spacing w:line="520" w:lineRule="exact"/>
        <w:ind w:left="-10" w:firstLine="455" w:firstLineChars="217"/>
        <w:jc w:val="left"/>
        <w:rPr>
          <w:color w:val="auto"/>
        </w:rPr>
      </w:pPr>
      <w:r>
        <w:rPr>
          <w:color w:val="auto"/>
        </w:rPr>
        <w:br w:type="page"/>
      </w:r>
      <w:bookmarkEnd w:id="249"/>
      <w:r>
        <w:rPr>
          <w:rFonts w:hint="eastAsia" w:ascii="宋体" w:hAnsi="宋体"/>
          <w:b/>
          <w:color w:val="auto"/>
          <w:sz w:val="24"/>
        </w:rPr>
        <w:t>格式</w:t>
      </w:r>
      <w:r>
        <w:rPr>
          <w:rFonts w:hint="eastAsia" w:ascii="宋体" w:hAnsi="宋体"/>
          <w:b/>
          <w:color w:val="auto"/>
          <w:sz w:val="24"/>
          <w:lang w:val="en-US" w:eastAsia="zh-CN"/>
        </w:rPr>
        <w:t>八</w:t>
      </w:r>
      <w:r>
        <w:rPr>
          <w:rFonts w:hint="eastAsia" w:ascii="宋体" w:hAnsi="宋体"/>
          <w:b/>
          <w:color w:val="auto"/>
          <w:sz w:val="24"/>
        </w:rPr>
        <w:t>：</w:t>
      </w:r>
    </w:p>
    <w:p w14:paraId="1F82D7C0">
      <w:pPr>
        <w:spacing w:line="520" w:lineRule="exact"/>
        <w:jc w:val="center"/>
        <w:rPr>
          <w:rFonts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sz w:val="44"/>
          <w:szCs w:val="44"/>
        </w:rPr>
        <w:t>中小企业声明函</w:t>
      </w:r>
    </w:p>
    <w:p w14:paraId="18B032CD">
      <w:pPr>
        <w:spacing w:line="520" w:lineRule="exact"/>
        <w:rPr>
          <w:rFonts w:ascii="仿宋_GB2312" w:hAnsi="仿宋_GB2312" w:eastAsia="仿宋_GB2312" w:cs="仿宋_GB2312"/>
          <w:color w:val="auto"/>
          <w:sz w:val="32"/>
          <w:szCs w:val="32"/>
        </w:rPr>
      </w:pPr>
    </w:p>
    <w:p w14:paraId="5BD70A64">
      <w:pPr>
        <w:autoSpaceDE w:val="0"/>
        <w:autoSpaceDN w:val="0"/>
        <w:adjustRightInd w:val="0"/>
        <w:jc w:val="center"/>
        <w:rPr>
          <w:rFonts w:ascii="宋体" w:hAnsi="宋体" w:cs="宋体"/>
          <w:color w:val="auto"/>
          <w:kern w:val="0"/>
          <w:szCs w:val="21"/>
        </w:rPr>
      </w:pPr>
    </w:p>
    <w:p w14:paraId="343FBCE8">
      <w:pPr>
        <w:autoSpaceDE w:val="0"/>
        <w:autoSpaceDN w:val="0"/>
        <w:adjustRightInd w:val="0"/>
        <w:spacing w:line="360" w:lineRule="auto"/>
        <w:ind w:firstLine="484" w:firstLineChars="202"/>
        <w:jc w:val="left"/>
        <w:rPr>
          <w:rFonts w:ascii="宋体" w:hAnsi="宋体" w:cs="仿宋"/>
          <w:color w:val="auto"/>
          <w:kern w:val="0"/>
          <w:sz w:val="24"/>
        </w:rPr>
      </w:pPr>
      <w:r>
        <w:rPr>
          <w:rFonts w:hint="eastAsia" w:ascii="宋体" w:hAnsi="宋体" w:cs="仿宋"/>
          <w:color w:val="auto"/>
          <w:kern w:val="0"/>
          <w:sz w:val="24"/>
        </w:rPr>
        <w:t>本公司（联合体）郑重声明，根据《政府采购促进中小企业发展管理办法》（财库</w:t>
      </w:r>
      <w:r>
        <w:rPr>
          <w:rFonts w:hint="eastAsia" w:ascii="宋体" w:hAnsi="宋体" w:cs="宋体"/>
          <w:color w:val="auto"/>
          <w:kern w:val="0"/>
          <w:sz w:val="24"/>
        </w:rPr>
        <w:t>﹝</w:t>
      </w:r>
      <w:r>
        <w:rPr>
          <w:rFonts w:ascii="宋体" w:hAnsi="宋体" w:cs="仿宋"/>
          <w:color w:val="auto"/>
          <w:kern w:val="0"/>
          <w:sz w:val="24"/>
        </w:rPr>
        <w:t>2020</w:t>
      </w:r>
      <w:r>
        <w:rPr>
          <w:rFonts w:hint="eastAsia" w:ascii="宋体" w:hAnsi="宋体" w:cs="宋体"/>
          <w:color w:val="auto"/>
          <w:kern w:val="0"/>
          <w:sz w:val="24"/>
        </w:rPr>
        <w:t>﹞</w:t>
      </w:r>
      <w:r>
        <w:rPr>
          <w:rFonts w:ascii="宋体" w:hAnsi="宋体" w:cs="仿宋"/>
          <w:color w:val="auto"/>
          <w:kern w:val="0"/>
          <w:sz w:val="24"/>
        </w:rPr>
        <w:t xml:space="preserve">46 </w:t>
      </w:r>
      <w:r>
        <w:rPr>
          <w:rFonts w:hint="eastAsia" w:ascii="宋体" w:hAnsi="宋体" w:cs="仿宋"/>
          <w:color w:val="auto"/>
          <w:kern w:val="0"/>
          <w:sz w:val="24"/>
        </w:rPr>
        <w:t>号）的规定，本公司（联合体）参加</w:t>
      </w:r>
      <w:r>
        <w:rPr>
          <w:rFonts w:hint="eastAsia" w:ascii="宋体" w:hAnsi="宋体" w:cs="仿宋"/>
          <w:color w:val="auto"/>
          <w:kern w:val="0"/>
          <w:sz w:val="24"/>
          <w:u w:val="single"/>
        </w:rPr>
        <w:t>（单位名称）</w:t>
      </w:r>
      <w:r>
        <w:rPr>
          <w:rFonts w:hint="eastAsia" w:ascii="宋体" w:hAnsi="宋体" w:cs="仿宋"/>
          <w:color w:val="auto"/>
          <w:kern w:val="0"/>
          <w:sz w:val="24"/>
        </w:rPr>
        <w:t>的</w:t>
      </w:r>
      <w:r>
        <w:rPr>
          <w:rFonts w:hint="eastAsia" w:ascii="宋体" w:hAnsi="宋体" w:cs="仿宋"/>
          <w:color w:val="auto"/>
          <w:kern w:val="0"/>
          <w:sz w:val="24"/>
          <w:u w:val="single"/>
        </w:rPr>
        <w:t>（项目名称）</w:t>
      </w:r>
      <w:r>
        <w:rPr>
          <w:rFonts w:hint="eastAsia" w:ascii="宋体" w:hAnsi="宋体" w:cs="仿宋"/>
          <w:color w:val="auto"/>
          <w:kern w:val="0"/>
          <w:sz w:val="24"/>
        </w:rPr>
        <w:t>采购活动，工程的施工单位全部由符合政策要求的中小企业承接。相关企业（含联合体中的中小企业、签订分包意向协议的中小企业）的具体情况如下：</w:t>
      </w:r>
    </w:p>
    <w:p w14:paraId="066383E9">
      <w:pPr>
        <w:autoSpaceDE w:val="0"/>
        <w:autoSpaceDN w:val="0"/>
        <w:adjustRightInd w:val="0"/>
        <w:spacing w:line="360" w:lineRule="auto"/>
        <w:ind w:firstLine="484" w:firstLineChars="202"/>
        <w:jc w:val="left"/>
        <w:rPr>
          <w:rFonts w:ascii="宋体" w:hAnsi="宋体" w:cs="仿宋"/>
          <w:color w:val="auto"/>
          <w:kern w:val="0"/>
          <w:sz w:val="24"/>
        </w:rPr>
      </w:pPr>
      <w:r>
        <w:rPr>
          <w:rFonts w:ascii="宋体" w:hAnsi="宋体" w:cs="仿宋"/>
          <w:color w:val="auto"/>
          <w:kern w:val="0"/>
          <w:sz w:val="24"/>
        </w:rPr>
        <w:t xml:space="preserve">1. </w:t>
      </w:r>
      <w:r>
        <w:rPr>
          <w:rFonts w:hint="eastAsia" w:ascii="宋体" w:hAnsi="宋体" w:cs="仿宋"/>
          <w:color w:val="auto"/>
          <w:kern w:val="0"/>
          <w:sz w:val="24"/>
          <w:u w:val="single"/>
        </w:rPr>
        <w:t>（标的名称）</w:t>
      </w:r>
      <w:r>
        <w:rPr>
          <w:rFonts w:hint="eastAsia" w:ascii="宋体" w:hAnsi="宋体" w:cs="仿宋"/>
          <w:color w:val="auto"/>
          <w:kern w:val="0"/>
          <w:sz w:val="24"/>
        </w:rPr>
        <w:t>，属于</w:t>
      </w:r>
      <w:r>
        <w:rPr>
          <w:rFonts w:hint="eastAsia" w:ascii="宋体" w:hAnsi="宋体" w:cs="仿宋"/>
          <w:color w:val="auto"/>
          <w:kern w:val="0"/>
          <w:sz w:val="24"/>
          <w:u w:val="single"/>
        </w:rPr>
        <w:t>（竞争性磋商文件中明确的所属行业）</w:t>
      </w:r>
      <w:r>
        <w:rPr>
          <w:rFonts w:hint="eastAsia" w:ascii="宋体" w:hAnsi="宋体" w:cs="仿宋"/>
          <w:color w:val="auto"/>
          <w:kern w:val="0"/>
          <w:sz w:val="24"/>
        </w:rPr>
        <w:t>；承建（承接）单位为</w:t>
      </w:r>
      <w:r>
        <w:rPr>
          <w:rFonts w:hint="eastAsia" w:ascii="宋体" w:hAnsi="宋体" w:cs="仿宋"/>
          <w:color w:val="auto"/>
          <w:kern w:val="0"/>
          <w:sz w:val="24"/>
          <w:u w:val="single"/>
        </w:rPr>
        <w:t>（企业名称）</w:t>
      </w:r>
      <w:r>
        <w:rPr>
          <w:rFonts w:hint="eastAsia" w:ascii="宋体" w:hAnsi="宋体" w:cs="仿宋"/>
          <w:color w:val="auto"/>
          <w:kern w:val="0"/>
          <w:sz w:val="24"/>
        </w:rPr>
        <w:t>，从业人员</w:t>
      </w:r>
      <w:r>
        <w:rPr>
          <w:rFonts w:hint="eastAsia" w:ascii="宋体" w:hAnsi="宋体" w:cs="仿宋"/>
          <w:color w:val="auto"/>
          <w:kern w:val="0"/>
          <w:sz w:val="24"/>
          <w:u w:val="single"/>
          <w:lang w:val="en-US" w:eastAsia="zh-CN"/>
        </w:rPr>
        <w:t xml:space="preserve">  </w:t>
      </w:r>
      <w:r>
        <w:rPr>
          <w:rFonts w:hint="eastAsia" w:ascii="宋体" w:hAnsi="宋体" w:cs="仿宋"/>
          <w:color w:val="auto"/>
          <w:kern w:val="0"/>
          <w:sz w:val="24"/>
        </w:rPr>
        <w:t>人，营业收入为</w:t>
      </w:r>
      <w:r>
        <w:rPr>
          <w:rFonts w:hint="eastAsia" w:ascii="宋体" w:hAnsi="宋体" w:cs="仿宋"/>
          <w:color w:val="auto"/>
          <w:kern w:val="0"/>
          <w:sz w:val="24"/>
          <w:u w:val="single"/>
          <w:lang w:val="en-US" w:eastAsia="zh-CN"/>
        </w:rPr>
        <w:t xml:space="preserve">  </w:t>
      </w:r>
      <w:r>
        <w:rPr>
          <w:rFonts w:hint="eastAsia" w:ascii="宋体" w:hAnsi="宋体" w:cs="仿宋"/>
          <w:color w:val="auto"/>
          <w:kern w:val="0"/>
          <w:sz w:val="24"/>
        </w:rPr>
        <w:t>万元，资产总额为</w:t>
      </w:r>
      <w:r>
        <w:rPr>
          <w:rFonts w:hint="eastAsia" w:ascii="宋体" w:hAnsi="宋体" w:cs="仿宋"/>
          <w:color w:val="auto"/>
          <w:kern w:val="0"/>
          <w:sz w:val="24"/>
          <w:u w:val="single"/>
          <w:lang w:val="en-US" w:eastAsia="zh-CN"/>
        </w:rPr>
        <w:t xml:space="preserve">  </w:t>
      </w:r>
      <w:r>
        <w:rPr>
          <w:rFonts w:hint="eastAsia" w:ascii="宋体" w:hAnsi="宋体" w:cs="仿宋"/>
          <w:color w:val="auto"/>
          <w:kern w:val="0"/>
          <w:sz w:val="24"/>
        </w:rPr>
        <w:t>万元，属于</w:t>
      </w:r>
      <w:r>
        <w:rPr>
          <w:rFonts w:hint="eastAsia" w:ascii="宋体" w:hAnsi="宋体" w:cs="仿宋"/>
          <w:color w:val="auto"/>
          <w:kern w:val="0"/>
          <w:sz w:val="24"/>
          <w:u w:val="single"/>
        </w:rPr>
        <w:t>（中型企业、小型企业、微型企业）</w:t>
      </w:r>
      <w:r>
        <w:rPr>
          <w:rFonts w:hint="eastAsia" w:ascii="宋体" w:hAnsi="宋体" w:cs="仿宋"/>
          <w:color w:val="auto"/>
          <w:kern w:val="0"/>
          <w:sz w:val="24"/>
        </w:rPr>
        <w:t>；</w:t>
      </w:r>
    </w:p>
    <w:p w14:paraId="37273EE6">
      <w:pPr>
        <w:autoSpaceDE w:val="0"/>
        <w:autoSpaceDN w:val="0"/>
        <w:adjustRightInd w:val="0"/>
        <w:spacing w:line="360" w:lineRule="auto"/>
        <w:ind w:firstLine="484" w:firstLineChars="202"/>
        <w:jc w:val="left"/>
        <w:rPr>
          <w:rFonts w:ascii="宋体" w:hAnsi="宋体" w:cs="仿宋"/>
          <w:color w:val="auto"/>
          <w:kern w:val="0"/>
          <w:sz w:val="24"/>
        </w:rPr>
      </w:pPr>
      <w:r>
        <w:rPr>
          <w:rFonts w:ascii="宋体" w:hAnsi="宋体" w:cs="仿宋"/>
          <w:color w:val="auto"/>
          <w:kern w:val="0"/>
          <w:sz w:val="24"/>
        </w:rPr>
        <w:t xml:space="preserve">2. </w:t>
      </w:r>
      <w:r>
        <w:rPr>
          <w:rFonts w:hint="eastAsia" w:ascii="宋体" w:hAnsi="宋体" w:cs="仿宋"/>
          <w:color w:val="auto"/>
          <w:kern w:val="0"/>
          <w:sz w:val="24"/>
          <w:u w:val="single"/>
        </w:rPr>
        <w:t>（标的名称）</w:t>
      </w:r>
      <w:r>
        <w:rPr>
          <w:rFonts w:hint="eastAsia" w:ascii="宋体" w:hAnsi="宋体" w:cs="仿宋"/>
          <w:color w:val="auto"/>
          <w:kern w:val="0"/>
          <w:sz w:val="24"/>
        </w:rPr>
        <w:t>，属于</w:t>
      </w:r>
      <w:r>
        <w:rPr>
          <w:rFonts w:hint="eastAsia" w:ascii="宋体" w:hAnsi="宋体" w:cs="仿宋"/>
          <w:color w:val="auto"/>
          <w:kern w:val="0"/>
          <w:sz w:val="24"/>
          <w:u w:val="single"/>
        </w:rPr>
        <w:t>（竞争性磋商文件中明确的所属行业）</w:t>
      </w:r>
      <w:r>
        <w:rPr>
          <w:rFonts w:hint="eastAsia" w:ascii="宋体" w:hAnsi="宋体" w:cs="仿宋"/>
          <w:color w:val="auto"/>
          <w:kern w:val="0"/>
          <w:sz w:val="24"/>
        </w:rPr>
        <w:t>；承建（承接）单位为</w:t>
      </w:r>
      <w:r>
        <w:rPr>
          <w:rFonts w:hint="eastAsia" w:ascii="宋体" w:hAnsi="宋体" w:cs="仿宋"/>
          <w:color w:val="auto"/>
          <w:kern w:val="0"/>
          <w:sz w:val="24"/>
          <w:u w:val="single"/>
        </w:rPr>
        <w:t>（企业名称）</w:t>
      </w:r>
      <w:r>
        <w:rPr>
          <w:rFonts w:hint="eastAsia" w:ascii="宋体" w:hAnsi="宋体" w:cs="仿宋"/>
          <w:color w:val="auto"/>
          <w:kern w:val="0"/>
          <w:sz w:val="24"/>
        </w:rPr>
        <w:t>，从业人员人，营业收入为万元，资产总额为万元，属于</w:t>
      </w:r>
      <w:r>
        <w:rPr>
          <w:rFonts w:hint="eastAsia" w:ascii="宋体" w:hAnsi="宋体" w:cs="仿宋"/>
          <w:color w:val="auto"/>
          <w:kern w:val="0"/>
          <w:sz w:val="24"/>
          <w:u w:val="single"/>
        </w:rPr>
        <w:t>（中型企业、小型企业、微型企业）</w:t>
      </w:r>
      <w:r>
        <w:rPr>
          <w:rFonts w:hint="eastAsia" w:ascii="宋体" w:hAnsi="宋体" w:cs="仿宋"/>
          <w:color w:val="auto"/>
          <w:kern w:val="0"/>
          <w:sz w:val="24"/>
        </w:rPr>
        <w:t>；</w:t>
      </w:r>
    </w:p>
    <w:p w14:paraId="54C18518">
      <w:pPr>
        <w:autoSpaceDE w:val="0"/>
        <w:autoSpaceDN w:val="0"/>
        <w:adjustRightInd w:val="0"/>
        <w:spacing w:line="360" w:lineRule="auto"/>
        <w:ind w:firstLine="484" w:firstLineChars="202"/>
        <w:jc w:val="left"/>
        <w:rPr>
          <w:rFonts w:ascii="宋体" w:hAnsi="宋体" w:cs="仿宋"/>
          <w:color w:val="auto"/>
          <w:kern w:val="0"/>
          <w:sz w:val="24"/>
        </w:rPr>
      </w:pPr>
      <w:r>
        <w:rPr>
          <w:rFonts w:hint="eastAsia" w:ascii="宋体" w:hAnsi="宋体" w:cs="仿宋"/>
          <w:color w:val="auto"/>
          <w:kern w:val="0"/>
          <w:sz w:val="24"/>
        </w:rPr>
        <w:t>……</w:t>
      </w:r>
    </w:p>
    <w:p w14:paraId="6C1B0696">
      <w:pPr>
        <w:autoSpaceDE w:val="0"/>
        <w:autoSpaceDN w:val="0"/>
        <w:adjustRightInd w:val="0"/>
        <w:spacing w:line="360" w:lineRule="auto"/>
        <w:ind w:firstLine="484" w:firstLineChars="202"/>
        <w:jc w:val="left"/>
        <w:rPr>
          <w:rFonts w:ascii="宋体" w:hAnsi="宋体" w:cs="仿宋"/>
          <w:color w:val="auto"/>
          <w:kern w:val="0"/>
          <w:sz w:val="24"/>
        </w:rPr>
      </w:pPr>
      <w:r>
        <w:rPr>
          <w:rFonts w:hint="eastAsia" w:ascii="宋体" w:hAnsi="宋体" w:cs="仿宋"/>
          <w:color w:val="auto"/>
          <w:kern w:val="0"/>
          <w:sz w:val="24"/>
        </w:rPr>
        <w:t>以上企业，不属于大企业的分支机构，不存在控股股东为大企业的情形，也不存在与大企业的负责人为同一人的情形。</w:t>
      </w:r>
    </w:p>
    <w:p w14:paraId="3A0D8D93">
      <w:pPr>
        <w:autoSpaceDE w:val="0"/>
        <w:autoSpaceDN w:val="0"/>
        <w:adjustRightInd w:val="0"/>
        <w:spacing w:line="360" w:lineRule="auto"/>
        <w:ind w:firstLine="484" w:firstLineChars="202"/>
        <w:jc w:val="left"/>
        <w:rPr>
          <w:rFonts w:ascii="宋体" w:hAnsi="宋体" w:cs="仿宋"/>
          <w:color w:val="auto"/>
          <w:kern w:val="0"/>
          <w:sz w:val="24"/>
        </w:rPr>
      </w:pPr>
      <w:r>
        <w:rPr>
          <w:rFonts w:hint="eastAsia" w:ascii="宋体" w:hAnsi="宋体" w:cs="仿宋"/>
          <w:color w:val="auto"/>
          <w:kern w:val="0"/>
          <w:sz w:val="24"/>
        </w:rPr>
        <w:t>本企业对上述声明内容的真实性负责。如有虚假，将依法承担相应责任。</w:t>
      </w:r>
    </w:p>
    <w:p w14:paraId="1B6463BF">
      <w:pPr>
        <w:autoSpaceDE w:val="0"/>
        <w:autoSpaceDN w:val="0"/>
        <w:adjustRightInd w:val="0"/>
        <w:spacing w:line="360" w:lineRule="auto"/>
        <w:ind w:firstLine="484" w:firstLineChars="202"/>
        <w:jc w:val="left"/>
        <w:rPr>
          <w:rFonts w:ascii="宋体" w:hAnsi="宋体" w:cs="仿宋"/>
          <w:color w:val="auto"/>
          <w:kern w:val="0"/>
          <w:sz w:val="24"/>
        </w:rPr>
      </w:pPr>
    </w:p>
    <w:p w14:paraId="1302D12B">
      <w:pPr>
        <w:keepNext w:val="0"/>
        <w:keepLines w:val="0"/>
        <w:pageBreakBefore w:val="0"/>
        <w:widowControl/>
        <w:suppressLineNumbers w:val="0"/>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供应商名称</w:t>
      </w:r>
      <w:r>
        <w:rPr>
          <w:rFonts w:hint="eastAsia" w:ascii="仿宋_GB2312" w:hAnsi="仿宋" w:eastAsia="仿宋_GB2312" w:cs="仿宋_GB2312"/>
          <w:color w:val="auto"/>
          <w:kern w:val="0"/>
          <w:sz w:val="21"/>
          <w:szCs w:val="21"/>
          <w:highlight w:val="none"/>
        </w:rPr>
        <w:t>（电子签章）</w:t>
      </w:r>
      <w:r>
        <w:rPr>
          <w:rFonts w:hint="eastAsia" w:ascii="仿宋_GB2312" w:hAnsi="仿宋_GB2312" w:eastAsia="仿宋_GB2312" w:cs="仿宋_GB2312"/>
          <w:color w:val="auto"/>
          <w:kern w:val="0"/>
          <w:sz w:val="21"/>
          <w:szCs w:val="21"/>
          <w:lang w:val="en-US" w:eastAsia="zh-CN" w:bidi="ar"/>
        </w:rPr>
        <w:t xml:space="preserve">： </w:t>
      </w:r>
    </w:p>
    <w:p w14:paraId="6F547235">
      <w:pPr>
        <w:keepNext w:val="0"/>
        <w:keepLines w:val="0"/>
        <w:pageBreakBefore w:val="0"/>
        <w:tabs>
          <w:tab w:val="left" w:pos="7560"/>
        </w:tabs>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日期：</w:t>
      </w:r>
    </w:p>
    <w:p w14:paraId="44A28367">
      <w:pPr>
        <w:spacing w:line="360" w:lineRule="auto"/>
        <w:ind w:firstLine="405"/>
        <w:jc w:val="left"/>
        <w:rPr>
          <w:rFonts w:ascii="宋体" w:hAnsi="宋体" w:cs="宋体"/>
          <w:color w:val="auto"/>
          <w:kern w:val="0"/>
          <w:szCs w:val="21"/>
        </w:rPr>
      </w:pPr>
    </w:p>
    <w:p w14:paraId="4E82B5D8">
      <w:pPr>
        <w:spacing w:line="360" w:lineRule="auto"/>
        <w:ind w:firstLine="405"/>
        <w:jc w:val="left"/>
        <w:rPr>
          <w:rFonts w:ascii="宋体" w:hAnsi="宋体" w:cs="宋体"/>
          <w:color w:val="auto"/>
          <w:kern w:val="0"/>
          <w:szCs w:val="21"/>
        </w:rPr>
      </w:pPr>
    </w:p>
    <w:p w14:paraId="205797E4">
      <w:pPr>
        <w:rPr>
          <w:rFonts w:ascii="宋体" w:hAnsi="宋体"/>
          <w:color w:val="auto"/>
          <w:sz w:val="24"/>
        </w:rPr>
      </w:pPr>
    </w:p>
    <w:p w14:paraId="688552AD">
      <w:pPr>
        <w:pStyle w:val="13"/>
        <w:rPr>
          <w:rFonts w:hAnsi="宋体"/>
          <w:b/>
          <w:color w:val="auto"/>
          <w:sz w:val="28"/>
          <w:szCs w:val="28"/>
        </w:rPr>
      </w:pPr>
      <w:r>
        <w:rPr>
          <w:rFonts w:hint="eastAsia" w:ascii="宋体" w:hAnsi="宋体"/>
          <w:color w:val="auto"/>
          <w:sz w:val="24"/>
        </w:rPr>
        <w:t>注：请根据国家统计局《统计上大中小微型企业划分办法（2017）》</w:t>
      </w:r>
      <w:r>
        <w:rPr>
          <w:rFonts w:hint="eastAsia" w:ascii="宋体" w:hAnsi="宋体" w:cs="宋体"/>
          <w:color w:val="auto"/>
          <w:sz w:val="24"/>
        </w:rPr>
        <w:t>及</w:t>
      </w:r>
      <w:r>
        <w:rPr>
          <w:rFonts w:hint="eastAsia" w:ascii="宋体" w:hAnsi="宋体"/>
          <w:color w:val="auto"/>
          <w:sz w:val="24"/>
        </w:rPr>
        <w:t>自己的真实情况出具《中小企业声明函》。依法享受中小企业优惠政策的，采购人或者采购代理机构在公告成交结果时，同时公告其《中小企业声明函》须真实有效，接受社会监督。</w:t>
      </w:r>
      <w:r>
        <w:rPr>
          <w:color w:val="auto"/>
        </w:rPr>
        <w:br w:type="page"/>
      </w:r>
      <w:r>
        <w:rPr>
          <w:rFonts w:hint="eastAsia" w:hAnsi="宋体"/>
          <w:b/>
          <w:color w:val="auto"/>
          <w:sz w:val="24"/>
        </w:rPr>
        <w:t>格式</w:t>
      </w:r>
      <w:r>
        <w:rPr>
          <w:rFonts w:hint="eastAsia" w:hAnsi="宋体"/>
          <w:b/>
          <w:color w:val="auto"/>
          <w:sz w:val="24"/>
          <w:lang w:val="en-US" w:eastAsia="zh-CN"/>
        </w:rPr>
        <w:t>九</w:t>
      </w:r>
      <w:r>
        <w:rPr>
          <w:rFonts w:hint="eastAsia" w:hAnsi="宋体"/>
          <w:b/>
          <w:color w:val="auto"/>
          <w:sz w:val="24"/>
        </w:rPr>
        <w:t>：</w:t>
      </w:r>
    </w:p>
    <w:p w14:paraId="7B397140">
      <w:pPr>
        <w:pStyle w:val="24"/>
        <w:spacing w:line="500" w:lineRule="exact"/>
        <w:jc w:val="center"/>
        <w:rPr>
          <w:rFonts w:ascii="Times New Roman" w:hAnsi="宋体"/>
          <w:b/>
          <w:color w:val="auto"/>
          <w:sz w:val="28"/>
          <w:szCs w:val="28"/>
        </w:rPr>
      </w:pPr>
      <w:r>
        <w:rPr>
          <w:rFonts w:hint="eastAsia" w:ascii="Times New Roman" w:hAnsi="宋体"/>
          <w:b/>
          <w:color w:val="auto"/>
          <w:sz w:val="28"/>
          <w:szCs w:val="28"/>
        </w:rPr>
        <w:t xml:space="preserve">残疾人福利性单位声明函 </w:t>
      </w:r>
    </w:p>
    <w:p w14:paraId="1A8A61A9">
      <w:pPr>
        <w:pStyle w:val="24"/>
        <w:spacing w:line="500" w:lineRule="exact"/>
        <w:ind w:firstLine="600" w:firstLineChars="250"/>
        <w:rPr>
          <w:rFonts w:hAnsi="宋体"/>
          <w:color w:val="auto"/>
          <w:sz w:val="24"/>
          <w:szCs w:val="24"/>
        </w:rPr>
      </w:pPr>
    </w:p>
    <w:p w14:paraId="293521E4">
      <w:pPr>
        <w:spacing w:line="588" w:lineRule="exact"/>
        <w:ind w:firstLine="444" w:firstLineChars="200"/>
        <w:rPr>
          <w:rFonts w:ascii="宋体" w:hAnsi="宋体"/>
          <w:color w:val="auto"/>
          <w:spacing w:val="6"/>
          <w:szCs w:val="21"/>
        </w:rPr>
      </w:pPr>
      <w:r>
        <w:rPr>
          <w:rFonts w:hint="eastAsia" w:ascii="宋体" w:hAnsi="宋体"/>
          <w:color w:val="auto"/>
          <w:spacing w:val="6"/>
          <w:szCs w:val="21"/>
        </w:rPr>
        <w:t>本单位郑重声明，根据《财政部 民政部 中国残疾人联合会关于促进残疾人就业政府采购政策的通知》（财库</w:t>
      </w:r>
      <w:r>
        <w:rPr>
          <w:rFonts w:hint="eastAsia" w:ascii="宋体" w:hAnsi="宋体"/>
          <w:color w:val="auto"/>
          <w:szCs w:val="21"/>
        </w:rPr>
        <w:t>〔2017〕 141</w:t>
      </w:r>
      <w:r>
        <w:rPr>
          <w:rFonts w:hint="eastAsia" w:ascii="宋体" w:hAnsi="宋体"/>
          <w:color w:val="auto"/>
          <w:spacing w:val="6"/>
          <w:szCs w:val="21"/>
        </w:rPr>
        <w:t>号）的规定，本单位为</w:t>
      </w:r>
      <w:r>
        <w:rPr>
          <w:rFonts w:hint="eastAsia" w:ascii="宋体" w:hAnsi="宋体"/>
          <w:color w:val="auto"/>
          <w:spacing w:val="6"/>
          <w:szCs w:val="21"/>
          <w:u w:val="single"/>
        </w:rPr>
        <w:t>(符合/不符合)</w:t>
      </w:r>
      <w:r>
        <w:rPr>
          <w:rFonts w:hint="eastAsia" w:ascii="宋体" w:hAnsi="宋体"/>
          <w:color w:val="auto"/>
          <w:spacing w:val="6"/>
          <w:szCs w:val="21"/>
        </w:rPr>
        <w:t>条件的残疾人福利性单位，且本单位参加</w:t>
      </w:r>
      <w:r>
        <w:rPr>
          <w:rFonts w:hint="eastAsia" w:ascii="宋体" w:hAnsi="宋体"/>
          <w:color w:val="auto"/>
          <w:szCs w:val="21"/>
          <w:u w:val="single"/>
        </w:rPr>
        <w:t xml:space="preserve">  （采购人名称）     </w:t>
      </w:r>
      <w:r>
        <w:rPr>
          <w:rFonts w:hint="eastAsia" w:ascii="宋体" w:hAnsi="宋体"/>
          <w:color w:val="auto"/>
          <w:spacing w:val="6"/>
          <w:szCs w:val="21"/>
        </w:rPr>
        <w:t>单位的</w:t>
      </w:r>
      <w:r>
        <w:rPr>
          <w:rFonts w:hint="eastAsia" w:ascii="宋体" w:hAnsi="宋体"/>
          <w:color w:val="auto"/>
          <w:szCs w:val="21"/>
          <w:u w:val="single"/>
        </w:rPr>
        <w:t xml:space="preserve">      （项目名称）         </w:t>
      </w:r>
      <w:r>
        <w:rPr>
          <w:rFonts w:hint="eastAsia" w:ascii="宋体" w:hAnsi="宋体"/>
          <w:color w:val="auto"/>
          <w:spacing w:val="6"/>
          <w:szCs w:val="21"/>
        </w:rPr>
        <w:t>项目采购活动提供本单位制造的工程（由本单位承担工程/提供服务），或者提供其他残疾人福利性单位制造的工程（不包括使用非残疾人福利性单位注册商标的工程）。</w:t>
      </w:r>
    </w:p>
    <w:p w14:paraId="0C3DDCE7">
      <w:pPr>
        <w:spacing w:line="588" w:lineRule="exact"/>
        <w:ind w:firstLine="444" w:firstLineChars="200"/>
        <w:rPr>
          <w:rFonts w:ascii="宋体" w:hAnsi="宋体"/>
          <w:color w:val="auto"/>
          <w:spacing w:val="6"/>
          <w:szCs w:val="21"/>
        </w:rPr>
      </w:pPr>
      <w:r>
        <w:rPr>
          <w:rFonts w:hint="eastAsia" w:ascii="宋体" w:hAnsi="宋体"/>
          <w:color w:val="auto"/>
          <w:spacing w:val="6"/>
          <w:szCs w:val="21"/>
        </w:rPr>
        <w:t>本单位对上述声明的真实性负责。如有虚假，将依法承担相应责任。</w:t>
      </w:r>
    </w:p>
    <w:p w14:paraId="261B0FA7">
      <w:pPr>
        <w:spacing w:line="588" w:lineRule="exact"/>
        <w:ind w:firstLine="444" w:firstLineChars="200"/>
        <w:rPr>
          <w:rFonts w:ascii="宋体" w:hAnsi="宋体"/>
          <w:color w:val="auto"/>
          <w:spacing w:val="6"/>
          <w:szCs w:val="21"/>
        </w:rPr>
      </w:pPr>
    </w:p>
    <w:p w14:paraId="4AC3B924">
      <w:pPr>
        <w:spacing w:line="588" w:lineRule="exact"/>
        <w:ind w:firstLine="444" w:firstLineChars="200"/>
        <w:rPr>
          <w:rFonts w:ascii="宋体" w:hAnsi="宋体"/>
          <w:color w:val="auto"/>
          <w:spacing w:val="6"/>
          <w:szCs w:val="21"/>
        </w:rPr>
      </w:pPr>
    </w:p>
    <w:p w14:paraId="2A156E4F">
      <w:pPr>
        <w:keepNext w:val="0"/>
        <w:keepLines w:val="0"/>
        <w:pageBreakBefore w:val="0"/>
        <w:widowControl/>
        <w:suppressLineNumbers w:val="0"/>
        <w:kinsoku/>
        <w:wordWrap/>
        <w:overflowPunct/>
        <w:topLinePunct w:val="0"/>
        <w:autoSpaceDE/>
        <w:autoSpaceDN/>
        <w:bidi w:val="0"/>
        <w:adjustRightInd/>
        <w:snapToGrid/>
        <w:spacing w:line="440" w:lineRule="exact"/>
        <w:ind w:firstLine="3330" w:firstLineChars="1500"/>
        <w:jc w:val="left"/>
        <w:textAlignment w:val="auto"/>
        <w:rPr>
          <w:rFonts w:hint="eastAsia" w:ascii="仿宋_GB2312" w:hAnsi="仿宋_GB2312" w:eastAsia="仿宋_GB2312" w:cs="仿宋_GB2312"/>
          <w:color w:val="auto"/>
          <w:sz w:val="21"/>
          <w:szCs w:val="21"/>
        </w:rPr>
      </w:pPr>
      <w:r>
        <w:rPr>
          <w:rFonts w:hint="eastAsia" w:ascii="宋体" w:hAnsi="宋体"/>
          <w:color w:val="auto"/>
          <w:spacing w:val="6"/>
          <w:szCs w:val="21"/>
        </w:rPr>
        <w:t xml:space="preserve">           　　   </w:t>
      </w:r>
      <w:r>
        <w:rPr>
          <w:rFonts w:hint="eastAsia" w:ascii="仿宋_GB2312" w:hAnsi="仿宋_GB2312" w:eastAsia="仿宋_GB2312" w:cs="仿宋_GB2312"/>
          <w:color w:val="auto"/>
          <w:kern w:val="0"/>
          <w:sz w:val="21"/>
          <w:szCs w:val="21"/>
          <w:lang w:val="en-US" w:eastAsia="zh-CN" w:bidi="ar"/>
        </w:rPr>
        <w:t>供应商名称</w:t>
      </w:r>
      <w:r>
        <w:rPr>
          <w:rFonts w:hint="eastAsia" w:ascii="仿宋_GB2312" w:hAnsi="仿宋" w:eastAsia="仿宋_GB2312" w:cs="仿宋_GB2312"/>
          <w:color w:val="auto"/>
          <w:kern w:val="0"/>
          <w:sz w:val="21"/>
          <w:szCs w:val="21"/>
          <w:highlight w:val="none"/>
        </w:rPr>
        <w:t>（电子签章）</w:t>
      </w:r>
      <w:r>
        <w:rPr>
          <w:rFonts w:hint="eastAsia" w:ascii="仿宋_GB2312" w:hAnsi="仿宋_GB2312" w:eastAsia="仿宋_GB2312" w:cs="仿宋_GB2312"/>
          <w:color w:val="auto"/>
          <w:kern w:val="0"/>
          <w:sz w:val="21"/>
          <w:szCs w:val="21"/>
          <w:lang w:val="en-US" w:eastAsia="zh-CN" w:bidi="ar"/>
        </w:rPr>
        <w:t xml:space="preserve">： </w:t>
      </w:r>
    </w:p>
    <w:p w14:paraId="19E4A121">
      <w:pPr>
        <w:keepNext w:val="0"/>
        <w:keepLines w:val="0"/>
        <w:pageBreakBefore w:val="0"/>
        <w:tabs>
          <w:tab w:val="left" w:pos="7560"/>
        </w:tabs>
        <w:kinsoku/>
        <w:wordWrap/>
        <w:overflowPunct/>
        <w:topLinePunct w:val="0"/>
        <w:autoSpaceDE/>
        <w:autoSpaceDN/>
        <w:bidi w:val="0"/>
        <w:adjustRightInd/>
        <w:snapToGrid/>
        <w:spacing w:line="440" w:lineRule="exact"/>
        <w:ind w:firstLine="6720" w:firstLineChars="3200"/>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日期：</w:t>
      </w:r>
    </w:p>
    <w:p w14:paraId="03EA3481">
      <w:pPr>
        <w:tabs>
          <w:tab w:val="left" w:pos="4860"/>
        </w:tabs>
        <w:spacing w:line="588" w:lineRule="exact"/>
        <w:ind w:right="1560" w:firstLine="444" w:firstLineChars="200"/>
        <w:jc w:val="center"/>
        <w:rPr>
          <w:rFonts w:ascii="宋体" w:hAnsi="宋体"/>
          <w:color w:val="auto"/>
          <w:spacing w:val="6"/>
          <w:szCs w:val="21"/>
        </w:rPr>
      </w:pPr>
    </w:p>
    <w:p w14:paraId="0CA18392">
      <w:pPr>
        <w:pStyle w:val="24"/>
        <w:spacing w:line="500" w:lineRule="exact"/>
        <w:rPr>
          <w:rFonts w:hAnsi="宋体"/>
          <w:b/>
          <w:color w:val="auto"/>
        </w:rPr>
      </w:pPr>
    </w:p>
    <w:p w14:paraId="34A7E3AA">
      <w:pPr>
        <w:pStyle w:val="24"/>
        <w:spacing w:line="500" w:lineRule="exact"/>
        <w:rPr>
          <w:rFonts w:hAnsi="宋体"/>
          <w:b/>
          <w:color w:val="auto"/>
        </w:rPr>
      </w:pPr>
    </w:p>
    <w:p w14:paraId="5CDAB1A9">
      <w:pPr>
        <w:pStyle w:val="24"/>
        <w:spacing w:line="500" w:lineRule="exact"/>
        <w:rPr>
          <w:rFonts w:hAnsi="宋体"/>
          <w:b/>
          <w:color w:val="auto"/>
        </w:rPr>
      </w:pPr>
    </w:p>
    <w:p w14:paraId="01E5362D">
      <w:pPr>
        <w:pStyle w:val="24"/>
        <w:spacing w:line="500" w:lineRule="exact"/>
        <w:rPr>
          <w:rFonts w:hAnsi="宋体"/>
          <w:b/>
          <w:color w:val="auto"/>
        </w:rPr>
      </w:pPr>
    </w:p>
    <w:p w14:paraId="63A63395">
      <w:pPr>
        <w:pStyle w:val="24"/>
        <w:spacing w:line="500" w:lineRule="exact"/>
        <w:rPr>
          <w:rFonts w:hAnsi="宋体"/>
          <w:b/>
          <w:color w:val="auto"/>
        </w:rPr>
      </w:pPr>
    </w:p>
    <w:p w14:paraId="42A5CC5E">
      <w:pPr>
        <w:pStyle w:val="24"/>
        <w:spacing w:line="500" w:lineRule="exact"/>
        <w:rPr>
          <w:rFonts w:hAnsi="宋体"/>
          <w:b/>
          <w:color w:val="auto"/>
        </w:rPr>
      </w:pPr>
    </w:p>
    <w:p w14:paraId="5CC7F1A6">
      <w:pPr>
        <w:pStyle w:val="24"/>
        <w:spacing w:line="500" w:lineRule="exact"/>
        <w:rPr>
          <w:rFonts w:hAnsi="宋体"/>
          <w:b/>
          <w:color w:val="auto"/>
        </w:rPr>
      </w:pPr>
    </w:p>
    <w:p w14:paraId="5A1CC021">
      <w:pPr>
        <w:pStyle w:val="24"/>
        <w:spacing w:line="500" w:lineRule="exact"/>
        <w:rPr>
          <w:rFonts w:hAnsi="宋体"/>
          <w:b/>
          <w:color w:val="auto"/>
        </w:rPr>
      </w:pPr>
    </w:p>
    <w:p w14:paraId="64E22CE2">
      <w:pPr>
        <w:pStyle w:val="24"/>
        <w:spacing w:line="500" w:lineRule="exact"/>
        <w:rPr>
          <w:rFonts w:hAnsi="宋体"/>
          <w:b/>
          <w:color w:val="auto"/>
        </w:rPr>
      </w:pPr>
    </w:p>
    <w:p w14:paraId="614A7EC4">
      <w:pPr>
        <w:pStyle w:val="24"/>
        <w:spacing w:line="500" w:lineRule="exact"/>
        <w:rPr>
          <w:rFonts w:hAnsi="宋体"/>
          <w:b/>
          <w:color w:val="auto"/>
        </w:rPr>
      </w:pPr>
    </w:p>
    <w:p w14:paraId="6D25F8FC">
      <w:pPr>
        <w:pStyle w:val="24"/>
        <w:spacing w:line="500" w:lineRule="exact"/>
        <w:rPr>
          <w:rFonts w:hAnsi="宋体"/>
          <w:b/>
          <w:color w:val="auto"/>
        </w:rPr>
      </w:pPr>
    </w:p>
    <w:p w14:paraId="2730C8BB">
      <w:pPr>
        <w:pStyle w:val="24"/>
        <w:spacing w:line="500" w:lineRule="exact"/>
        <w:rPr>
          <w:rFonts w:hAnsi="宋体"/>
          <w:b/>
          <w:color w:val="auto"/>
        </w:rPr>
      </w:pPr>
    </w:p>
    <w:p w14:paraId="608634BE">
      <w:pPr>
        <w:pStyle w:val="24"/>
        <w:spacing w:line="500" w:lineRule="exact"/>
        <w:rPr>
          <w:rFonts w:hAnsi="宋体"/>
          <w:b/>
          <w:color w:val="auto"/>
        </w:rPr>
      </w:pPr>
    </w:p>
    <w:p w14:paraId="3CFB23F7">
      <w:pPr>
        <w:spacing w:line="360" w:lineRule="exact"/>
        <w:rPr>
          <w:rFonts w:ascii="宋体" w:hAnsi="宋体" w:cs="宋体"/>
          <w:color w:val="auto"/>
        </w:rPr>
      </w:pPr>
    </w:p>
    <w:p w14:paraId="63E17DED">
      <w:pPr>
        <w:spacing w:line="360" w:lineRule="exact"/>
        <w:rPr>
          <w:rFonts w:ascii="宋体" w:hAnsi="宋体" w:cs="宋体"/>
          <w:color w:val="auto"/>
        </w:rPr>
      </w:pPr>
      <w:r>
        <w:rPr>
          <w:rFonts w:hint="eastAsia" w:ascii="宋体" w:hAnsi="宋体"/>
          <w:b/>
          <w:color w:val="auto"/>
          <w:sz w:val="24"/>
        </w:rPr>
        <w:t>格式</w:t>
      </w:r>
      <w:r>
        <w:rPr>
          <w:rFonts w:hint="eastAsia" w:hAnsi="宋体"/>
          <w:b/>
          <w:color w:val="auto"/>
          <w:sz w:val="24"/>
          <w:lang w:val="en-US" w:eastAsia="zh-CN"/>
        </w:rPr>
        <w:t>十</w:t>
      </w:r>
      <w:r>
        <w:rPr>
          <w:rFonts w:hint="eastAsia" w:ascii="宋体" w:hAnsi="宋体"/>
          <w:b/>
          <w:color w:val="auto"/>
          <w:sz w:val="24"/>
        </w:rPr>
        <w:t>：</w:t>
      </w:r>
    </w:p>
    <w:p w14:paraId="534D493B">
      <w:pPr>
        <w:adjustRightInd w:val="0"/>
        <w:spacing w:line="300" w:lineRule="auto"/>
        <w:jc w:val="center"/>
        <w:rPr>
          <w:rFonts w:ascii="宋体" w:hAnsi="宋体" w:cs="宋体"/>
          <w:b/>
          <w:color w:val="auto"/>
          <w:sz w:val="24"/>
        </w:rPr>
      </w:pPr>
      <w:r>
        <w:rPr>
          <w:rFonts w:hint="eastAsia" w:ascii="宋体" w:hAnsi="宋体" w:cs="宋体"/>
          <w:b/>
          <w:color w:val="auto"/>
          <w:sz w:val="24"/>
        </w:rPr>
        <w:t>（一）项目管理机构配备情况表</w:t>
      </w:r>
    </w:p>
    <w:tbl>
      <w:tblPr>
        <w:tblStyle w:val="45"/>
        <w:tblW w:w="0" w:type="auto"/>
        <w:jc w:val="center"/>
        <w:tblLayout w:type="fixed"/>
        <w:tblCellMar>
          <w:top w:w="0" w:type="dxa"/>
          <w:left w:w="0" w:type="dxa"/>
          <w:bottom w:w="0" w:type="dxa"/>
          <w:right w:w="0" w:type="dxa"/>
        </w:tblCellMar>
      </w:tblPr>
      <w:tblGrid>
        <w:gridCol w:w="2428"/>
        <w:gridCol w:w="1027"/>
        <w:gridCol w:w="857"/>
        <w:gridCol w:w="706"/>
        <w:gridCol w:w="808"/>
        <w:gridCol w:w="850"/>
        <w:gridCol w:w="1339"/>
        <w:gridCol w:w="1164"/>
      </w:tblGrid>
      <w:tr w14:paraId="1726440D">
        <w:tblPrEx>
          <w:tblCellMar>
            <w:top w:w="0" w:type="dxa"/>
            <w:left w:w="0" w:type="dxa"/>
            <w:bottom w:w="0" w:type="dxa"/>
            <w:right w:w="0" w:type="dxa"/>
          </w:tblCellMar>
        </w:tblPrEx>
        <w:trPr>
          <w:trHeight w:val="913" w:hRule="exact"/>
          <w:jc w:val="center"/>
        </w:trPr>
        <w:tc>
          <w:tcPr>
            <w:tcW w:w="24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E843D3E">
            <w:pPr>
              <w:adjustRightInd w:val="0"/>
              <w:spacing w:line="320" w:lineRule="exact"/>
              <w:jc w:val="center"/>
              <w:rPr>
                <w:rFonts w:ascii="宋体" w:hAnsi="宋体" w:cs="宋体"/>
                <w:color w:val="auto"/>
                <w:szCs w:val="21"/>
              </w:rPr>
            </w:pPr>
            <w:r>
              <w:rPr>
                <w:rFonts w:hint="eastAsia" w:ascii="宋体" w:hAnsi="宋体" w:cs="宋体"/>
                <w:color w:val="auto"/>
                <w:szCs w:val="21"/>
              </w:rPr>
              <w:t>工作岗位名称</w:t>
            </w:r>
          </w:p>
        </w:tc>
        <w:tc>
          <w:tcPr>
            <w:tcW w:w="102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9686454">
            <w:pPr>
              <w:adjustRightInd w:val="0"/>
              <w:spacing w:line="320" w:lineRule="exact"/>
              <w:jc w:val="center"/>
              <w:rPr>
                <w:rFonts w:ascii="宋体" w:hAnsi="宋体" w:cs="宋体"/>
                <w:color w:val="auto"/>
                <w:szCs w:val="21"/>
              </w:rPr>
            </w:pPr>
            <w:r>
              <w:rPr>
                <w:rFonts w:hint="eastAsia" w:ascii="宋体" w:hAnsi="宋体" w:cs="宋体"/>
                <w:color w:val="auto"/>
                <w:szCs w:val="21"/>
              </w:rPr>
              <w:t>姓  名</w:t>
            </w:r>
          </w:p>
        </w:tc>
        <w:tc>
          <w:tcPr>
            <w:tcW w:w="85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988AB7E">
            <w:pPr>
              <w:adjustRightInd w:val="0"/>
              <w:spacing w:line="320" w:lineRule="exact"/>
              <w:jc w:val="center"/>
              <w:rPr>
                <w:rFonts w:ascii="宋体" w:hAnsi="宋体" w:cs="宋体"/>
                <w:color w:val="auto"/>
                <w:szCs w:val="21"/>
              </w:rPr>
            </w:pPr>
            <w:r>
              <w:rPr>
                <w:rFonts w:hint="eastAsia" w:ascii="宋体" w:hAnsi="宋体" w:cs="宋体"/>
                <w:color w:val="auto"/>
                <w:szCs w:val="21"/>
              </w:rPr>
              <w:t>性别</w:t>
            </w:r>
          </w:p>
        </w:tc>
        <w:tc>
          <w:tcPr>
            <w:tcW w:w="70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1A1B059">
            <w:pPr>
              <w:adjustRightInd w:val="0"/>
              <w:spacing w:line="320" w:lineRule="exact"/>
              <w:jc w:val="center"/>
              <w:rPr>
                <w:rFonts w:ascii="宋体" w:hAnsi="宋体" w:cs="宋体"/>
                <w:color w:val="auto"/>
                <w:szCs w:val="21"/>
              </w:rPr>
            </w:pPr>
            <w:r>
              <w:rPr>
                <w:rFonts w:hint="eastAsia" w:ascii="宋体" w:hAnsi="宋体" w:cs="宋体"/>
                <w:color w:val="auto"/>
                <w:szCs w:val="21"/>
              </w:rPr>
              <w:t>工作职责</w:t>
            </w:r>
          </w:p>
        </w:tc>
        <w:tc>
          <w:tcPr>
            <w:tcW w:w="80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F7767AD">
            <w:pPr>
              <w:adjustRightInd w:val="0"/>
              <w:spacing w:line="320" w:lineRule="exact"/>
              <w:jc w:val="center"/>
              <w:rPr>
                <w:rFonts w:ascii="宋体" w:hAnsi="宋体" w:cs="宋体"/>
                <w:color w:val="auto"/>
                <w:szCs w:val="21"/>
              </w:rPr>
            </w:pPr>
            <w:r>
              <w:rPr>
                <w:rFonts w:hint="eastAsia" w:ascii="宋体" w:hAnsi="宋体" w:cs="宋体"/>
                <w:color w:val="auto"/>
                <w:szCs w:val="21"/>
              </w:rPr>
              <w:t>职  称</w:t>
            </w:r>
          </w:p>
        </w:tc>
        <w:tc>
          <w:tcPr>
            <w:tcW w:w="8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D49C4DE">
            <w:pPr>
              <w:adjustRightInd w:val="0"/>
              <w:spacing w:line="320" w:lineRule="exact"/>
              <w:jc w:val="center"/>
              <w:rPr>
                <w:rFonts w:ascii="宋体" w:hAnsi="宋体" w:cs="宋体"/>
                <w:color w:val="auto"/>
                <w:szCs w:val="21"/>
              </w:rPr>
            </w:pPr>
            <w:r>
              <w:rPr>
                <w:rFonts w:hint="eastAsia" w:ascii="宋体" w:hAnsi="宋体" w:cs="宋体"/>
                <w:color w:val="auto"/>
                <w:szCs w:val="21"/>
              </w:rPr>
              <w:t>专  业</w:t>
            </w:r>
          </w:p>
        </w:tc>
        <w:tc>
          <w:tcPr>
            <w:tcW w:w="133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D61C1B5">
            <w:pPr>
              <w:adjustRightInd w:val="0"/>
              <w:spacing w:line="320" w:lineRule="exact"/>
              <w:jc w:val="center"/>
              <w:rPr>
                <w:rFonts w:ascii="宋体" w:hAnsi="宋体" w:cs="宋体"/>
                <w:color w:val="auto"/>
                <w:szCs w:val="21"/>
              </w:rPr>
            </w:pPr>
            <w:r>
              <w:rPr>
                <w:rFonts w:hint="eastAsia" w:ascii="宋体" w:hAnsi="宋体" w:cs="宋体"/>
                <w:bCs/>
                <w:color w:val="auto"/>
                <w:szCs w:val="21"/>
              </w:rPr>
              <w:t>相关证书名称及编号</w:t>
            </w:r>
          </w:p>
        </w:tc>
        <w:tc>
          <w:tcPr>
            <w:tcW w:w="116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7774C8F">
            <w:pPr>
              <w:adjustRightInd w:val="0"/>
              <w:spacing w:line="320" w:lineRule="exact"/>
              <w:jc w:val="center"/>
              <w:rPr>
                <w:rFonts w:ascii="宋体" w:hAnsi="宋体" w:cs="宋体"/>
                <w:color w:val="auto"/>
                <w:szCs w:val="21"/>
              </w:rPr>
            </w:pPr>
            <w:r>
              <w:rPr>
                <w:rFonts w:hint="eastAsia" w:ascii="宋体" w:hAnsi="宋体" w:cs="宋体"/>
                <w:color w:val="auto"/>
                <w:szCs w:val="21"/>
              </w:rPr>
              <w:t>相关工作年限</w:t>
            </w:r>
          </w:p>
        </w:tc>
      </w:tr>
      <w:tr w14:paraId="326D493D">
        <w:tblPrEx>
          <w:tblCellMar>
            <w:top w:w="0" w:type="dxa"/>
            <w:left w:w="0" w:type="dxa"/>
            <w:bottom w:w="0" w:type="dxa"/>
            <w:right w:w="0" w:type="dxa"/>
          </w:tblCellMar>
        </w:tblPrEx>
        <w:trPr>
          <w:trHeight w:val="611" w:hRule="exact"/>
          <w:jc w:val="center"/>
        </w:trPr>
        <w:tc>
          <w:tcPr>
            <w:tcW w:w="242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1FC051D">
            <w:pPr>
              <w:adjustRightInd w:val="0"/>
              <w:spacing w:line="320" w:lineRule="exact"/>
              <w:jc w:val="center"/>
              <w:rPr>
                <w:rFonts w:ascii="宋体" w:hAnsi="宋体" w:cs="宋体"/>
                <w:color w:val="auto"/>
                <w:szCs w:val="21"/>
              </w:rPr>
            </w:pPr>
            <w:r>
              <w:rPr>
                <w:rFonts w:hint="eastAsia" w:ascii="宋体" w:hAnsi="宋体" w:cs="宋体"/>
                <w:color w:val="auto"/>
                <w:szCs w:val="21"/>
              </w:rPr>
              <w:t>1、项目经理</w:t>
            </w:r>
          </w:p>
        </w:tc>
        <w:tc>
          <w:tcPr>
            <w:tcW w:w="1027" w:type="dxa"/>
            <w:tcBorders>
              <w:top w:val="nil"/>
              <w:left w:val="nil"/>
              <w:bottom w:val="single" w:color="auto" w:sz="4" w:space="0"/>
              <w:right w:val="single" w:color="auto" w:sz="4" w:space="0"/>
            </w:tcBorders>
            <w:tcMar>
              <w:top w:w="15" w:type="dxa"/>
              <w:left w:w="15" w:type="dxa"/>
              <w:bottom w:w="0" w:type="dxa"/>
              <w:right w:w="15" w:type="dxa"/>
            </w:tcMar>
            <w:vAlign w:val="center"/>
          </w:tcPr>
          <w:p w14:paraId="6355AB2B">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57" w:type="dxa"/>
            <w:tcBorders>
              <w:top w:val="nil"/>
              <w:left w:val="nil"/>
              <w:bottom w:val="single" w:color="auto" w:sz="4" w:space="0"/>
              <w:right w:val="single" w:color="auto" w:sz="4" w:space="0"/>
            </w:tcBorders>
            <w:tcMar>
              <w:top w:w="15" w:type="dxa"/>
              <w:left w:w="15" w:type="dxa"/>
              <w:bottom w:w="0" w:type="dxa"/>
              <w:right w:w="15" w:type="dxa"/>
            </w:tcMar>
            <w:vAlign w:val="center"/>
          </w:tcPr>
          <w:p w14:paraId="2A2299F4">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14:paraId="65855948">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08" w:type="dxa"/>
            <w:tcBorders>
              <w:top w:val="nil"/>
              <w:left w:val="nil"/>
              <w:bottom w:val="single" w:color="auto" w:sz="4" w:space="0"/>
              <w:right w:val="single" w:color="auto" w:sz="4" w:space="0"/>
            </w:tcBorders>
            <w:tcMar>
              <w:top w:w="15" w:type="dxa"/>
              <w:left w:w="15" w:type="dxa"/>
              <w:bottom w:w="0" w:type="dxa"/>
              <w:right w:w="15" w:type="dxa"/>
            </w:tcMar>
            <w:vAlign w:val="center"/>
          </w:tcPr>
          <w:p w14:paraId="73A0862A">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271CCD00">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1339" w:type="dxa"/>
            <w:tcBorders>
              <w:top w:val="nil"/>
              <w:left w:val="nil"/>
              <w:bottom w:val="single" w:color="auto" w:sz="4" w:space="0"/>
              <w:right w:val="single" w:color="auto" w:sz="4" w:space="0"/>
            </w:tcBorders>
            <w:tcMar>
              <w:top w:w="15" w:type="dxa"/>
              <w:left w:w="15" w:type="dxa"/>
              <w:bottom w:w="0" w:type="dxa"/>
              <w:right w:w="15" w:type="dxa"/>
            </w:tcMar>
            <w:vAlign w:val="center"/>
          </w:tcPr>
          <w:p w14:paraId="4114ECDF">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1164" w:type="dxa"/>
            <w:tcBorders>
              <w:top w:val="nil"/>
              <w:left w:val="nil"/>
              <w:bottom w:val="single" w:color="auto" w:sz="4" w:space="0"/>
              <w:right w:val="single" w:color="auto" w:sz="4" w:space="0"/>
            </w:tcBorders>
            <w:tcMar>
              <w:top w:w="15" w:type="dxa"/>
              <w:left w:w="15" w:type="dxa"/>
              <w:bottom w:w="0" w:type="dxa"/>
              <w:right w:w="15" w:type="dxa"/>
            </w:tcMar>
            <w:vAlign w:val="center"/>
          </w:tcPr>
          <w:p w14:paraId="4A9BCDE8">
            <w:pPr>
              <w:adjustRightInd w:val="0"/>
              <w:spacing w:line="320" w:lineRule="exact"/>
              <w:rPr>
                <w:rFonts w:ascii="宋体" w:hAnsi="宋体" w:cs="宋体"/>
                <w:color w:val="auto"/>
                <w:szCs w:val="21"/>
              </w:rPr>
            </w:pPr>
            <w:r>
              <w:rPr>
                <w:rFonts w:hint="eastAsia" w:ascii="宋体" w:hAnsi="宋体" w:cs="宋体"/>
                <w:color w:val="auto"/>
                <w:szCs w:val="21"/>
              </w:rPr>
              <w:t>　</w:t>
            </w:r>
          </w:p>
        </w:tc>
      </w:tr>
      <w:tr w14:paraId="4997E1BD">
        <w:tblPrEx>
          <w:tblCellMar>
            <w:top w:w="0" w:type="dxa"/>
            <w:left w:w="0" w:type="dxa"/>
            <w:bottom w:w="0" w:type="dxa"/>
            <w:right w:w="0" w:type="dxa"/>
          </w:tblCellMar>
        </w:tblPrEx>
        <w:trPr>
          <w:trHeight w:val="898" w:hRule="exact"/>
          <w:jc w:val="center"/>
        </w:trPr>
        <w:tc>
          <w:tcPr>
            <w:tcW w:w="242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89E2C54">
            <w:pPr>
              <w:adjustRightInd w:val="0"/>
              <w:spacing w:line="320" w:lineRule="exact"/>
              <w:jc w:val="center"/>
              <w:rPr>
                <w:rFonts w:ascii="宋体" w:hAnsi="宋体" w:cs="宋体"/>
                <w:color w:val="auto"/>
                <w:szCs w:val="21"/>
              </w:rPr>
            </w:pPr>
            <w:r>
              <w:rPr>
                <w:rFonts w:hint="eastAsia" w:ascii="宋体" w:hAnsi="宋体" w:cs="宋体"/>
                <w:color w:val="auto"/>
                <w:szCs w:val="21"/>
              </w:rPr>
              <w:t>2、项目总工</w:t>
            </w:r>
          </w:p>
          <w:p w14:paraId="056C7A8E">
            <w:pPr>
              <w:adjustRightInd w:val="0"/>
              <w:spacing w:line="320" w:lineRule="exact"/>
              <w:jc w:val="center"/>
              <w:rPr>
                <w:rFonts w:ascii="宋体" w:hAnsi="宋体" w:cs="宋体"/>
                <w:color w:val="auto"/>
                <w:szCs w:val="21"/>
              </w:rPr>
            </w:pPr>
            <w:r>
              <w:rPr>
                <w:rFonts w:hint="eastAsia" w:ascii="宋体" w:hAnsi="宋体" w:cs="宋体"/>
                <w:color w:val="auto"/>
                <w:szCs w:val="21"/>
              </w:rPr>
              <w:t>（技术负责人）</w:t>
            </w:r>
          </w:p>
        </w:tc>
        <w:tc>
          <w:tcPr>
            <w:tcW w:w="1027" w:type="dxa"/>
            <w:tcBorders>
              <w:top w:val="nil"/>
              <w:left w:val="nil"/>
              <w:bottom w:val="single" w:color="auto" w:sz="4" w:space="0"/>
              <w:right w:val="single" w:color="auto" w:sz="4" w:space="0"/>
            </w:tcBorders>
            <w:tcMar>
              <w:top w:w="15" w:type="dxa"/>
              <w:left w:w="15" w:type="dxa"/>
              <w:bottom w:w="0" w:type="dxa"/>
              <w:right w:w="15" w:type="dxa"/>
            </w:tcMar>
            <w:vAlign w:val="center"/>
          </w:tcPr>
          <w:p w14:paraId="5EF4FB5F">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57" w:type="dxa"/>
            <w:tcBorders>
              <w:top w:val="nil"/>
              <w:left w:val="nil"/>
              <w:bottom w:val="single" w:color="auto" w:sz="4" w:space="0"/>
              <w:right w:val="single" w:color="auto" w:sz="4" w:space="0"/>
            </w:tcBorders>
            <w:tcMar>
              <w:top w:w="15" w:type="dxa"/>
              <w:left w:w="15" w:type="dxa"/>
              <w:bottom w:w="0" w:type="dxa"/>
              <w:right w:w="15" w:type="dxa"/>
            </w:tcMar>
            <w:vAlign w:val="center"/>
          </w:tcPr>
          <w:p w14:paraId="123946B9">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14:paraId="12AEE7A8">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08" w:type="dxa"/>
            <w:tcBorders>
              <w:top w:val="nil"/>
              <w:left w:val="nil"/>
              <w:bottom w:val="single" w:color="auto" w:sz="4" w:space="0"/>
              <w:right w:val="single" w:color="auto" w:sz="4" w:space="0"/>
            </w:tcBorders>
            <w:tcMar>
              <w:top w:w="15" w:type="dxa"/>
              <w:left w:w="15" w:type="dxa"/>
              <w:bottom w:w="0" w:type="dxa"/>
              <w:right w:w="15" w:type="dxa"/>
            </w:tcMar>
            <w:vAlign w:val="center"/>
          </w:tcPr>
          <w:p w14:paraId="31A1BBF2">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7C6FE5AD">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1339" w:type="dxa"/>
            <w:tcBorders>
              <w:top w:val="nil"/>
              <w:left w:val="nil"/>
              <w:bottom w:val="single" w:color="auto" w:sz="4" w:space="0"/>
              <w:right w:val="single" w:color="auto" w:sz="4" w:space="0"/>
            </w:tcBorders>
            <w:tcMar>
              <w:top w:w="15" w:type="dxa"/>
              <w:left w:w="15" w:type="dxa"/>
              <w:bottom w:w="0" w:type="dxa"/>
              <w:right w:w="15" w:type="dxa"/>
            </w:tcMar>
            <w:vAlign w:val="center"/>
          </w:tcPr>
          <w:p w14:paraId="5ACB7A3F">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1164" w:type="dxa"/>
            <w:tcBorders>
              <w:top w:val="nil"/>
              <w:left w:val="nil"/>
              <w:bottom w:val="single" w:color="auto" w:sz="4" w:space="0"/>
              <w:right w:val="single" w:color="auto" w:sz="4" w:space="0"/>
            </w:tcBorders>
            <w:tcMar>
              <w:top w:w="15" w:type="dxa"/>
              <w:left w:w="15" w:type="dxa"/>
              <w:bottom w:w="0" w:type="dxa"/>
              <w:right w:w="15" w:type="dxa"/>
            </w:tcMar>
            <w:vAlign w:val="center"/>
          </w:tcPr>
          <w:p w14:paraId="1B95EAFF">
            <w:pPr>
              <w:adjustRightInd w:val="0"/>
              <w:spacing w:line="320" w:lineRule="exact"/>
              <w:rPr>
                <w:rFonts w:ascii="宋体" w:hAnsi="宋体" w:cs="宋体"/>
                <w:color w:val="auto"/>
                <w:szCs w:val="21"/>
              </w:rPr>
            </w:pPr>
            <w:r>
              <w:rPr>
                <w:rFonts w:hint="eastAsia" w:ascii="宋体" w:hAnsi="宋体" w:cs="宋体"/>
                <w:color w:val="auto"/>
                <w:szCs w:val="21"/>
              </w:rPr>
              <w:t>　</w:t>
            </w:r>
          </w:p>
        </w:tc>
      </w:tr>
      <w:tr w14:paraId="63E19B30">
        <w:tblPrEx>
          <w:tblCellMar>
            <w:top w:w="0" w:type="dxa"/>
            <w:left w:w="0" w:type="dxa"/>
            <w:bottom w:w="0" w:type="dxa"/>
            <w:right w:w="0" w:type="dxa"/>
          </w:tblCellMar>
        </w:tblPrEx>
        <w:trPr>
          <w:trHeight w:val="611" w:hRule="exact"/>
          <w:jc w:val="center"/>
        </w:trPr>
        <w:tc>
          <w:tcPr>
            <w:tcW w:w="242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BC4770F">
            <w:pPr>
              <w:adjustRightInd w:val="0"/>
              <w:spacing w:line="320" w:lineRule="exact"/>
              <w:jc w:val="center"/>
              <w:rPr>
                <w:rFonts w:ascii="宋体" w:hAnsi="宋体" w:cs="宋体"/>
                <w:color w:val="auto"/>
                <w:szCs w:val="21"/>
              </w:rPr>
            </w:pPr>
          </w:p>
        </w:tc>
        <w:tc>
          <w:tcPr>
            <w:tcW w:w="1027" w:type="dxa"/>
            <w:tcBorders>
              <w:top w:val="nil"/>
              <w:left w:val="nil"/>
              <w:bottom w:val="single" w:color="auto" w:sz="4" w:space="0"/>
              <w:right w:val="single" w:color="auto" w:sz="4" w:space="0"/>
            </w:tcBorders>
            <w:tcMar>
              <w:top w:w="15" w:type="dxa"/>
              <w:left w:w="15" w:type="dxa"/>
              <w:bottom w:w="0" w:type="dxa"/>
              <w:right w:w="15" w:type="dxa"/>
            </w:tcMar>
            <w:vAlign w:val="center"/>
          </w:tcPr>
          <w:p w14:paraId="6BA3A109">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57" w:type="dxa"/>
            <w:tcBorders>
              <w:top w:val="nil"/>
              <w:left w:val="nil"/>
              <w:bottom w:val="single" w:color="auto" w:sz="4" w:space="0"/>
              <w:right w:val="single" w:color="auto" w:sz="4" w:space="0"/>
            </w:tcBorders>
            <w:tcMar>
              <w:top w:w="15" w:type="dxa"/>
              <w:left w:w="15" w:type="dxa"/>
              <w:bottom w:w="0" w:type="dxa"/>
              <w:right w:w="15" w:type="dxa"/>
            </w:tcMar>
            <w:vAlign w:val="center"/>
          </w:tcPr>
          <w:p w14:paraId="6355F5D6">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14:paraId="6A09B8C9">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08" w:type="dxa"/>
            <w:tcBorders>
              <w:top w:val="nil"/>
              <w:left w:val="nil"/>
              <w:bottom w:val="single" w:color="auto" w:sz="4" w:space="0"/>
              <w:right w:val="single" w:color="auto" w:sz="4" w:space="0"/>
            </w:tcBorders>
            <w:tcMar>
              <w:top w:w="15" w:type="dxa"/>
              <w:left w:w="15" w:type="dxa"/>
              <w:bottom w:w="0" w:type="dxa"/>
              <w:right w:w="15" w:type="dxa"/>
            </w:tcMar>
            <w:vAlign w:val="center"/>
          </w:tcPr>
          <w:p w14:paraId="335C2FF3">
            <w:pPr>
              <w:pStyle w:val="172"/>
              <w:widowControl w:val="0"/>
              <w:overflowPunct/>
              <w:autoSpaceDE/>
              <w:autoSpaceDN/>
              <w:spacing w:before="0" w:line="320" w:lineRule="exact"/>
              <w:textAlignment w:val="auto"/>
              <w:rPr>
                <w:rFonts w:ascii="宋体" w:hAnsi="宋体" w:cs="宋体"/>
                <w:color w:val="auto"/>
                <w:kern w:val="2"/>
                <w:sz w:val="21"/>
                <w:szCs w:val="21"/>
              </w:rPr>
            </w:pPr>
            <w:r>
              <w:rPr>
                <w:rFonts w:hint="eastAsia" w:ascii="宋体" w:hAnsi="宋体" w:cs="宋体"/>
                <w:color w:val="auto"/>
                <w:kern w:val="2"/>
                <w:sz w:val="21"/>
                <w:szCs w:val="21"/>
              </w:rPr>
              <w:t>　</w:t>
            </w: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63E3D4D8">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1339" w:type="dxa"/>
            <w:tcBorders>
              <w:top w:val="nil"/>
              <w:left w:val="nil"/>
              <w:bottom w:val="single" w:color="auto" w:sz="4" w:space="0"/>
              <w:right w:val="single" w:color="auto" w:sz="4" w:space="0"/>
            </w:tcBorders>
            <w:tcMar>
              <w:top w:w="15" w:type="dxa"/>
              <w:left w:w="15" w:type="dxa"/>
              <w:bottom w:w="0" w:type="dxa"/>
              <w:right w:w="15" w:type="dxa"/>
            </w:tcMar>
            <w:vAlign w:val="center"/>
          </w:tcPr>
          <w:p w14:paraId="34EE6A24">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1164" w:type="dxa"/>
            <w:tcBorders>
              <w:top w:val="nil"/>
              <w:left w:val="nil"/>
              <w:bottom w:val="single" w:color="auto" w:sz="4" w:space="0"/>
              <w:right w:val="single" w:color="auto" w:sz="4" w:space="0"/>
            </w:tcBorders>
            <w:tcMar>
              <w:top w:w="15" w:type="dxa"/>
              <w:left w:w="15" w:type="dxa"/>
              <w:bottom w:w="0" w:type="dxa"/>
              <w:right w:w="15" w:type="dxa"/>
            </w:tcMar>
            <w:vAlign w:val="center"/>
          </w:tcPr>
          <w:p w14:paraId="6295A643">
            <w:pPr>
              <w:adjustRightInd w:val="0"/>
              <w:spacing w:line="320" w:lineRule="exact"/>
              <w:rPr>
                <w:rFonts w:ascii="宋体" w:hAnsi="宋体" w:cs="宋体"/>
                <w:color w:val="auto"/>
                <w:szCs w:val="21"/>
              </w:rPr>
            </w:pPr>
            <w:r>
              <w:rPr>
                <w:rFonts w:hint="eastAsia" w:ascii="宋体" w:hAnsi="宋体" w:cs="宋体"/>
                <w:color w:val="auto"/>
                <w:szCs w:val="21"/>
              </w:rPr>
              <w:t>　</w:t>
            </w:r>
          </w:p>
        </w:tc>
      </w:tr>
      <w:tr w14:paraId="37CE7F5C">
        <w:tblPrEx>
          <w:tblCellMar>
            <w:top w:w="0" w:type="dxa"/>
            <w:left w:w="0" w:type="dxa"/>
            <w:bottom w:w="0" w:type="dxa"/>
            <w:right w:w="0" w:type="dxa"/>
          </w:tblCellMar>
        </w:tblPrEx>
        <w:trPr>
          <w:trHeight w:val="611" w:hRule="exact"/>
          <w:jc w:val="center"/>
        </w:trPr>
        <w:tc>
          <w:tcPr>
            <w:tcW w:w="242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F929D57">
            <w:pPr>
              <w:adjustRightInd w:val="0"/>
              <w:spacing w:line="320" w:lineRule="exact"/>
              <w:jc w:val="center"/>
              <w:rPr>
                <w:rFonts w:ascii="宋体" w:hAnsi="宋体" w:cs="宋体"/>
                <w:color w:val="auto"/>
                <w:szCs w:val="21"/>
              </w:rPr>
            </w:pPr>
          </w:p>
        </w:tc>
        <w:tc>
          <w:tcPr>
            <w:tcW w:w="1027" w:type="dxa"/>
            <w:tcBorders>
              <w:top w:val="nil"/>
              <w:left w:val="nil"/>
              <w:bottom w:val="single" w:color="auto" w:sz="4" w:space="0"/>
              <w:right w:val="single" w:color="auto" w:sz="4" w:space="0"/>
            </w:tcBorders>
            <w:tcMar>
              <w:top w:w="15" w:type="dxa"/>
              <w:left w:w="15" w:type="dxa"/>
              <w:bottom w:w="0" w:type="dxa"/>
              <w:right w:w="15" w:type="dxa"/>
            </w:tcMar>
            <w:vAlign w:val="center"/>
          </w:tcPr>
          <w:p w14:paraId="70FBA963">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57" w:type="dxa"/>
            <w:tcBorders>
              <w:top w:val="nil"/>
              <w:left w:val="nil"/>
              <w:bottom w:val="single" w:color="auto" w:sz="4" w:space="0"/>
              <w:right w:val="single" w:color="auto" w:sz="4" w:space="0"/>
            </w:tcBorders>
            <w:tcMar>
              <w:top w:w="15" w:type="dxa"/>
              <w:left w:w="15" w:type="dxa"/>
              <w:bottom w:w="0" w:type="dxa"/>
              <w:right w:w="15" w:type="dxa"/>
            </w:tcMar>
            <w:vAlign w:val="center"/>
          </w:tcPr>
          <w:p w14:paraId="6EFB347A">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14:paraId="69673C8E">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08" w:type="dxa"/>
            <w:tcBorders>
              <w:top w:val="nil"/>
              <w:left w:val="nil"/>
              <w:bottom w:val="single" w:color="auto" w:sz="4" w:space="0"/>
              <w:right w:val="single" w:color="auto" w:sz="4" w:space="0"/>
            </w:tcBorders>
            <w:tcMar>
              <w:top w:w="15" w:type="dxa"/>
              <w:left w:w="15" w:type="dxa"/>
              <w:bottom w:w="0" w:type="dxa"/>
              <w:right w:w="15" w:type="dxa"/>
            </w:tcMar>
            <w:vAlign w:val="center"/>
          </w:tcPr>
          <w:p w14:paraId="08B9255E">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6C98D4D3">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1339" w:type="dxa"/>
            <w:tcBorders>
              <w:top w:val="nil"/>
              <w:left w:val="nil"/>
              <w:bottom w:val="single" w:color="auto" w:sz="4" w:space="0"/>
              <w:right w:val="single" w:color="auto" w:sz="4" w:space="0"/>
            </w:tcBorders>
            <w:tcMar>
              <w:top w:w="15" w:type="dxa"/>
              <w:left w:w="15" w:type="dxa"/>
              <w:bottom w:w="0" w:type="dxa"/>
              <w:right w:w="15" w:type="dxa"/>
            </w:tcMar>
            <w:vAlign w:val="center"/>
          </w:tcPr>
          <w:p w14:paraId="57E74ED4">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1164" w:type="dxa"/>
            <w:tcBorders>
              <w:top w:val="nil"/>
              <w:left w:val="nil"/>
              <w:bottom w:val="single" w:color="auto" w:sz="4" w:space="0"/>
              <w:right w:val="single" w:color="auto" w:sz="4" w:space="0"/>
            </w:tcBorders>
            <w:tcMar>
              <w:top w:w="15" w:type="dxa"/>
              <w:left w:w="15" w:type="dxa"/>
              <w:bottom w:w="0" w:type="dxa"/>
              <w:right w:w="15" w:type="dxa"/>
            </w:tcMar>
            <w:vAlign w:val="center"/>
          </w:tcPr>
          <w:p w14:paraId="73B29CC5">
            <w:pPr>
              <w:adjustRightInd w:val="0"/>
              <w:spacing w:line="320" w:lineRule="exact"/>
              <w:rPr>
                <w:rFonts w:ascii="宋体" w:hAnsi="宋体" w:cs="宋体"/>
                <w:color w:val="auto"/>
                <w:szCs w:val="21"/>
              </w:rPr>
            </w:pPr>
            <w:r>
              <w:rPr>
                <w:rFonts w:hint="eastAsia" w:ascii="宋体" w:hAnsi="宋体" w:cs="宋体"/>
                <w:color w:val="auto"/>
                <w:szCs w:val="21"/>
              </w:rPr>
              <w:t>　</w:t>
            </w:r>
          </w:p>
        </w:tc>
      </w:tr>
      <w:tr w14:paraId="1EFE8C6C">
        <w:tblPrEx>
          <w:tblCellMar>
            <w:top w:w="0" w:type="dxa"/>
            <w:left w:w="0" w:type="dxa"/>
            <w:bottom w:w="0" w:type="dxa"/>
            <w:right w:w="0" w:type="dxa"/>
          </w:tblCellMar>
        </w:tblPrEx>
        <w:trPr>
          <w:trHeight w:val="611" w:hRule="exact"/>
          <w:jc w:val="center"/>
        </w:trPr>
        <w:tc>
          <w:tcPr>
            <w:tcW w:w="242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60A6532">
            <w:pPr>
              <w:adjustRightInd w:val="0"/>
              <w:spacing w:line="320" w:lineRule="exact"/>
              <w:jc w:val="center"/>
              <w:rPr>
                <w:rFonts w:ascii="宋体" w:hAnsi="宋体" w:cs="宋体"/>
                <w:color w:val="auto"/>
                <w:szCs w:val="21"/>
              </w:rPr>
            </w:pPr>
          </w:p>
        </w:tc>
        <w:tc>
          <w:tcPr>
            <w:tcW w:w="1027" w:type="dxa"/>
            <w:tcBorders>
              <w:top w:val="nil"/>
              <w:left w:val="nil"/>
              <w:bottom w:val="single" w:color="auto" w:sz="4" w:space="0"/>
              <w:right w:val="single" w:color="auto" w:sz="4" w:space="0"/>
            </w:tcBorders>
            <w:tcMar>
              <w:top w:w="15" w:type="dxa"/>
              <w:left w:w="15" w:type="dxa"/>
              <w:bottom w:w="0" w:type="dxa"/>
              <w:right w:w="15" w:type="dxa"/>
            </w:tcMar>
            <w:vAlign w:val="center"/>
          </w:tcPr>
          <w:p w14:paraId="400CADD5">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57" w:type="dxa"/>
            <w:tcBorders>
              <w:top w:val="nil"/>
              <w:left w:val="nil"/>
              <w:bottom w:val="single" w:color="auto" w:sz="4" w:space="0"/>
              <w:right w:val="single" w:color="auto" w:sz="4" w:space="0"/>
            </w:tcBorders>
            <w:tcMar>
              <w:top w:w="15" w:type="dxa"/>
              <w:left w:w="15" w:type="dxa"/>
              <w:bottom w:w="0" w:type="dxa"/>
              <w:right w:w="15" w:type="dxa"/>
            </w:tcMar>
            <w:vAlign w:val="center"/>
          </w:tcPr>
          <w:p w14:paraId="3EDEC0D3">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14:paraId="4414DBFD">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08" w:type="dxa"/>
            <w:tcBorders>
              <w:top w:val="nil"/>
              <w:left w:val="nil"/>
              <w:bottom w:val="single" w:color="auto" w:sz="4" w:space="0"/>
              <w:right w:val="single" w:color="auto" w:sz="4" w:space="0"/>
            </w:tcBorders>
            <w:tcMar>
              <w:top w:w="15" w:type="dxa"/>
              <w:left w:w="15" w:type="dxa"/>
              <w:bottom w:w="0" w:type="dxa"/>
              <w:right w:w="15" w:type="dxa"/>
            </w:tcMar>
            <w:vAlign w:val="center"/>
          </w:tcPr>
          <w:p w14:paraId="25BAA424">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587088E9">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1339" w:type="dxa"/>
            <w:tcBorders>
              <w:top w:val="nil"/>
              <w:left w:val="nil"/>
              <w:bottom w:val="single" w:color="auto" w:sz="4" w:space="0"/>
              <w:right w:val="single" w:color="auto" w:sz="4" w:space="0"/>
            </w:tcBorders>
            <w:tcMar>
              <w:top w:w="15" w:type="dxa"/>
              <w:left w:w="15" w:type="dxa"/>
              <w:bottom w:w="0" w:type="dxa"/>
              <w:right w:w="15" w:type="dxa"/>
            </w:tcMar>
            <w:vAlign w:val="center"/>
          </w:tcPr>
          <w:p w14:paraId="03E6C966">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1164" w:type="dxa"/>
            <w:tcBorders>
              <w:top w:val="nil"/>
              <w:left w:val="nil"/>
              <w:bottom w:val="single" w:color="auto" w:sz="4" w:space="0"/>
              <w:right w:val="single" w:color="auto" w:sz="4" w:space="0"/>
            </w:tcBorders>
            <w:tcMar>
              <w:top w:w="15" w:type="dxa"/>
              <w:left w:w="15" w:type="dxa"/>
              <w:bottom w:w="0" w:type="dxa"/>
              <w:right w:w="15" w:type="dxa"/>
            </w:tcMar>
            <w:vAlign w:val="center"/>
          </w:tcPr>
          <w:p w14:paraId="27AD74D0">
            <w:pPr>
              <w:adjustRightInd w:val="0"/>
              <w:spacing w:line="320" w:lineRule="exact"/>
              <w:rPr>
                <w:rFonts w:ascii="宋体" w:hAnsi="宋体" w:cs="宋体"/>
                <w:color w:val="auto"/>
                <w:szCs w:val="21"/>
              </w:rPr>
            </w:pPr>
            <w:r>
              <w:rPr>
                <w:rFonts w:hint="eastAsia" w:ascii="宋体" w:hAnsi="宋体" w:cs="宋体"/>
                <w:color w:val="auto"/>
                <w:szCs w:val="21"/>
              </w:rPr>
              <w:t>　</w:t>
            </w:r>
          </w:p>
        </w:tc>
      </w:tr>
      <w:tr w14:paraId="1F09DEF8">
        <w:tblPrEx>
          <w:tblCellMar>
            <w:top w:w="0" w:type="dxa"/>
            <w:left w:w="0" w:type="dxa"/>
            <w:bottom w:w="0" w:type="dxa"/>
            <w:right w:w="0" w:type="dxa"/>
          </w:tblCellMar>
        </w:tblPrEx>
        <w:trPr>
          <w:trHeight w:val="611" w:hRule="exact"/>
          <w:jc w:val="center"/>
        </w:trPr>
        <w:tc>
          <w:tcPr>
            <w:tcW w:w="242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C7FB90F">
            <w:pPr>
              <w:adjustRightInd w:val="0"/>
              <w:spacing w:line="320" w:lineRule="exact"/>
              <w:jc w:val="center"/>
              <w:rPr>
                <w:rFonts w:ascii="宋体" w:hAnsi="宋体" w:cs="宋体"/>
                <w:color w:val="auto"/>
                <w:szCs w:val="21"/>
              </w:rPr>
            </w:pPr>
          </w:p>
        </w:tc>
        <w:tc>
          <w:tcPr>
            <w:tcW w:w="1027" w:type="dxa"/>
            <w:tcBorders>
              <w:top w:val="nil"/>
              <w:left w:val="nil"/>
              <w:bottom w:val="single" w:color="auto" w:sz="4" w:space="0"/>
              <w:right w:val="single" w:color="auto" w:sz="4" w:space="0"/>
            </w:tcBorders>
            <w:tcMar>
              <w:top w:w="15" w:type="dxa"/>
              <w:left w:w="15" w:type="dxa"/>
              <w:bottom w:w="0" w:type="dxa"/>
              <w:right w:w="15" w:type="dxa"/>
            </w:tcMar>
            <w:vAlign w:val="center"/>
          </w:tcPr>
          <w:p w14:paraId="7E55B7BF">
            <w:pPr>
              <w:adjustRightInd w:val="0"/>
              <w:spacing w:line="320" w:lineRule="exact"/>
              <w:rPr>
                <w:rFonts w:ascii="宋体" w:hAnsi="宋体" w:cs="宋体"/>
                <w:color w:val="auto"/>
                <w:szCs w:val="21"/>
              </w:rPr>
            </w:pPr>
          </w:p>
        </w:tc>
        <w:tc>
          <w:tcPr>
            <w:tcW w:w="857" w:type="dxa"/>
            <w:tcBorders>
              <w:top w:val="nil"/>
              <w:left w:val="nil"/>
              <w:bottom w:val="single" w:color="auto" w:sz="4" w:space="0"/>
              <w:right w:val="single" w:color="auto" w:sz="4" w:space="0"/>
            </w:tcBorders>
            <w:tcMar>
              <w:top w:w="15" w:type="dxa"/>
              <w:left w:w="15" w:type="dxa"/>
              <w:bottom w:w="0" w:type="dxa"/>
              <w:right w:w="15" w:type="dxa"/>
            </w:tcMar>
            <w:vAlign w:val="center"/>
          </w:tcPr>
          <w:p w14:paraId="6F253F5B">
            <w:pPr>
              <w:adjustRightInd w:val="0"/>
              <w:spacing w:line="320" w:lineRule="exact"/>
              <w:rPr>
                <w:rFonts w:ascii="宋体" w:hAnsi="宋体" w:cs="宋体"/>
                <w:color w:val="auto"/>
                <w:szCs w:val="21"/>
              </w:rPr>
            </w:pP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14:paraId="11C1ECFC">
            <w:pPr>
              <w:adjustRightInd w:val="0"/>
              <w:spacing w:line="320" w:lineRule="exact"/>
              <w:rPr>
                <w:rFonts w:ascii="宋体" w:hAnsi="宋体" w:cs="宋体"/>
                <w:color w:val="auto"/>
                <w:szCs w:val="21"/>
              </w:rPr>
            </w:pPr>
          </w:p>
        </w:tc>
        <w:tc>
          <w:tcPr>
            <w:tcW w:w="808" w:type="dxa"/>
            <w:tcBorders>
              <w:top w:val="nil"/>
              <w:left w:val="nil"/>
              <w:bottom w:val="single" w:color="auto" w:sz="4" w:space="0"/>
              <w:right w:val="single" w:color="auto" w:sz="4" w:space="0"/>
            </w:tcBorders>
            <w:tcMar>
              <w:top w:w="15" w:type="dxa"/>
              <w:left w:w="15" w:type="dxa"/>
              <w:bottom w:w="0" w:type="dxa"/>
              <w:right w:w="15" w:type="dxa"/>
            </w:tcMar>
            <w:vAlign w:val="center"/>
          </w:tcPr>
          <w:p w14:paraId="1BB17253">
            <w:pPr>
              <w:adjustRightInd w:val="0"/>
              <w:spacing w:line="320" w:lineRule="exact"/>
              <w:rPr>
                <w:rFonts w:ascii="宋体" w:hAnsi="宋体" w:cs="宋体"/>
                <w:color w:val="auto"/>
                <w:szCs w:val="21"/>
              </w:rPr>
            </w:pP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1E428D24">
            <w:pPr>
              <w:adjustRightInd w:val="0"/>
              <w:spacing w:line="320" w:lineRule="exact"/>
              <w:rPr>
                <w:rFonts w:ascii="宋体" w:hAnsi="宋体" w:cs="宋体"/>
                <w:color w:val="auto"/>
                <w:szCs w:val="21"/>
              </w:rPr>
            </w:pPr>
          </w:p>
        </w:tc>
        <w:tc>
          <w:tcPr>
            <w:tcW w:w="1339" w:type="dxa"/>
            <w:tcBorders>
              <w:top w:val="nil"/>
              <w:left w:val="nil"/>
              <w:bottom w:val="single" w:color="auto" w:sz="4" w:space="0"/>
              <w:right w:val="single" w:color="auto" w:sz="4" w:space="0"/>
            </w:tcBorders>
            <w:tcMar>
              <w:top w:w="15" w:type="dxa"/>
              <w:left w:w="15" w:type="dxa"/>
              <w:bottom w:w="0" w:type="dxa"/>
              <w:right w:w="15" w:type="dxa"/>
            </w:tcMar>
            <w:vAlign w:val="center"/>
          </w:tcPr>
          <w:p w14:paraId="2972126C">
            <w:pPr>
              <w:adjustRightInd w:val="0"/>
              <w:spacing w:line="320" w:lineRule="exact"/>
              <w:rPr>
                <w:rFonts w:ascii="宋体" w:hAnsi="宋体" w:cs="宋体"/>
                <w:color w:val="auto"/>
                <w:szCs w:val="21"/>
              </w:rPr>
            </w:pPr>
          </w:p>
        </w:tc>
        <w:tc>
          <w:tcPr>
            <w:tcW w:w="1164" w:type="dxa"/>
            <w:tcBorders>
              <w:top w:val="nil"/>
              <w:left w:val="nil"/>
              <w:bottom w:val="single" w:color="auto" w:sz="4" w:space="0"/>
              <w:right w:val="single" w:color="auto" w:sz="4" w:space="0"/>
            </w:tcBorders>
            <w:tcMar>
              <w:top w:w="15" w:type="dxa"/>
              <w:left w:w="15" w:type="dxa"/>
              <w:bottom w:w="0" w:type="dxa"/>
              <w:right w:w="15" w:type="dxa"/>
            </w:tcMar>
            <w:vAlign w:val="center"/>
          </w:tcPr>
          <w:p w14:paraId="5FA11C7C">
            <w:pPr>
              <w:adjustRightInd w:val="0"/>
              <w:spacing w:line="320" w:lineRule="exact"/>
              <w:rPr>
                <w:rFonts w:ascii="宋体" w:hAnsi="宋体" w:cs="宋体"/>
                <w:color w:val="auto"/>
                <w:szCs w:val="21"/>
              </w:rPr>
            </w:pPr>
          </w:p>
        </w:tc>
      </w:tr>
      <w:tr w14:paraId="433F2BB1">
        <w:tblPrEx>
          <w:tblCellMar>
            <w:top w:w="0" w:type="dxa"/>
            <w:left w:w="0" w:type="dxa"/>
            <w:bottom w:w="0" w:type="dxa"/>
            <w:right w:w="0" w:type="dxa"/>
          </w:tblCellMar>
        </w:tblPrEx>
        <w:trPr>
          <w:trHeight w:val="611" w:hRule="exact"/>
          <w:jc w:val="center"/>
        </w:trPr>
        <w:tc>
          <w:tcPr>
            <w:tcW w:w="242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B8E9BA2">
            <w:pPr>
              <w:adjustRightInd w:val="0"/>
              <w:spacing w:line="320" w:lineRule="exact"/>
              <w:jc w:val="center"/>
              <w:rPr>
                <w:rFonts w:ascii="宋体" w:hAnsi="宋体" w:cs="宋体"/>
                <w:color w:val="auto"/>
                <w:szCs w:val="21"/>
              </w:rPr>
            </w:pPr>
            <w:r>
              <w:rPr>
                <w:rFonts w:hint="eastAsia" w:ascii="宋体" w:hAnsi="宋体" w:cs="宋体"/>
                <w:color w:val="auto"/>
                <w:szCs w:val="21"/>
              </w:rPr>
              <w:t>…</w:t>
            </w:r>
          </w:p>
        </w:tc>
        <w:tc>
          <w:tcPr>
            <w:tcW w:w="1027" w:type="dxa"/>
            <w:tcBorders>
              <w:top w:val="nil"/>
              <w:left w:val="nil"/>
              <w:bottom w:val="single" w:color="auto" w:sz="4" w:space="0"/>
              <w:right w:val="single" w:color="auto" w:sz="4" w:space="0"/>
            </w:tcBorders>
            <w:tcMar>
              <w:top w:w="15" w:type="dxa"/>
              <w:left w:w="15" w:type="dxa"/>
              <w:bottom w:w="0" w:type="dxa"/>
              <w:right w:w="15" w:type="dxa"/>
            </w:tcMar>
            <w:vAlign w:val="center"/>
          </w:tcPr>
          <w:p w14:paraId="4F540469">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57" w:type="dxa"/>
            <w:tcBorders>
              <w:top w:val="nil"/>
              <w:left w:val="nil"/>
              <w:bottom w:val="single" w:color="auto" w:sz="4" w:space="0"/>
              <w:right w:val="single" w:color="auto" w:sz="4" w:space="0"/>
            </w:tcBorders>
            <w:tcMar>
              <w:top w:w="15" w:type="dxa"/>
              <w:left w:w="15" w:type="dxa"/>
              <w:bottom w:w="0" w:type="dxa"/>
              <w:right w:w="15" w:type="dxa"/>
            </w:tcMar>
            <w:vAlign w:val="center"/>
          </w:tcPr>
          <w:p w14:paraId="18754130">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14:paraId="75CCB1D9">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08" w:type="dxa"/>
            <w:tcBorders>
              <w:top w:val="nil"/>
              <w:left w:val="nil"/>
              <w:bottom w:val="single" w:color="auto" w:sz="4" w:space="0"/>
              <w:right w:val="single" w:color="auto" w:sz="4" w:space="0"/>
            </w:tcBorders>
            <w:tcMar>
              <w:top w:w="15" w:type="dxa"/>
              <w:left w:w="15" w:type="dxa"/>
              <w:bottom w:w="0" w:type="dxa"/>
              <w:right w:w="15" w:type="dxa"/>
            </w:tcMar>
            <w:vAlign w:val="center"/>
          </w:tcPr>
          <w:p w14:paraId="04480816">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6CFAF8FC">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1339" w:type="dxa"/>
            <w:tcBorders>
              <w:top w:val="nil"/>
              <w:left w:val="nil"/>
              <w:bottom w:val="single" w:color="auto" w:sz="4" w:space="0"/>
              <w:right w:val="single" w:color="auto" w:sz="4" w:space="0"/>
            </w:tcBorders>
            <w:tcMar>
              <w:top w:w="15" w:type="dxa"/>
              <w:left w:w="15" w:type="dxa"/>
              <w:bottom w:w="0" w:type="dxa"/>
              <w:right w:w="15" w:type="dxa"/>
            </w:tcMar>
            <w:vAlign w:val="center"/>
          </w:tcPr>
          <w:p w14:paraId="03B42B8F">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1164" w:type="dxa"/>
            <w:tcBorders>
              <w:top w:val="nil"/>
              <w:left w:val="nil"/>
              <w:bottom w:val="single" w:color="auto" w:sz="4" w:space="0"/>
              <w:right w:val="single" w:color="auto" w:sz="4" w:space="0"/>
            </w:tcBorders>
            <w:tcMar>
              <w:top w:w="15" w:type="dxa"/>
              <w:left w:w="15" w:type="dxa"/>
              <w:bottom w:w="0" w:type="dxa"/>
              <w:right w:w="15" w:type="dxa"/>
            </w:tcMar>
            <w:vAlign w:val="center"/>
          </w:tcPr>
          <w:p w14:paraId="26C324CA">
            <w:pPr>
              <w:adjustRightInd w:val="0"/>
              <w:spacing w:line="320" w:lineRule="exact"/>
              <w:rPr>
                <w:rFonts w:ascii="宋体" w:hAnsi="宋体" w:cs="宋体"/>
                <w:color w:val="auto"/>
                <w:szCs w:val="21"/>
              </w:rPr>
            </w:pPr>
            <w:r>
              <w:rPr>
                <w:rFonts w:hint="eastAsia" w:ascii="宋体" w:hAnsi="宋体" w:cs="宋体"/>
                <w:color w:val="auto"/>
                <w:szCs w:val="21"/>
              </w:rPr>
              <w:t>　</w:t>
            </w:r>
          </w:p>
        </w:tc>
      </w:tr>
    </w:tbl>
    <w:p w14:paraId="30A7A426">
      <w:pPr>
        <w:pStyle w:val="24"/>
        <w:ind w:firstLine="2835" w:firstLineChars="1350"/>
        <w:rPr>
          <w:rFonts w:hAnsi="宋体"/>
          <w:color w:val="auto"/>
          <w:szCs w:val="21"/>
        </w:rPr>
      </w:pPr>
    </w:p>
    <w:p w14:paraId="7E3C3A63">
      <w:pPr>
        <w:keepNext w:val="0"/>
        <w:keepLines w:val="0"/>
        <w:pageBreakBefore w:val="0"/>
        <w:widowControl/>
        <w:suppressLineNumbers w:val="0"/>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供应商名称</w:t>
      </w:r>
      <w:r>
        <w:rPr>
          <w:rFonts w:hint="eastAsia" w:ascii="仿宋_GB2312" w:hAnsi="仿宋" w:eastAsia="仿宋_GB2312" w:cs="仿宋_GB2312"/>
          <w:color w:val="auto"/>
          <w:kern w:val="0"/>
          <w:sz w:val="21"/>
          <w:szCs w:val="21"/>
          <w:highlight w:val="none"/>
        </w:rPr>
        <w:t>（电子签章）</w:t>
      </w:r>
      <w:r>
        <w:rPr>
          <w:rFonts w:hint="eastAsia" w:ascii="仿宋_GB2312" w:hAnsi="仿宋_GB2312" w:eastAsia="仿宋_GB2312" w:cs="仿宋_GB2312"/>
          <w:color w:val="auto"/>
          <w:kern w:val="0"/>
          <w:sz w:val="21"/>
          <w:szCs w:val="21"/>
          <w:lang w:val="en-US" w:eastAsia="zh-CN" w:bidi="ar"/>
        </w:rPr>
        <w:t xml:space="preserve">： </w:t>
      </w:r>
    </w:p>
    <w:p w14:paraId="2C58DFBF">
      <w:pPr>
        <w:keepNext w:val="0"/>
        <w:keepLines w:val="0"/>
        <w:pageBreakBefore w:val="0"/>
        <w:tabs>
          <w:tab w:val="left" w:pos="7560"/>
        </w:tabs>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日期：</w:t>
      </w:r>
    </w:p>
    <w:p w14:paraId="0C2C7310">
      <w:pPr>
        <w:spacing w:line="360" w:lineRule="auto"/>
        <w:rPr>
          <w:rFonts w:ascii="宋体" w:hAnsi="宋体" w:cs="宋体"/>
          <w:color w:val="auto"/>
          <w:szCs w:val="21"/>
        </w:rPr>
      </w:pPr>
    </w:p>
    <w:p w14:paraId="32826EE2">
      <w:pPr>
        <w:spacing w:line="360" w:lineRule="auto"/>
        <w:ind w:firstLine="420" w:firstLineChars="200"/>
        <w:rPr>
          <w:rFonts w:ascii="宋体" w:hAnsi="宋体" w:cs="宋体"/>
          <w:color w:val="auto"/>
          <w:szCs w:val="21"/>
        </w:rPr>
      </w:pPr>
      <w:r>
        <w:rPr>
          <w:rFonts w:hint="eastAsia" w:ascii="宋体" w:hAnsi="宋体" w:cs="宋体"/>
          <w:color w:val="auto"/>
          <w:szCs w:val="21"/>
        </w:rPr>
        <w:t>注：本表应附拟投入人员的身份证、岗位证（如有）、职称证（如有）、资格证书（如有）等证明材料，及供应商单位为拟投入人员所缴纳的养老保险凭证复印件（要求缴费时间为磋商截止时间前半年内连续三个月）。</w:t>
      </w:r>
    </w:p>
    <w:p w14:paraId="1C0E91DF">
      <w:pPr>
        <w:pStyle w:val="24"/>
        <w:rPr>
          <w:rFonts w:hAnsi="宋体"/>
          <w:b/>
          <w:color w:val="auto"/>
          <w:sz w:val="24"/>
          <w:szCs w:val="24"/>
        </w:rPr>
      </w:pPr>
    </w:p>
    <w:p w14:paraId="0C2B335D">
      <w:pPr>
        <w:pStyle w:val="24"/>
        <w:rPr>
          <w:rFonts w:hAnsi="宋体"/>
          <w:b/>
          <w:color w:val="auto"/>
          <w:sz w:val="24"/>
          <w:szCs w:val="24"/>
        </w:rPr>
      </w:pPr>
    </w:p>
    <w:p w14:paraId="39F5693D">
      <w:pPr>
        <w:pStyle w:val="24"/>
        <w:rPr>
          <w:rFonts w:hAnsi="宋体" w:cs="宋体"/>
          <w:color w:val="auto"/>
        </w:rPr>
      </w:pPr>
      <w:r>
        <w:rPr>
          <w:rFonts w:hAnsi="宋体"/>
          <w:b/>
          <w:color w:val="auto"/>
          <w:sz w:val="24"/>
          <w:szCs w:val="24"/>
        </w:rPr>
        <w:br w:type="page"/>
      </w:r>
      <w:r>
        <w:rPr>
          <w:rFonts w:hint="eastAsia" w:hAnsi="宋体"/>
          <w:b/>
          <w:color w:val="auto"/>
          <w:sz w:val="24"/>
        </w:rPr>
        <w:t>格式</w:t>
      </w:r>
      <w:r>
        <w:rPr>
          <w:rFonts w:hint="eastAsia" w:hAnsi="宋体"/>
          <w:b/>
          <w:color w:val="auto"/>
          <w:sz w:val="24"/>
          <w:lang w:eastAsia="zh-CN"/>
        </w:rPr>
        <w:t>十一</w:t>
      </w:r>
      <w:r>
        <w:rPr>
          <w:rFonts w:hint="eastAsia" w:hAnsi="宋体"/>
          <w:b/>
          <w:color w:val="auto"/>
          <w:sz w:val="24"/>
        </w:rPr>
        <w:t>：</w:t>
      </w:r>
    </w:p>
    <w:p w14:paraId="59873FDC">
      <w:pPr>
        <w:jc w:val="center"/>
        <w:rPr>
          <w:rFonts w:ascii="宋体" w:hAnsi="宋体" w:cs="宋体"/>
          <w:b/>
          <w:color w:val="auto"/>
          <w:sz w:val="24"/>
        </w:rPr>
      </w:pPr>
    </w:p>
    <w:p w14:paraId="51641EA2">
      <w:pPr>
        <w:jc w:val="center"/>
        <w:rPr>
          <w:rFonts w:ascii="宋体" w:hAnsi="宋体" w:cs="宋体"/>
          <w:b/>
          <w:color w:val="auto"/>
          <w:sz w:val="24"/>
        </w:rPr>
      </w:pPr>
      <w:r>
        <w:rPr>
          <w:rFonts w:hint="eastAsia" w:ascii="宋体" w:hAnsi="宋体" w:cs="宋体"/>
          <w:b/>
          <w:color w:val="auto"/>
          <w:sz w:val="24"/>
        </w:rPr>
        <w:t xml:space="preserve">拟投入本工程项目经理的简历表  </w:t>
      </w:r>
    </w:p>
    <w:p w14:paraId="0E02D7AC">
      <w:pPr>
        <w:jc w:val="center"/>
        <w:rPr>
          <w:rFonts w:ascii="宋体" w:hAnsi="宋体" w:cs="宋体"/>
          <w:b/>
          <w:color w:val="auto"/>
          <w:sz w:val="24"/>
        </w:rPr>
      </w:pPr>
    </w:p>
    <w:tbl>
      <w:tblPr>
        <w:tblStyle w:val="4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91"/>
        <w:gridCol w:w="1103"/>
        <w:gridCol w:w="885"/>
        <w:gridCol w:w="214"/>
        <w:gridCol w:w="736"/>
        <w:gridCol w:w="1222"/>
        <w:gridCol w:w="1942"/>
        <w:gridCol w:w="1223"/>
      </w:tblGrid>
      <w:tr w14:paraId="55A7A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291" w:type="dxa"/>
            <w:tcBorders>
              <w:top w:val="single" w:color="auto" w:sz="6" w:space="0"/>
              <w:left w:val="single" w:color="auto" w:sz="6" w:space="0"/>
              <w:bottom w:val="single" w:color="auto" w:sz="6" w:space="0"/>
              <w:right w:val="single" w:color="auto" w:sz="6" w:space="0"/>
            </w:tcBorders>
            <w:vAlign w:val="center"/>
          </w:tcPr>
          <w:p w14:paraId="272E4006">
            <w:pPr>
              <w:adjustRightInd w:val="0"/>
              <w:jc w:val="center"/>
              <w:rPr>
                <w:rFonts w:ascii="宋体" w:hAnsi="宋体" w:cs="宋体"/>
                <w:color w:val="auto"/>
                <w:szCs w:val="21"/>
              </w:rPr>
            </w:pPr>
            <w:r>
              <w:rPr>
                <w:rFonts w:hint="eastAsia" w:ascii="宋体" w:hAnsi="宋体" w:cs="宋体"/>
                <w:color w:val="auto"/>
                <w:szCs w:val="21"/>
              </w:rPr>
              <w:t>姓  名</w:t>
            </w:r>
          </w:p>
        </w:tc>
        <w:tc>
          <w:tcPr>
            <w:tcW w:w="1103" w:type="dxa"/>
            <w:tcBorders>
              <w:top w:val="single" w:color="auto" w:sz="6" w:space="0"/>
              <w:left w:val="single" w:color="auto" w:sz="6" w:space="0"/>
              <w:bottom w:val="single" w:color="auto" w:sz="6" w:space="0"/>
              <w:right w:val="single" w:color="auto" w:sz="6" w:space="0"/>
            </w:tcBorders>
            <w:vAlign w:val="center"/>
          </w:tcPr>
          <w:p w14:paraId="01F4F32D">
            <w:pPr>
              <w:adjustRightInd w:val="0"/>
              <w:jc w:val="center"/>
              <w:rPr>
                <w:rFonts w:ascii="宋体" w:hAnsi="宋体" w:cs="宋体"/>
                <w:color w:val="auto"/>
                <w:szCs w:val="21"/>
              </w:rPr>
            </w:pPr>
          </w:p>
        </w:tc>
        <w:tc>
          <w:tcPr>
            <w:tcW w:w="885" w:type="dxa"/>
            <w:tcBorders>
              <w:top w:val="single" w:color="auto" w:sz="6" w:space="0"/>
              <w:left w:val="single" w:color="auto" w:sz="6" w:space="0"/>
              <w:bottom w:val="single" w:color="auto" w:sz="6" w:space="0"/>
              <w:right w:val="single" w:color="auto" w:sz="6" w:space="0"/>
            </w:tcBorders>
            <w:vAlign w:val="center"/>
          </w:tcPr>
          <w:p w14:paraId="1E505DA1">
            <w:pPr>
              <w:adjustRightInd w:val="0"/>
              <w:jc w:val="center"/>
              <w:rPr>
                <w:rFonts w:ascii="宋体" w:hAnsi="宋体" w:cs="宋体"/>
                <w:color w:val="auto"/>
                <w:szCs w:val="21"/>
              </w:rPr>
            </w:pPr>
            <w:r>
              <w:rPr>
                <w:rFonts w:hint="eastAsia" w:ascii="宋体" w:hAnsi="宋体" w:cs="宋体"/>
                <w:color w:val="auto"/>
                <w:szCs w:val="21"/>
              </w:rPr>
              <w:t>性  别</w:t>
            </w:r>
          </w:p>
        </w:tc>
        <w:tc>
          <w:tcPr>
            <w:tcW w:w="950" w:type="dxa"/>
            <w:gridSpan w:val="2"/>
            <w:tcBorders>
              <w:top w:val="single" w:color="auto" w:sz="6" w:space="0"/>
              <w:left w:val="single" w:color="auto" w:sz="6" w:space="0"/>
              <w:bottom w:val="single" w:color="auto" w:sz="6" w:space="0"/>
              <w:right w:val="single" w:color="auto" w:sz="6" w:space="0"/>
            </w:tcBorders>
            <w:vAlign w:val="center"/>
          </w:tcPr>
          <w:p w14:paraId="413B0088">
            <w:pPr>
              <w:adjustRightInd w:val="0"/>
              <w:jc w:val="center"/>
              <w:rPr>
                <w:rFonts w:ascii="宋体" w:hAnsi="宋体" w:cs="宋体"/>
                <w:color w:val="auto"/>
                <w:szCs w:val="21"/>
              </w:rPr>
            </w:pPr>
          </w:p>
        </w:tc>
        <w:tc>
          <w:tcPr>
            <w:tcW w:w="1222" w:type="dxa"/>
            <w:tcBorders>
              <w:top w:val="single" w:color="auto" w:sz="6" w:space="0"/>
              <w:left w:val="single" w:color="auto" w:sz="6" w:space="0"/>
              <w:bottom w:val="single" w:color="auto" w:sz="6" w:space="0"/>
              <w:right w:val="single" w:color="auto" w:sz="6" w:space="0"/>
            </w:tcBorders>
            <w:vAlign w:val="center"/>
          </w:tcPr>
          <w:p w14:paraId="1A3FC8B6">
            <w:pPr>
              <w:adjustRightInd w:val="0"/>
              <w:jc w:val="center"/>
              <w:rPr>
                <w:rFonts w:ascii="宋体" w:hAnsi="宋体" w:cs="宋体"/>
                <w:color w:val="auto"/>
                <w:szCs w:val="21"/>
              </w:rPr>
            </w:pPr>
            <w:r>
              <w:rPr>
                <w:rFonts w:hint="eastAsia" w:ascii="宋体" w:hAnsi="宋体" w:cs="宋体"/>
                <w:color w:val="auto"/>
                <w:szCs w:val="21"/>
              </w:rPr>
              <w:t>年  龄</w:t>
            </w:r>
          </w:p>
        </w:tc>
        <w:tc>
          <w:tcPr>
            <w:tcW w:w="3165" w:type="dxa"/>
            <w:gridSpan w:val="2"/>
            <w:tcBorders>
              <w:top w:val="single" w:color="auto" w:sz="6" w:space="0"/>
              <w:left w:val="single" w:color="auto" w:sz="6" w:space="0"/>
              <w:bottom w:val="single" w:color="auto" w:sz="6" w:space="0"/>
              <w:right w:val="single" w:color="auto" w:sz="6" w:space="0"/>
            </w:tcBorders>
            <w:vAlign w:val="center"/>
          </w:tcPr>
          <w:p w14:paraId="1DF88A01">
            <w:pPr>
              <w:adjustRightInd w:val="0"/>
              <w:jc w:val="center"/>
              <w:rPr>
                <w:rFonts w:ascii="宋体" w:hAnsi="宋体" w:cs="宋体"/>
                <w:color w:val="auto"/>
                <w:szCs w:val="21"/>
              </w:rPr>
            </w:pPr>
          </w:p>
        </w:tc>
      </w:tr>
      <w:tr w14:paraId="66214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78" w:hRule="atLeast"/>
          <w:jc w:val="center"/>
        </w:trPr>
        <w:tc>
          <w:tcPr>
            <w:tcW w:w="1291" w:type="dxa"/>
            <w:tcBorders>
              <w:top w:val="single" w:color="auto" w:sz="6" w:space="0"/>
              <w:left w:val="single" w:color="auto" w:sz="6" w:space="0"/>
              <w:bottom w:val="single" w:color="auto" w:sz="6" w:space="0"/>
              <w:right w:val="single" w:color="auto" w:sz="6" w:space="0"/>
            </w:tcBorders>
            <w:vAlign w:val="center"/>
          </w:tcPr>
          <w:p w14:paraId="2AEED1D6">
            <w:pPr>
              <w:adjustRightInd w:val="0"/>
              <w:jc w:val="center"/>
              <w:rPr>
                <w:rFonts w:ascii="宋体" w:hAnsi="宋体" w:cs="宋体"/>
                <w:color w:val="auto"/>
                <w:szCs w:val="21"/>
              </w:rPr>
            </w:pPr>
            <w:r>
              <w:rPr>
                <w:rFonts w:hint="eastAsia" w:ascii="宋体" w:hAnsi="宋体" w:cs="宋体"/>
                <w:color w:val="auto"/>
                <w:szCs w:val="21"/>
              </w:rPr>
              <w:t>职  务</w:t>
            </w:r>
          </w:p>
        </w:tc>
        <w:tc>
          <w:tcPr>
            <w:tcW w:w="1103" w:type="dxa"/>
            <w:tcBorders>
              <w:top w:val="single" w:color="auto" w:sz="6" w:space="0"/>
              <w:left w:val="single" w:color="auto" w:sz="6" w:space="0"/>
              <w:bottom w:val="single" w:color="auto" w:sz="6" w:space="0"/>
              <w:right w:val="single" w:color="auto" w:sz="6" w:space="0"/>
            </w:tcBorders>
            <w:vAlign w:val="center"/>
          </w:tcPr>
          <w:p w14:paraId="794C03A2">
            <w:pPr>
              <w:adjustRightInd w:val="0"/>
              <w:jc w:val="center"/>
              <w:rPr>
                <w:rFonts w:ascii="宋体" w:hAnsi="宋体" w:cs="宋体"/>
                <w:color w:val="auto"/>
                <w:szCs w:val="21"/>
              </w:rPr>
            </w:pPr>
          </w:p>
        </w:tc>
        <w:tc>
          <w:tcPr>
            <w:tcW w:w="885" w:type="dxa"/>
            <w:tcBorders>
              <w:top w:val="single" w:color="auto" w:sz="6" w:space="0"/>
              <w:left w:val="single" w:color="auto" w:sz="6" w:space="0"/>
              <w:bottom w:val="single" w:color="auto" w:sz="6" w:space="0"/>
              <w:right w:val="single" w:color="auto" w:sz="6" w:space="0"/>
            </w:tcBorders>
            <w:vAlign w:val="center"/>
          </w:tcPr>
          <w:p w14:paraId="690F35EE">
            <w:pPr>
              <w:adjustRightInd w:val="0"/>
              <w:jc w:val="center"/>
              <w:rPr>
                <w:rFonts w:ascii="宋体" w:hAnsi="宋体" w:cs="宋体"/>
                <w:color w:val="auto"/>
                <w:szCs w:val="21"/>
              </w:rPr>
            </w:pPr>
            <w:r>
              <w:rPr>
                <w:rFonts w:hint="eastAsia" w:ascii="宋体" w:hAnsi="宋体" w:cs="宋体"/>
                <w:color w:val="auto"/>
                <w:szCs w:val="21"/>
              </w:rPr>
              <w:t>职  称</w:t>
            </w:r>
          </w:p>
        </w:tc>
        <w:tc>
          <w:tcPr>
            <w:tcW w:w="950" w:type="dxa"/>
            <w:gridSpan w:val="2"/>
            <w:tcBorders>
              <w:top w:val="single" w:color="auto" w:sz="6" w:space="0"/>
              <w:left w:val="single" w:color="auto" w:sz="6" w:space="0"/>
              <w:bottom w:val="single" w:color="auto" w:sz="6" w:space="0"/>
              <w:right w:val="single" w:color="auto" w:sz="6" w:space="0"/>
            </w:tcBorders>
            <w:vAlign w:val="center"/>
          </w:tcPr>
          <w:p w14:paraId="674C7C32">
            <w:pPr>
              <w:adjustRightInd w:val="0"/>
              <w:jc w:val="center"/>
              <w:rPr>
                <w:rFonts w:ascii="宋体" w:hAnsi="宋体" w:cs="宋体"/>
                <w:color w:val="auto"/>
                <w:szCs w:val="21"/>
              </w:rPr>
            </w:pPr>
          </w:p>
        </w:tc>
        <w:tc>
          <w:tcPr>
            <w:tcW w:w="1222" w:type="dxa"/>
            <w:tcBorders>
              <w:top w:val="single" w:color="auto" w:sz="6" w:space="0"/>
              <w:left w:val="single" w:color="auto" w:sz="6" w:space="0"/>
              <w:bottom w:val="single" w:color="auto" w:sz="6" w:space="0"/>
              <w:right w:val="single" w:color="auto" w:sz="6" w:space="0"/>
            </w:tcBorders>
            <w:vAlign w:val="center"/>
          </w:tcPr>
          <w:p w14:paraId="5CBC35B3">
            <w:pPr>
              <w:adjustRightInd w:val="0"/>
              <w:jc w:val="center"/>
              <w:rPr>
                <w:rFonts w:ascii="宋体" w:hAnsi="宋体" w:cs="宋体"/>
                <w:color w:val="auto"/>
                <w:szCs w:val="21"/>
              </w:rPr>
            </w:pPr>
            <w:r>
              <w:rPr>
                <w:rFonts w:hint="eastAsia" w:ascii="宋体" w:hAnsi="宋体" w:cs="宋体"/>
                <w:color w:val="auto"/>
                <w:szCs w:val="21"/>
              </w:rPr>
              <w:t>学  历</w:t>
            </w:r>
          </w:p>
        </w:tc>
        <w:tc>
          <w:tcPr>
            <w:tcW w:w="3165" w:type="dxa"/>
            <w:gridSpan w:val="2"/>
            <w:tcBorders>
              <w:top w:val="single" w:color="auto" w:sz="6" w:space="0"/>
              <w:left w:val="single" w:color="auto" w:sz="6" w:space="0"/>
              <w:bottom w:val="single" w:color="auto" w:sz="6" w:space="0"/>
              <w:right w:val="single" w:color="auto" w:sz="6" w:space="0"/>
            </w:tcBorders>
            <w:vAlign w:val="center"/>
          </w:tcPr>
          <w:p w14:paraId="6C10967C">
            <w:pPr>
              <w:adjustRightInd w:val="0"/>
              <w:jc w:val="center"/>
              <w:rPr>
                <w:rFonts w:ascii="宋体" w:hAnsi="宋体" w:cs="宋体"/>
                <w:color w:val="auto"/>
                <w:szCs w:val="21"/>
              </w:rPr>
            </w:pPr>
          </w:p>
        </w:tc>
      </w:tr>
      <w:tr w14:paraId="15ECA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9" w:hRule="atLeast"/>
          <w:jc w:val="center"/>
        </w:trPr>
        <w:tc>
          <w:tcPr>
            <w:tcW w:w="2394" w:type="dxa"/>
            <w:gridSpan w:val="2"/>
            <w:tcBorders>
              <w:top w:val="single" w:color="auto" w:sz="6" w:space="0"/>
              <w:left w:val="single" w:color="auto" w:sz="6" w:space="0"/>
              <w:bottom w:val="single" w:color="auto" w:sz="6" w:space="0"/>
              <w:right w:val="single" w:color="auto" w:sz="6" w:space="0"/>
            </w:tcBorders>
            <w:vAlign w:val="center"/>
          </w:tcPr>
          <w:p w14:paraId="0E13E3F7">
            <w:pPr>
              <w:adjustRightInd w:val="0"/>
              <w:jc w:val="center"/>
              <w:rPr>
                <w:rFonts w:ascii="宋体" w:hAnsi="宋体" w:cs="宋体"/>
                <w:color w:val="auto"/>
                <w:szCs w:val="21"/>
              </w:rPr>
            </w:pPr>
            <w:r>
              <w:rPr>
                <w:rFonts w:hint="eastAsia" w:ascii="宋体" w:hAnsi="宋体" w:cs="宋体"/>
                <w:color w:val="auto"/>
                <w:szCs w:val="21"/>
              </w:rPr>
              <w:t>执业或职业资格证书名称及编号</w:t>
            </w:r>
          </w:p>
        </w:tc>
        <w:tc>
          <w:tcPr>
            <w:tcW w:w="1835" w:type="dxa"/>
            <w:gridSpan w:val="3"/>
            <w:tcBorders>
              <w:top w:val="single" w:color="auto" w:sz="6" w:space="0"/>
              <w:left w:val="single" w:color="auto" w:sz="6" w:space="0"/>
              <w:bottom w:val="single" w:color="auto" w:sz="6" w:space="0"/>
              <w:right w:val="single" w:color="auto" w:sz="4" w:space="0"/>
            </w:tcBorders>
            <w:vAlign w:val="center"/>
          </w:tcPr>
          <w:p w14:paraId="05F281C5">
            <w:pPr>
              <w:adjustRightInd w:val="0"/>
              <w:jc w:val="center"/>
              <w:rPr>
                <w:rFonts w:ascii="宋体" w:hAnsi="宋体" w:cs="宋体"/>
                <w:color w:val="auto"/>
                <w:szCs w:val="21"/>
              </w:rPr>
            </w:pPr>
          </w:p>
        </w:tc>
        <w:tc>
          <w:tcPr>
            <w:tcW w:w="1222" w:type="dxa"/>
            <w:tcBorders>
              <w:top w:val="single" w:color="auto" w:sz="6" w:space="0"/>
              <w:left w:val="single" w:color="auto" w:sz="4" w:space="0"/>
              <w:bottom w:val="single" w:color="auto" w:sz="6" w:space="0"/>
              <w:right w:val="single" w:color="auto" w:sz="6" w:space="0"/>
            </w:tcBorders>
            <w:vAlign w:val="center"/>
          </w:tcPr>
          <w:p w14:paraId="3A263F38">
            <w:pPr>
              <w:adjustRightInd w:val="0"/>
              <w:jc w:val="center"/>
              <w:rPr>
                <w:rFonts w:ascii="宋体" w:hAnsi="宋体" w:cs="宋体"/>
                <w:color w:val="auto"/>
                <w:szCs w:val="21"/>
              </w:rPr>
            </w:pPr>
            <w:r>
              <w:rPr>
                <w:rFonts w:hint="eastAsia" w:ascii="宋体" w:hAnsi="宋体" w:cs="宋体"/>
                <w:color w:val="auto"/>
                <w:szCs w:val="21"/>
              </w:rPr>
              <w:t>拟在本合同任职</w:t>
            </w:r>
          </w:p>
        </w:tc>
        <w:tc>
          <w:tcPr>
            <w:tcW w:w="3165" w:type="dxa"/>
            <w:gridSpan w:val="2"/>
            <w:tcBorders>
              <w:top w:val="single" w:color="auto" w:sz="6" w:space="0"/>
              <w:left w:val="single" w:color="auto" w:sz="6" w:space="0"/>
              <w:bottom w:val="single" w:color="auto" w:sz="6" w:space="0"/>
              <w:right w:val="single" w:color="auto" w:sz="6" w:space="0"/>
            </w:tcBorders>
            <w:vAlign w:val="center"/>
          </w:tcPr>
          <w:p w14:paraId="1D6D545E">
            <w:pPr>
              <w:adjustRightInd w:val="0"/>
              <w:jc w:val="center"/>
              <w:rPr>
                <w:rFonts w:ascii="宋体" w:hAnsi="宋体" w:cs="宋体"/>
                <w:color w:val="auto"/>
                <w:szCs w:val="21"/>
              </w:rPr>
            </w:pPr>
          </w:p>
        </w:tc>
      </w:tr>
      <w:tr w14:paraId="76E15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9" w:hRule="atLeast"/>
          <w:jc w:val="center"/>
        </w:trPr>
        <w:tc>
          <w:tcPr>
            <w:tcW w:w="2394" w:type="dxa"/>
            <w:gridSpan w:val="2"/>
            <w:tcBorders>
              <w:top w:val="single" w:color="auto" w:sz="6" w:space="0"/>
              <w:left w:val="single" w:color="auto" w:sz="6" w:space="0"/>
              <w:bottom w:val="single" w:color="auto" w:sz="6" w:space="0"/>
              <w:right w:val="single" w:color="auto" w:sz="4" w:space="0"/>
            </w:tcBorders>
            <w:vAlign w:val="center"/>
          </w:tcPr>
          <w:p w14:paraId="5E373CEB">
            <w:pPr>
              <w:adjustRightInd w:val="0"/>
              <w:jc w:val="center"/>
              <w:rPr>
                <w:rFonts w:ascii="宋体" w:hAnsi="宋体" w:cs="宋体"/>
                <w:color w:val="auto"/>
                <w:szCs w:val="21"/>
              </w:rPr>
            </w:pPr>
            <w:r>
              <w:rPr>
                <w:rFonts w:hint="eastAsia" w:ascii="宋体" w:hAnsi="宋体" w:cs="宋体"/>
                <w:color w:val="auto"/>
                <w:szCs w:val="21"/>
              </w:rPr>
              <w:t>安全生产考核合格证书</w:t>
            </w:r>
          </w:p>
        </w:tc>
        <w:tc>
          <w:tcPr>
            <w:tcW w:w="1835" w:type="dxa"/>
            <w:gridSpan w:val="3"/>
            <w:tcBorders>
              <w:top w:val="single" w:color="auto" w:sz="6" w:space="0"/>
              <w:left w:val="single" w:color="auto" w:sz="4" w:space="0"/>
              <w:bottom w:val="single" w:color="auto" w:sz="6" w:space="0"/>
              <w:right w:val="single" w:color="auto" w:sz="4" w:space="0"/>
            </w:tcBorders>
            <w:vAlign w:val="center"/>
          </w:tcPr>
          <w:p w14:paraId="5B1A7A42">
            <w:pPr>
              <w:adjustRightInd w:val="0"/>
              <w:jc w:val="center"/>
              <w:rPr>
                <w:rFonts w:ascii="宋体" w:hAnsi="宋体" w:cs="宋体"/>
                <w:color w:val="auto"/>
                <w:szCs w:val="21"/>
              </w:rPr>
            </w:pPr>
          </w:p>
        </w:tc>
        <w:tc>
          <w:tcPr>
            <w:tcW w:w="1222" w:type="dxa"/>
            <w:tcBorders>
              <w:top w:val="single" w:color="auto" w:sz="6" w:space="0"/>
              <w:left w:val="single" w:color="auto" w:sz="4" w:space="0"/>
              <w:bottom w:val="single" w:color="auto" w:sz="6" w:space="0"/>
              <w:right w:val="single" w:color="auto" w:sz="6" w:space="0"/>
            </w:tcBorders>
            <w:vAlign w:val="center"/>
          </w:tcPr>
          <w:p w14:paraId="12CC0319">
            <w:pPr>
              <w:adjustRightInd w:val="0"/>
              <w:jc w:val="center"/>
              <w:rPr>
                <w:rFonts w:ascii="宋体" w:hAnsi="宋体" w:cs="宋体"/>
                <w:color w:val="auto"/>
                <w:szCs w:val="21"/>
              </w:rPr>
            </w:pPr>
            <w:r>
              <w:rPr>
                <w:rFonts w:hint="eastAsia" w:ascii="宋体" w:hAnsi="宋体" w:cs="宋体"/>
                <w:color w:val="auto"/>
                <w:szCs w:val="21"/>
              </w:rPr>
              <w:t>担任本职工作年限</w:t>
            </w:r>
          </w:p>
        </w:tc>
        <w:tc>
          <w:tcPr>
            <w:tcW w:w="3165" w:type="dxa"/>
            <w:gridSpan w:val="2"/>
            <w:tcBorders>
              <w:top w:val="single" w:color="auto" w:sz="6" w:space="0"/>
              <w:left w:val="single" w:color="auto" w:sz="6" w:space="0"/>
              <w:bottom w:val="single" w:color="auto" w:sz="6" w:space="0"/>
              <w:right w:val="single" w:color="auto" w:sz="6" w:space="0"/>
            </w:tcBorders>
            <w:vAlign w:val="center"/>
          </w:tcPr>
          <w:p w14:paraId="5FD8BC50">
            <w:pPr>
              <w:adjustRightInd w:val="0"/>
              <w:jc w:val="center"/>
              <w:rPr>
                <w:rFonts w:ascii="宋体" w:hAnsi="宋体" w:cs="宋体"/>
                <w:color w:val="auto"/>
                <w:szCs w:val="21"/>
              </w:rPr>
            </w:pPr>
          </w:p>
        </w:tc>
      </w:tr>
      <w:tr w14:paraId="37352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2394" w:type="dxa"/>
            <w:gridSpan w:val="2"/>
            <w:tcBorders>
              <w:top w:val="single" w:color="auto" w:sz="6" w:space="0"/>
              <w:left w:val="single" w:color="auto" w:sz="6" w:space="0"/>
              <w:bottom w:val="single" w:color="auto" w:sz="6" w:space="0"/>
              <w:right w:val="single" w:color="auto" w:sz="4" w:space="0"/>
            </w:tcBorders>
            <w:vAlign w:val="center"/>
          </w:tcPr>
          <w:p w14:paraId="6C77D0E6">
            <w:pPr>
              <w:adjustRightInd w:val="0"/>
              <w:jc w:val="center"/>
              <w:rPr>
                <w:rFonts w:ascii="宋体" w:hAnsi="宋体" w:cs="宋体"/>
                <w:color w:val="auto"/>
                <w:szCs w:val="21"/>
              </w:rPr>
            </w:pPr>
            <w:r>
              <w:rPr>
                <w:rFonts w:hint="eastAsia" w:ascii="宋体" w:hAnsi="宋体" w:cs="宋体"/>
                <w:color w:val="auto"/>
                <w:szCs w:val="21"/>
              </w:rPr>
              <w:t>毕业学校</w:t>
            </w:r>
          </w:p>
        </w:tc>
        <w:tc>
          <w:tcPr>
            <w:tcW w:w="6222" w:type="dxa"/>
            <w:gridSpan w:val="6"/>
            <w:tcBorders>
              <w:top w:val="single" w:color="auto" w:sz="6" w:space="0"/>
              <w:left w:val="single" w:color="auto" w:sz="4" w:space="0"/>
              <w:bottom w:val="single" w:color="auto" w:sz="6" w:space="0"/>
              <w:right w:val="single" w:color="auto" w:sz="6" w:space="0"/>
            </w:tcBorders>
            <w:vAlign w:val="center"/>
          </w:tcPr>
          <w:p w14:paraId="4C1D6895">
            <w:pPr>
              <w:adjustRightInd w:val="0"/>
              <w:rPr>
                <w:rFonts w:ascii="宋体" w:hAnsi="宋体" w:cs="宋体"/>
                <w:color w:val="auto"/>
                <w:szCs w:val="21"/>
              </w:rPr>
            </w:pPr>
            <w:r>
              <w:rPr>
                <w:rFonts w:hint="eastAsia" w:ascii="宋体" w:hAnsi="宋体" w:cs="宋体"/>
                <w:color w:val="auto"/>
                <w:szCs w:val="21"/>
              </w:rPr>
              <w:t xml:space="preserve">        年毕业于          学校        专业</w:t>
            </w:r>
          </w:p>
        </w:tc>
      </w:tr>
      <w:tr w14:paraId="535E2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8616" w:type="dxa"/>
            <w:gridSpan w:val="8"/>
            <w:tcBorders>
              <w:top w:val="single" w:color="auto" w:sz="6" w:space="0"/>
              <w:left w:val="single" w:color="auto" w:sz="6" w:space="0"/>
              <w:bottom w:val="single" w:color="auto" w:sz="6" w:space="0"/>
              <w:right w:val="single" w:color="auto" w:sz="6" w:space="0"/>
            </w:tcBorders>
            <w:vAlign w:val="center"/>
          </w:tcPr>
          <w:p w14:paraId="477D5486">
            <w:pPr>
              <w:adjustRightInd w:val="0"/>
              <w:jc w:val="center"/>
              <w:rPr>
                <w:rFonts w:ascii="宋体" w:hAnsi="宋体" w:cs="宋体"/>
                <w:color w:val="auto"/>
                <w:szCs w:val="21"/>
              </w:rPr>
            </w:pPr>
            <w:r>
              <w:rPr>
                <w:rFonts w:hint="eastAsia" w:ascii="宋体" w:hAnsi="宋体" w:cs="宋体"/>
                <w:color w:val="auto"/>
                <w:szCs w:val="21"/>
              </w:rPr>
              <w:t>已完工程项目情况表</w:t>
            </w:r>
          </w:p>
        </w:tc>
      </w:tr>
      <w:tr w14:paraId="19422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9" w:hRule="atLeast"/>
          <w:jc w:val="center"/>
        </w:trPr>
        <w:tc>
          <w:tcPr>
            <w:tcW w:w="1291" w:type="dxa"/>
            <w:tcBorders>
              <w:top w:val="single" w:color="auto" w:sz="6" w:space="0"/>
              <w:left w:val="single" w:color="auto" w:sz="6" w:space="0"/>
              <w:bottom w:val="single" w:color="auto" w:sz="6" w:space="0"/>
              <w:right w:val="single" w:color="auto" w:sz="6" w:space="0"/>
            </w:tcBorders>
            <w:vAlign w:val="center"/>
          </w:tcPr>
          <w:p w14:paraId="0E34BBF3">
            <w:pPr>
              <w:adjustRightInd w:val="0"/>
              <w:jc w:val="center"/>
              <w:rPr>
                <w:rFonts w:ascii="宋体" w:hAnsi="宋体" w:cs="宋体"/>
                <w:color w:val="auto"/>
                <w:szCs w:val="21"/>
              </w:rPr>
            </w:pPr>
            <w:r>
              <w:rPr>
                <w:rFonts w:hint="eastAsia" w:ascii="宋体" w:hAnsi="宋体" w:cs="宋体"/>
                <w:color w:val="auto"/>
                <w:szCs w:val="21"/>
              </w:rPr>
              <w:t>建设单位</w:t>
            </w:r>
          </w:p>
        </w:tc>
        <w:tc>
          <w:tcPr>
            <w:tcW w:w="1103" w:type="dxa"/>
            <w:tcBorders>
              <w:top w:val="single" w:color="auto" w:sz="6" w:space="0"/>
              <w:left w:val="single" w:color="auto" w:sz="6" w:space="0"/>
              <w:bottom w:val="single" w:color="auto" w:sz="6" w:space="0"/>
              <w:right w:val="single" w:color="auto" w:sz="6" w:space="0"/>
            </w:tcBorders>
            <w:vAlign w:val="center"/>
          </w:tcPr>
          <w:p w14:paraId="5901AA84">
            <w:pPr>
              <w:adjustRightInd w:val="0"/>
              <w:jc w:val="center"/>
              <w:rPr>
                <w:rFonts w:ascii="宋体" w:hAnsi="宋体" w:cs="宋体"/>
                <w:color w:val="auto"/>
                <w:szCs w:val="21"/>
              </w:rPr>
            </w:pPr>
            <w:r>
              <w:rPr>
                <w:rFonts w:hint="eastAsia" w:ascii="宋体" w:hAnsi="宋体" w:cs="宋体"/>
                <w:color w:val="auto"/>
                <w:szCs w:val="21"/>
              </w:rPr>
              <w:t>项目名称</w:t>
            </w:r>
          </w:p>
        </w:tc>
        <w:tc>
          <w:tcPr>
            <w:tcW w:w="1099" w:type="dxa"/>
            <w:gridSpan w:val="2"/>
            <w:tcBorders>
              <w:top w:val="single" w:color="auto" w:sz="6" w:space="0"/>
              <w:left w:val="single" w:color="auto" w:sz="6" w:space="0"/>
              <w:bottom w:val="single" w:color="auto" w:sz="6" w:space="0"/>
              <w:right w:val="single" w:color="auto" w:sz="6" w:space="0"/>
            </w:tcBorders>
            <w:vAlign w:val="center"/>
          </w:tcPr>
          <w:p w14:paraId="2722F82B">
            <w:pPr>
              <w:adjustRightInd w:val="0"/>
              <w:jc w:val="center"/>
              <w:rPr>
                <w:rFonts w:ascii="宋体" w:hAnsi="宋体" w:cs="宋体"/>
                <w:color w:val="auto"/>
                <w:szCs w:val="21"/>
              </w:rPr>
            </w:pPr>
            <w:r>
              <w:rPr>
                <w:rFonts w:hint="eastAsia" w:ascii="宋体" w:hAnsi="宋体" w:cs="宋体"/>
                <w:color w:val="auto"/>
                <w:szCs w:val="21"/>
              </w:rPr>
              <w:t>建设规模</w:t>
            </w:r>
          </w:p>
        </w:tc>
        <w:tc>
          <w:tcPr>
            <w:tcW w:w="1958" w:type="dxa"/>
            <w:gridSpan w:val="2"/>
            <w:tcBorders>
              <w:top w:val="single" w:color="auto" w:sz="6" w:space="0"/>
              <w:left w:val="single" w:color="auto" w:sz="6" w:space="0"/>
              <w:bottom w:val="single" w:color="auto" w:sz="6" w:space="0"/>
              <w:right w:val="single" w:color="auto" w:sz="6" w:space="0"/>
            </w:tcBorders>
            <w:vAlign w:val="center"/>
          </w:tcPr>
          <w:p w14:paraId="45AE33A2">
            <w:pPr>
              <w:adjustRightInd w:val="0"/>
              <w:jc w:val="center"/>
              <w:rPr>
                <w:rFonts w:ascii="宋体" w:hAnsi="宋体" w:cs="宋体"/>
                <w:color w:val="auto"/>
                <w:szCs w:val="21"/>
              </w:rPr>
            </w:pPr>
            <w:r>
              <w:rPr>
                <w:rFonts w:hint="eastAsia" w:ascii="宋体" w:hAnsi="宋体" w:cs="宋体"/>
                <w:color w:val="auto"/>
                <w:szCs w:val="21"/>
              </w:rPr>
              <w:t>开、竣工日期</w:t>
            </w:r>
          </w:p>
        </w:tc>
        <w:tc>
          <w:tcPr>
            <w:tcW w:w="1942" w:type="dxa"/>
            <w:tcBorders>
              <w:top w:val="single" w:color="auto" w:sz="6" w:space="0"/>
              <w:left w:val="single" w:color="auto" w:sz="6" w:space="0"/>
              <w:bottom w:val="single" w:color="auto" w:sz="6" w:space="0"/>
              <w:right w:val="single" w:color="auto" w:sz="6" w:space="0"/>
            </w:tcBorders>
            <w:vAlign w:val="center"/>
          </w:tcPr>
          <w:p w14:paraId="266D25D4">
            <w:pPr>
              <w:adjustRightInd w:val="0"/>
              <w:jc w:val="center"/>
              <w:rPr>
                <w:rFonts w:ascii="宋体" w:hAnsi="宋体" w:cs="宋体"/>
                <w:color w:val="auto"/>
                <w:szCs w:val="21"/>
              </w:rPr>
            </w:pPr>
            <w:r>
              <w:rPr>
                <w:rFonts w:hint="eastAsia" w:ascii="宋体" w:hAnsi="宋体" w:cs="宋体"/>
                <w:color w:val="auto"/>
                <w:szCs w:val="21"/>
              </w:rPr>
              <w:t>工程质量</w:t>
            </w:r>
          </w:p>
        </w:tc>
        <w:tc>
          <w:tcPr>
            <w:tcW w:w="1223" w:type="dxa"/>
            <w:tcBorders>
              <w:top w:val="single" w:color="auto" w:sz="6" w:space="0"/>
              <w:left w:val="single" w:color="auto" w:sz="6" w:space="0"/>
              <w:bottom w:val="single" w:color="auto" w:sz="6" w:space="0"/>
              <w:right w:val="single" w:color="auto" w:sz="6" w:space="0"/>
            </w:tcBorders>
            <w:vAlign w:val="center"/>
          </w:tcPr>
          <w:p w14:paraId="110675F5">
            <w:pPr>
              <w:adjustRightInd w:val="0"/>
              <w:jc w:val="center"/>
              <w:rPr>
                <w:rFonts w:ascii="宋体" w:hAnsi="宋体" w:cs="宋体"/>
                <w:color w:val="auto"/>
                <w:szCs w:val="21"/>
              </w:rPr>
            </w:pPr>
            <w:r>
              <w:rPr>
                <w:rFonts w:hint="eastAsia" w:ascii="宋体" w:hAnsi="宋体" w:cs="宋体"/>
                <w:color w:val="auto"/>
                <w:szCs w:val="21"/>
              </w:rPr>
              <w:t>受奖情况</w:t>
            </w:r>
          </w:p>
        </w:tc>
      </w:tr>
      <w:tr w14:paraId="7EA72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7" w:hRule="exact"/>
          <w:jc w:val="center"/>
        </w:trPr>
        <w:tc>
          <w:tcPr>
            <w:tcW w:w="1291" w:type="dxa"/>
            <w:tcBorders>
              <w:top w:val="single" w:color="auto" w:sz="6" w:space="0"/>
              <w:left w:val="single" w:color="auto" w:sz="6" w:space="0"/>
              <w:bottom w:val="single" w:color="auto" w:sz="6" w:space="0"/>
              <w:right w:val="single" w:color="auto" w:sz="6" w:space="0"/>
            </w:tcBorders>
          </w:tcPr>
          <w:p w14:paraId="38033828">
            <w:pPr>
              <w:adjustRightInd w:val="0"/>
              <w:rPr>
                <w:rFonts w:ascii="宋体" w:hAnsi="宋体" w:cs="宋体"/>
                <w:color w:val="auto"/>
                <w:szCs w:val="21"/>
              </w:rPr>
            </w:pPr>
          </w:p>
        </w:tc>
        <w:tc>
          <w:tcPr>
            <w:tcW w:w="1103" w:type="dxa"/>
            <w:tcBorders>
              <w:top w:val="single" w:color="auto" w:sz="6" w:space="0"/>
              <w:left w:val="single" w:color="auto" w:sz="6" w:space="0"/>
              <w:bottom w:val="single" w:color="auto" w:sz="6" w:space="0"/>
              <w:right w:val="single" w:color="auto" w:sz="6" w:space="0"/>
            </w:tcBorders>
          </w:tcPr>
          <w:p w14:paraId="293A2E97">
            <w:pPr>
              <w:adjustRightInd w:val="0"/>
              <w:rPr>
                <w:rFonts w:ascii="宋体" w:hAnsi="宋体" w:cs="宋体"/>
                <w:color w:val="auto"/>
                <w:szCs w:val="21"/>
              </w:rPr>
            </w:pPr>
          </w:p>
        </w:tc>
        <w:tc>
          <w:tcPr>
            <w:tcW w:w="1099" w:type="dxa"/>
            <w:gridSpan w:val="2"/>
            <w:tcBorders>
              <w:top w:val="single" w:color="auto" w:sz="6" w:space="0"/>
              <w:left w:val="single" w:color="auto" w:sz="6" w:space="0"/>
              <w:bottom w:val="single" w:color="auto" w:sz="6" w:space="0"/>
              <w:right w:val="single" w:color="auto" w:sz="6" w:space="0"/>
            </w:tcBorders>
          </w:tcPr>
          <w:p w14:paraId="4EE31F33">
            <w:pPr>
              <w:adjustRightInd w:val="0"/>
              <w:rPr>
                <w:rFonts w:ascii="宋体" w:hAnsi="宋体" w:cs="宋体"/>
                <w:color w:val="auto"/>
                <w:szCs w:val="21"/>
              </w:rPr>
            </w:pPr>
          </w:p>
        </w:tc>
        <w:tc>
          <w:tcPr>
            <w:tcW w:w="1958" w:type="dxa"/>
            <w:gridSpan w:val="2"/>
            <w:tcBorders>
              <w:top w:val="single" w:color="auto" w:sz="6" w:space="0"/>
              <w:left w:val="single" w:color="auto" w:sz="6" w:space="0"/>
              <w:bottom w:val="single" w:color="auto" w:sz="6" w:space="0"/>
              <w:right w:val="single" w:color="auto" w:sz="6" w:space="0"/>
            </w:tcBorders>
          </w:tcPr>
          <w:p w14:paraId="22D6AF79">
            <w:pPr>
              <w:adjustRightInd w:val="0"/>
              <w:rPr>
                <w:rFonts w:ascii="宋体" w:hAnsi="宋体" w:cs="宋体"/>
                <w:color w:val="auto"/>
                <w:szCs w:val="21"/>
              </w:rPr>
            </w:pPr>
          </w:p>
        </w:tc>
        <w:tc>
          <w:tcPr>
            <w:tcW w:w="1942" w:type="dxa"/>
            <w:tcBorders>
              <w:top w:val="single" w:color="auto" w:sz="6" w:space="0"/>
              <w:left w:val="single" w:color="auto" w:sz="6" w:space="0"/>
              <w:bottom w:val="single" w:color="auto" w:sz="6" w:space="0"/>
              <w:right w:val="single" w:color="auto" w:sz="6" w:space="0"/>
            </w:tcBorders>
          </w:tcPr>
          <w:p w14:paraId="26CEFF19">
            <w:pPr>
              <w:adjustRightInd w:val="0"/>
              <w:rPr>
                <w:rFonts w:ascii="宋体" w:hAnsi="宋体" w:cs="宋体"/>
                <w:color w:val="auto"/>
                <w:szCs w:val="21"/>
              </w:rPr>
            </w:pPr>
          </w:p>
        </w:tc>
        <w:tc>
          <w:tcPr>
            <w:tcW w:w="1223" w:type="dxa"/>
            <w:tcBorders>
              <w:top w:val="single" w:color="auto" w:sz="6" w:space="0"/>
              <w:left w:val="single" w:color="auto" w:sz="6" w:space="0"/>
              <w:bottom w:val="single" w:color="auto" w:sz="6" w:space="0"/>
              <w:right w:val="single" w:color="auto" w:sz="6" w:space="0"/>
            </w:tcBorders>
          </w:tcPr>
          <w:p w14:paraId="44C26F0A">
            <w:pPr>
              <w:adjustRightInd w:val="0"/>
              <w:rPr>
                <w:rFonts w:ascii="宋体" w:hAnsi="宋体" w:cs="宋体"/>
                <w:color w:val="auto"/>
                <w:szCs w:val="21"/>
              </w:rPr>
            </w:pPr>
          </w:p>
        </w:tc>
      </w:tr>
      <w:tr w14:paraId="122C4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7" w:hRule="exact"/>
          <w:jc w:val="center"/>
        </w:trPr>
        <w:tc>
          <w:tcPr>
            <w:tcW w:w="1291" w:type="dxa"/>
            <w:tcBorders>
              <w:top w:val="single" w:color="auto" w:sz="6" w:space="0"/>
              <w:left w:val="single" w:color="auto" w:sz="6" w:space="0"/>
              <w:bottom w:val="single" w:color="auto" w:sz="6" w:space="0"/>
              <w:right w:val="single" w:color="auto" w:sz="6" w:space="0"/>
            </w:tcBorders>
          </w:tcPr>
          <w:p w14:paraId="138CE7DA">
            <w:pPr>
              <w:adjustRightInd w:val="0"/>
              <w:rPr>
                <w:rFonts w:ascii="宋体" w:hAnsi="宋体" w:cs="宋体"/>
                <w:color w:val="auto"/>
                <w:szCs w:val="21"/>
              </w:rPr>
            </w:pPr>
          </w:p>
        </w:tc>
        <w:tc>
          <w:tcPr>
            <w:tcW w:w="1103" w:type="dxa"/>
            <w:tcBorders>
              <w:top w:val="single" w:color="auto" w:sz="6" w:space="0"/>
              <w:left w:val="single" w:color="auto" w:sz="6" w:space="0"/>
              <w:bottom w:val="single" w:color="auto" w:sz="6" w:space="0"/>
              <w:right w:val="single" w:color="auto" w:sz="6" w:space="0"/>
            </w:tcBorders>
          </w:tcPr>
          <w:p w14:paraId="0CF1FD1F">
            <w:pPr>
              <w:adjustRightInd w:val="0"/>
              <w:rPr>
                <w:rFonts w:ascii="宋体" w:hAnsi="宋体" w:cs="宋体"/>
                <w:color w:val="auto"/>
                <w:szCs w:val="21"/>
              </w:rPr>
            </w:pPr>
          </w:p>
        </w:tc>
        <w:tc>
          <w:tcPr>
            <w:tcW w:w="1099" w:type="dxa"/>
            <w:gridSpan w:val="2"/>
            <w:tcBorders>
              <w:top w:val="single" w:color="auto" w:sz="6" w:space="0"/>
              <w:left w:val="single" w:color="auto" w:sz="6" w:space="0"/>
              <w:bottom w:val="single" w:color="auto" w:sz="6" w:space="0"/>
              <w:right w:val="single" w:color="auto" w:sz="6" w:space="0"/>
            </w:tcBorders>
          </w:tcPr>
          <w:p w14:paraId="453463BD">
            <w:pPr>
              <w:adjustRightInd w:val="0"/>
              <w:rPr>
                <w:rFonts w:ascii="宋体" w:hAnsi="宋体" w:cs="宋体"/>
                <w:color w:val="auto"/>
                <w:szCs w:val="21"/>
              </w:rPr>
            </w:pPr>
          </w:p>
        </w:tc>
        <w:tc>
          <w:tcPr>
            <w:tcW w:w="1958" w:type="dxa"/>
            <w:gridSpan w:val="2"/>
            <w:tcBorders>
              <w:top w:val="single" w:color="auto" w:sz="6" w:space="0"/>
              <w:left w:val="single" w:color="auto" w:sz="6" w:space="0"/>
              <w:bottom w:val="single" w:color="auto" w:sz="6" w:space="0"/>
              <w:right w:val="single" w:color="auto" w:sz="6" w:space="0"/>
            </w:tcBorders>
          </w:tcPr>
          <w:p w14:paraId="6DE762B8">
            <w:pPr>
              <w:adjustRightInd w:val="0"/>
              <w:rPr>
                <w:rFonts w:ascii="宋体" w:hAnsi="宋体" w:cs="宋体"/>
                <w:color w:val="auto"/>
                <w:szCs w:val="21"/>
              </w:rPr>
            </w:pPr>
          </w:p>
        </w:tc>
        <w:tc>
          <w:tcPr>
            <w:tcW w:w="1942" w:type="dxa"/>
            <w:tcBorders>
              <w:top w:val="single" w:color="auto" w:sz="6" w:space="0"/>
              <w:left w:val="single" w:color="auto" w:sz="6" w:space="0"/>
              <w:bottom w:val="single" w:color="auto" w:sz="6" w:space="0"/>
              <w:right w:val="single" w:color="auto" w:sz="6" w:space="0"/>
            </w:tcBorders>
          </w:tcPr>
          <w:p w14:paraId="60890809">
            <w:pPr>
              <w:adjustRightInd w:val="0"/>
              <w:rPr>
                <w:rFonts w:ascii="宋体" w:hAnsi="宋体" w:cs="宋体"/>
                <w:color w:val="auto"/>
                <w:szCs w:val="21"/>
              </w:rPr>
            </w:pPr>
          </w:p>
        </w:tc>
        <w:tc>
          <w:tcPr>
            <w:tcW w:w="1223" w:type="dxa"/>
            <w:tcBorders>
              <w:top w:val="single" w:color="auto" w:sz="6" w:space="0"/>
              <w:left w:val="single" w:color="auto" w:sz="6" w:space="0"/>
              <w:bottom w:val="single" w:color="auto" w:sz="6" w:space="0"/>
              <w:right w:val="single" w:color="auto" w:sz="6" w:space="0"/>
            </w:tcBorders>
          </w:tcPr>
          <w:p w14:paraId="78C059B7">
            <w:pPr>
              <w:adjustRightInd w:val="0"/>
              <w:rPr>
                <w:rFonts w:ascii="宋体" w:hAnsi="宋体" w:cs="宋体"/>
                <w:color w:val="auto"/>
                <w:szCs w:val="21"/>
              </w:rPr>
            </w:pPr>
          </w:p>
        </w:tc>
      </w:tr>
      <w:tr w14:paraId="10062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7" w:hRule="exact"/>
          <w:jc w:val="center"/>
        </w:trPr>
        <w:tc>
          <w:tcPr>
            <w:tcW w:w="1291" w:type="dxa"/>
            <w:tcBorders>
              <w:top w:val="single" w:color="auto" w:sz="6" w:space="0"/>
              <w:left w:val="single" w:color="auto" w:sz="6" w:space="0"/>
              <w:bottom w:val="single" w:color="auto" w:sz="6" w:space="0"/>
              <w:right w:val="single" w:color="auto" w:sz="6" w:space="0"/>
            </w:tcBorders>
          </w:tcPr>
          <w:p w14:paraId="5049FCD1">
            <w:pPr>
              <w:adjustRightInd w:val="0"/>
              <w:rPr>
                <w:rFonts w:ascii="宋体" w:hAnsi="宋体" w:cs="宋体"/>
                <w:color w:val="auto"/>
                <w:szCs w:val="21"/>
              </w:rPr>
            </w:pPr>
          </w:p>
        </w:tc>
        <w:tc>
          <w:tcPr>
            <w:tcW w:w="1103" w:type="dxa"/>
            <w:tcBorders>
              <w:top w:val="single" w:color="auto" w:sz="6" w:space="0"/>
              <w:left w:val="single" w:color="auto" w:sz="6" w:space="0"/>
              <w:bottom w:val="single" w:color="auto" w:sz="6" w:space="0"/>
              <w:right w:val="single" w:color="auto" w:sz="6" w:space="0"/>
            </w:tcBorders>
          </w:tcPr>
          <w:p w14:paraId="5986497C">
            <w:pPr>
              <w:adjustRightInd w:val="0"/>
              <w:rPr>
                <w:rFonts w:ascii="宋体" w:hAnsi="宋体" w:cs="宋体"/>
                <w:color w:val="auto"/>
                <w:szCs w:val="21"/>
              </w:rPr>
            </w:pPr>
          </w:p>
        </w:tc>
        <w:tc>
          <w:tcPr>
            <w:tcW w:w="1099" w:type="dxa"/>
            <w:gridSpan w:val="2"/>
            <w:tcBorders>
              <w:top w:val="single" w:color="auto" w:sz="6" w:space="0"/>
              <w:left w:val="single" w:color="auto" w:sz="6" w:space="0"/>
              <w:bottom w:val="single" w:color="auto" w:sz="6" w:space="0"/>
              <w:right w:val="single" w:color="auto" w:sz="6" w:space="0"/>
            </w:tcBorders>
          </w:tcPr>
          <w:p w14:paraId="01868F3B">
            <w:pPr>
              <w:adjustRightInd w:val="0"/>
              <w:rPr>
                <w:rFonts w:ascii="宋体" w:hAnsi="宋体" w:cs="宋体"/>
                <w:color w:val="auto"/>
                <w:szCs w:val="21"/>
              </w:rPr>
            </w:pPr>
          </w:p>
        </w:tc>
        <w:tc>
          <w:tcPr>
            <w:tcW w:w="1958" w:type="dxa"/>
            <w:gridSpan w:val="2"/>
            <w:tcBorders>
              <w:top w:val="single" w:color="auto" w:sz="6" w:space="0"/>
              <w:left w:val="single" w:color="auto" w:sz="6" w:space="0"/>
              <w:bottom w:val="single" w:color="auto" w:sz="6" w:space="0"/>
              <w:right w:val="single" w:color="auto" w:sz="6" w:space="0"/>
            </w:tcBorders>
          </w:tcPr>
          <w:p w14:paraId="675B509E">
            <w:pPr>
              <w:adjustRightInd w:val="0"/>
              <w:rPr>
                <w:rFonts w:ascii="宋体" w:hAnsi="宋体" w:cs="宋体"/>
                <w:color w:val="auto"/>
                <w:szCs w:val="21"/>
              </w:rPr>
            </w:pPr>
          </w:p>
        </w:tc>
        <w:tc>
          <w:tcPr>
            <w:tcW w:w="1942" w:type="dxa"/>
            <w:tcBorders>
              <w:top w:val="single" w:color="auto" w:sz="6" w:space="0"/>
              <w:left w:val="single" w:color="auto" w:sz="6" w:space="0"/>
              <w:bottom w:val="single" w:color="auto" w:sz="6" w:space="0"/>
              <w:right w:val="single" w:color="auto" w:sz="6" w:space="0"/>
            </w:tcBorders>
          </w:tcPr>
          <w:p w14:paraId="3498712E">
            <w:pPr>
              <w:adjustRightInd w:val="0"/>
              <w:rPr>
                <w:rFonts w:ascii="宋体" w:hAnsi="宋体" w:cs="宋体"/>
                <w:color w:val="auto"/>
                <w:szCs w:val="21"/>
              </w:rPr>
            </w:pPr>
          </w:p>
        </w:tc>
        <w:tc>
          <w:tcPr>
            <w:tcW w:w="1223" w:type="dxa"/>
            <w:tcBorders>
              <w:top w:val="single" w:color="auto" w:sz="6" w:space="0"/>
              <w:left w:val="single" w:color="auto" w:sz="6" w:space="0"/>
              <w:bottom w:val="single" w:color="auto" w:sz="6" w:space="0"/>
              <w:right w:val="single" w:color="auto" w:sz="6" w:space="0"/>
            </w:tcBorders>
          </w:tcPr>
          <w:p w14:paraId="0A15E7FA">
            <w:pPr>
              <w:adjustRightInd w:val="0"/>
              <w:rPr>
                <w:rFonts w:ascii="宋体" w:hAnsi="宋体" w:cs="宋体"/>
                <w:color w:val="auto"/>
                <w:szCs w:val="21"/>
              </w:rPr>
            </w:pPr>
          </w:p>
        </w:tc>
      </w:tr>
    </w:tbl>
    <w:p w14:paraId="1449D886">
      <w:pPr>
        <w:pStyle w:val="24"/>
        <w:ind w:firstLine="1050" w:firstLineChars="500"/>
        <w:rPr>
          <w:rFonts w:hAnsi="宋体"/>
          <w:color w:val="auto"/>
          <w:szCs w:val="21"/>
        </w:rPr>
      </w:pPr>
    </w:p>
    <w:p w14:paraId="4D9D92E2">
      <w:pPr>
        <w:pStyle w:val="24"/>
        <w:ind w:firstLine="1050" w:firstLineChars="500"/>
        <w:rPr>
          <w:rFonts w:hAnsi="宋体"/>
          <w:color w:val="auto"/>
          <w:szCs w:val="21"/>
        </w:rPr>
      </w:pPr>
    </w:p>
    <w:p w14:paraId="10441322">
      <w:pPr>
        <w:keepNext w:val="0"/>
        <w:keepLines w:val="0"/>
        <w:pageBreakBefore w:val="0"/>
        <w:widowControl/>
        <w:suppressLineNumbers w:val="0"/>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供应商名称</w:t>
      </w:r>
      <w:r>
        <w:rPr>
          <w:rFonts w:hint="eastAsia" w:ascii="仿宋_GB2312" w:hAnsi="仿宋" w:eastAsia="仿宋_GB2312" w:cs="仿宋_GB2312"/>
          <w:color w:val="auto"/>
          <w:kern w:val="0"/>
          <w:sz w:val="21"/>
          <w:szCs w:val="21"/>
          <w:highlight w:val="none"/>
        </w:rPr>
        <w:t>（电子签章）</w:t>
      </w:r>
      <w:r>
        <w:rPr>
          <w:rFonts w:hint="eastAsia" w:ascii="仿宋_GB2312" w:hAnsi="仿宋_GB2312" w:eastAsia="仿宋_GB2312" w:cs="仿宋_GB2312"/>
          <w:color w:val="auto"/>
          <w:kern w:val="0"/>
          <w:sz w:val="21"/>
          <w:szCs w:val="21"/>
          <w:lang w:val="en-US" w:eastAsia="zh-CN" w:bidi="ar"/>
        </w:rPr>
        <w:t xml:space="preserve">： </w:t>
      </w:r>
    </w:p>
    <w:p w14:paraId="5FEB8487">
      <w:pPr>
        <w:keepNext w:val="0"/>
        <w:keepLines w:val="0"/>
        <w:pageBreakBefore w:val="0"/>
        <w:tabs>
          <w:tab w:val="left" w:pos="7560"/>
        </w:tabs>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日期：</w:t>
      </w:r>
    </w:p>
    <w:p w14:paraId="7DE1E364">
      <w:pPr>
        <w:adjustRightInd w:val="0"/>
        <w:spacing w:line="300" w:lineRule="auto"/>
        <w:ind w:firstLine="443" w:firstLineChars="210"/>
        <w:rPr>
          <w:rFonts w:ascii="宋体" w:hAnsi="宋体" w:cs="宋体"/>
          <w:b/>
          <w:color w:val="auto"/>
          <w:szCs w:val="21"/>
        </w:rPr>
      </w:pPr>
    </w:p>
    <w:p w14:paraId="7705DAC0">
      <w:pPr>
        <w:pStyle w:val="24"/>
        <w:rPr>
          <w:rFonts w:hAnsi="宋体"/>
          <w:color w:val="auto"/>
          <w:szCs w:val="21"/>
        </w:rPr>
      </w:pPr>
    </w:p>
    <w:p w14:paraId="0D1FD867">
      <w:pPr>
        <w:pStyle w:val="24"/>
        <w:rPr>
          <w:rFonts w:hAnsi="宋体"/>
          <w:color w:val="auto"/>
          <w:szCs w:val="21"/>
        </w:rPr>
      </w:pPr>
    </w:p>
    <w:p w14:paraId="444BD17C">
      <w:pPr>
        <w:pStyle w:val="24"/>
        <w:rPr>
          <w:rFonts w:hAnsi="宋体"/>
          <w:color w:val="auto"/>
          <w:szCs w:val="21"/>
        </w:rPr>
      </w:pPr>
    </w:p>
    <w:p w14:paraId="7D5FFF09">
      <w:pPr>
        <w:snapToGrid w:val="0"/>
        <w:spacing w:line="400" w:lineRule="exact"/>
        <w:rPr>
          <w:rFonts w:ascii="宋体" w:hAnsi="宋体"/>
          <w:b/>
          <w:bCs/>
          <w:color w:val="auto"/>
          <w:sz w:val="32"/>
          <w:szCs w:val="32"/>
        </w:rPr>
      </w:pPr>
    </w:p>
    <w:p w14:paraId="29BB2014">
      <w:pPr>
        <w:snapToGrid w:val="0"/>
        <w:spacing w:line="400" w:lineRule="exact"/>
        <w:rPr>
          <w:rFonts w:ascii="宋体" w:hAnsi="宋体"/>
          <w:b/>
          <w:bCs/>
          <w:color w:val="auto"/>
          <w:sz w:val="32"/>
          <w:szCs w:val="32"/>
        </w:rPr>
      </w:pPr>
    </w:p>
    <w:p w14:paraId="06855D99">
      <w:pPr>
        <w:snapToGrid w:val="0"/>
        <w:spacing w:line="400" w:lineRule="exact"/>
        <w:rPr>
          <w:rFonts w:ascii="宋体" w:hAnsi="宋体"/>
          <w:b/>
          <w:bCs/>
          <w:color w:val="auto"/>
          <w:sz w:val="32"/>
          <w:szCs w:val="32"/>
        </w:rPr>
      </w:pPr>
    </w:p>
    <w:p w14:paraId="5D803B50">
      <w:pPr>
        <w:snapToGrid w:val="0"/>
        <w:spacing w:line="400" w:lineRule="exact"/>
        <w:rPr>
          <w:rFonts w:ascii="宋体" w:hAnsi="宋体"/>
          <w:b/>
          <w:bCs/>
          <w:color w:val="auto"/>
          <w:sz w:val="32"/>
          <w:szCs w:val="32"/>
        </w:rPr>
      </w:pPr>
    </w:p>
    <w:p w14:paraId="5EAEEDBB">
      <w:pPr>
        <w:snapToGrid w:val="0"/>
        <w:spacing w:line="400" w:lineRule="exact"/>
        <w:rPr>
          <w:rFonts w:ascii="宋体" w:hAnsi="宋体"/>
          <w:b/>
          <w:bCs/>
          <w:color w:val="auto"/>
          <w:sz w:val="32"/>
          <w:szCs w:val="32"/>
        </w:rPr>
      </w:pPr>
    </w:p>
    <w:p w14:paraId="4F5CC0A1">
      <w:pPr>
        <w:snapToGrid w:val="0"/>
        <w:spacing w:line="400" w:lineRule="exact"/>
        <w:rPr>
          <w:rFonts w:ascii="宋体" w:hAnsi="宋体"/>
          <w:b/>
          <w:bCs/>
          <w:color w:val="auto"/>
          <w:sz w:val="32"/>
          <w:szCs w:val="32"/>
        </w:rPr>
      </w:pPr>
    </w:p>
    <w:p w14:paraId="2ABEA132">
      <w:pPr>
        <w:snapToGrid w:val="0"/>
        <w:spacing w:line="400" w:lineRule="exact"/>
        <w:rPr>
          <w:rFonts w:ascii="宋体" w:hAnsi="宋体"/>
          <w:b/>
          <w:bCs/>
          <w:color w:val="auto"/>
          <w:sz w:val="32"/>
          <w:szCs w:val="32"/>
        </w:rPr>
      </w:pPr>
    </w:p>
    <w:p w14:paraId="05533C8C">
      <w:pPr>
        <w:snapToGrid w:val="0"/>
        <w:spacing w:line="400" w:lineRule="exact"/>
        <w:rPr>
          <w:rFonts w:ascii="宋体" w:hAnsi="宋体"/>
          <w:b/>
          <w:bCs/>
          <w:color w:val="auto"/>
          <w:sz w:val="32"/>
          <w:szCs w:val="32"/>
        </w:rPr>
      </w:pPr>
    </w:p>
    <w:p w14:paraId="5009E8F7">
      <w:pPr>
        <w:pStyle w:val="24"/>
        <w:spacing w:line="500" w:lineRule="exact"/>
        <w:rPr>
          <w:rFonts w:hAnsi="宋体"/>
          <w:b/>
          <w:color w:val="auto"/>
        </w:rPr>
      </w:pPr>
    </w:p>
    <w:p w14:paraId="3583E399">
      <w:pPr>
        <w:spacing w:line="520" w:lineRule="exact"/>
        <w:ind w:left="-10" w:firstLine="455" w:firstLineChars="217"/>
        <w:jc w:val="left"/>
        <w:rPr>
          <w:color w:val="auto"/>
        </w:rPr>
      </w:pPr>
    </w:p>
    <w:p w14:paraId="6600CE95">
      <w:pPr>
        <w:spacing w:line="520" w:lineRule="exact"/>
        <w:ind w:left="-10" w:firstLine="455" w:firstLineChars="217"/>
        <w:jc w:val="left"/>
        <w:rPr>
          <w:rFonts w:ascii="宋体" w:hAnsi="宋体"/>
          <w:color w:val="auto"/>
          <w:szCs w:val="21"/>
        </w:rPr>
      </w:pPr>
    </w:p>
    <w:p w14:paraId="5732FE86">
      <w:pPr>
        <w:spacing w:line="400" w:lineRule="exact"/>
        <w:rPr>
          <w:rFonts w:ascii="宋体" w:hAnsi="宋体"/>
          <w:color w:val="auto"/>
          <w:szCs w:val="21"/>
        </w:rPr>
      </w:pPr>
    </w:p>
    <w:p w14:paraId="70B9E196">
      <w:pPr>
        <w:jc w:val="left"/>
        <w:rPr>
          <w:rFonts w:hint="eastAsia" w:ascii="宋体" w:hAnsi="宋体"/>
          <w:b/>
          <w:color w:val="auto"/>
          <w:sz w:val="24"/>
        </w:rPr>
      </w:pPr>
    </w:p>
    <w:p w14:paraId="01F8DF5D">
      <w:pPr>
        <w:jc w:val="left"/>
        <w:rPr>
          <w:rFonts w:ascii="宋体" w:hAnsi="宋体"/>
          <w:b/>
          <w:color w:val="auto"/>
          <w:sz w:val="28"/>
          <w:szCs w:val="28"/>
        </w:rPr>
      </w:pPr>
      <w:r>
        <w:rPr>
          <w:rFonts w:hint="eastAsia" w:ascii="宋体" w:hAnsi="宋体"/>
          <w:b/>
          <w:color w:val="auto"/>
          <w:sz w:val="24"/>
        </w:rPr>
        <w:t>格式</w:t>
      </w:r>
      <w:r>
        <w:rPr>
          <w:rFonts w:hint="eastAsia" w:hAnsi="宋体"/>
          <w:b/>
          <w:color w:val="auto"/>
          <w:sz w:val="24"/>
        </w:rPr>
        <w:t>十</w:t>
      </w:r>
      <w:r>
        <w:rPr>
          <w:rFonts w:hint="eastAsia" w:hAnsi="宋体"/>
          <w:b/>
          <w:color w:val="auto"/>
          <w:sz w:val="24"/>
          <w:lang w:eastAsia="zh-CN"/>
        </w:rPr>
        <w:t>二</w:t>
      </w:r>
      <w:r>
        <w:rPr>
          <w:rFonts w:hint="eastAsia" w:ascii="宋体" w:hAnsi="宋体"/>
          <w:b/>
          <w:color w:val="auto"/>
          <w:sz w:val="24"/>
        </w:rPr>
        <w:t>：</w:t>
      </w:r>
    </w:p>
    <w:p w14:paraId="3F50D885">
      <w:pPr>
        <w:jc w:val="center"/>
        <w:rPr>
          <w:rFonts w:ascii="宋体" w:hAnsi="宋体"/>
          <w:b/>
          <w:color w:val="auto"/>
          <w:sz w:val="28"/>
          <w:szCs w:val="28"/>
        </w:rPr>
      </w:pPr>
      <w:r>
        <w:rPr>
          <w:rFonts w:hint="eastAsia" w:ascii="宋体" w:hAnsi="宋体"/>
          <w:b/>
          <w:color w:val="auto"/>
          <w:sz w:val="28"/>
          <w:szCs w:val="28"/>
        </w:rPr>
        <w:t>磋商函</w:t>
      </w:r>
    </w:p>
    <w:p w14:paraId="4FEF79D0">
      <w:pPr>
        <w:spacing w:line="440" w:lineRule="exact"/>
        <w:rPr>
          <w:rFonts w:ascii="宋体" w:hAnsi="宋体"/>
          <w:color w:val="auto"/>
          <w:u w:val="single"/>
        </w:rPr>
      </w:pPr>
      <w:r>
        <w:rPr>
          <w:rFonts w:ascii="宋体" w:hAnsi="宋体"/>
          <w:color w:val="auto"/>
        </w:rPr>
        <w:t>致：</w:t>
      </w:r>
      <w:r>
        <w:rPr>
          <w:rFonts w:hint="eastAsia" w:ascii="宋体" w:hAnsi="宋体"/>
          <w:color w:val="auto"/>
        </w:rPr>
        <w:t>（</w:t>
      </w:r>
      <w:r>
        <w:rPr>
          <w:rFonts w:hint="eastAsia" w:ascii="宋体" w:hAnsi="宋体"/>
          <w:color w:val="auto"/>
          <w:u w:val="single"/>
        </w:rPr>
        <w:t>采购人名称）</w:t>
      </w:r>
    </w:p>
    <w:p w14:paraId="385DFEA1">
      <w:pPr>
        <w:spacing w:line="440" w:lineRule="exact"/>
        <w:ind w:firstLine="488"/>
        <w:rPr>
          <w:rFonts w:ascii="宋体" w:hAnsi="宋体"/>
          <w:b/>
          <w:color w:val="auto"/>
          <w:szCs w:val="21"/>
        </w:rPr>
      </w:pPr>
      <w:r>
        <w:rPr>
          <w:rFonts w:ascii="宋体" w:hAnsi="宋体"/>
          <w:color w:val="auto"/>
        </w:rPr>
        <w:t>1</w:t>
      </w:r>
      <w:r>
        <w:rPr>
          <w:rFonts w:hint="eastAsia" w:ascii="宋体" w:hAnsi="宋体"/>
          <w:color w:val="auto"/>
        </w:rPr>
        <w:t xml:space="preserve">. </w:t>
      </w:r>
      <w:r>
        <w:rPr>
          <w:rFonts w:ascii="宋体" w:hAnsi="宋体"/>
          <w:color w:val="auto"/>
        </w:rPr>
        <w:t>根据你方项目编号为</w:t>
      </w:r>
      <w:r>
        <w:rPr>
          <w:rFonts w:ascii="宋体" w:hAnsi="宋体"/>
          <w:color w:val="auto"/>
          <w:u w:val="single"/>
        </w:rPr>
        <w:t xml:space="preserve"> {项目编号}</w:t>
      </w:r>
      <w:r>
        <w:rPr>
          <w:rFonts w:ascii="宋体" w:hAnsi="宋体"/>
          <w:color w:val="auto"/>
        </w:rPr>
        <w:t>的</w:t>
      </w:r>
      <w:r>
        <w:rPr>
          <w:rFonts w:hint="eastAsia" w:ascii="宋体" w:hAnsi="宋体"/>
          <w:color w:val="auto"/>
          <w:u w:val="single"/>
        </w:rPr>
        <w:t>（项目名称）标</w:t>
      </w:r>
      <w:r>
        <w:rPr>
          <w:rFonts w:ascii="宋体" w:hAnsi="宋体"/>
          <w:color w:val="auto"/>
        </w:rPr>
        <w:t>磋商文件，遵照</w:t>
      </w:r>
      <w:r>
        <w:rPr>
          <w:rFonts w:hint="eastAsia" w:ascii="宋体" w:hAnsi="宋体" w:cs="宋体"/>
          <w:color w:val="auto"/>
          <w:szCs w:val="21"/>
        </w:rPr>
        <w:t>《中华人民共和国政府采购法》、</w:t>
      </w:r>
      <w:r>
        <w:rPr>
          <w:rFonts w:hint="eastAsia" w:ascii="宋体" w:hAnsi="宋体" w:cs="Arial"/>
          <w:color w:val="auto"/>
          <w:szCs w:val="21"/>
        </w:rPr>
        <w:t>《中华人民共和国政府采购法实施条例》、《政府采购竞争性磋商采购方式管理暂行办法》</w:t>
      </w:r>
      <w:r>
        <w:rPr>
          <w:rFonts w:ascii="宋体" w:hAnsi="宋体" w:cs="Arial"/>
          <w:color w:val="auto"/>
          <w:szCs w:val="21"/>
        </w:rPr>
        <w:t>等</w:t>
      </w:r>
      <w:r>
        <w:rPr>
          <w:rFonts w:ascii="宋体" w:hAnsi="宋体"/>
          <w:color w:val="auto"/>
        </w:rPr>
        <w:t>有关规定，经踏勘项目现场和研究上述磋商文件的磋商须知、合同条款、图纸、工程建设标准和工程量清单及其他有关文件后，</w:t>
      </w:r>
      <w:r>
        <w:rPr>
          <w:rFonts w:ascii="宋体" w:hAnsi="宋体"/>
          <w:b/>
          <w:color w:val="auto"/>
          <w:szCs w:val="21"/>
        </w:rPr>
        <w:t>我方</w:t>
      </w:r>
      <w:r>
        <w:rPr>
          <w:rFonts w:hint="eastAsia" w:ascii="宋体" w:hAnsi="宋体"/>
          <w:b/>
          <w:color w:val="auto"/>
          <w:szCs w:val="21"/>
        </w:rPr>
        <w:t>愿以</w:t>
      </w:r>
      <w:r>
        <w:rPr>
          <w:rFonts w:ascii="宋体" w:hAnsi="宋体"/>
          <w:b/>
          <w:color w:val="auto"/>
          <w:szCs w:val="21"/>
        </w:rPr>
        <w:t>人民币(大写)元（RMB</w:t>
      </w:r>
      <w:r>
        <w:rPr>
          <w:rFonts w:ascii="宋体" w:hAnsi="宋体"/>
          <w:b/>
          <w:color w:val="auto"/>
          <w:szCs w:val="21"/>
          <w:u w:val="single"/>
        </w:rPr>
        <w:t xml:space="preserve">¥   </w:t>
      </w:r>
      <w:r>
        <w:rPr>
          <w:rFonts w:ascii="宋体" w:hAnsi="宋体"/>
          <w:b/>
          <w:color w:val="auto"/>
          <w:szCs w:val="21"/>
        </w:rPr>
        <w:t>）磋商</w:t>
      </w:r>
      <w:r>
        <w:rPr>
          <w:rFonts w:hint="eastAsia" w:ascii="宋体" w:hAnsi="宋体"/>
          <w:b/>
          <w:color w:val="auto"/>
          <w:szCs w:val="21"/>
        </w:rPr>
        <w:t>总</w:t>
      </w:r>
      <w:r>
        <w:rPr>
          <w:rFonts w:ascii="宋体" w:hAnsi="宋体"/>
          <w:b/>
          <w:color w:val="auto"/>
          <w:szCs w:val="21"/>
        </w:rPr>
        <w:t>报价</w:t>
      </w:r>
      <w:r>
        <w:rPr>
          <w:rFonts w:hint="eastAsia" w:ascii="宋体" w:hAnsi="宋体"/>
          <w:b/>
          <w:color w:val="auto"/>
          <w:szCs w:val="21"/>
        </w:rPr>
        <w:t>；</w:t>
      </w:r>
      <w:r>
        <w:rPr>
          <w:rFonts w:ascii="宋体" w:hAnsi="宋体"/>
          <w:b/>
          <w:color w:val="auto"/>
          <w:szCs w:val="21"/>
        </w:rPr>
        <w:t>并按上述图纸、合同条款、工程建设标准和工程量清单的条件要求承包上述工程的施工、竣工，并承担任何质量缺陷保修责任。</w:t>
      </w:r>
      <w:r>
        <w:rPr>
          <w:rFonts w:hint="eastAsia" w:ascii="宋体" w:hAnsi="宋体"/>
          <w:b/>
          <w:color w:val="auto"/>
          <w:szCs w:val="21"/>
        </w:rPr>
        <w:t>施工工期为</w:t>
      </w:r>
      <w:r>
        <w:rPr>
          <w:rFonts w:hint="eastAsia" w:ascii="宋体" w:hAnsi="宋体"/>
          <w:b/>
          <w:color w:val="auto"/>
          <w:szCs w:val="21"/>
          <w:u w:val="single"/>
        </w:rPr>
        <w:t xml:space="preserve">      天</w:t>
      </w:r>
      <w:r>
        <w:rPr>
          <w:rFonts w:hint="eastAsia" w:ascii="宋体" w:hAnsi="宋体"/>
          <w:b/>
          <w:color w:val="auto"/>
          <w:szCs w:val="21"/>
        </w:rPr>
        <w:t>（日历日），工程质量标准。</w:t>
      </w:r>
    </w:p>
    <w:p w14:paraId="3AE1A8CE">
      <w:pPr>
        <w:spacing w:line="440" w:lineRule="exact"/>
        <w:ind w:firstLine="442"/>
        <w:rPr>
          <w:rFonts w:ascii="宋体" w:hAnsi="宋体"/>
          <w:color w:val="auto"/>
        </w:rPr>
      </w:pPr>
      <w:r>
        <w:rPr>
          <w:rFonts w:ascii="宋体" w:hAnsi="宋体"/>
          <w:color w:val="auto"/>
        </w:rPr>
        <w:t>2</w:t>
      </w:r>
      <w:r>
        <w:rPr>
          <w:rFonts w:hint="eastAsia" w:ascii="宋体" w:hAnsi="宋体"/>
          <w:color w:val="auto"/>
        </w:rPr>
        <w:t xml:space="preserve">. </w:t>
      </w:r>
      <w:r>
        <w:rPr>
          <w:rFonts w:ascii="宋体" w:hAnsi="宋体"/>
          <w:color w:val="auto"/>
        </w:rPr>
        <w:t>我方已详细审核全部磋商文件，包括修改文件（如有时）及有关附件。</w:t>
      </w:r>
    </w:p>
    <w:p w14:paraId="5E397E48">
      <w:pPr>
        <w:spacing w:line="440" w:lineRule="exact"/>
        <w:ind w:firstLine="442"/>
        <w:rPr>
          <w:rFonts w:ascii="宋体" w:hAnsi="宋体"/>
          <w:color w:val="auto"/>
        </w:rPr>
      </w:pPr>
      <w:r>
        <w:rPr>
          <w:rFonts w:hint="eastAsia" w:ascii="宋体" w:hAnsi="宋体"/>
          <w:color w:val="auto"/>
        </w:rPr>
        <w:t xml:space="preserve">3. </w:t>
      </w:r>
      <w:r>
        <w:rPr>
          <w:rFonts w:ascii="宋体" w:hAnsi="宋体"/>
          <w:color w:val="auto"/>
        </w:rPr>
        <w:t>一旦我方成交，我方保证按合同书中规定的工期</w:t>
      </w:r>
      <w:r>
        <w:rPr>
          <w:rFonts w:ascii="宋体" w:hAnsi="宋体"/>
          <w:color w:val="auto"/>
          <w:u w:val="single"/>
        </w:rPr>
        <w:t xml:space="preserve"> {工期}  </w:t>
      </w:r>
      <w:r>
        <w:rPr>
          <w:rFonts w:ascii="宋体" w:hAnsi="宋体"/>
          <w:color w:val="auto"/>
        </w:rPr>
        <w:t>日历</w:t>
      </w:r>
      <w:r>
        <w:rPr>
          <w:rFonts w:hint="eastAsia" w:ascii="宋体" w:hAnsi="宋体"/>
          <w:color w:val="auto"/>
        </w:rPr>
        <w:t>日</w:t>
      </w:r>
      <w:r>
        <w:rPr>
          <w:rFonts w:ascii="宋体" w:hAnsi="宋体"/>
          <w:color w:val="auto"/>
        </w:rPr>
        <w:t>内完成并移交全部工程。</w:t>
      </w:r>
    </w:p>
    <w:p w14:paraId="333E0D03">
      <w:pPr>
        <w:spacing w:line="440" w:lineRule="exact"/>
        <w:ind w:firstLine="442"/>
        <w:rPr>
          <w:rFonts w:ascii="宋体" w:hAnsi="宋体"/>
          <w:color w:val="auto"/>
        </w:rPr>
      </w:pPr>
      <w:r>
        <w:rPr>
          <w:rFonts w:hint="eastAsia" w:ascii="宋体" w:hAnsi="宋体"/>
          <w:color w:val="auto"/>
        </w:rPr>
        <w:t xml:space="preserve">4. </w:t>
      </w:r>
      <w:r>
        <w:rPr>
          <w:rFonts w:ascii="宋体" w:hAnsi="宋体"/>
          <w:color w:val="auto"/>
        </w:rPr>
        <w:t>如果我方成交，我方将按照</w:t>
      </w:r>
      <w:r>
        <w:rPr>
          <w:rFonts w:hint="eastAsia" w:ascii="宋体" w:hAnsi="宋体"/>
          <w:color w:val="auto"/>
        </w:rPr>
        <w:t>磋商</w:t>
      </w:r>
      <w:r>
        <w:rPr>
          <w:rFonts w:ascii="宋体" w:hAnsi="宋体"/>
          <w:color w:val="auto"/>
        </w:rPr>
        <w:t>文件规定提交</w:t>
      </w:r>
      <w:r>
        <w:rPr>
          <w:rFonts w:hint="eastAsia" w:ascii="宋体" w:hAnsi="宋体"/>
          <w:color w:val="auto"/>
        </w:rPr>
        <w:t>履约保证金（如有）</w:t>
      </w:r>
      <w:r>
        <w:rPr>
          <w:rFonts w:ascii="宋体" w:hAnsi="宋体"/>
          <w:color w:val="auto"/>
        </w:rPr>
        <w:t>作为履约担保。</w:t>
      </w:r>
    </w:p>
    <w:p w14:paraId="76D86697">
      <w:pPr>
        <w:spacing w:line="440" w:lineRule="exact"/>
        <w:ind w:firstLine="442"/>
        <w:rPr>
          <w:rFonts w:ascii="宋体" w:hAnsi="宋体"/>
          <w:color w:val="auto"/>
        </w:rPr>
      </w:pPr>
      <w:r>
        <w:rPr>
          <w:rFonts w:hint="eastAsia" w:ascii="宋体" w:hAnsi="宋体"/>
          <w:color w:val="auto"/>
        </w:rPr>
        <w:t xml:space="preserve">5. </w:t>
      </w:r>
      <w:r>
        <w:rPr>
          <w:rFonts w:ascii="宋体" w:hAnsi="宋体"/>
          <w:color w:val="auto"/>
        </w:rPr>
        <w:t>我方同意所提交的</w:t>
      </w:r>
      <w:r>
        <w:rPr>
          <w:rFonts w:hint="eastAsia" w:ascii="宋体" w:hAnsi="宋体"/>
          <w:color w:val="auto"/>
        </w:rPr>
        <w:t>响应文件</w:t>
      </w:r>
      <w:r>
        <w:rPr>
          <w:rFonts w:ascii="宋体" w:hAnsi="宋体"/>
          <w:color w:val="auto"/>
        </w:rPr>
        <w:t>在磋商文件的磋商须知中第</w:t>
      </w:r>
      <w:r>
        <w:rPr>
          <w:rFonts w:hint="eastAsia" w:ascii="宋体" w:hAnsi="宋体"/>
          <w:color w:val="auto"/>
        </w:rPr>
        <w:t>10</w:t>
      </w:r>
      <w:r>
        <w:rPr>
          <w:rFonts w:ascii="宋体" w:hAnsi="宋体"/>
          <w:color w:val="auto"/>
        </w:rPr>
        <w:t>条规定的磋商有效期内有效，在此期间内如果成交，我方将受此约束。</w:t>
      </w:r>
    </w:p>
    <w:p w14:paraId="72EE6E89">
      <w:pPr>
        <w:spacing w:line="440" w:lineRule="exact"/>
        <w:ind w:firstLine="442"/>
        <w:rPr>
          <w:rFonts w:ascii="宋体" w:hAnsi="宋体"/>
          <w:color w:val="auto"/>
        </w:rPr>
      </w:pPr>
      <w:r>
        <w:rPr>
          <w:rFonts w:ascii="宋体" w:hAnsi="宋体"/>
          <w:color w:val="auto"/>
        </w:rPr>
        <w:t>7</w:t>
      </w:r>
      <w:r>
        <w:rPr>
          <w:rFonts w:hint="eastAsia" w:ascii="宋体" w:hAnsi="宋体"/>
          <w:color w:val="auto"/>
        </w:rPr>
        <w:t xml:space="preserve">. </w:t>
      </w:r>
      <w:r>
        <w:rPr>
          <w:rFonts w:ascii="宋体" w:hAnsi="宋体"/>
          <w:color w:val="auto"/>
        </w:rPr>
        <w:t>除非另外达成协议并生效，你方的成交通知书和本</w:t>
      </w:r>
      <w:r>
        <w:rPr>
          <w:rFonts w:hint="eastAsia" w:ascii="宋体" w:hAnsi="宋体"/>
          <w:color w:val="auto"/>
        </w:rPr>
        <w:t>响应文件</w:t>
      </w:r>
      <w:r>
        <w:rPr>
          <w:rFonts w:ascii="宋体" w:hAnsi="宋体"/>
          <w:color w:val="auto"/>
        </w:rPr>
        <w:t>将成为约束双方的合同文件的组成部分。</w:t>
      </w:r>
    </w:p>
    <w:p w14:paraId="615D53EC">
      <w:pPr>
        <w:spacing w:line="440" w:lineRule="exact"/>
        <w:ind w:firstLine="442"/>
        <w:rPr>
          <w:rFonts w:ascii="宋体" w:hAnsi="宋体"/>
          <w:color w:val="auto"/>
        </w:rPr>
      </w:pPr>
      <w:r>
        <w:rPr>
          <w:rFonts w:ascii="宋体" w:hAnsi="宋体"/>
          <w:color w:val="auto"/>
        </w:rPr>
        <w:t>8</w:t>
      </w:r>
      <w:r>
        <w:rPr>
          <w:rFonts w:hint="eastAsia" w:ascii="宋体" w:hAnsi="宋体"/>
          <w:color w:val="auto"/>
        </w:rPr>
        <w:t xml:space="preserve">. </w:t>
      </w:r>
      <w:r>
        <w:rPr>
          <w:rFonts w:ascii="宋体" w:hAnsi="宋体"/>
          <w:color w:val="auto"/>
        </w:rPr>
        <w:t>我方将与本磋商函一起，提交人民币</w:t>
      </w:r>
      <w:r>
        <w:rPr>
          <w:rFonts w:hint="eastAsia" w:ascii="宋体" w:hAnsi="宋体"/>
          <w:color w:val="auto"/>
          <w:u w:val="single"/>
        </w:rPr>
        <w:t>/</w:t>
      </w:r>
      <w:r>
        <w:rPr>
          <w:rFonts w:ascii="宋体" w:hAnsi="宋体"/>
          <w:color w:val="auto"/>
        </w:rPr>
        <w:t>元作为磋商担保。</w:t>
      </w:r>
    </w:p>
    <w:p w14:paraId="10679978">
      <w:pPr>
        <w:spacing w:line="440" w:lineRule="exact"/>
        <w:rPr>
          <w:rFonts w:ascii="宋体" w:hAnsi="宋体"/>
          <w:color w:val="auto"/>
        </w:rPr>
      </w:pPr>
    </w:p>
    <w:p w14:paraId="4F969CD4">
      <w:pPr>
        <w:spacing w:line="440" w:lineRule="exact"/>
        <w:ind w:firstLine="2100" w:firstLineChars="1000"/>
        <w:rPr>
          <w:rFonts w:ascii="宋体" w:hAnsi="宋体"/>
          <w:color w:val="auto"/>
          <w:u w:val="single"/>
        </w:rPr>
      </w:pPr>
      <w:r>
        <w:rPr>
          <w:rFonts w:hint="eastAsia" w:ascii="宋体" w:hAnsi="宋体"/>
          <w:color w:val="auto"/>
        </w:rPr>
        <w:t>供应商</w:t>
      </w:r>
      <w:r>
        <w:rPr>
          <w:rFonts w:ascii="宋体" w:hAnsi="宋体"/>
          <w:color w:val="auto"/>
        </w:rPr>
        <w:t>：</w:t>
      </w:r>
      <w:r>
        <w:rPr>
          <w:rFonts w:hint="eastAsia" w:ascii="宋体" w:hAnsi="宋体"/>
          <w:color w:val="auto"/>
          <w:u w:val="single"/>
        </w:rPr>
        <w:t>（全称）</w:t>
      </w:r>
      <w:r>
        <w:rPr>
          <w:rFonts w:ascii="宋体" w:hAnsi="宋体"/>
          <w:color w:val="auto"/>
          <w:u w:val="single"/>
        </w:rPr>
        <w:t xml:space="preserve">               （</w:t>
      </w:r>
      <w:r>
        <w:rPr>
          <w:rFonts w:hint="eastAsia" w:ascii="宋体" w:hAnsi="宋体"/>
          <w:color w:val="auto"/>
          <w:u w:val="single"/>
          <w:lang w:eastAsia="zh-CN"/>
        </w:rPr>
        <w:t>电子签章</w:t>
      </w:r>
      <w:r>
        <w:rPr>
          <w:rFonts w:ascii="宋体" w:hAnsi="宋体"/>
          <w:color w:val="auto"/>
          <w:u w:val="single"/>
        </w:rPr>
        <w:t>）</w:t>
      </w:r>
    </w:p>
    <w:p w14:paraId="08F9FFA6">
      <w:pPr>
        <w:spacing w:line="440" w:lineRule="exact"/>
        <w:ind w:left="1000"/>
        <w:rPr>
          <w:rFonts w:ascii="宋体" w:hAnsi="宋体"/>
          <w:color w:val="auto"/>
          <w:u w:val="single"/>
        </w:rPr>
      </w:pPr>
      <w:r>
        <w:rPr>
          <w:rFonts w:ascii="宋体" w:hAnsi="宋体"/>
          <w:color w:val="auto"/>
        </w:rPr>
        <w:t xml:space="preserve">         单位地址：</w:t>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p>
    <w:p w14:paraId="546040B5">
      <w:pPr>
        <w:spacing w:line="440" w:lineRule="exact"/>
        <w:ind w:left="1000"/>
        <w:rPr>
          <w:rFonts w:ascii="宋体" w:hAnsi="宋体"/>
          <w:color w:val="auto"/>
        </w:rPr>
      </w:pPr>
      <w:r>
        <w:rPr>
          <w:rFonts w:ascii="宋体" w:hAnsi="宋体"/>
          <w:color w:val="auto"/>
        </w:rPr>
        <w:t xml:space="preserve">         邮政编码：</w:t>
      </w:r>
      <w:r>
        <w:rPr>
          <w:rFonts w:ascii="宋体" w:hAnsi="宋体"/>
          <w:color w:val="auto"/>
          <w:u w:val="single"/>
        </w:rPr>
        <w:tab/>
      </w:r>
      <w:r>
        <w:rPr>
          <w:rFonts w:ascii="宋体" w:hAnsi="宋体"/>
          <w:color w:val="auto"/>
          <w:u w:val="single"/>
        </w:rPr>
        <w:tab/>
      </w:r>
      <w:r>
        <w:rPr>
          <w:rFonts w:ascii="宋体" w:hAnsi="宋体"/>
          <w:color w:val="auto"/>
        </w:rPr>
        <w:t>电话：</w:t>
      </w:r>
      <w:r>
        <w:rPr>
          <w:rFonts w:ascii="宋体" w:hAnsi="宋体"/>
          <w:color w:val="auto"/>
          <w:u w:val="single"/>
        </w:rPr>
        <w:tab/>
      </w:r>
      <w:r>
        <w:rPr>
          <w:rFonts w:ascii="宋体" w:hAnsi="宋体"/>
          <w:color w:val="auto"/>
          <w:u w:val="single"/>
        </w:rPr>
        <w:tab/>
      </w:r>
      <w:r>
        <w:rPr>
          <w:rFonts w:ascii="宋体" w:hAnsi="宋体"/>
          <w:color w:val="auto"/>
        </w:rPr>
        <w:t xml:space="preserve"> 传真：</w:t>
      </w:r>
      <w:r>
        <w:rPr>
          <w:rFonts w:ascii="宋体" w:hAnsi="宋体"/>
          <w:color w:val="auto"/>
          <w:u w:val="single"/>
        </w:rPr>
        <w:tab/>
      </w:r>
      <w:r>
        <w:rPr>
          <w:rFonts w:ascii="宋体" w:hAnsi="宋体"/>
          <w:color w:val="auto"/>
          <w:u w:val="single"/>
        </w:rPr>
        <w:tab/>
      </w:r>
    </w:p>
    <w:p w14:paraId="5EA14BB1">
      <w:pPr>
        <w:spacing w:line="440" w:lineRule="exact"/>
        <w:ind w:left="1000"/>
        <w:rPr>
          <w:rFonts w:ascii="宋体" w:hAnsi="宋体"/>
          <w:color w:val="auto"/>
        </w:rPr>
      </w:pPr>
      <w:r>
        <w:rPr>
          <w:rFonts w:ascii="宋体" w:hAnsi="宋体"/>
          <w:color w:val="auto"/>
        </w:rPr>
        <w:t xml:space="preserve">         开户银行名称：</w:t>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p>
    <w:p w14:paraId="18B18628">
      <w:pPr>
        <w:spacing w:line="440" w:lineRule="exact"/>
        <w:ind w:left="1000"/>
        <w:rPr>
          <w:rFonts w:ascii="宋体" w:hAnsi="宋体"/>
          <w:color w:val="auto"/>
        </w:rPr>
      </w:pPr>
      <w:r>
        <w:rPr>
          <w:rFonts w:ascii="宋体" w:hAnsi="宋体"/>
          <w:color w:val="auto"/>
        </w:rPr>
        <w:t xml:space="preserve">         开户银行账号：</w:t>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p>
    <w:p w14:paraId="0AC50034">
      <w:pPr>
        <w:spacing w:line="440" w:lineRule="exact"/>
        <w:ind w:left="1000"/>
        <w:rPr>
          <w:rFonts w:ascii="宋体" w:hAnsi="宋体"/>
          <w:color w:val="auto"/>
        </w:rPr>
      </w:pPr>
      <w:r>
        <w:rPr>
          <w:rFonts w:ascii="宋体" w:hAnsi="宋体"/>
          <w:color w:val="auto"/>
        </w:rPr>
        <w:t xml:space="preserve">         开户银行地址：</w:t>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p>
    <w:p w14:paraId="74B23F99">
      <w:pPr>
        <w:spacing w:line="440" w:lineRule="exact"/>
        <w:ind w:left="1000"/>
        <w:rPr>
          <w:rFonts w:ascii="宋体" w:hAnsi="宋体"/>
          <w:color w:val="auto"/>
        </w:rPr>
      </w:pPr>
      <w:r>
        <w:rPr>
          <w:rFonts w:ascii="宋体" w:hAnsi="宋体"/>
          <w:color w:val="auto"/>
        </w:rPr>
        <w:t xml:space="preserve">         开户银行电话：</w:t>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p>
    <w:p w14:paraId="02ADB5F5">
      <w:pPr>
        <w:spacing w:line="440" w:lineRule="exact"/>
        <w:ind w:firstLine="1890" w:firstLineChars="900"/>
        <w:rPr>
          <w:rFonts w:ascii="宋体" w:hAnsi="宋体"/>
          <w:color w:val="auto"/>
          <w:szCs w:val="21"/>
        </w:rPr>
      </w:pPr>
      <w:r>
        <w:rPr>
          <w:rFonts w:ascii="宋体" w:hAnsi="宋体"/>
          <w:color w:val="auto"/>
        </w:rPr>
        <w:t>日期：_____年____月___日</w:t>
      </w:r>
    </w:p>
    <w:p w14:paraId="6E476F54">
      <w:pPr>
        <w:tabs>
          <w:tab w:val="left" w:pos="0"/>
        </w:tabs>
        <w:spacing w:after="50" w:line="400" w:lineRule="exact"/>
        <w:rPr>
          <w:rFonts w:ascii="宋体" w:hAnsi="宋体"/>
          <w:b/>
          <w:bCs/>
          <w:color w:val="auto"/>
          <w:sz w:val="24"/>
        </w:rPr>
      </w:pPr>
    </w:p>
    <w:p w14:paraId="2A5820FD">
      <w:pPr>
        <w:pStyle w:val="24"/>
        <w:rPr>
          <w:rFonts w:hAnsi="宋体"/>
          <w:color w:val="auto"/>
          <w:szCs w:val="21"/>
        </w:rPr>
      </w:pPr>
      <w:r>
        <w:rPr>
          <w:rFonts w:hAnsi="宋体"/>
          <w:b/>
          <w:bCs/>
          <w:color w:val="auto"/>
          <w:sz w:val="24"/>
        </w:rPr>
        <w:br w:type="page"/>
      </w:r>
    </w:p>
    <w:p w14:paraId="079683BE">
      <w:pPr>
        <w:rPr>
          <w:rFonts w:hint="eastAsia" w:ascii="宋体" w:hAnsi="宋体" w:cs="宋体"/>
          <w:color w:val="auto"/>
          <w:szCs w:val="21"/>
        </w:rPr>
      </w:pPr>
    </w:p>
    <w:p w14:paraId="7EC64FEA">
      <w:pPr>
        <w:widowControl/>
        <w:spacing w:line="720" w:lineRule="exact"/>
        <w:jc w:val="left"/>
        <w:rPr>
          <w:rFonts w:ascii="黑体" w:hAnsi="黑体" w:eastAsia="黑体" w:cs="黑体"/>
          <w:color w:val="auto"/>
          <w:sz w:val="32"/>
          <w:szCs w:val="32"/>
        </w:rPr>
      </w:pPr>
      <w:r>
        <w:rPr>
          <w:rFonts w:hint="eastAsia" w:ascii="黑体" w:hAnsi="黑体" w:eastAsia="黑体" w:cs="黑体"/>
          <w:color w:val="auto"/>
          <w:sz w:val="32"/>
          <w:szCs w:val="32"/>
          <w:lang w:val="zh-CN"/>
        </w:rPr>
        <w:t>附件</w:t>
      </w:r>
      <w:r>
        <w:rPr>
          <w:rFonts w:hint="eastAsia" w:ascii="黑体" w:hAnsi="黑体" w:eastAsia="黑体" w:cs="黑体"/>
          <w:color w:val="auto"/>
          <w:sz w:val="32"/>
          <w:szCs w:val="32"/>
        </w:rPr>
        <w:t>2</w:t>
      </w:r>
    </w:p>
    <w:p w14:paraId="1331567B">
      <w:pPr>
        <w:suppressAutoHyphens/>
        <w:rPr>
          <w:rFonts w:ascii="Calibri" w:hAnsi="Calibri"/>
          <w:color w:val="auto"/>
        </w:rPr>
      </w:pPr>
    </w:p>
    <w:p w14:paraId="671B2E1D">
      <w:pPr>
        <w:spacing w:line="580" w:lineRule="exact"/>
        <w:jc w:val="center"/>
        <w:rPr>
          <w:rFonts w:ascii="方正小标宋_GBK" w:hAnsi="宋体" w:eastAsia="方正小标宋_GBK"/>
          <w:color w:val="auto"/>
          <w:sz w:val="44"/>
          <w:szCs w:val="44"/>
        </w:rPr>
      </w:pPr>
      <w:r>
        <w:rPr>
          <w:rFonts w:hint="eastAsia" w:ascii="方正小标宋_GBK" w:hAnsi="宋体" w:eastAsia="方正小标宋_GBK"/>
          <w:color w:val="auto"/>
          <w:sz w:val="44"/>
          <w:szCs w:val="44"/>
        </w:rPr>
        <w:t>崇左市线上“政采贷”政策告知函</w:t>
      </w:r>
    </w:p>
    <w:p w14:paraId="4399D05A">
      <w:pPr>
        <w:spacing w:line="580" w:lineRule="exact"/>
        <w:ind w:firstLine="640" w:firstLineChars="200"/>
        <w:rPr>
          <w:rFonts w:ascii="宋体" w:hAnsi="宋体" w:eastAsia="华文仿宋"/>
          <w:color w:val="auto"/>
          <w:sz w:val="32"/>
          <w:szCs w:val="32"/>
        </w:rPr>
      </w:pPr>
    </w:p>
    <w:p w14:paraId="332B06B7">
      <w:pPr>
        <w:spacing w:line="58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各供应商：</w:t>
      </w:r>
    </w:p>
    <w:p w14:paraId="43BCFA4D">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欢迎贵公司参与崇左市政府采购活动！</w:t>
      </w:r>
    </w:p>
    <w:p w14:paraId="360B204C">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0B3BD0ED">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相关金融产品和银行业金融机构联系方式，可在中征应收账款融资服务平台查询（网址：</w:t>
      </w:r>
      <w:r>
        <w:rPr>
          <w:color w:val="auto"/>
        </w:rPr>
        <w:fldChar w:fldCharType="begin"/>
      </w:r>
      <w:r>
        <w:rPr>
          <w:color w:val="auto"/>
        </w:rPr>
        <w:instrText xml:space="preserve"> HYPERLINK "https://www.crcrfsp.com/" </w:instrText>
      </w:r>
      <w:r>
        <w:rPr>
          <w:color w:val="auto"/>
        </w:rPr>
        <w:fldChar w:fldCharType="separate"/>
      </w:r>
      <w:r>
        <w:rPr>
          <w:rFonts w:hint="eastAsia" w:ascii="仿宋_GB2312" w:hAnsi="仿宋_GB2312" w:eastAsia="仿宋_GB2312" w:cs="仿宋_GB2312"/>
          <w:color w:val="auto"/>
          <w:sz w:val="32"/>
          <w:u w:val="single"/>
        </w:rPr>
        <w:t>https://www.crcrfsp.com/</w:t>
      </w:r>
      <w:r>
        <w:rPr>
          <w:rFonts w:hint="eastAsia" w:ascii="仿宋_GB2312" w:hAnsi="仿宋_GB2312" w:eastAsia="仿宋_GB2312" w:cs="仿宋_GB2312"/>
          <w:color w:val="auto"/>
          <w:sz w:val="32"/>
          <w:u w:val="single"/>
        </w:rPr>
        <w:fldChar w:fldCharType="end"/>
      </w:r>
      <w:r>
        <w:rPr>
          <w:rFonts w:hint="eastAsia" w:ascii="仿宋_GB2312" w:hAnsi="仿宋_GB2312" w:eastAsia="仿宋_GB2312" w:cs="仿宋_GB2312"/>
          <w:color w:val="auto"/>
          <w:sz w:val="32"/>
          <w:szCs w:val="32"/>
        </w:rPr>
        <w:t>，客服电话：400-009-0001）。</w:t>
      </w:r>
    </w:p>
    <w:p w14:paraId="3544FF91">
      <w:pPr>
        <w:suppressAutoHyphens/>
        <w:rPr>
          <w:rFonts w:ascii="仿宋_GB2312" w:hAnsi="仿宋_GB2312" w:eastAsia="仿宋_GB2312" w:cs="仿宋_GB2312"/>
          <w:color w:val="auto"/>
          <w:szCs w:val="32"/>
        </w:rPr>
      </w:pPr>
    </w:p>
    <w:p w14:paraId="73496D2D">
      <w:pPr>
        <w:rPr>
          <w:rFonts w:ascii="仿宋_GB2312" w:hAnsi="仿宋_GB2312" w:eastAsia="华文仿宋" w:cs="仿宋_GB2312"/>
          <w:color w:val="auto"/>
          <w:sz w:val="32"/>
          <w:szCs w:val="32"/>
        </w:rPr>
      </w:pPr>
    </w:p>
    <w:p w14:paraId="0852AFB2">
      <w:pPr>
        <w:suppressAutoHyphens/>
        <w:rPr>
          <w:rFonts w:ascii="仿宋_GB2312" w:hAnsi="仿宋_GB2312" w:cs="仿宋_GB2312"/>
          <w:color w:val="auto"/>
          <w:szCs w:val="32"/>
        </w:rPr>
      </w:pPr>
    </w:p>
    <w:p w14:paraId="062A677E">
      <w:pPr>
        <w:rPr>
          <w:rFonts w:ascii="仿宋_GB2312" w:hAnsi="仿宋_GB2312" w:eastAsia="华文仿宋" w:cs="仿宋_GB2312"/>
          <w:color w:val="auto"/>
          <w:sz w:val="32"/>
          <w:szCs w:val="32"/>
        </w:rPr>
      </w:pPr>
    </w:p>
    <w:p w14:paraId="0C9267BC">
      <w:pPr>
        <w:rPr>
          <w:rFonts w:ascii="仿宋_GB2312" w:hAnsi="仿宋_GB2312" w:eastAsia="华文仿宋" w:cs="仿宋_GB2312"/>
          <w:color w:val="auto"/>
          <w:sz w:val="32"/>
          <w:szCs w:val="32"/>
        </w:rPr>
      </w:pPr>
    </w:p>
    <w:p w14:paraId="3EE4624C">
      <w:pPr>
        <w:suppressAutoHyphens/>
        <w:rPr>
          <w:rFonts w:ascii="仿宋_GB2312" w:hAnsi="仿宋_GB2312" w:cs="仿宋_GB2312"/>
          <w:color w:val="auto"/>
          <w:szCs w:val="32"/>
        </w:rPr>
      </w:pPr>
    </w:p>
    <w:p w14:paraId="5B89A106">
      <w:pPr>
        <w:spacing w:line="540" w:lineRule="exact"/>
        <w:rPr>
          <w:rFonts w:ascii="黑体" w:hAnsi="黑体" w:eastAsia="黑体" w:cs="黑体"/>
          <w:color w:val="auto"/>
          <w:sz w:val="32"/>
          <w:szCs w:val="32"/>
        </w:rPr>
      </w:pPr>
    </w:p>
    <w:p w14:paraId="357E0FC4">
      <w:pPr>
        <w:spacing w:line="540" w:lineRule="exact"/>
        <w:rPr>
          <w:rFonts w:ascii="黑体" w:hAnsi="黑体" w:eastAsia="黑体" w:cs="黑体"/>
          <w:color w:val="auto"/>
          <w:sz w:val="32"/>
          <w:szCs w:val="32"/>
        </w:rPr>
      </w:pPr>
    </w:p>
    <w:p w14:paraId="4877E320">
      <w:pPr>
        <w:widowControl/>
        <w:jc w:val="left"/>
        <w:rPr>
          <w:rFonts w:ascii="黑体" w:hAnsi="黑体" w:eastAsia="黑体" w:cs="黑体"/>
          <w:color w:val="auto"/>
          <w:sz w:val="32"/>
          <w:szCs w:val="32"/>
        </w:rPr>
      </w:pPr>
      <w:r>
        <w:rPr>
          <w:rFonts w:ascii="黑体" w:hAnsi="黑体" w:eastAsia="黑体" w:cs="黑体"/>
          <w:color w:val="auto"/>
          <w:sz w:val="32"/>
          <w:szCs w:val="32"/>
        </w:rPr>
        <w:br w:type="page"/>
      </w:r>
    </w:p>
    <w:p w14:paraId="7DC08162">
      <w:pPr>
        <w:spacing w:line="540" w:lineRule="exact"/>
        <w:rPr>
          <w:rFonts w:ascii="黑体" w:hAnsi="黑体" w:eastAsia="黑体" w:cs="黑体"/>
          <w:color w:val="auto"/>
          <w:sz w:val="32"/>
          <w:szCs w:val="32"/>
        </w:rPr>
      </w:pPr>
      <w:r>
        <w:rPr>
          <w:rFonts w:hint="eastAsia" w:ascii="黑体" w:hAnsi="黑体" w:eastAsia="黑体" w:cs="黑体"/>
          <w:color w:val="auto"/>
          <w:sz w:val="32"/>
          <w:szCs w:val="32"/>
        </w:rPr>
        <w:t>附件3</w:t>
      </w:r>
    </w:p>
    <w:p w14:paraId="6B797B0F">
      <w:pPr>
        <w:suppressAutoHyphens/>
        <w:rPr>
          <w:rFonts w:ascii="Calibri" w:hAnsi="Calibri"/>
          <w:color w:val="auto"/>
        </w:rPr>
      </w:pPr>
    </w:p>
    <w:p w14:paraId="20D69D0A">
      <w:pPr>
        <w:spacing w:line="600" w:lineRule="exact"/>
        <w:jc w:val="center"/>
        <w:rPr>
          <w:rFonts w:ascii="黑体" w:hAnsi="黑体" w:eastAsia="黑体" w:cs="黑体"/>
          <w:color w:val="auto"/>
          <w:sz w:val="44"/>
          <w:szCs w:val="44"/>
        </w:rPr>
      </w:pPr>
      <w:r>
        <w:rPr>
          <w:rFonts w:hint="eastAsia" w:ascii="方正小标宋_GBK" w:hAnsi="宋体" w:eastAsia="方正小标宋_GBK"/>
          <w:color w:val="auto"/>
          <w:sz w:val="44"/>
          <w:szCs w:val="44"/>
        </w:rPr>
        <w:t>崇左市线上“政采贷”业务流程图</w:t>
      </w:r>
    </w:p>
    <w:p w14:paraId="2A5EBCC4">
      <w:pPr>
        <w:rPr>
          <w:rFonts w:ascii="宋体" w:hAnsi="宋体" w:eastAsia="华文仿宋"/>
          <w:color w:val="auto"/>
          <w:sz w:val="32"/>
          <w:szCs w:val="32"/>
        </w:rPr>
      </w:pPr>
      <w:r>
        <w:rPr>
          <w:rFonts w:hint="eastAsia" w:ascii="宋体" w:hAnsi="宋体" w:eastAsia="仿宋_GB2312"/>
          <w:color w:val="auto"/>
          <w:sz w:val="32"/>
          <w:szCs w:val="32"/>
        </w:rPr>
        <w:drawing>
          <wp:inline distT="0" distB="0" distL="0" distR="0">
            <wp:extent cx="4930140" cy="7002780"/>
            <wp:effectExtent l="0" t="0" r="7620" b="7620"/>
            <wp:docPr id="6" name="图片 3"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流程图1011"/>
                    <pic:cNvPicPr>
                      <a:picLocks noChangeAspect="1" noChangeArrowheads="1"/>
                    </pic:cNvPicPr>
                  </pic:nvPicPr>
                  <pic:blipFill>
                    <a:blip r:embed="rId10" cstate="print"/>
                    <a:srcRect/>
                    <a:stretch>
                      <a:fillRect/>
                    </a:stretch>
                  </pic:blipFill>
                  <pic:spPr>
                    <a:xfrm>
                      <a:off x="0" y="0"/>
                      <a:ext cx="4930140" cy="7002780"/>
                    </a:xfrm>
                    <a:prstGeom prst="rect">
                      <a:avLst/>
                    </a:prstGeom>
                    <a:noFill/>
                    <a:ln w="9525">
                      <a:noFill/>
                      <a:miter lim="800000"/>
                      <a:headEnd/>
                      <a:tailEnd/>
                    </a:ln>
                  </pic:spPr>
                </pic:pic>
              </a:graphicData>
            </a:graphic>
          </wp:inline>
        </w:drawing>
      </w:r>
    </w:p>
    <w:p w14:paraId="194877CF">
      <w:pPr>
        <w:widowControl/>
        <w:ind w:firstLine="640" w:firstLineChars="200"/>
        <w:rPr>
          <w:rFonts w:ascii="宋体" w:hAnsi="宋体" w:eastAsia="华文仿宋"/>
          <w:color w:val="auto"/>
          <w:sz w:val="32"/>
          <w:szCs w:val="32"/>
        </w:rPr>
      </w:pPr>
    </w:p>
    <w:p w14:paraId="7E70331C">
      <w:pPr>
        <w:widowControl/>
        <w:jc w:val="left"/>
        <w:rPr>
          <w:rFonts w:ascii="黑体" w:hAnsi="黑体" w:eastAsia="黑体" w:cs="黑体"/>
          <w:color w:val="auto"/>
          <w:sz w:val="32"/>
          <w:szCs w:val="32"/>
          <w:lang w:val="zh-CN"/>
        </w:rPr>
      </w:pPr>
      <w:r>
        <w:rPr>
          <w:rFonts w:ascii="黑体" w:hAnsi="黑体" w:eastAsia="黑体" w:cs="黑体"/>
          <w:color w:val="auto"/>
          <w:sz w:val="32"/>
          <w:szCs w:val="32"/>
          <w:lang w:val="zh-CN"/>
        </w:rPr>
        <w:br w:type="page"/>
      </w:r>
    </w:p>
    <w:p w14:paraId="0E5AA68E">
      <w:pPr>
        <w:widowControl/>
        <w:spacing w:line="720" w:lineRule="exact"/>
        <w:jc w:val="left"/>
        <w:rPr>
          <w:rFonts w:ascii="黑体" w:hAnsi="黑体" w:eastAsia="黑体" w:cs="黑体"/>
          <w:color w:val="auto"/>
          <w:sz w:val="32"/>
          <w:szCs w:val="32"/>
        </w:rPr>
      </w:pPr>
      <w:r>
        <w:rPr>
          <w:rFonts w:hint="eastAsia" w:ascii="黑体" w:hAnsi="黑体" w:eastAsia="黑体" w:cs="黑体"/>
          <w:color w:val="auto"/>
          <w:sz w:val="32"/>
          <w:szCs w:val="32"/>
          <w:lang w:val="zh-CN"/>
        </w:rPr>
        <w:t>附件</w:t>
      </w:r>
      <w:r>
        <w:rPr>
          <w:rFonts w:hint="eastAsia" w:ascii="黑体" w:hAnsi="黑体" w:eastAsia="黑体" w:cs="黑体"/>
          <w:color w:val="auto"/>
          <w:sz w:val="32"/>
          <w:szCs w:val="32"/>
        </w:rPr>
        <w:t>4</w:t>
      </w:r>
    </w:p>
    <w:p w14:paraId="599B41D3">
      <w:pPr>
        <w:suppressAutoHyphens/>
        <w:rPr>
          <w:rFonts w:ascii="Calibri" w:hAnsi="Calibri"/>
          <w:color w:val="auto"/>
        </w:rPr>
      </w:pPr>
    </w:p>
    <w:p w14:paraId="7300EE4A">
      <w:pPr>
        <w:suppressAutoHyphens/>
        <w:ind w:left="424" w:leftChars="202"/>
        <w:jc w:val="center"/>
        <w:rPr>
          <w:rFonts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36"/>
          <w:szCs w:val="36"/>
        </w:rPr>
        <w:t>崇左市金融机构线上“政采贷”业务办理联络表</w:t>
      </w:r>
    </w:p>
    <w:tbl>
      <w:tblPr>
        <w:tblStyle w:val="45"/>
        <w:tblW w:w="8314" w:type="dxa"/>
        <w:tblInd w:w="96" w:type="dxa"/>
        <w:tblLayout w:type="fixed"/>
        <w:tblCellMar>
          <w:top w:w="0" w:type="dxa"/>
          <w:left w:w="108" w:type="dxa"/>
          <w:bottom w:w="0" w:type="dxa"/>
          <w:right w:w="108" w:type="dxa"/>
        </w:tblCellMar>
      </w:tblPr>
      <w:tblGrid>
        <w:gridCol w:w="2674"/>
        <w:gridCol w:w="3515"/>
        <w:gridCol w:w="2125"/>
      </w:tblGrid>
      <w:tr w14:paraId="4770320D">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7CF92246">
            <w:pPr>
              <w:widowControl/>
              <w:spacing w:line="400" w:lineRule="exact"/>
              <w:jc w:val="center"/>
              <w:textAlignment w:val="center"/>
              <w:rPr>
                <w:rFonts w:ascii="宋体" w:hAnsi="宋体" w:cs="宋体"/>
                <w:b/>
                <w:bCs/>
                <w:color w:val="auto"/>
                <w:sz w:val="28"/>
                <w:szCs w:val="28"/>
              </w:rPr>
            </w:pPr>
            <w:r>
              <w:rPr>
                <w:rFonts w:hint="eastAsia" w:ascii="宋体" w:hAnsi="宋体" w:cs="宋体"/>
                <w:b/>
                <w:bCs/>
                <w:color w:val="auto"/>
                <w:kern w:val="0"/>
                <w:sz w:val="28"/>
                <w:szCs w:val="28"/>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4DA233CC">
            <w:pPr>
              <w:widowControl/>
              <w:spacing w:line="400" w:lineRule="exact"/>
              <w:jc w:val="center"/>
              <w:textAlignment w:val="center"/>
              <w:rPr>
                <w:rFonts w:ascii="宋体" w:hAnsi="宋体" w:cs="宋体"/>
                <w:b/>
                <w:bCs/>
                <w:color w:val="auto"/>
                <w:sz w:val="28"/>
                <w:szCs w:val="28"/>
              </w:rPr>
            </w:pPr>
            <w:r>
              <w:rPr>
                <w:rFonts w:hint="eastAsia" w:ascii="宋体" w:hAnsi="宋体" w:cs="宋体"/>
                <w:b/>
                <w:bCs/>
                <w:color w:val="auto"/>
                <w:kern w:val="0"/>
                <w:sz w:val="28"/>
                <w:szCs w:val="28"/>
              </w:rPr>
              <w:t>地址</w:t>
            </w:r>
          </w:p>
        </w:tc>
        <w:tc>
          <w:tcPr>
            <w:tcW w:w="2125" w:type="dxa"/>
            <w:tcBorders>
              <w:top w:val="single" w:color="000000" w:sz="4" w:space="0"/>
              <w:left w:val="single" w:color="000000" w:sz="4" w:space="0"/>
              <w:bottom w:val="single" w:color="000000" w:sz="4" w:space="0"/>
              <w:right w:val="single" w:color="000000" w:sz="4" w:space="0"/>
            </w:tcBorders>
            <w:vAlign w:val="center"/>
          </w:tcPr>
          <w:p w14:paraId="53873FE7">
            <w:pPr>
              <w:widowControl/>
              <w:spacing w:line="400" w:lineRule="exact"/>
              <w:jc w:val="center"/>
              <w:textAlignment w:val="center"/>
              <w:rPr>
                <w:rFonts w:ascii="宋体" w:hAnsi="宋体" w:cs="宋体"/>
                <w:b/>
                <w:bCs/>
                <w:color w:val="auto"/>
                <w:sz w:val="28"/>
                <w:szCs w:val="28"/>
              </w:rPr>
            </w:pPr>
            <w:r>
              <w:rPr>
                <w:rFonts w:hint="eastAsia" w:ascii="宋体" w:hAnsi="宋体" w:cs="宋体"/>
                <w:b/>
                <w:bCs/>
                <w:color w:val="auto"/>
                <w:kern w:val="0"/>
                <w:sz w:val="28"/>
                <w:szCs w:val="28"/>
              </w:rPr>
              <w:t>业务咨询电话</w:t>
            </w:r>
          </w:p>
        </w:tc>
      </w:tr>
      <w:tr w14:paraId="2FD50DA5">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CEFE386">
            <w:pPr>
              <w:widowControl/>
              <w:jc w:val="left"/>
              <w:textAlignment w:val="center"/>
              <w:rPr>
                <w:rFonts w:ascii="宋体" w:hAnsi="宋体" w:cs="宋体"/>
                <w:color w:val="auto"/>
                <w:szCs w:val="21"/>
              </w:rPr>
            </w:pPr>
            <w:r>
              <w:rPr>
                <w:rFonts w:hint="eastAsia" w:ascii="宋体" w:hAnsi="宋体" w:cs="宋体"/>
                <w:b/>
                <w:bCs/>
                <w:color w:val="auto"/>
                <w:szCs w:val="21"/>
              </w:rPr>
              <w:t>崇左市本级及江州区</w:t>
            </w:r>
          </w:p>
        </w:tc>
      </w:tr>
      <w:tr w14:paraId="4EDE3FC0">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9EB270">
            <w:pPr>
              <w:widowControl/>
              <w:jc w:val="left"/>
              <w:textAlignment w:val="center"/>
              <w:rPr>
                <w:rFonts w:ascii="宋体" w:hAnsi="宋体" w:cs="宋体"/>
                <w:color w:val="auto"/>
                <w:szCs w:val="21"/>
              </w:rPr>
            </w:pPr>
            <w:r>
              <w:rPr>
                <w:rFonts w:hint="eastAsia" w:ascii="宋体" w:hAnsi="宋体" w:cs="宋体"/>
                <w:color w:val="auto"/>
                <w:szCs w:val="21"/>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B9F705B">
            <w:pPr>
              <w:widowControl/>
              <w:jc w:val="left"/>
              <w:textAlignment w:val="center"/>
              <w:rPr>
                <w:rFonts w:ascii="宋体" w:hAnsi="宋体" w:cs="宋体"/>
                <w:color w:val="auto"/>
                <w:szCs w:val="21"/>
              </w:rPr>
            </w:pPr>
            <w:r>
              <w:rPr>
                <w:rFonts w:hint="eastAsia" w:ascii="宋体" w:hAnsi="宋体" w:cs="宋体"/>
                <w:color w:val="auto"/>
                <w:szCs w:val="21"/>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2F918F36">
            <w:pPr>
              <w:widowControl/>
              <w:jc w:val="center"/>
              <w:textAlignment w:val="center"/>
              <w:rPr>
                <w:rFonts w:ascii="宋体" w:hAnsi="宋体" w:cs="宋体"/>
                <w:color w:val="auto"/>
                <w:szCs w:val="21"/>
              </w:rPr>
            </w:pPr>
            <w:r>
              <w:rPr>
                <w:rFonts w:hint="eastAsia" w:ascii="宋体" w:hAnsi="宋体" w:cs="宋体"/>
                <w:color w:val="auto"/>
                <w:szCs w:val="21"/>
              </w:rPr>
              <w:t>0771-7820436 0771-7820439</w:t>
            </w:r>
          </w:p>
        </w:tc>
      </w:tr>
      <w:tr w14:paraId="4357C0A0">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204B8B">
            <w:pPr>
              <w:widowControl/>
              <w:jc w:val="left"/>
              <w:textAlignment w:val="center"/>
              <w:rPr>
                <w:rFonts w:ascii="宋体" w:hAnsi="宋体" w:cs="宋体"/>
                <w:color w:val="auto"/>
                <w:szCs w:val="21"/>
              </w:rPr>
            </w:pPr>
            <w:r>
              <w:rPr>
                <w:rFonts w:hint="eastAsia" w:ascii="宋体" w:hAnsi="宋体" w:cs="宋体"/>
                <w:color w:val="auto"/>
                <w:szCs w:val="21"/>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CBBE00F">
            <w:pPr>
              <w:widowControl/>
              <w:jc w:val="left"/>
              <w:textAlignment w:val="center"/>
              <w:rPr>
                <w:rFonts w:ascii="宋体" w:hAnsi="宋体" w:cs="宋体"/>
                <w:color w:val="auto"/>
                <w:szCs w:val="21"/>
              </w:rPr>
            </w:pPr>
            <w:r>
              <w:rPr>
                <w:rFonts w:hint="eastAsia" w:ascii="宋体" w:hAnsi="宋体" w:cs="宋体"/>
                <w:color w:val="auto"/>
                <w:szCs w:val="21"/>
              </w:rPr>
              <w:t>江州区友谊大道26号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DF87DA2">
            <w:pPr>
              <w:widowControl/>
              <w:jc w:val="center"/>
              <w:textAlignment w:val="center"/>
              <w:rPr>
                <w:rFonts w:ascii="宋体" w:hAnsi="宋体" w:cs="宋体"/>
                <w:color w:val="auto"/>
                <w:szCs w:val="21"/>
              </w:rPr>
            </w:pPr>
            <w:r>
              <w:rPr>
                <w:rFonts w:hint="eastAsia" w:ascii="宋体" w:hAnsi="宋体" w:cs="宋体"/>
                <w:color w:val="auto"/>
                <w:szCs w:val="21"/>
              </w:rPr>
              <w:t>0771-7917212</w:t>
            </w:r>
          </w:p>
        </w:tc>
      </w:tr>
      <w:tr w14:paraId="156CF24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23742B">
            <w:pPr>
              <w:widowControl/>
              <w:jc w:val="left"/>
              <w:textAlignment w:val="center"/>
              <w:rPr>
                <w:rFonts w:ascii="宋体" w:hAnsi="宋体" w:cs="宋体"/>
                <w:color w:val="auto"/>
                <w:szCs w:val="21"/>
              </w:rPr>
            </w:pPr>
            <w:r>
              <w:rPr>
                <w:rFonts w:hint="eastAsia" w:ascii="宋体" w:hAnsi="宋体" w:cs="宋体"/>
                <w:color w:val="auto"/>
                <w:szCs w:val="21"/>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6AB481F">
            <w:pPr>
              <w:widowControl/>
              <w:jc w:val="left"/>
              <w:textAlignment w:val="center"/>
              <w:rPr>
                <w:rFonts w:ascii="宋体" w:hAnsi="宋体" w:cs="宋体"/>
                <w:color w:val="auto"/>
                <w:szCs w:val="21"/>
              </w:rPr>
            </w:pPr>
            <w:r>
              <w:rPr>
                <w:rFonts w:hint="eastAsia" w:ascii="宋体" w:hAnsi="宋体" w:cs="宋体"/>
                <w:color w:val="auto"/>
                <w:szCs w:val="21"/>
              </w:rPr>
              <w:t>江州区江南路48号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B72D2F2">
            <w:pPr>
              <w:widowControl/>
              <w:jc w:val="center"/>
              <w:textAlignment w:val="center"/>
              <w:rPr>
                <w:rFonts w:ascii="宋体" w:hAnsi="宋体" w:cs="宋体"/>
                <w:color w:val="auto"/>
                <w:szCs w:val="21"/>
              </w:rPr>
            </w:pPr>
            <w:r>
              <w:rPr>
                <w:rFonts w:hint="eastAsia" w:ascii="宋体" w:hAnsi="宋体" w:cs="宋体"/>
                <w:color w:val="auto"/>
                <w:szCs w:val="21"/>
              </w:rPr>
              <w:t>0771-7917054</w:t>
            </w:r>
          </w:p>
        </w:tc>
      </w:tr>
      <w:tr w14:paraId="4F216C4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AEACE6">
            <w:pPr>
              <w:widowControl/>
              <w:jc w:val="left"/>
              <w:textAlignment w:val="center"/>
              <w:rPr>
                <w:rFonts w:ascii="宋体" w:hAnsi="宋体" w:cs="宋体"/>
                <w:color w:val="auto"/>
                <w:szCs w:val="21"/>
              </w:rPr>
            </w:pPr>
            <w:r>
              <w:rPr>
                <w:rFonts w:hint="eastAsia" w:ascii="宋体" w:hAnsi="宋体" w:cs="宋体"/>
                <w:color w:val="auto"/>
                <w:szCs w:val="21"/>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007BE11">
            <w:pPr>
              <w:widowControl/>
              <w:jc w:val="left"/>
              <w:textAlignment w:val="center"/>
              <w:rPr>
                <w:rFonts w:ascii="宋体" w:hAnsi="宋体" w:cs="宋体"/>
                <w:color w:val="auto"/>
                <w:szCs w:val="21"/>
              </w:rPr>
            </w:pPr>
            <w:r>
              <w:rPr>
                <w:rFonts w:hint="eastAsia" w:ascii="宋体" w:hAnsi="宋体" w:cs="宋体"/>
                <w:color w:val="auto"/>
                <w:szCs w:val="21"/>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vAlign w:val="center"/>
          </w:tcPr>
          <w:p w14:paraId="5B4356D6">
            <w:pPr>
              <w:widowControl/>
              <w:jc w:val="center"/>
              <w:textAlignment w:val="center"/>
              <w:rPr>
                <w:rFonts w:ascii="宋体" w:hAnsi="宋体" w:cs="宋体"/>
                <w:color w:val="auto"/>
                <w:szCs w:val="21"/>
              </w:rPr>
            </w:pPr>
            <w:r>
              <w:rPr>
                <w:rFonts w:hint="eastAsia" w:ascii="宋体" w:hAnsi="宋体" w:cs="宋体"/>
                <w:color w:val="auto"/>
                <w:szCs w:val="21"/>
              </w:rPr>
              <w:t>0771-7831103</w:t>
            </w:r>
          </w:p>
        </w:tc>
      </w:tr>
      <w:tr w14:paraId="1577DA3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84041D">
            <w:pPr>
              <w:widowControl/>
              <w:jc w:val="left"/>
              <w:textAlignment w:val="center"/>
              <w:rPr>
                <w:rFonts w:ascii="宋体" w:hAnsi="宋体" w:cs="宋体"/>
                <w:color w:val="auto"/>
                <w:szCs w:val="21"/>
              </w:rPr>
            </w:pPr>
            <w:r>
              <w:rPr>
                <w:rFonts w:hint="eastAsia" w:ascii="宋体" w:hAnsi="宋体" w:cs="宋体"/>
                <w:color w:val="auto"/>
                <w:szCs w:val="21"/>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C2F505A">
            <w:pPr>
              <w:widowControl/>
              <w:jc w:val="left"/>
              <w:textAlignment w:val="center"/>
              <w:rPr>
                <w:rFonts w:ascii="宋体" w:hAnsi="宋体" w:cs="宋体"/>
                <w:color w:val="auto"/>
                <w:szCs w:val="21"/>
              </w:rPr>
            </w:pPr>
            <w:r>
              <w:rPr>
                <w:rFonts w:hint="eastAsia" w:ascii="宋体" w:hAnsi="宋体" w:cs="宋体"/>
                <w:color w:val="auto"/>
                <w:szCs w:val="21"/>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4DE42F84">
            <w:pPr>
              <w:widowControl/>
              <w:jc w:val="center"/>
              <w:textAlignment w:val="center"/>
              <w:rPr>
                <w:rFonts w:ascii="宋体" w:hAnsi="宋体" w:cs="宋体"/>
                <w:color w:val="auto"/>
                <w:szCs w:val="21"/>
              </w:rPr>
            </w:pPr>
            <w:r>
              <w:rPr>
                <w:rFonts w:hint="eastAsia" w:ascii="宋体" w:hAnsi="宋体" w:cs="宋体"/>
                <w:color w:val="auto"/>
                <w:szCs w:val="21"/>
              </w:rPr>
              <w:t>0771-7928650 0771-7920613</w:t>
            </w:r>
          </w:p>
        </w:tc>
      </w:tr>
      <w:tr w14:paraId="5683383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5C0D1">
            <w:pPr>
              <w:widowControl/>
              <w:jc w:val="left"/>
              <w:textAlignment w:val="center"/>
              <w:rPr>
                <w:rFonts w:ascii="宋体" w:hAnsi="宋体" w:cs="宋体"/>
                <w:color w:val="auto"/>
                <w:szCs w:val="21"/>
              </w:rPr>
            </w:pPr>
            <w:r>
              <w:rPr>
                <w:rFonts w:hint="eastAsia" w:ascii="宋体" w:hAnsi="宋体" w:cs="宋体"/>
                <w:color w:val="auto"/>
                <w:szCs w:val="21"/>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F1833B9">
            <w:pPr>
              <w:widowControl/>
              <w:jc w:val="left"/>
              <w:textAlignment w:val="center"/>
              <w:rPr>
                <w:rFonts w:ascii="宋体" w:hAnsi="宋体" w:cs="宋体"/>
                <w:color w:val="auto"/>
                <w:szCs w:val="21"/>
              </w:rPr>
            </w:pPr>
            <w:r>
              <w:rPr>
                <w:rFonts w:hint="eastAsia" w:ascii="宋体" w:hAnsi="宋体" w:cs="宋体"/>
                <w:color w:val="auto"/>
                <w:szCs w:val="21"/>
              </w:rPr>
              <w:t>崇左市城西路109号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C7386DF">
            <w:pPr>
              <w:widowControl/>
              <w:jc w:val="center"/>
              <w:textAlignment w:val="center"/>
              <w:rPr>
                <w:rFonts w:ascii="宋体" w:hAnsi="宋体" w:cs="宋体"/>
                <w:color w:val="auto"/>
                <w:szCs w:val="21"/>
              </w:rPr>
            </w:pPr>
            <w:r>
              <w:rPr>
                <w:rFonts w:hint="eastAsia" w:ascii="宋体" w:hAnsi="宋体" w:cs="宋体"/>
                <w:color w:val="auto"/>
                <w:szCs w:val="21"/>
              </w:rPr>
              <w:t>0771-7925660</w:t>
            </w:r>
          </w:p>
        </w:tc>
      </w:tr>
      <w:tr w14:paraId="7BB3A826">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5E2ED0">
            <w:pPr>
              <w:widowControl/>
              <w:jc w:val="left"/>
              <w:textAlignment w:val="center"/>
              <w:rPr>
                <w:rFonts w:ascii="宋体" w:hAnsi="宋体" w:cs="宋体"/>
                <w:color w:val="auto"/>
                <w:szCs w:val="21"/>
              </w:rPr>
            </w:pPr>
            <w:r>
              <w:rPr>
                <w:rFonts w:hint="eastAsia" w:ascii="宋体" w:hAnsi="宋体" w:cs="宋体"/>
                <w:color w:val="auto"/>
                <w:szCs w:val="21"/>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192437F">
            <w:pPr>
              <w:widowControl/>
              <w:jc w:val="left"/>
              <w:textAlignment w:val="center"/>
              <w:rPr>
                <w:rFonts w:ascii="宋体" w:hAnsi="宋体" w:cs="宋体"/>
                <w:color w:val="auto"/>
                <w:szCs w:val="21"/>
              </w:rPr>
            </w:pPr>
            <w:r>
              <w:rPr>
                <w:rFonts w:hint="eastAsia" w:ascii="宋体" w:hAnsi="宋体" w:cs="宋体"/>
                <w:color w:val="auto"/>
                <w:szCs w:val="21"/>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3D0414B0">
            <w:pPr>
              <w:widowControl/>
              <w:jc w:val="center"/>
              <w:textAlignment w:val="center"/>
              <w:rPr>
                <w:rFonts w:ascii="宋体" w:hAnsi="宋体" w:cs="宋体"/>
                <w:color w:val="auto"/>
                <w:szCs w:val="21"/>
              </w:rPr>
            </w:pPr>
            <w:r>
              <w:rPr>
                <w:rFonts w:hint="eastAsia" w:ascii="宋体" w:hAnsi="宋体" w:cs="宋体"/>
                <w:color w:val="auto"/>
                <w:szCs w:val="21"/>
              </w:rPr>
              <w:t>0771-7968699</w:t>
            </w:r>
          </w:p>
        </w:tc>
      </w:tr>
      <w:tr w14:paraId="1B796A5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CE02E3">
            <w:pPr>
              <w:widowControl/>
              <w:jc w:val="left"/>
              <w:textAlignment w:val="center"/>
              <w:rPr>
                <w:rFonts w:ascii="宋体" w:hAnsi="宋体" w:cs="宋体"/>
                <w:color w:val="auto"/>
                <w:szCs w:val="21"/>
              </w:rPr>
            </w:pPr>
            <w:r>
              <w:rPr>
                <w:rFonts w:hint="eastAsia" w:ascii="宋体" w:hAnsi="宋体" w:cs="宋体"/>
                <w:color w:val="auto"/>
                <w:szCs w:val="21"/>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C9E960C">
            <w:pPr>
              <w:widowControl/>
              <w:jc w:val="left"/>
              <w:textAlignment w:val="center"/>
              <w:rPr>
                <w:rFonts w:ascii="宋体" w:hAnsi="宋体" w:cs="宋体"/>
                <w:color w:val="auto"/>
                <w:szCs w:val="21"/>
              </w:rPr>
            </w:pPr>
            <w:r>
              <w:rPr>
                <w:rFonts w:hint="eastAsia" w:ascii="宋体" w:hAnsi="宋体" w:cs="宋体"/>
                <w:color w:val="auto"/>
                <w:szCs w:val="21"/>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vAlign w:val="center"/>
          </w:tcPr>
          <w:p w14:paraId="08865EC9">
            <w:pPr>
              <w:widowControl/>
              <w:jc w:val="center"/>
              <w:textAlignment w:val="center"/>
              <w:rPr>
                <w:rFonts w:ascii="宋体" w:hAnsi="宋体" w:cs="宋体"/>
                <w:color w:val="auto"/>
                <w:szCs w:val="21"/>
              </w:rPr>
            </w:pPr>
            <w:r>
              <w:rPr>
                <w:rFonts w:hint="eastAsia" w:ascii="宋体" w:hAnsi="宋体" w:cs="宋体"/>
                <w:color w:val="auto"/>
                <w:szCs w:val="21"/>
              </w:rPr>
              <w:t>0771-7916636</w:t>
            </w:r>
          </w:p>
        </w:tc>
      </w:tr>
      <w:tr w14:paraId="47CC795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D673CD">
            <w:pPr>
              <w:widowControl/>
              <w:jc w:val="left"/>
              <w:textAlignment w:val="center"/>
              <w:rPr>
                <w:rFonts w:ascii="宋体" w:hAnsi="宋体" w:cs="宋体"/>
                <w:color w:val="auto"/>
                <w:szCs w:val="21"/>
              </w:rPr>
            </w:pPr>
            <w:r>
              <w:rPr>
                <w:rFonts w:hint="eastAsia" w:ascii="宋体" w:hAnsi="宋体" w:cs="宋体"/>
                <w:color w:val="auto"/>
                <w:szCs w:val="21"/>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7E1DD43">
            <w:pPr>
              <w:widowControl/>
              <w:jc w:val="left"/>
              <w:textAlignment w:val="center"/>
              <w:rPr>
                <w:rFonts w:ascii="宋体" w:hAnsi="宋体" w:cs="宋体"/>
                <w:color w:val="auto"/>
                <w:szCs w:val="21"/>
              </w:rPr>
            </w:pPr>
            <w:r>
              <w:rPr>
                <w:rFonts w:hint="eastAsia" w:ascii="宋体" w:hAnsi="宋体" w:cs="宋体"/>
                <w:color w:val="auto"/>
                <w:szCs w:val="21"/>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5BDF7040">
            <w:pPr>
              <w:widowControl/>
              <w:jc w:val="center"/>
              <w:textAlignment w:val="center"/>
              <w:rPr>
                <w:rFonts w:ascii="宋体" w:hAnsi="宋体" w:cs="宋体"/>
                <w:color w:val="auto"/>
                <w:szCs w:val="21"/>
              </w:rPr>
            </w:pPr>
            <w:r>
              <w:rPr>
                <w:rFonts w:hint="eastAsia" w:ascii="宋体" w:hAnsi="宋体" w:cs="宋体"/>
                <w:color w:val="auto"/>
                <w:szCs w:val="21"/>
              </w:rPr>
              <w:t>0771-7988895</w:t>
            </w:r>
          </w:p>
        </w:tc>
      </w:tr>
      <w:tr w14:paraId="5BB25E9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FAA513">
            <w:pPr>
              <w:widowControl/>
              <w:jc w:val="left"/>
              <w:textAlignment w:val="center"/>
              <w:rPr>
                <w:rFonts w:ascii="宋体" w:hAnsi="宋体" w:cs="宋体"/>
                <w:color w:val="auto"/>
                <w:szCs w:val="21"/>
              </w:rPr>
            </w:pPr>
            <w:r>
              <w:rPr>
                <w:rFonts w:hint="eastAsia" w:ascii="宋体" w:hAnsi="宋体" w:cs="宋体"/>
                <w:color w:val="auto"/>
                <w:szCs w:val="21"/>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EED77A">
            <w:pPr>
              <w:widowControl/>
              <w:jc w:val="left"/>
              <w:textAlignment w:val="center"/>
              <w:rPr>
                <w:rFonts w:ascii="宋体" w:hAnsi="宋体" w:cs="宋体"/>
                <w:color w:val="auto"/>
                <w:szCs w:val="21"/>
              </w:rPr>
            </w:pPr>
            <w:r>
              <w:rPr>
                <w:rFonts w:hint="eastAsia" w:ascii="宋体" w:hAnsi="宋体" w:cs="宋体"/>
                <w:color w:val="auto"/>
                <w:szCs w:val="21"/>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1D8ABB0B">
            <w:pPr>
              <w:widowControl/>
              <w:jc w:val="center"/>
              <w:textAlignment w:val="center"/>
              <w:rPr>
                <w:rFonts w:ascii="宋体" w:hAnsi="宋体" w:cs="宋体"/>
                <w:color w:val="auto"/>
                <w:szCs w:val="21"/>
              </w:rPr>
            </w:pPr>
            <w:r>
              <w:rPr>
                <w:rFonts w:hint="eastAsia" w:ascii="宋体" w:hAnsi="宋体" w:cs="宋体"/>
                <w:color w:val="auto"/>
                <w:szCs w:val="21"/>
              </w:rPr>
              <w:t>0771-7960855</w:t>
            </w:r>
          </w:p>
        </w:tc>
      </w:tr>
      <w:tr w14:paraId="28866AAF">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3FE6D8">
            <w:pPr>
              <w:widowControl/>
              <w:jc w:val="left"/>
              <w:textAlignment w:val="center"/>
              <w:rPr>
                <w:rFonts w:ascii="宋体" w:hAnsi="宋体" w:cs="宋体"/>
                <w:color w:val="auto"/>
                <w:szCs w:val="21"/>
              </w:rPr>
            </w:pPr>
            <w:r>
              <w:rPr>
                <w:rFonts w:hint="eastAsia" w:ascii="宋体" w:hAnsi="宋体" w:cs="宋体"/>
                <w:color w:val="auto"/>
                <w:szCs w:val="21"/>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12FDC7C">
            <w:pPr>
              <w:widowControl/>
              <w:jc w:val="left"/>
              <w:textAlignment w:val="center"/>
              <w:rPr>
                <w:rFonts w:ascii="宋体" w:hAnsi="宋体" w:cs="宋体"/>
                <w:color w:val="auto"/>
                <w:szCs w:val="21"/>
              </w:rPr>
            </w:pPr>
            <w:r>
              <w:rPr>
                <w:rFonts w:hint="eastAsia" w:ascii="宋体" w:hAnsi="宋体" w:cs="宋体"/>
                <w:color w:val="auto"/>
                <w:szCs w:val="21"/>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16943BBA">
            <w:pPr>
              <w:widowControl/>
              <w:jc w:val="center"/>
              <w:textAlignment w:val="center"/>
              <w:rPr>
                <w:rFonts w:ascii="宋体" w:hAnsi="宋体" w:cs="宋体"/>
                <w:color w:val="auto"/>
                <w:szCs w:val="21"/>
              </w:rPr>
            </w:pPr>
            <w:r>
              <w:rPr>
                <w:rFonts w:hint="eastAsia" w:ascii="宋体" w:hAnsi="宋体" w:cs="宋体"/>
                <w:color w:val="auto"/>
                <w:szCs w:val="21"/>
              </w:rPr>
              <w:t>0771-7821126</w:t>
            </w:r>
          </w:p>
        </w:tc>
      </w:tr>
      <w:tr w14:paraId="6A23B3E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DF7A45">
            <w:pPr>
              <w:widowControl/>
              <w:jc w:val="left"/>
              <w:textAlignment w:val="center"/>
              <w:rPr>
                <w:rFonts w:ascii="宋体" w:hAnsi="宋体" w:cs="宋体"/>
                <w:color w:val="auto"/>
                <w:szCs w:val="21"/>
              </w:rPr>
            </w:pPr>
            <w:r>
              <w:rPr>
                <w:rFonts w:hint="eastAsia" w:ascii="宋体" w:hAnsi="宋体" w:cs="宋体"/>
                <w:color w:val="auto"/>
                <w:szCs w:val="21"/>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0B1ADC9">
            <w:pPr>
              <w:widowControl/>
              <w:jc w:val="left"/>
              <w:textAlignment w:val="center"/>
              <w:rPr>
                <w:rFonts w:ascii="宋体" w:hAnsi="宋体" w:cs="宋体"/>
                <w:color w:val="auto"/>
                <w:szCs w:val="21"/>
              </w:rPr>
            </w:pPr>
            <w:r>
              <w:rPr>
                <w:rFonts w:hint="eastAsia" w:ascii="宋体" w:hAnsi="宋体" w:cs="宋体"/>
                <w:color w:val="auto"/>
                <w:szCs w:val="21"/>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4704F428">
            <w:pPr>
              <w:widowControl/>
              <w:jc w:val="center"/>
              <w:textAlignment w:val="center"/>
              <w:rPr>
                <w:rFonts w:ascii="宋体" w:hAnsi="宋体" w:cs="宋体"/>
                <w:color w:val="auto"/>
                <w:szCs w:val="21"/>
              </w:rPr>
            </w:pPr>
            <w:r>
              <w:rPr>
                <w:rFonts w:hint="eastAsia" w:ascii="宋体" w:hAnsi="宋体" w:cs="宋体"/>
                <w:color w:val="auto"/>
                <w:szCs w:val="21"/>
              </w:rPr>
              <w:t>0771-7831866</w:t>
            </w:r>
          </w:p>
        </w:tc>
      </w:tr>
      <w:tr w14:paraId="393C91BC">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46058261">
            <w:pPr>
              <w:widowControl/>
              <w:jc w:val="left"/>
              <w:textAlignment w:val="center"/>
              <w:rPr>
                <w:rFonts w:ascii="宋体" w:hAnsi="宋体" w:cs="宋体"/>
                <w:color w:val="auto"/>
                <w:szCs w:val="21"/>
              </w:rPr>
            </w:pPr>
            <w:r>
              <w:rPr>
                <w:rFonts w:hint="eastAsia" w:ascii="宋体" w:hAnsi="宋体" w:cs="宋体"/>
                <w:b/>
                <w:bCs/>
                <w:color w:val="auto"/>
                <w:szCs w:val="21"/>
              </w:rPr>
              <w:t>扶绥县</w:t>
            </w:r>
          </w:p>
        </w:tc>
      </w:tr>
      <w:tr w14:paraId="5D934AAB">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2619FE">
            <w:pPr>
              <w:widowControl/>
              <w:jc w:val="left"/>
              <w:textAlignment w:val="center"/>
              <w:rPr>
                <w:rFonts w:ascii="宋体" w:hAnsi="宋体" w:cs="宋体"/>
                <w:color w:val="auto"/>
                <w:szCs w:val="21"/>
              </w:rPr>
            </w:pPr>
            <w:r>
              <w:rPr>
                <w:rFonts w:hint="eastAsia" w:ascii="宋体" w:hAnsi="宋体" w:cs="宋体"/>
                <w:color w:val="auto"/>
                <w:szCs w:val="21"/>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5656C88">
            <w:pPr>
              <w:widowControl/>
              <w:jc w:val="left"/>
              <w:textAlignment w:val="center"/>
              <w:rPr>
                <w:rFonts w:ascii="宋体" w:hAnsi="宋体" w:cs="宋体"/>
                <w:color w:val="auto"/>
                <w:szCs w:val="21"/>
              </w:rPr>
            </w:pPr>
            <w:r>
              <w:rPr>
                <w:rFonts w:hint="eastAsia" w:ascii="宋体" w:hAnsi="宋体" w:cs="宋体"/>
                <w:color w:val="auto"/>
                <w:szCs w:val="21"/>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46CF805">
            <w:pPr>
              <w:widowControl/>
              <w:jc w:val="center"/>
              <w:textAlignment w:val="center"/>
              <w:rPr>
                <w:rFonts w:ascii="宋体" w:hAnsi="宋体" w:cs="宋体"/>
                <w:color w:val="auto"/>
                <w:szCs w:val="21"/>
              </w:rPr>
            </w:pPr>
            <w:r>
              <w:rPr>
                <w:rFonts w:hint="eastAsia" w:ascii="宋体" w:hAnsi="宋体" w:cs="宋体"/>
                <w:color w:val="auto"/>
                <w:szCs w:val="21"/>
              </w:rPr>
              <w:t>0771-7535612</w:t>
            </w:r>
          </w:p>
        </w:tc>
      </w:tr>
      <w:tr w14:paraId="7BC41505">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63E658">
            <w:pPr>
              <w:widowControl/>
              <w:jc w:val="left"/>
              <w:textAlignment w:val="center"/>
              <w:rPr>
                <w:rFonts w:ascii="宋体" w:hAnsi="宋体" w:cs="宋体"/>
                <w:color w:val="auto"/>
                <w:szCs w:val="21"/>
              </w:rPr>
            </w:pPr>
            <w:r>
              <w:rPr>
                <w:rFonts w:hint="eastAsia" w:ascii="宋体" w:hAnsi="宋体" w:cs="宋体"/>
                <w:color w:val="auto"/>
                <w:szCs w:val="21"/>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F10A267">
            <w:pPr>
              <w:widowControl/>
              <w:jc w:val="left"/>
              <w:textAlignment w:val="center"/>
              <w:rPr>
                <w:rFonts w:ascii="宋体" w:hAnsi="宋体" w:cs="宋体"/>
                <w:color w:val="auto"/>
                <w:szCs w:val="21"/>
              </w:rPr>
            </w:pPr>
            <w:r>
              <w:rPr>
                <w:rFonts w:hint="eastAsia" w:ascii="宋体" w:hAnsi="宋体" w:cs="宋体"/>
                <w:color w:val="auto"/>
                <w:szCs w:val="21"/>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D317733">
            <w:pPr>
              <w:widowControl/>
              <w:jc w:val="center"/>
              <w:textAlignment w:val="center"/>
              <w:rPr>
                <w:rFonts w:ascii="宋体" w:hAnsi="宋体" w:cs="宋体"/>
                <w:color w:val="auto"/>
                <w:szCs w:val="21"/>
              </w:rPr>
            </w:pPr>
            <w:r>
              <w:rPr>
                <w:rFonts w:hint="eastAsia" w:ascii="宋体" w:hAnsi="宋体" w:cs="宋体"/>
                <w:color w:val="auto"/>
                <w:szCs w:val="21"/>
              </w:rPr>
              <w:t>0771-7917330</w:t>
            </w:r>
          </w:p>
        </w:tc>
      </w:tr>
      <w:tr w14:paraId="49C02B3C">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BEBA65">
            <w:pPr>
              <w:widowControl/>
              <w:jc w:val="left"/>
              <w:textAlignment w:val="center"/>
              <w:rPr>
                <w:rFonts w:ascii="宋体" w:hAnsi="宋体" w:cs="宋体"/>
                <w:color w:val="auto"/>
                <w:szCs w:val="21"/>
              </w:rPr>
            </w:pPr>
            <w:r>
              <w:rPr>
                <w:rFonts w:hint="eastAsia" w:ascii="宋体" w:hAnsi="宋体" w:cs="宋体"/>
                <w:color w:val="auto"/>
                <w:szCs w:val="21"/>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A5145E3">
            <w:pPr>
              <w:widowControl/>
              <w:jc w:val="left"/>
              <w:textAlignment w:val="center"/>
              <w:rPr>
                <w:rFonts w:ascii="宋体" w:hAnsi="宋体" w:cs="宋体"/>
                <w:color w:val="auto"/>
                <w:szCs w:val="21"/>
              </w:rPr>
            </w:pPr>
            <w:r>
              <w:rPr>
                <w:rFonts w:hint="eastAsia" w:ascii="宋体" w:hAnsi="宋体" w:cs="宋体"/>
                <w:color w:val="auto"/>
                <w:szCs w:val="21"/>
              </w:rPr>
              <w:t>扶绥县南密路6号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B17A055">
            <w:pPr>
              <w:widowControl/>
              <w:jc w:val="center"/>
              <w:textAlignment w:val="center"/>
              <w:rPr>
                <w:rFonts w:ascii="宋体" w:hAnsi="宋体" w:cs="宋体"/>
                <w:color w:val="auto"/>
                <w:szCs w:val="21"/>
              </w:rPr>
            </w:pPr>
            <w:r>
              <w:rPr>
                <w:rFonts w:hint="eastAsia" w:ascii="宋体" w:hAnsi="宋体" w:cs="宋体"/>
                <w:color w:val="auto"/>
                <w:szCs w:val="21"/>
              </w:rPr>
              <w:t>0771-7516511 0771-7531157</w:t>
            </w:r>
          </w:p>
        </w:tc>
      </w:tr>
      <w:tr w14:paraId="0880C19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2A031F">
            <w:pPr>
              <w:widowControl/>
              <w:jc w:val="left"/>
              <w:textAlignment w:val="center"/>
              <w:rPr>
                <w:rFonts w:ascii="宋体" w:hAnsi="宋体" w:cs="宋体"/>
                <w:color w:val="auto"/>
                <w:szCs w:val="21"/>
              </w:rPr>
            </w:pPr>
            <w:r>
              <w:rPr>
                <w:rFonts w:hint="eastAsia" w:ascii="宋体" w:hAnsi="宋体" w:cs="宋体"/>
                <w:color w:val="auto"/>
                <w:szCs w:val="21"/>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1F5D7DB">
            <w:pPr>
              <w:widowControl/>
              <w:jc w:val="left"/>
              <w:textAlignment w:val="center"/>
              <w:rPr>
                <w:rFonts w:ascii="宋体" w:hAnsi="宋体" w:cs="宋体"/>
                <w:color w:val="auto"/>
                <w:szCs w:val="21"/>
              </w:rPr>
            </w:pPr>
            <w:r>
              <w:rPr>
                <w:rFonts w:hint="eastAsia" w:ascii="宋体" w:hAnsi="宋体" w:cs="宋体"/>
                <w:color w:val="auto"/>
                <w:szCs w:val="21"/>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vAlign w:val="center"/>
          </w:tcPr>
          <w:p w14:paraId="4347F708">
            <w:pPr>
              <w:widowControl/>
              <w:jc w:val="center"/>
              <w:textAlignment w:val="center"/>
              <w:rPr>
                <w:rFonts w:ascii="宋体" w:hAnsi="宋体" w:cs="宋体"/>
                <w:color w:val="auto"/>
                <w:szCs w:val="21"/>
              </w:rPr>
            </w:pPr>
            <w:r>
              <w:rPr>
                <w:rFonts w:hint="eastAsia" w:ascii="宋体" w:hAnsi="宋体" w:cs="宋体"/>
                <w:color w:val="auto"/>
                <w:szCs w:val="21"/>
              </w:rPr>
              <w:t>0771-7525822</w:t>
            </w:r>
          </w:p>
        </w:tc>
      </w:tr>
      <w:tr w14:paraId="208EC44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03AD9D">
            <w:pPr>
              <w:widowControl/>
              <w:jc w:val="left"/>
              <w:textAlignment w:val="center"/>
              <w:rPr>
                <w:rFonts w:ascii="宋体" w:hAnsi="宋体" w:cs="宋体"/>
                <w:color w:val="auto"/>
                <w:szCs w:val="21"/>
              </w:rPr>
            </w:pPr>
            <w:r>
              <w:rPr>
                <w:rFonts w:hint="eastAsia" w:ascii="宋体" w:hAnsi="宋体" w:cs="宋体"/>
                <w:color w:val="auto"/>
                <w:szCs w:val="21"/>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07C14E8">
            <w:pPr>
              <w:widowControl/>
              <w:jc w:val="left"/>
              <w:textAlignment w:val="center"/>
              <w:rPr>
                <w:rFonts w:ascii="宋体" w:hAnsi="宋体" w:cs="宋体"/>
                <w:color w:val="auto"/>
                <w:szCs w:val="21"/>
              </w:rPr>
            </w:pPr>
            <w:r>
              <w:rPr>
                <w:rFonts w:hint="eastAsia" w:ascii="宋体" w:hAnsi="宋体" w:cs="宋体"/>
                <w:color w:val="auto"/>
                <w:szCs w:val="21"/>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10D85940">
            <w:pPr>
              <w:widowControl/>
              <w:jc w:val="center"/>
              <w:textAlignment w:val="center"/>
              <w:rPr>
                <w:rFonts w:ascii="宋体" w:hAnsi="宋体" w:cs="宋体"/>
                <w:color w:val="auto"/>
                <w:szCs w:val="21"/>
              </w:rPr>
            </w:pPr>
            <w:r>
              <w:rPr>
                <w:rFonts w:hint="eastAsia" w:ascii="宋体" w:hAnsi="宋体" w:cs="宋体"/>
                <w:color w:val="auto"/>
                <w:szCs w:val="21"/>
              </w:rPr>
              <w:t>0771-5025887</w:t>
            </w:r>
          </w:p>
        </w:tc>
      </w:tr>
      <w:tr w14:paraId="7F048FE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47592A">
            <w:pPr>
              <w:widowControl/>
              <w:jc w:val="left"/>
              <w:textAlignment w:val="center"/>
              <w:rPr>
                <w:rFonts w:ascii="宋体" w:hAnsi="宋体" w:cs="宋体"/>
                <w:color w:val="auto"/>
                <w:szCs w:val="21"/>
              </w:rPr>
            </w:pPr>
            <w:r>
              <w:rPr>
                <w:rFonts w:hint="eastAsia" w:ascii="宋体" w:hAnsi="宋体" w:cs="宋体"/>
                <w:color w:val="auto"/>
                <w:szCs w:val="21"/>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827BF8E">
            <w:pPr>
              <w:widowControl/>
              <w:jc w:val="left"/>
              <w:textAlignment w:val="center"/>
              <w:rPr>
                <w:rFonts w:ascii="宋体" w:hAnsi="宋体" w:cs="宋体"/>
                <w:color w:val="auto"/>
                <w:szCs w:val="21"/>
              </w:rPr>
            </w:pPr>
            <w:r>
              <w:rPr>
                <w:rFonts w:hint="eastAsia" w:ascii="宋体" w:hAnsi="宋体" w:cs="宋体"/>
                <w:color w:val="auto"/>
                <w:szCs w:val="21"/>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9E13BF6">
            <w:pPr>
              <w:widowControl/>
              <w:jc w:val="center"/>
              <w:textAlignment w:val="center"/>
              <w:rPr>
                <w:rFonts w:ascii="宋体" w:hAnsi="宋体" w:cs="宋体"/>
                <w:color w:val="auto"/>
                <w:szCs w:val="21"/>
              </w:rPr>
            </w:pPr>
            <w:r>
              <w:rPr>
                <w:rFonts w:hint="eastAsia" w:ascii="宋体" w:hAnsi="宋体" w:cs="宋体"/>
                <w:color w:val="auto"/>
                <w:szCs w:val="21"/>
              </w:rPr>
              <w:t>0771-7533041</w:t>
            </w:r>
          </w:p>
        </w:tc>
      </w:tr>
      <w:tr w14:paraId="23484792">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FC6CCA">
            <w:pPr>
              <w:widowControl/>
              <w:jc w:val="left"/>
              <w:textAlignment w:val="center"/>
              <w:rPr>
                <w:rFonts w:ascii="宋体" w:hAnsi="宋体" w:cs="宋体"/>
                <w:color w:val="auto"/>
                <w:szCs w:val="21"/>
              </w:rPr>
            </w:pPr>
            <w:r>
              <w:rPr>
                <w:rFonts w:hint="eastAsia" w:ascii="宋体" w:hAnsi="宋体" w:cs="宋体"/>
                <w:color w:val="auto"/>
                <w:szCs w:val="21"/>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6F3F283">
            <w:pPr>
              <w:widowControl/>
              <w:jc w:val="left"/>
              <w:textAlignment w:val="center"/>
              <w:rPr>
                <w:rFonts w:ascii="宋体" w:hAnsi="宋体" w:cs="宋体"/>
                <w:color w:val="auto"/>
                <w:szCs w:val="21"/>
              </w:rPr>
            </w:pPr>
            <w:r>
              <w:rPr>
                <w:rFonts w:hint="eastAsia" w:ascii="宋体" w:hAnsi="宋体" w:cs="宋体"/>
                <w:color w:val="auto"/>
                <w:szCs w:val="21"/>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146A586C">
            <w:pPr>
              <w:widowControl/>
              <w:jc w:val="center"/>
              <w:textAlignment w:val="center"/>
              <w:rPr>
                <w:rFonts w:ascii="宋体" w:hAnsi="宋体" w:cs="宋体"/>
                <w:color w:val="auto"/>
                <w:szCs w:val="21"/>
              </w:rPr>
            </w:pPr>
            <w:r>
              <w:rPr>
                <w:rFonts w:hint="eastAsia" w:ascii="宋体" w:hAnsi="宋体" w:cs="宋体"/>
                <w:color w:val="auto"/>
                <w:szCs w:val="21"/>
              </w:rPr>
              <w:t>0771-7536178 0771-7536177</w:t>
            </w:r>
          </w:p>
        </w:tc>
      </w:tr>
      <w:tr w14:paraId="0B0FAC4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3BB035">
            <w:pPr>
              <w:widowControl/>
              <w:jc w:val="left"/>
              <w:textAlignment w:val="center"/>
              <w:rPr>
                <w:rFonts w:ascii="宋体" w:hAnsi="宋体" w:cs="宋体"/>
                <w:color w:val="auto"/>
                <w:szCs w:val="21"/>
              </w:rPr>
            </w:pPr>
            <w:r>
              <w:rPr>
                <w:rFonts w:hint="eastAsia" w:ascii="宋体" w:hAnsi="宋体" w:cs="宋体"/>
                <w:color w:val="auto"/>
                <w:szCs w:val="21"/>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50E7CF8">
            <w:pPr>
              <w:widowControl/>
              <w:jc w:val="left"/>
              <w:textAlignment w:val="center"/>
              <w:rPr>
                <w:rFonts w:ascii="宋体" w:hAnsi="宋体" w:cs="宋体"/>
                <w:color w:val="auto"/>
                <w:szCs w:val="21"/>
              </w:rPr>
            </w:pPr>
            <w:r>
              <w:rPr>
                <w:rFonts w:hint="eastAsia" w:ascii="宋体" w:hAnsi="宋体" w:cs="宋体"/>
                <w:color w:val="auto"/>
                <w:szCs w:val="21"/>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0FFC3972">
            <w:pPr>
              <w:widowControl/>
              <w:jc w:val="center"/>
              <w:textAlignment w:val="center"/>
              <w:rPr>
                <w:rFonts w:ascii="宋体" w:hAnsi="宋体" w:cs="宋体"/>
                <w:color w:val="auto"/>
                <w:szCs w:val="21"/>
              </w:rPr>
            </w:pPr>
            <w:r>
              <w:rPr>
                <w:rFonts w:hint="eastAsia" w:ascii="宋体" w:hAnsi="宋体" w:cs="宋体"/>
                <w:color w:val="auto"/>
                <w:szCs w:val="21"/>
              </w:rPr>
              <w:t>0771-7661101</w:t>
            </w:r>
          </w:p>
        </w:tc>
      </w:tr>
      <w:tr w14:paraId="1D76377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7985A8">
            <w:pPr>
              <w:widowControl/>
              <w:jc w:val="left"/>
              <w:textAlignment w:val="center"/>
              <w:rPr>
                <w:rFonts w:ascii="宋体" w:hAnsi="宋体" w:cs="宋体"/>
                <w:color w:val="auto"/>
                <w:szCs w:val="21"/>
              </w:rPr>
            </w:pPr>
            <w:r>
              <w:rPr>
                <w:rFonts w:hint="eastAsia" w:ascii="宋体" w:hAnsi="宋体" w:cs="宋体"/>
                <w:color w:val="auto"/>
                <w:szCs w:val="21"/>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7ED5528">
            <w:pPr>
              <w:widowControl/>
              <w:jc w:val="left"/>
              <w:textAlignment w:val="center"/>
              <w:rPr>
                <w:rFonts w:ascii="宋体" w:hAnsi="宋体" w:cs="宋体"/>
                <w:color w:val="auto"/>
                <w:szCs w:val="21"/>
              </w:rPr>
            </w:pPr>
            <w:r>
              <w:rPr>
                <w:rFonts w:hint="eastAsia" w:ascii="宋体" w:hAnsi="宋体" w:cs="宋体"/>
                <w:color w:val="auto"/>
                <w:szCs w:val="21"/>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7D4D5FA2">
            <w:pPr>
              <w:widowControl/>
              <w:jc w:val="center"/>
              <w:textAlignment w:val="center"/>
              <w:rPr>
                <w:rFonts w:ascii="宋体" w:hAnsi="宋体" w:cs="宋体"/>
                <w:color w:val="auto"/>
                <w:szCs w:val="21"/>
              </w:rPr>
            </w:pPr>
            <w:r>
              <w:rPr>
                <w:rFonts w:hint="eastAsia" w:ascii="宋体" w:hAnsi="宋体" w:cs="宋体"/>
                <w:color w:val="auto"/>
                <w:szCs w:val="21"/>
              </w:rPr>
              <w:t>0771-7500768</w:t>
            </w:r>
          </w:p>
        </w:tc>
      </w:tr>
      <w:tr w14:paraId="58669F6F">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A611D1">
            <w:pPr>
              <w:widowControl/>
              <w:jc w:val="left"/>
              <w:textAlignment w:val="center"/>
              <w:rPr>
                <w:rFonts w:ascii="宋体" w:hAnsi="宋体" w:cs="宋体"/>
                <w:color w:val="auto"/>
                <w:szCs w:val="21"/>
              </w:rPr>
            </w:pPr>
            <w:r>
              <w:rPr>
                <w:rFonts w:hint="eastAsia" w:ascii="宋体" w:hAnsi="宋体" w:cs="宋体"/>
                <w:color w:val="auto"/>
                <w:szCs w:val="21"/>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74BCB57">
            <w:pPr>
              <w:widowControl/>
              <w:jc w:val="left"/>
              <w:textAlignment w:val="center"/>
              <w:rPr>
                <w:rFonts w:ascii="宋体" w:hAnsi="宋体" w:cs="宋体"/>
                <w:color w:val="auto"/>
                <w:szCs w:val="21"/>
              </w:rPr>
            </w:pPr>
            <w:r>
              <w:rPr>
                <w:rFonts w:hint="eastAsia" w:ascii="宋体" w:hAnsi="宋体" w:cs="宋体"/>
                <w:color w:val="auto"/>
                <w:szCs w:val="21"/>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vAlign w:val="center"/>
          </w:tcPr>
          <w:p w14:paraId="58FE335D">
            <w:pPr>
              <w:widowControl/>
              <w:jc w:val="center"/>
              <w:textAlignment w:val="center"/>
              <w:rPr>
                <w:rFonts w:ascii="宋体" w:hAnsi="宋体" w:cs="宋体"/>
                <w:color w:val="auto"/>
                <w:szCs w:val="21"/>
              </w:rPr>
            </w:pPr>
            <w:r>
              <w:rPr>
                <w:rFonts w:hint="eastAsia" w:ascii="宋体" w:hAnsi="宋体" w:cs="宋体"/>
                <w:color w:val="auto"/>
                <w:szCs w:val="21"/>
              </w:rPr>
              <w:t>0771-7525678</w:t>
            </w:r>
          </w:p>
        </w:tc>
      </w:tr>
      <w:tr w14:paraId="2F947329">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5AB2E8">
            <w:pPr>
              <w:widowControl/>
              <w:jc w:val="left"/>
              <w:textAlignment w:val="center"/>
              <w:rPr>
                <w:rFonts w:ascii="宋体" w:hAnsi="宋体" w:cs="宋体"/>
                <w:color w:val="auto"/>
                <w:szCs w:val="21"/>
              </w:rPr>
            </w:pPr>
            <w:r>
              <w:rPr>
                <w:rFonts w:hint="eastAsia" w:ascii="宋体" w:hAnsi="宋体" w:cs="宋体"/>
                <w:b/>
                <w:bCs/>
                <w:color w:val="auto"/>
                <w:szCs w:val="21"/>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1322DE3D">
            <w:pPr>
              <w:widowControl/>
              <w:jc w:val="left"/>
              <w:textAlignment w:val="center"/>
              <w:rPr>
                <w:rFonts w:ascii="宋体" w:hAnsi="宋体" w:cs="宋体"/>
                <w:color w:val="auto"/>
                <w:szCs w:val="21"/>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1FFB1CFB">
            <w:pPr>
              <w:widowControl/>
              <w:jc w:val="center"/>
              <w:textAlignment w:val="center"/>
              <w:rPr>
                <w:rFonts w:ascii="宋体" w:hAnsi="宋体" w:cs="宋体"/>
                <w:color w:val="auto"/>
                <w:szCs w:val="21"/>
              </w:rPr>
            </w:pPr>
          </w:p>
        </w:tc>
      </w:tr>
      <w:tr w14:paraId="4FAC31F8">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254B71">
            <w:pPr>
              <w:widowControl/>
              <w:jc w:val="left"/>
              <w:textAlignment w:val="center"/>
              <w:rPr>
                <w:rFonts w:ascii="宋体" w:hAnsi="宋体" w:cs="宋体"/>
                <w:color w:val="auto"/>
                <w:szCs w:val="21"/>
              </w:rPr>
            </w:pPr>
            <w:r>
              <w:rPr>
                <w:rFonts w:hint="eastAsia" w:ascii="宋体" w:hAnsi="宋体" w:cs="宋体"/>
                <w:color w:val="auto"/>
                <w:szCs w:val="21"/>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D39ADDA">
            <w:pPr>
              <w:widowControl/>
              <w:jc w:val="left"/>
              <w:textAlignment w:val="center"/>
              <w:rPr>
                <w:rFonts w:ascii="宋体" w:hAnsi="宋体" w:cs="宋体"/>
                <w:color w:val="auto"/>
                <w:szCs w:val="21"/>
              </w:rPr>
            </w:pPr>
            <w:r>
              <w:rPr>
                <w:rFonts w:hint="eastAsia" w:ascii="宋体" w:hAnsi="宋体" w:cs="宋体"/>
                <w:color w:val="auto"/>
                <w:szCs w:val="21"/>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E1641A1">
            <w:pPr>
              <w:widowControl/>
              <w:jc w:val="center"/>
              <w:textAlignment w:val="center"/>
              <w:rPr>
                <w:rFonts w:ascii="宋体" w:hAnsi="宋体" w:cs="宋体"/>
                <w:color w:val="auto"/>
                <w:szCs w:val="21"/>
              </w:rPr>
            </w:pPr>
            <w:r>
              <w:rPr>
                <w:rFonts w:hint="eastAsia" w:ascii="宋体" w:hAnsi="宋体" w:cs="宋体"/>
                <w:color w:val="auto"/>
                <w:szCs w:val="21"/>
              </w:rPr>
              <w:t>0771-8620729</w:t>
            </w:r>
          </w:p>
        </w:tc>
      </w:tr>
      <w:tr w14:paraId="65791FC5">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78D207">
            <w:pPr>
              <w:widowControl/>
              <w:jc w:val="left"/>
              <w:textAlignment w:val="center"/>
              <w:rPr>
                <w:rFonts w:ascii="宋体" w:hAnsi="宋体" w:cs="宋体"/>
                <w:color w:val="auto"/>
                <w:szCs w:val="21"/>
              </w:rPr>
            </w:pPr>
            <w:r>
              <w:rPr>
                <w:rFonts w:hint="eastAsia" w:ascii="宋体" w:hAnsi="宋体" w:cs="宋体"/>
                <w:color w:val="auto"/>
                <w:szCs w:val="21"/>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76AE4E6">
            <w:pPr>
              <w:widowControl/>
              <w:jc w:val="left"/>
              <w:textAlignment w:val="center"/>
              <w:rPr>
                <w:rFonts w:ascii="宋体" w:hAnsi="宋体" w:cs="宋体"/>
                <w:color w:val="auto"/>
                <w:szCs w:val="21"/>
              </w:rPr>
            </w:pPr>
            <w:r>
              <w:rPr>
                <w:rFonts w:hint="eastAsia" w:ascii="宋体" w:hAnsi="宋体" w:cs="宋体"/>
                <w:color w:val="auto"/>
                <w:szCs w:val="21"/>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5BF5F7D">
            <w:pPr>
              <w:widowControl/>
              <w:jc w:val="center"/>
              <w:textAlignment w:val="center"/>
              <w:rPr>
                <w:rFonts w:ascii="宋体" w:hAnsi="宋体" w:cs="宋体"/>
                <w:color w:val="auto"/>
                <w:szCs w:val="21"/>
              </w:rPr>
            </w:pPr>
            <w:r>
              <w:rPr>
                <w:rFonts w:hint="eastAsia" w:ascii="宋体" w:hAnsi="宋体" w:cs="宋体"/>
                <w:color w:val="auto"/>
                <w:szCs w:val="21"/>
              </w:rPr>
              <w:t>0771-7917093</w:t>
            </w:r>
          </w:p>
        </w:tc>
      </w:tr>
      <w:tr w14:paraId="0B9FD2F5">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DBAF20">
            <w:pPr>
              <w:widowControl/>
              <w:jc w:val="left"/>
              <w:textAlignment w:val="center"/>
              <w:rPr>
                <w:rFonts w:ascii="宋体" w:hAnsi="宋体" w:cs="宋体"/>
                <w:color w:val="auto"/>
                <w:szCs w:val="21"/>
              </w:rPr>
            </w:pPr>
            <w:r>
              <w:rPr>
                <w:rFonts w:hint="eastAsia" w:ascii="宋体" w:hAnsi="宋体" w:cs="宋体"/>
                <w:color w:val="auto"/>
                <w:szCs w:val="21"/>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F247B55">
            <w:pPr>
              <w:widowControl/>
              <w:spacing w:after="90" w:line="23" w:lineRule="atLeast"/>
              <w:jc w:val="left"/>
              <w:rPr>
                <w:rFonts w:ascii="宋体" w:hAnsi="宋体" w:cs="宋体"/>
                <w:color w:val="auto"/>
                <w:szCs w:val="21"/>
              </w:rPr>
            </w:pPr>
            <w:r>
              <w:rPr>
                <w:rFonts w:hint="eastAsia" w:ascii="宋体" w:hAnsi="宋体" w:cs="宋体"/>
                <w:color w:val="auto"/>
                <w:kern w:val="0"/>
                <w:szCs w:val="21"/>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AA82064">
            <w:pPr>
              <w:widowControl/>
              <w:jc w:val="center"/>
              <w:textAlignment w:val="center"/>
              <w:rPr>
                <w:rFonts w:ascii="宋体" w:hAnsi="宋体" w:cs="宋体"/>
                <w:color w:val="auto"/>
                <w:szCs w:val="21"/>
              </w:rPr>
            </w:pPr>
            <w:r>
              <w:rPr>
                <w:rFonts w:hint="eastAsia" w:ascii="宋体" w:hAnsi="宋体" w:cs="宋体"/>
                <w:color w:val="auto"/>
                <w:szCs w:val="21"/>
              </w:rPr>
              <w:t>0771-8629006</w:t>
            </w:r>
          </w:p>
        </w:tc>
      </w:tr>
      <w:tr w14:paraId="4195F640">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49AE6C">
            <w:pPr>
              <w:widowControl/>
              <w:jc w:val="left"/>
              <w:textAlignment w:val="center"/>
              <w:rPr>
                <w:rFonts w:ascii="宋体" w:hAnsi="宋体" w:cs="宋体"/>
                <w:color w:val="auto"/>
                <w:szCs w:val="21"/>
              </w:rPr>
            </w:pPr>
            <w:r>
              <w:rPr>
                <w:rFonts w:hint="eastAsia" w:ascii="宋体" w:hAnsi="宋体" w:cs="宋体"/>
                <w:color w:val="auto"/>
                <w:szCs w:val="21"/>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C701C01">
            <w:pPr>
              <w:widowControl/>
              <w:jc w:val="left"/>
              <w:textAlignment w:val="center"/>
              <w:rPr>
                <w:rFonts w:ascii="宋体" w:hAnsi="宋体" w:cs="宋体"/>
                <w:color w:val="auto"/>
                <w:szCs w:val="21"/>
              </w:rPr>
            </w:pPr>
            <w:r>
              <w:rPr>
                <w:rFonts w:hint="eastAsia" w:ascii="宋体" w:hAnsi="宋体" w:cs="宋体"/>
                <w:color w:val="auto"/>
                <w:szCs w:val="21"/>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DDB75CF">
            <w:pPr>
              <w:widowControl/>
              <w:jc w:val="center"/>
              <w:textAlignment w:val="center"/>
              <w:rPr>
                <w:rFonts w:ascii="宋体" w:hAnsi="宋体" w:cs="宋体"/>
                <w:color w:val="auto"/>
                <w:szCs w:val="21"/>
              </w:rPr>
            </w:pPr>
            <w:r>
              <w:rPr>
                <w:rFonts w:hint="eastAsia" w:ascii="宋体" w:hAnsi="宋体" w:cs="宋体"/>
                <w:color w:val="auto"/>
                <w:szCs w:val="21"/>
              </w:rPr>
              <w:t>0771-8628166</w:t>
            </w:r>
          </w:p>
        </w:tc>
      </w:tr>
      <w:tr w14:paraId="7E9D4BB5">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33EC7F">
            <w:pPr>
              <w:widowControl/>
              <w:jc w:val="left"/>
              <w:textAlignment w:val="center"/>
              <w:rPr>
                <w:rFonts w:ascii="宋体" w:hAnsi="宋体" w:cs="宋体"/>
                <w:color w:val="auto"/>
                <w:szCs w:val="21"/>
              </w:rPr>
            </w:pPr>
            <w:r>
              <w:rPr>
                <w:rFonts w:hint="eastAsia" w:ascii="宋体" w:hAnsi="宋体" w:cs="宋体"/>
                <w:color w:val="auto"/>
                <w:szCs w:val="21"/>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A035C26">
            <w:pPr>
              <w:widowControl/>
              <w:jc w:val="left"/>
              <w:textAlignment w:val="center"/>
              <w:rPr>
                <w:rFonts w:ascii="宋体" w:hAnsi="宋体" w:cs="宋体"/>
                <w:color w:val="auto"/>
                <w:szCs w:val="21"/>
              </w:rPr>
            </w:pPr>
            <w:r>
              <w:rPr>
                <w:rFonts w:hint="eastAsia" w:ascii="宋体" w:hAnsi="宋体" w:cs="宋体"/>
                <w:color w:val="auto"/>
                <w:szCs w:val="21"/>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262841E">
            <w:pPr>
              <w:widowControl/>
              <w:jc w:val="center"/>
              <w:textAlignment w:val="center"/>
              <w:rPr>
                <w:rFonts w:ascii="宋体" w:hAnsi="宋体" w:cs="宋体"/>
                <w:color w:val="auto"/>
                <w:szCs w:val="21"/>
              </w:rPr>
            </w:pPr>
            <w:r>
              <w:rPr>
                <w:rFonts w:hint="eastAsia" w:ascii="宋体" w:hAnsi="宋体" w:cs="宋体"/>
                <w:color w:val="auto"/>
                <w:szCs w:val="21"/>
              </w:rPr>
              <w:t>0771-8630787</w:t>
            </w:r>
          </w:p>
        </w:tc>
      </w:tr>
      <w:tr w14:paraId="57216272">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8C6F19">
            <w:pPr>
              <w:widowControl/>
              <w:jc w:val="left"/>
              <w:textAlignment w:val="center"/>
              <w:rPr>
                <w:rFonts w:ascii="宋体" w:hAnsi="宋体" w:cs="宋体"/>
                <w:color w:val="auto"/>
                <w:szCs w:val="21"/>
              </w:rPr>
            </w:pPr>
            <w:r>
              <w:rPr>
                <w:rFonts w:hint="eastAsia" w:ascii="宋体" w:hAnsi="宋体" w:cs="宋体"/>
                <w:color w:val="auto"/>
                <w:szCs w:val="21"/>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C53EB97">
            <w:pPr>
              <w:widowControl/>
              <w:jc w:val="left"/>
              <w:textAlignment w:val="center"/>
              <w:rPr>
                <w:rFonts w:ascii="宋体" w:hAnsi="宋体" w:cs="宋体"/>
                <w:color w:val="auto"/>
                <w:szCs w:val="21"/>
              </w:rPr>
            </w:pPr>
            <w:r>
              <w:rPr>
                <w:rFonts w:hint="eastAsia" w:ascii="宋体" w:hAnsi="宋体" w:cs="宋体"/>
                <w:color w:val="auto"/>
                <w:szCs w:val="21"/>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287A9618">
            <w:pPr>
              <w:widowControl/>
              <w:jc w:val="center"/>
              <w:textAlignment w:val="center"/>
              <w:rPr>
                <w:rFonts w:ascii="宋体" w:hAnsi="宋体" w:cs="宋体"/>
                <w:color w:val="auto"/>
                <w:szCs w:val="21"/>
              </w:rPr>
            </w:pPr>
            <w:r>
              <w:rPr>
                <w:rFonts w:hint="eastAsia" w:ascii="宋体" w:hAnsi="宋体" w:cs="宋体"/>
                <w:color w:val="auto"/>
                <w:szCs w:val="21"/>
              </w:rPr>
              <w:t>0771-8622237</w:t>
            </w:r>
          </w:p>
        </w:tc>
      </w:tr>
      <w:tr w14:paraId="343B0B52">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4A29C0A2">
            <w:pPr>
              <w:widowControl/>
              <w:jc w:val="left"/>
              <w:textAlignment w:val="center"/>
              <w:rPr>
                <w:rFonts w:ascii="宋体" w:hAnsi="宋体" w:cs="宋体"/>
                <w:color w:val="auto"/>
                <w:szCs w:val="21"/>
              </w:rPr>
            </w:pPr>
            <w:r>
              <w:rPr>
                <w:rFonts w:hint="eastAsia" w:ascii="宋体" w:hAnsi="宋体" w:cs="宋体"/>
                <w:b/>
                <w:bCs/>
                <w:color w:val="auto"/>
                <w:szCs w:val="21"/>
              </w:rPr>
              <w:t>大新县</w:t>
            </w:r>
          </w:p>
        </w:tc>
      </w:tr>
      <w:tr w14:paraId="3FFB077C">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2DA8D4">
            <w:pPr>
              <w:widowControl/>
              <w:jc w:val="left"/>
              <w:textAlignment w:val="center"/>
              <w:rPr>
                <w:rFonts w:ascii="宋体" w:hAnsi="宋体" w:cs="宋体"/>
                <w:color w:val="auto"/>
                <w:kern w:val="0"/>
                <w:szCs w:val="21"/>
              </w:rPr>
            </w:pPr>
            <w:r>
              <w:rPr>
                <w:rFonts w:hint="eastAsia" w:ascii="宋体" w:hAnsi="宋体" w:cs="宋体"/>
                <w:color w:val="auto"/>
                <w:szCs w:val="21"/>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71CFCB4">
            <w:pPr>
              <w:widowControl/>
              <w:jc w:val="left"/>
              <w:textAlignment w:val="center"/>
              <w:rPr>
                <w:rFonts w:ascii="宋体" w:hAnsi="宋体" w:cs="宋体"/>
                <w:color w:val="auto"/>
                <w:kern w:val="0"/>
                <w:szCs w:val="21"/>
              </w:rPr>
            </w:pPr>
            <w:r>
              <w:rPr>
                <w:rFonts w:hint="eastAsia" w:ascii="宋体" w:hAnsi="宋体" w:cs="宋体"/>
                <w:color w:val="auto"/>
                <w:kern w:val="0"/>
                <w:szCs w:val="21"/>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A126D46">
            <w:pPr>
              <w:widowControl/>
              <w:jc w:val="center"/>
              <w:textAlignment w:val="center"/>
              <w:rPr>
                <w:rFonts w:ascii="宋体" w:hAnsi="宋体" w:cs="宋体"/>
                <w:color w:val="auto"/>
                <w:kern w:val="0"/>
                <w:szCs w:val="21"/>
              </w:rPr>
            </w:pPr>
            <w:r>
              <w:rPr>
                <w:rFonts w:hint="eastAsia" w:ascii="宋体" w:hAnsi="宋体" w:cs="宋体"/>
                <w:color w:val="auto"/>
                <w:kern w:val="0"/>
                <w:szCs w:val="21"/>
              </w:rPr>
              <w:t>0771-3628078</w:t>
            </w:r>
          </w:p>
        </w:tc>
      </w:tr>
      <w:tr w14:paraId="5BF968E0">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35B000">
            <w:pPr>
              <w:widowControl/>
              <w:jc w:val="left"/>
              <w:textAlignment w:val="center"/>
              <w:rPr>
                <w:rFonts w:ascii="宋体" w:hAnsi="宋体" w:cs="宋体"/>
                <w:color w:val="auto"/>
                <w:kern w:val="0"/>
                <w:szCs w:val="21"/>
              </w:rPr>
            </w:pPr>
            <w:r>
              <w:rPr>
                <w:rFonts w:hint="eastAsia" w:ascii="宋体" w:hAnsi="宋体" w:cs="宋体"/>
                <w:color w:val="auto"/>
                <w:szCs w:val="21"/>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D771BF2">
            <w:pPr>
              <w:widowControl/>
              <w:jc w:val="left"/>
              <w:textAlignment w:val="center"/>
              <w:rPr>
                <w:rFonts w:ascii="宋体" w:hAnsi="宋体" w:cs="宋体"/>
                <w:color w:val="auto"/>
                <w:kern w:val="0"/>
                <w:szCs w:val="21"/>
              </w:rPr>
            </w:pPr>
            <w:r>
              <w:rPr>
                <w:rFonts w:hint="eastAsia" w:ascii="宋体" w:hAnsi="宋体" w:cs="宋体"/>
                <w:color w:val="auto"/>
                <w:szCs w:val="21"/>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FB0CD5F">
            <w:pPr>
              <w:widowControl/>
              <w:jc w:val="center"/>
              <w:textAlignment w:val="center"/>
              <w:rPr>
                <w:rFonts w:ascii="宋体" w:hAnsi="宋体" w:cs="宋体"/>
                <w:color w:val="auto"/>
                <w:kern w:val="0"/>
                <w:szCs w:val="21"/>
              </w:rPr>
            </w:pPr>
            <w:r>
              <w:rPr>
                <w:rFonts w:hint="eastAsia" w:ascii="宋体" w:hAnsi="宋体" w:cs="宋体"/>
                <w:color w:val="auto"/>
                <w:kern w:val="0"/>
                <w:szCs w:val="21"/>
              </w:rPr>
              <w:t>0771-</w:t>
            </w:r>
            <w:r>
              <w:rPr>
                <w:rFonts w:hint="eastAsia" w:ascii="宋体" w:hAnsi="宋体" w:cs="宋体"/>
                <w:color w:val="auto"/>
                <w:szCs w:val="21"/>
              </w:rPr>
              <w:t>7917015</w:t>
            </w:r>
          </w:p>
        </w:tc>
      </w:tr>
      <w:tr w14:paraId="686A63C1">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5A287D">
            <w:pPr>
              <w:widowControl/>
              <w:jc w:val="left"/>
              <w:textAlignment w:val="center"/>
              <w:rPr>
                <w:rFonts w:ascii="宋体" w:hAnsi="宋体" w:cs="宋体"/>
                <w:color w:val="auto"/>
                <w:kern w:val="0"/>
                <w:szCs w:val="21"/>
              </w:rPr>
            </w:pPr>
            <w:r>
              <w:rPr>
                <w:rFonts w:hint="eastAsia" w:ascii="宋体" w:hAnsi="宋体" w:cs="宋体"/>
                <w:color w:val="auto"/>
                <w:kern w:val="0"/>
                <w:szCs w:val="21"/>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1572D84">
            <w:pPr>
              <w:widowControl/>
              <w:jc w:val="left"/>
              <w:textAlignment w:val="center"/>
              <w:rPr>
                <w:rFonts w:ascii="宋体" w:hAnsi="宋体" w:cs="宋体"/>
                <w:color w:val="auto"/>
                <w:kern w:val="0"/>
                <w:szCs w:val="21"/>
              </w:rPr>
            </w:pPr>
            <w:r>
              <w:rPr>
                <w:rFonts w:hint="eastAsia" w:ascii="宋体" w:hAnsi="宋体" w:cs="宋体"/>
                <w:color w:val="auto"/>
                <w:kern w:val="0"/>
                <w:szCs w:val="21"/>
              </w:rPr>
              <w:t>大新县民生街7号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12E062E">
            <w:pPr>
              <w:widowControl/>
              <w:jc w:val="center"/>
              <w:textAlignment w:val="center"/>
              <w:rPr>
                <w:rFonts w:ascii="宋体" w:hAnsi="宋体" w:cs="宋体"/>
                <w:color w:val="auto"/>
                <w:kern w:val="0"/>
                <w:szCs w:val="21"/>
              </w:rPr>
            </w:pPr>
            <w:r>
              <w:rPr>
                <w:rFonts w:hint="eastAsia" w:ascii="宋体" w:hAnsi="宋体" w:cs="宋体"/>
                <w:color w:val="auto"/>
                <w:kern w:val="0"/>
                <w:szCs w:val="21"/>
              </w:rPr>
              <w:t>0771-3689766</w:t>
            </w:r>
          </w:p>
        </w:tc>
      </w:tr>
      <w:tr w14:paraId="6B49212E">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A8C08C">
            <w:pPr>
              <w:widowControl/>
              <w:jc w:val="left"/>
              <w:textAlignment w:val="center"/>
              <w:rPr>
                <w:rFonts w:ascii="宋体" w:hAnsi="宋体" w:cs="宋体"/>
                <w:color w:val="auto"/>
                <w:kern w:val="0"/>
                <w:szCs w:val="21"/>
              </w:rPr>
            </w:pPr>
            <w:r>
              <w:rPr>
                <w:rFonts w:hint="eastAsia" w:ascii="宋体" w:hAnsi="宋体" w:cs="宋体"/>
                <w:color w:val="auto"/>
                <w:kern w:val="0"/>
                <w:szCs w:val="21"/>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06092AF">
            <w:pPr>
              <w:widowControl/>
              <w:jc w:val="left"/>
              <w:textAlignment w:val="center"/>
              <w:rPr>
                <w:rFonts w:ascii="宋体" w:hAnsi="宋体" w:cs="宋体"/>
                <w:color w:val="auto"/>
                <w:kern w:val="0"/>
                <w:szCs w:val="21"/>
              </w:rPr>
            </w:pPr>
            <w:r>
              <w:rPr>
                <w:rFonts w:hint="eastAsia" w:ascii="宋体" w:hAnsi="宋体" w:cs="宋体"/>
                <w:color w:val="auto"/>
                <w:kern w:val="0"/>
                <w:szCs w:val="21"/>
              </w:rPr>
              <w:t>大新县城养利路131号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65ABCB8">
            <w:pPr>
              <w:widowControl/>
              <w:jc w:val="center"/>
              <w:textAlignment w:val="center"/>
              <w:rPr>
                <w:rFonts w:ascii="宋体" w:hAnsi="宋体" w:cs="宋体"/>
                <w:color w:val="auto"/>
                <w:kern w:val="0"/>
                <w:szCs w:val="21"/>
              </w:rPr>
            </w:pPr>
            <w:r>
              <w:rPr>
                <w:rFonts w:hint="eastAsia" w:ascii="宋体" w:hAnsi="宋体" w:cs="宋体"/>
                <w:color w:val="auto"/>
                <w:kern w:val="0"/>
                <w:szCs w:val="21"/>
              </w:rPr>
              <w:t>0771-3623887</w:t>
            </w:r>
          </w:p>
        </w:tc>
      </w:tr>
      <w:tr w14:paraId="2ED718FE">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08D735">
            <w:pPr>
              <w:widowControl/>
              <w:jc w:val="left"/>
              <w:textAlignment w:val="center"/>
              <w:rPr>
                <w:rFonts w:ascii="宋体" w:hAnsi="宋体" w:cs="宋体"/>
                <w:color w:val="auto"/>
                <w:kern w:val="0"/>
                <w:szCs w:val="21"/>
              </w:rPr>
            </w:pPr>
            <w:r>
              <w:rPr>
                <w:rFonts w:hint="eastAsia" w:ascii="宋体" w:hAnsi="宋体" w:cs="宋体"/>
                <w:color w:val="auto"/>
                <w:szCs w:val="21"/>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30EA9A5">
            <w:pPr>
              <w:widowControl/>
              <w:jc w:val="left"/>
              <w:textAlignment w:val="center"/>
              <w:rPr>
                <w:rFonts w:ascii="宋体" w:hAnsi="宋体" w:cs="宋体"/>
                <w:color w:val="auto"/>
                <w:kern w:val="0"/>
                <w:szCs w:val="21"/>
              </w:rPr>
            </w:pPr>
            <w:r>
              <w:rPr>
                <w:rFonts w:hint="eastAsia" w:ascii="宋体" w:hAnsi="宋体" w:cs="宋体"/>
                <w:color w:val="auto"/>
                <w:kern w:val="0"/>
                <w:szCs w:val="21"/>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5D17E82A">
            <w:pPr>
              <w:widowControl/>
              <w:jc w:val="center"/>
              <w:textAlignment w:val="center"/>
              <w:rPr>
                <w:rFonts w:ascii="宋体" w:hAnsi="宋体" w:cs="宋体"/>
                <w:color w:val="auto"/>
                <w:kern w:val="0"/>
                <w:szCs w:val="21"/>
              </w:rPr>
            </w:pPr>
            <w:r>
              <w:rPr>
                <w:rFonts w:hint="eastAsia" w:ascii="宋体" w:hAnsi="宋体" w:cs="宋体"/>
                <w:color w:val="auto"/>
                <w:kern w:val="0"/>
                <w:szCs w:val="21"/>
              </w:rPr>
              <w:t>0771-3621996</w:t>
            </w:r>
          </w:p>
        </w:tc>
      </w:tr>
      <w:tr w14:paraId="18A0EA96">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829477">
            <w:pPr>
              <w:widowControl/>
              <w:jc w:val="left"/>
              <w:textAlignment w:val="center"/>
              <w:rPr>
                <w:rFonts w:ascii="宋体" w:hAnsi="宋体" w:cs="宋体"/>
                <w:color w:val="auto"/>
                <w:kern w:val="0"/>
                <w:szCs w:val="21"/>
              </w:rPr>
            </w:pPr>
            <w:r>
              <w:rPr>
                <w:rFonts w:hint="eastAsia" w:ascii="宋体" w:hAnsi="宋体" w:cs="宋体"/>
                <w:color w:val="auto"/>
                <w:szCs w:val="21"/>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670D0DC">
            <w:pPr>
              <w:widowControl/>
              <w:jc w:val="left"/>
              <w:textAlignment w:val="center"/>
              <w:rPr>
                <w:rFonts w:ascii="宋体" w:hAnsi="宋体" w:cs="宋体"/>
                <w:color w:val="auto"/>
                <w:kern w:val="0"/>
                <w:szCs w:val="21"/>
              </w:rPr>
            </w:pPr>
            <w:r>
              <w:rPr>
                <w:rFonts w:hint="eastAsia" w:ascii="宋体" w:hAnsi="宋体" w:cs="宋体"/>
                <w:color w:val="auto"/>
                <w:kern w:val="0"/>
                <w:szCs w:val="21"/>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0A3A5FE9">
            <w:pPr>
              <w:widowControl/>
              <w:jc w:val="center"/>
              <w:textAlignment w:val="center"/>
              <w:rPr>
                <w:rFonts w:ascii="宋体" w:hAnsi="宋体" w:cs="宋体"/>
                <w:color w:val="auto"/>
                <w:kern w:val="0"/>
                <w:szCs w:val="21"/>
              </w:rPr>
            </w:pPr>
            <w:r>
              <w:rPr>
                <w:rFonts w:hint="eastAsia" w:ascii="宋体" w:hAnsi="宋体" w:cs="宋体"/>
                <w:color w:val="auto"/>
                <w:szCs w:val="21"/>
              </w:rPr>
              <w:t>0771-3628366</w:t>
            </w:r>
          </w:p>
        </w:tc>
      </w:tr>
      <w:tr w14:paraId="42060A09">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D961C6">
            <w:pPr>
              <w:widowControl/>
              <w:jc w:val="left"/>
              <w:textAlignment w:val="center"/>
              <w:rPr>
                <w:rFonts w:ascii="宋体" w:hAnsi="宋体" w:cs="宋体"/>
                <w:color w:val="auto"/>
                <w:kern w:val="0"/>
                <w:szCs w:val="21"/>
              </w:rPr>
            </w:pPr>
            <w:r>
              <w:rPr>
                <w:rFonts w:hint="eastAsia" w:ascii="宋体" w:hAnsi="宋体" w:cs="宋体"/>
                <w:color w:val="auto"/>
                <w:kern w:val="0"/>
                <w:szCs w:val="21"/>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00EC3D3">
            <w:pPr>
              <w:widowControl/>
              <w:jc w:val="left"/>
              <w:textAlignment w:val="center"/>
              <w:rPr>
                <w:rFonts w:ascii="宋体" w:hAnsi="宋体" w:cs="宋体"/>
                <w:color w:val="auto"/>
                <w:kern w:val="0"/>
                <w:szCs w:val="21"/>
              </w:rPr>
            </w:pPr>
            <w:r>
              <w:rPr>
                <w:rFonts w:hint="eastAsia" w:ascii="宋体" w:hAnsi="宋体" w:cs="宋体"/>
                <w:color w:val="auto"/>
                <w:kern w:val="0"/>
                <w:szCs w:val="21"/>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72B7B41">
            <w:pPr>
              <w:widowControl/>
              <w:jc w:val="center"/>
              <w:textAlignment w:val="center"/>
              <w:rPr>
                <w:rFonts w:ascii="宋体" w:hAnsi="宋体" w:cs="宋体"/>
                <w:color w:val="auto"/>
                <w:kern w:val="0"/>
                <w:szCs w:val="21"/>
              </w:rPr>
            </w:pPr>
            <w:r>
              <w:rPr>
                <w:rFonts w:hint="eastAsia" w:ascii="宋体" w:hAnsi="宋体" w:cs="宋体"/>
                <w:color w:val="auto"/>
                <w:kern w:val="0"/>
                <w:szCs w:val="21"/>
              </w:rPr>
              <w:t>0771-3698002</w:t>
            </w:r>
          </w:p>
        </w:tc>
      </w:tr>
      <w:tr w14:paraId="4123ABFA">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84A1EA">
            <w:pPr>
              <w:widowControl/>
              <w:jc w:val="left"/>
              <w:textAlignment w:val="center"/>
              <w:rPr>
                <w:rFonts w:ascii="宋体" w:hAnsi="宋体" w:cs="宋体"/>
                <w:color w:val="auto"/>
                <w:kern w:val="0"/>
                <w:szCs w:val="21"/>
              </w:rPr>
            </w:pPr>
            <w:r>
              <w:rPr>
                <w:rFonts w:hint="eastAsia" w:ascii="宋体" w:hAnsi="宋体" w:cs="宋体"/>
                <w:color w:val="auto"/>
                <w:kern w:val="0"/>
                <w:szCs w:val="21"/>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FB62ABF">
            <w:pPr>
              <w:widowControl/>
              <w:jc w:val="left"/>
              <w:textAlignment w:val="center"/>
              <w:rPr>
                <w:rFonts w:ascii="宋体" w:hAnsi="宋体" w:cs="宋体"/>
                <w:color w:val="auto"/>
                <w:kern w:val="0"/>
                <w:szCs w:val="21"/>
              </w:rPr>
            </w:pPr>
            <w:r>
              <w:rPr>
                <w:rFonts w:hint="eastAsia" w:ascii="宋体" w:hAnsi="宋体" w:cs="宋体"/>
                <w:color w:val="auto"/>
                <w:kern w:val="0"/>
                <w:szCs w:val="21"/>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D85D73E">
            <w:pPr>
              <w:widowControl/>
              <w:jc w:val="center"/>
              <w:textAlignment w:val="center"/>
              <w:rPr>
                <w:rFonts w:ascii="宋体" w:hAnsi="宋体" w:cs="宋体"/>
                <w:color w:val="auto"/>
                <w:szCs w:val="21"/>
              </w:rPr>
            </w:pPr>
            <w:r>
              <w:rPr>
                <w:rFonts w:hint="eastAsia" w:ascii="宋体" w:hAnsi="宋体" w:cs="宋体"/>
                <w:color w:val="auto"/>
                <w:kern w:val="0"/>
                <w:szCs w:val="21"/>
              </w:rPr>
              <w:t>0771-3626199</w:t>
            </w:r>
          </w:p>
        </w:tc>
      </w:tr>
      <w:tr w14:paraId="280FADB7">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CD8FCC">
            <w:pPr>
              <w:widowControl/>
              <w:jc w:val="left"/>
              <w:textAlignment w:val="center"/>
              <w:rPr>
                <w:rFonts w:ascii="宋体" w:hAnsi="宋体" w:cs="宋体"/>
                <w:color w:val="auto"/>
                <w:szCs w:val="21"/>
              </w:rPr>
            </w:pPr>
            <w:r>
              <w:rPr>
                <w:rFonts w:hint="eastAsia" w:ascii="宋体" w:hAnsi="宋体" w:cs="宋体"/>
                <w:b/>
                <w:bCs/>
                <w:color w:val="auto"/>
                <w:szCs w:val="21"/>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17D0313C">
            <w:pPr>
              <w:widowControl/>
              <w:jc w:val="left"/>
              <w:textAlignment w:val="center"/>
              <w:rPr>
                <w:rFonts w:ascii="宋体" w:hAnsi="宋体" w:cs="宋体"/>
                <w:color w:val="auto"/>
                <w:szCs w:val="21"/>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42BD59DA">
            <w:pPr>
              <w:widowControl/>
              <w:jc w:val="center"/>
              <w:textAlignment w:val="center"/>
              <w:rPr>
                <w:rFonts w:ascii="宋体" w:hAnsi="宋体" w:cs="宋体"/>
                <w:color w:val="auto"/>
                <w:szCs w:val="21"/>
              </w:rPr>
            </w:pPr>
          </w:p>
        </w:tc>
      </w:tr>
      <w:tr w14:paraId="4B60EE83">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0FC2D0">
            <w:pPr>
              <w:widowControl/>
              <w:jc w:val="left"/>
              <w:textAlignment w:val="center"/>
              <w:rPr>
                <w:rFonts w:ascii="宋体" w:hAnsi="宋体" w:cs="宋体"/>
                <w:color w:val="auto"/>
                <w:szCs w:val="21"/>
              </w:rPr>
            </w:pPr>
            <w:r>
              <w:rPr>
                <w:rFonts w:hint="eastAsia" w:ascii="宋体" w:hAnsi="宋体" w:cs="宋体"/>
                <w:color w:val="auto"/>
                <w:szCs w:val="21"/>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2DCDD84">
            <w:pPr>
              <w:widowControl/>
              <w:jc w:val="left"/>
              <w:textAlignment w:val="center"/>
              <w:rPr>
                <w:rFonts w:ascii="宋体" w:hAnsi="宋体" w:cs="宋体"/>
                <w:color w:val="auto"/>
                <w:szCs w:val="21"/>
              </w:rPr>
            </w:pPr>
            <w:r>
              <w:rPr>
                <w:rFonts w:hint="eastAsia" w:ascii="宋体" w:hAnsi="宋体" w:cs="宋体"/>
                <w:color w:val="auto"/>
                <w:szCs w:val="21"/>
              </w:rPr>
              <w:t>龙州县龙江街60号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389E565">
            <w:pPr>
              <w:widowControl/>
              <w:jc w:val="center"/>
              <w:textAlignment w:val="center"/>
              <w:rPr>
                <w:rFonts w:ascii="宋体" w:hAnsi="宋体" w:cs="宋体"/>
                <w:color w:val="auto"/>
                <w:szCs w:val="21"/>
              </w:rPr>
            </w:pPr>
            <w:r>
              <w:rPr>
                <w:rFonts w:hint="eastAsia" w:ascii="宋体" w:hAnsi="宋体" w:cs="宋体"/>
                <w:color w:val="auto"/>
                <w:szCs w:val="21"/>
              </w:rPr>
              <w:t>0771-8868619</w:t>
            </w:r>
          </w:p>
        </w:tc>
      </w:tr>
      <w:tr w14:paraId="2752DBC9">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EC39AD">
            <w:pPr>
              <w:widowControl/>
              <w:jc w:val="left"/>
              <w:textAlignment w:val="center"/>
              <w:rPr>
                <w:rFonts w:ascii="宋体" w:hAnsi="宋体" w:cs="宋体"/>
                <w:color w:val="auto"/>
                <w:szCs w:val="21"/>
              </w:rPr>
            </w:pPr>
            <w:r>
              <w:rPr>
                <w:rFonts w:hint="eastAsia" w:ascii="宋体" w:hAnsi="宋体" w:cs="宋体"/>
                <w:color w:val="auto"/>
                <w:szCs w:val="21"/>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6B96343">
            <w:pPr>
              <w:widowControl/>
              <w:jc w:val="left"/>
              <w:textAlignment w:val="center"/>
              <w:rPr>
                <w:rFonts w:ascii="宋体" w:hAnsi="宋体" w:cs="宋体"/>
                <w:color w:val="auto"/>
                <w:szCs w:val="21"/>
              </w:rPr>
            </w:pPr>
            <w:r>
              <w:rPr>
                <w:rFonts w:hint="eastAsia" w:ascii="宋体" w:hAnsi="宋体" w:cs="宋体"/>
                <w:color w:val="auto"/>
                <w:szCs w:val="21"/>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0099CC1">
            <w:pPr>
              <w:widowControl/>
              <w:jc w:val="center"/>
              <w:textAlignment w:val="center"/>
              <w:rPr>
                <w:rFonts w:ascii="宋体" w:hAnsi="宋体" w:cs="宋体"/>
                <w:color w:val="auto"/>
                <w:szCs w:val="21"/>
              </w:rPr>
            </w:pPr>
            <w:r>
              <w:rPr>
                <w:rFonts w:hint="eastAsia" w:ascii="宋体" w:hAnsi="宋体" w:cs="宋体"/>
                <w:color w:val="auto"/>
                <w:szCs w:val="21"/>
              </w:rPr>
              <w:t>0771-8812504</w:t>
            </w:r>
          </w:p>
        </w:tc>
      </w:tr>
      <w:tr w14:paraId="6C383CB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E2ED32">
            <w:pPr>
              <w:widowControl/>
              <w:jc w:val="left"/>
              <w:textAlignment w:val="center"/>
              <w:rPr>
                <w:rFonts w:ascii="宋体" w:hAnsi="宋体" w:cs="宋体"/>
                <w:color w:val="auto"/>
                <w:szCs w:val="21"/>
              </w:rPr>
            </w:pPr>
            <w:r>
              <w:rPr>
                <w:rFonts w:hint="eastAsia" w:ascii="宋体" w:hAnsi="宋体" w:cs="宋体"/>
                <w:color w:val="auto"/>
                <w:szCs w:val="21"/>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C4AC173">
            <w:pPr>
              <w:widowControl/>
              <w:jc w:val="left"/>
              <w:textAlignment w:val="center"/>
              <w:rPr>
                <w:rFonts w:ascii="宋体" w:hAnsi="宋体" w:cs="宋体"/>
                <w:color w:val="auto"/>
                <w:szCs w:val="21"/>
              </w:rPr>
            </w:pPr>
            <w:r>
              <w:rPr>
                <w:rFonts w:hint="eastAsia" w:ascii="宋体" w:hAnsi="宋体" w:cs="宋体"/>
                <w:color w:val="auto"/>
                <w:szCs w:val="21"/>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9D1B134">
            <w:pPr>
              <w:widowControl/>
              <w:jc w:val="center"/>
              <w:textAlignment w:val="center"/>
              <w:rPr>
                <w:rFonts w:ascii="宋体" w:hAnsi="宋体" w:cs="宋体"/>
                <w:color w:val="auto"/>
                <w:szCs w:val="21"/>
              </w:rPr>
            </w:pPr>
            <w:r>
              <w:rPr>
                <w:rFonts w:hint="eastAsia" w:ascii="宋体" w:hAnsi="宋体" w:cs="宋体"/>
                <w:color w:val="auto"/>
                <w:szCs w:val="21"/>
              </w:rPr>
              <w:t>0771-8820525</w:t>
            </w:r>
          </w:p>
        </w:tc>
      </w:tr>
      <w:tr w14:paraId="4B120091">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091797">
            <w:pPr>
              <w:widowControl/>
              <w:jc w:val="left"/>
              <w:textAlignment w:val="center"/>
              <w:rPr>
                <w:rFonts w:ascii="宋体" w:hAnsi="宋体" w:cs="宋体"/>
                <w:color w:val="auto"/>
                <w:szCs w:val="21"/>
              </w:rPr>
            </w:pPr>
            <w:r>
              <w:rPr>
                <w:rFonts w:hint="eastAsia" w:ascii="宋体" w:hAnsi="宋体" w:cs="宋体"/>
                <w:color w:val="auto"/>
                <w:szCs w:val="21"/>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82B515F">
            <w:pPr>
              <w:widowControl/>
              <w:jc w:val="left"/>
              <w:textAlignment w:val="center"/>
              <w:rPr>
                <w:rFonts w:ascii="宋体" w:hAnsi="宋体" w:cs="宋体"/>
                <w:color w:val="auto"/>
                <w:szCs w:val="21"/>
              </w:rPr>
            </w:pPr>
            <w:r>
              <w:rPr>
                <w:rFonts w:hint="eastAsia" w:ascii="宋体" w:hAnsi="宋体" w:cs="宋体"/>
                <w:color w:val="auto"/>
                <w:szCs w:val="21"/>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73C62E3">
            <w:pPr>
              <w:widowControl/>
              <w:jc w:val="center"/>
              <w:textAlignment w:val="center"/>
              <w:rPr>
                <w:rFonts w:ascii="宋体" w:hAnsi="宋体" w:cs="宋体"/>
                <w:color w:val="auto"/>
                <w:szCs w:val="21"/>
              </w:rPr>
            </w:pPr>
            <w:r>
              <w:rPr>
                <w:rFonts w:hint="eastAsia" w:ascii="宋体" w:hAnsi="宋体" w:cs="宋体"/>
                <w:color w:val="auto"/>
                <w:szCs w:val="21"/>
              </w:rPr>
              <w:t>0771-8813013</w:t>
            </w:r>
          </w:p>
        </w:tc>
      </w:tr>
      <w:tr w14:paraId="1365B05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A6EB29">
            <w:pPr>
              <w:widowControl/>
              <w:jc w:val="left"/>
              <w:textAlignment w:val="center"/>
              <w:rPr>
                <w:rFonts w:ascii="宋体" w:hAnsi="宋体" w:cs="宋体"/>
                <w:color w:val="auto"/>
                <w:szCs w:val="21"/>
              </w:rPr>
            </w:pPr>
            <w:r>
              <w:rPr>
                <w:rFonts w:hint="eastAsia" w:ascii="宋体" w:hAnsi="宋体" w:cs="宋体"/>
                <w:color w:val="auto"/>
                <w:szCs w:val="21"/>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54CFCB5">
            <w:pPr>
              <w:widowControl/>
              <w:jc w:val="left"/>
              <w:textAlignment w:val="center"/>
              <w:rPr>
                <w:rFonts w:ascii="宋体" w:hAnsi="宋体" w:cs="宋体"/>
                <w:color w:val="auto"/>
                <w:szCs w:val="21"/>
              </w:rPr>
            </w:pPr>
            <w:r>
              <w:rPr>
                <w:rFonts w:hint="eastAsia" w:ascii="宋体" w:hAnsi="宋体" w:cs="宋体"/>
                <w:color w:val="auto"/>
                <w:szCs w:val="21"/>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vAlign w:val="center"/>
          </w:tcPr>
          <w:p w14:paraId="6A9AF03D">
            <w:pPr>
              <w:widowControl/>
              <w:jc w:val="center"/>
              <w:textAlignment w:val="center"/>
              <w:rPr>
                <w:rFonts w:ascii="宋体" w:hAnsi="宋体" w:cs="宋体"/>
                <w:color w:val="auto"/>
                <w:szCs w:val="21"/>
              </w:rPr>
            </w:pPr>
            <w:r>
              <w:rPr>
                <w:rFonts w:hint="eastAsia" w:ascii="宋体" w:hAnsi="宋体" w:cs="宋体"/>
                <w:color w:val="auto"/>
                <w:szCs w:val="21"/>
              </w:rPr>
              <w:t>0771-8871021</w:t>
            </w:r>
          </w:p>
        </w:tc>
      </w:tr>
      <w:tr w14:paraId="1F16AF02">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7DC6D0">
            <w:pPr>
              <w:widowControl/>
              <w:jc w:val="left"/>
              <w:textAlignment w:val="center"/>
              <w:rPr>
                <w:rFonts w:ascii="宋体" w:hAnsi="宋体" w:cs="宋体"/>
                <w:color w:val="auto"/>
                <w:szCs w:val="21"/>
              </w:rPr>
            </w:pPr>
            <w:r>
              <w:rPr>
                <w:rFonts w:hint="eastAsia" w:ascii="宋体" w:hAnsi="宋体" w:cs="宋体"/>
                <w:color w:val="auto"/>
                <w:szCs w:val="21"/>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D4C9A5E">
            <w:pPr>
              <w:widowControl/>
              <w:jc w:val="left"/>
              <w:textAlignment w:val="center"/>
              <w:rPr>
                <w:rFonts w:ascii="宋体" w:hAnsi="宋体" w:cs="宋体"/>
                <w:color w:val="auto"/>
                <w:szCs w:val="21"/>
              </w:rPr>
            </w:pPr>
            <w:r>
              <w:rPr>
                <w:rFonts w:hint="eastAsia" w:ascii="宋体" w:hAnsi="宋体" w:cs="宋体"/>
                <w:color w:val="auto"/>
                <w:szCs w:val="21"/>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727D0A80">
            <w:pPr>
              <w:widowControl/>
              <w:jc w:val="center"/>
              <w:textAlignment w:val="center"/>
              <w:rPr>
                <w:rFonts w:ascii="宋体" w:hAnsi="宋体" w:cs="宋体"/>
                <w:color w:val="auto"/>
                <w:szCs w:val="21"/>
              </w:rPr>
            </w:pPr>
            <w:r>
              <w:rPr>
                <w:rFonts w:hint="eastAsia" w:ascii="宋体" w:hAnsi="宋体" w:cs="宋体"/>
                <w:color w:val="auto"/>
                <w:szCs w:val="21"/>
              </w:rPr>
              <w:t>0771-8811533</w:t>
            </w:r>
          </w:p>
        </w:tc>
      </w:tr>
      <w:tr w14:paraId="10E1CE0E">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6B234E">
            <w:pPr>
              <w:widowControl/>
              <w:textAlignment w:val="center"/>
              <w:rPr>
                <w:rFonts w:ascii="宋体" w:hAnsi="宋体" w:cs="宋体"/>
                <w:color w:val="auto"/>
                <w:szCs w:val="21"/>
              </w:rPr>
            </w:pPr>
            <w:r>
              <w:rPr>
                <w:rFonts w:hint="eastAsia" w:ascii="宋体" w:hAnsi="宋体" w:cs="宋体"/>
                <w:b/>
                <w:bCs/>
                <w:color w:val="auto"/>
                <w:szCs w:val="21"/>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696C8F33">
            <w:pPr>
              <w:widowControl/>
              <w:jc w:val="left"/>
              <w:textAlignment w:val="center"/>
              <w:rPr>
                <w:rFonts w:ascii="宋体" w:hAnsi="宋体" w:cs="宋体"/>
                <w:color w:val="auto"/>
                <w:szCs w:val="21"/>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47218853">
            <w:pPr>
              <w:widowControl/>
              <w:jc w:val="center"/>
              <w:textAlignment w:val="center"/>
              <w:rPr>
                <w:rFonts w:ascii="宋体" w:hAnsi="宋体" w:cs="宋体"/>
                <w:color w:val="auto"/>
                <w:szCs w:val="21"/>
              </w:rPr>
            </w:pPr>
          </w:p>
        </w:tc>
      </w:tr>
      <w:tr w14:paraId="0F3E3C6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EE4BBD">
            <w:pPr>
              <w:widowControl/>
              <w:jc w:val="left"/>
              <w:textAlignment w:val="center"/>
              <w:rPr>
                <w:rFonts w:ascii="宋体" w:hAnsi="宋体" w:cs="宋体"/>
                <w:color w:val="auto"/>
                <w:szCs w:val="21"/>
              </w:rPr>
            </w:pPr>
            <w:r>
              <w:rPr>
                <w:rFonts w:hint="eastAsia" w:ascii="宋体" w:hAnsi="宋体" w:cs="宋体"/>
                <w:color w:val="auto"/>
                <w:szCs w:val="21"/>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D774BCD">
            <w:pPr>
              <w:widowControl/>
              <w:jc w:val="left"/>
              <w:textAlignment w:val="center"/>
              <w:rPr>
                <w:rFonts w:ascii="宋体" w:hAnsi="宋体" w:cs="宋体"/>
                <w:color w:val="auto"/>
                <w:szCs w:val="21"/>
              </w:rPr>
            </w:pPr>
            <w:r>
              <w:rPr>
                <w:rFonts w:hint="eastAsia" w:ascii="宋体" w:hAnsi="宋体" w:cs="宋体"/>
                <w:color w:val="auto"/>
                <w:szCs w:val="21"/>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D9F13DD">
            <w:pPr>
              <w:widowControl/>
              <w:jc w:val="center"/>
              <w:textAlignment w:val="center"/>
              <w:rPr>
                <w:rFonts w:ascii="宋体" w:hAnsi="宋体" w:cs="宋体"/>
                <w:color w:val="auto"/>
                <w:szCs w:val="21"/>
              </w:rPr>
            </w:pPr>
            <w:r>
              <w:rPr>
                <w:rFonts w:hint="eastAsia" w:ascii="宋体" w:hAnsi="宋体" w:cs="宋体"/>
                <w:color w:val="auto"/>
                <w:szCs w:val="21"/>
              </w:rPr>
              <w:t>0771-3532211</w:t>
            </w:r>
          </w:p>
        </w:tc>
      </w:tr>
      <w:tr w14:paraId="463FA480">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7CB2BA">
            <w:pPr>
              <w:widowControl/>
              <w:jc w:val="left"/>
              <w:textAlignment w:val="center"/>
              <w:rPr>
                <w:rFonts w:ascii="宋体" w:hAnsi="宋体" w:cs="宋体"/>
                <w:color w:val="auto"/>
                <w:szCs w:val="21"/>
              </w:rPr>
            </w:pPr>
            <w:r>
              <w:rPr>
                <w:rFonts w:hint="eastAsia" w:ascii="宋体" w:hAnsi="宋体" w:cs="宋体"/>
                <w:color w:val="auto"/>
                <w:szCs w:val="21"/>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A5E0E03">
            <w:pPr>
              <w:widowControl/>
              <w:jc w:val="left"/>
              <w:textAlignment w:val="center"/>
              <w:rPr>
                <w:rFonts w:ascii="宋体" w:hAnsi="宋体" w:cs="宋体"/>
                <w:color w:val="auto"/>
                <w:szCs w:val="21"/>
              </w:rPr>
            </w:pPr>
            <w:r>
              <w:rPr>
                <w:rFonts w:hint="eastAsia" w:ascii="宋体" w:hAnsi="宋体" w:cs="宋体"/>
                <w:color w:val="auto"/>
                <w:szCs w:val="21"/>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34197FF">
            <w:pPr>
              <w:widowControl/>
              <w:jc w:val="center"/>
              <w:textAlignment w:val="center"/>
              <w:rPr>
                <w:rFonts w:ascii="宋体" w:hAnsi="宋体" w:cs="宋体"/>
                <w:color w:val="auto"/>
                <w:szCs w:val="21"/>
              </w:rPr>
            </w:pPr>
            <w:r>
              <w:rPr>
                <w:rFonts w:hint="eastAsia" w:ascii="宋体" w:hAnsi="宋体" w:cs="宋体"/>
                <w:color w:val="auto"/>
                <w:szCs w:val="21"/>
              </w:rPr>
              <w:t>0771-7917046</w:t>
            </w:r>
          </w:p>
        </w:tc>
      </w:tr>
      <w:tr w14:paraId="67E396A0">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62EBF9">
            <w:pPr>
              <w:widowControl/>
              <w:jc w:val="left"/>
              <w:textAlignment w:val="center"/>
              <w:rPr>
                <w:rFonts w:ascii="宋体" w:hAnsi="宋体" w:cs="宋体"/>
                <w:color w:val="auto"/>
                <w:szCs w:val="21"/>
              </w:rPr>
            </w:pPr>
            <w:r>
              <w:rPr>
                <w:rFonts w:hint="eastAsia" w:ascii="宋体" w:hAnsi="宋体" w:cs="宋体"/>
                <w:color w:val="auto"/>
                <w:szCs w:val="21"/>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1068FD2">
            <w:pPr>
              <w:widowControl/>
              <w:jc w:val="left"/>
              <w:textAlignment w:val="center"/>
              <w:rPr>
                <w:rFonts w:ascii="宋体" w:hAnsi="宋体" w:cs="宋体"/>
                <w:color w:val="auto"/>
                <w:szCs w:val="21"/>
              </w:rPr>
            </w:pPr>
            <w:r>
              <w:rPr>
                <w:rFonts w:hint="eastAsia" w:ascii="宋体" w:hAnsi="宋体" w:cs="宋体"/>
                <w:color w:val="auto"/>
                <w:szCs w:val="21"/>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E2291A6">
            <w:pPr>
              <w:widowControl/>
              <w:jc w:val="center"/>
              <w:textAlignment w:val="center"/>
              <w:rPr>
                <w:rFonts w:ascii="宋体" w:hAnsi="宋体" w:cs="宋体"/>
                <w:color w:val="auto"/>
                <w:szCs w:val="21"/>
              </w:rPr>
            </w:pPr>
            <w:r>
              <w:rPr>
                <w:rFonts w:hint="eastAsia" w:ascii="宋体" w:hAnsi="宋体" w:cs="宋体"/>
                <w:color w:val="auto"/>
                <w:szCs w:val="21"/>
              </w:rPr>
              <w:t>0771-3521361</w:t>
            </w:r>
          </w:p>
        </w:tc>
      </w:tr>
      <w:tr w14:paraId="17A0EA9A">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4F1A4F">
            <w:pPr>
              <w:widowControl/>
              <w:jc w:val="left"/>
              <w:textAlignment w:val="center"/>
              <w:rPr>
                <w:rFonts w:ascii="宋体" w:hAnsi="宋体" w:cs="宋体"/>
                <w:color w:val="auto"/>
                <w:szCs w:val="21"/>
              </w:rPr>
            </w:pPr>
            <w:r>
              <w:rPr>
                <w:rFonts w:hint="eastAsia" w:ascii="宋体" w:hAnsi="宋体" w:cs="宋体"/>
                <w:color w:val="auto"/>
                <w:szCs w:val="21"/>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C7A4E8A">
            <w:pPr>
              <w:widowControl/>
              <w:jc w:val="left"/>
              <w:textAlignment w:val="center"/>
              <w:rPr>
                <w:rFonts w:ascii="宋体" w:hAnsi="宋体" w:cs="宋体"/>
                <w:color w:val="auto"/>
                <w:szCs w:val="21"/>
              </w:rPr>
            </w:pPr>
            <w:r>
              <w:rPr>
                <w:rFonts w:hint="eastAsia" w:ascii="宋体" w:hAnsi="宋体" w:cs="宋体"/>
                <w:color w:val="auto"/>
                <w:szCs w:val="21"/>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A541B4E">
            <w:pPr>
              <w:widowControl/>
              <w:jc w:val="center"/>
              <w:textAlignment w:val="center"/>
              <w:rPr>
                <w:rFonts w:ascii="宋体" w:hAnsi="宋体" w:cs="宋体"/>
                <w:color w:val="auto"/>
                <w:szCs w:val="21"/>
              </w:rPr>
            </w:pPr>
            <w:r>
              <w:rPr>
                <w:rFonts w:hint="eastAsia" w:ascii="宋体" w:hAnsi="宋体" w:cs="宋体"/>
                <w:color w:val="auto"/>
                <w:szCs w:val="21"/>
              </w:rPr>
              <w:t>0771-3522157</w:t>
            </w:r>
          </w:p>
        </w:tc>
      </w:tr>
      <w:tr w14:paraId="5714CF5D">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62701D">
            <w:pPr>
              <w:widowControl/>
              <w:jc w:val="left"/>
              <w:textAlignment w:val="center"/>
              <w:rPr>
                <w:rFonts w:ascii="宋体" w:hAnsi="宋体" w:cs="宋体"/>
                <w:color w:val="auto"/>
                <w:szCs w:val="21"/>
              </w:rPr>
            </w:pPr>
            <w:r>
              <w:rPr>
                <w:rFonts w:hint="eastAsia" w:ascii="宋体" w:hAnsi="宋体" w:cs="宋体"/>
                <w:color w:val="auto"/>
                <w:szCs w:val="21"/>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0D627C8">
            <w:pPr>
              <w:widowControl/>
              <w:jc w:val="left"/>
              <w:textAlignment w:val="center"/>
              <w:rPr>
                <w:rFonts w:ascii="宋体" w:hAnsi="宋体" w:cs="宋体"/>
                <w:color w:val="auto"/>
                <w:szCs w:val="21"/>
              </w:rPr>
            </w:pPr>
            <w:r>
              <w:rPr>
                <w:rFonts w:hint="eastAsia" w:ascii="宋体" w:hAnsi="宋体" w:cs="宋体"/>
                <w:color w:val="auto"/>
                <w:szCs w:val="21"/>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1E82F35">
            <w:pPr>
              <w:widowControl/>
              <w:jc w:val="center"/>
              <w:textAlignment w:val="center"/>
              <w:rPr>
                <w:rFonts w:ascii="宋体" w:hAnsi="宋体" w:cs="宋体"/>
                <w:color w:val="auto"/>
                <w:szCs w:val="21"/>
              </w:rPr>
            </w:pPr>
            <w:r>
              <w:rPr>
                <w:rFonts w:hint="eastAsia" w:ascii="宋体" w:hAnsi="宋体" w:cs="宋体"/>
                <w:color w:val="auto"/>
                <w:szCs w:val="21"/>
              </w:rPr>
              <w:t>0771-3528688</w:t>
            </w:r>
          </w:p>
        </w:tc>
      </w:tr>
      <w:tr w14:paraId="5C55CE02">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F6E1881">
            <w:pPr>
              <w:widowControl/>
              <w:jc w:val="left"/>
              <w:textAlignment w:val="center"/>
              <w:rPr>
                <w:rFonts w:ascii="宋体" w:hAnsi="宋体" w:cs="宋体"/>
                <w:color w:val="auto"/>
                <w:szCs w:val="21"/>
              </w:rPr>
            </w:pPr>
            <w:r>
              <w:rPr>
                <w:rFonts w:hint="eastAsia" w:ascii="宋体" w:hAnsi="宋体" w:cs="宋体"/>
                <w:b/>
                <w:bCs/>
                <w:color w:val="auto"/>
                <w:szCs w:val="21"/>
              </w:rPr>
              <w:t>凭祥市</w:t>
            </w:r>
          </w:p>
        </w:tc>
      </w:tr>
      <w:tr w14:paraId="7F707DDD">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903C76">
            <w:pPr>
              <w:widowControl/>
              <w:jc w:val="left"/>
              <w:textAlignment w:val="center"/>
              <w:rPr>
                <w:rFonts w:ascii="宋体" w:hAnsi="宋体" w:cs="宋体"/>
                <w:color w:val="auto"/>
                <w:szCs w:val="21"/>
              </w:rPr>
            </w:pPr>
            <w:r>
              <w:rPr>
                <w:rFonts w:hint="eastAsia" w:ascii="宋体" w:hAnsi="宋体" w:cs="宋体"/>
                <w:color w:val="auto"/>
                <w:szCs w:val="21"/>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345524B">
            <w:pPr>
              <w:widowControl/>
              <w:jc w:val="left"/>
              <w:textAlignment w:val="center"/>
              <w:rPr>
                <w:rFonts w:ascii="宋体" w:hAnsi="宋体" w:cs="宋体"/>
                <w:color w:val="auto"/>
                <w:szCs w:val="21"/>
              </w:rPr>
            </w:pPr>
            <w:r>
              <w:rPr>
                <w:rFonts w:hint="eastAsia" w:ascii="宋体" w:hAnsi="宋体" w:cs="宋体"/>
                <w:color w:val="auto"/>
                <w:szCs w:val="21"/>
              </w:rPr>
              <w:t>凭祥市新华路5号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E5305CB">
            <w:pPr>
              <w:widowControl/>
              <w:jc w:val="center"/>
              <w:textAlignment w:val="center"/>
              <w:rPr>
                <w:rFonts w:ascii="宋体" w:hAnsi="宋体" w:cs="宋体"/>
                <w:color w:val="auto"/>
                <w:szCs w:val="21"/>
              </w:rPr>
            </w:pPr>
            <w:r>
              <w:rPr>
                <w:rFonts w:hint="eastAsia" w:ascii="宋体" w:hAnsi="宋体" w:cs="宋体"/>
                <w:color w:val="auto"/>
                <w:szCs w:val="21"/>
              </w:rPr>
              <w:t>0771-8529259</w:t>
            </w:r>
          </w:p>
        </w:tc>
      </w:tr>
      <w:tr w14:paraId="594B696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75DB93">
            <w:pPr>
              <w:widowControl/>
              <w:jc w:val="left"/>
              <w:textAlignment w:val="center"/>
              <w:rPr>
                <w:rFonts w:ascii="宋体" w:hAnsi="宋体" w:cs="宋体"/>
                <w:color w:val="auto"/>
                <w:szCs w:val="21"/>
              </w:rPr>
            </w:pPr>
            <w:r>
              <w:rPr>
                <w:rFonts w:hint="eastAsia" w:ascii="宋体" w:hAnsi="宋体" w:cs="宋体"/>
                <w:color w:val="auto"/>
                <w:szCs w:val="21"/>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23F02BD">
            <w:pPr>
              <w:widowControl/>
              <w:jc w:val="left"/>
              <w:textAlignment w:val="center"/>
              <w:rPr>
                <w:rFonts w:ascii="宋体" w:hAnsi="宋体" w:cs="宋体"/>
                <w:color w:val="auto"/>
                <w:szCs w:val="21"/>
              </w:rPr>
            </w:pPr>
            <w:r>
              <w:rPr>
                <w:rFonts w:hint="eastAsia" w:ascii="宋体" w:hAnsi="宋体" w:cs="宋体"/>
                <w:color w:val="auto"/>
                <w:szCs w:val="21"/>
              </w:rPr>
              <w:t>凭祥市北大路216号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A22816B">
            <w:pPr>
              <w:widowControl/>
              <w:jc w:val="center"/>
              <w:textAlignment w:val="center"/>
              <w:rPr>
                <w:rFonts w:ascii="宋体" w:hAnsi="宋体" w:cs="宋体"/>
                <w:color w:val="auto"/>
                <w:szCs w:val="21"/>
              </w:rPr>
            </w:pPr>
            <w:r>
              <w:rPr>
                <w:rFonts w:hint="eastAsia" w:ascii="宋体" w:hAnsi="宋体" w:cs="宋体"/>
                <w:color w:val="auto"/>
                <w:szCs w:val="21"/>
              </w:rPr>
              <w:t>0771-7917258</w:t>
            </w:r>
          </w:p>
        </w:tc>
      </w:tr>
      <w:tr w14:paraId="4C94721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64D75F">
            <w:pPr>
              <w:widowControl/>
              <w:jc w:val="left"/>
              <w:textAlignment w:val="center"/>
              <w:rPr>
                <w:rFonts w:ascii="宋体" w:hAnsi="宋体" w:cs="宋体"/>
                <w:color w:val="auto"/>
                <w:szCs w:val="21"/>
              </w:rPr>
            </w:pPr>
            <w:r>
              <w:rPr>
                <w:rFonts w:hint="eastAsia" w:ascii="宋体" w:hAnsi="宋体" w:cs="宋体"/>
                <w:color w:val="auto"/>
                <w:szCs w:val="21"/>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00C4348">
            <w:pPr>
              <w:widowControl/>
              <w:jc w:val="left"/>
              <w:textAlignment w:val="center"/>
              <w:rPr>
                <w:rFonts w:ascii="宋体" w:hAnsi="宋体" w:cs="宋体"/>
                <w:color w:val="auto"/>
                <w:szCs w:val="21"/>
              </w:rPr>
            </w:pPr>
            <w:r>
              <w:rPr>
                <w:rFonts w:hint="eastAsia" w:ascii="宋体" w:hAnsi="宋体" w:cs="宋体"/>
                <w:color w:val="auto"/>
                <w:szCs w:val="21"/>
              </w:rPr>
              <w:t>凭祥市屏山路138号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499EA6F">
            <w:pPr>
              <w:widowControl/>
              <w:jc w:val="center"/>
              <w:textAlignment w:val="center"/>
              <w:rPr>
                <w:rFonts w:ascii="宋体" w:hAnsi="宋体" w:cs="宋体"/>
                <w:color w:val="auto"/>
                <w:szCs w:val="21"/>
              </w:rPr>
            </w:pPr>
            <w:r>
              <w:rPr>
                <w:rFonts w:hint="eastAsia" w:ascii="宋体" w:hAnsi="宋体" w:cs="宋体"/>
                <w:color w:val="auto"/>
                <w:szCs w:val="21"/>
              </w:rPr>
              <w:t>0771-8525068 0771-8536852</w:t>
            </w:r>
          </w:p>
        </w:tc>
      </w:tr>
      <w:tr w14:paraId="00B3BC4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C159B0">
            <w:pPr>
              <w:widowControl/>
              <w:jc w:val="left"/>
              <w:textAlignment w:val="center"/>
              <w:rPr>
                <w:rFonts w:ascii="宋体" w:hAnsi="宋体" w:cs="宋体"/>
                <w:color w:val="auto"/>
                <w:szCs w:val="21"/>
              </w:rPr>
            </w:pPr>
            <w:r>
              <w:rPr>
                <w:rFonts w:hint="eastAsia" w:ascii="宋体" w:hAnsi="宋体" w:cs="宋体"/>
                <w:color w:val="auto"/>
                <w:szCs w:val="21"/>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81CB533">
            <w:pPr>
              <w:widowControl/>
              <w:jc w:val="left"/>
              <w:textAlignment w:val="center"/>
              <w:rPr>
                <w:rFonts w:ascii="宋体" w:hAnsi="宋体" w:cs="宋体"/>
                <w:color w:val="auto"/>
                <w:szCs w:val="21"/>
              </w:rPr>
            </w:pPr>
            <w:r>
              <w:rPr>
                <w:rFonts w:hint="eastAsia" w:ascii="宋体" w:hAnsi="宋体" w:cs="宋体"/>
                <w:color w:val="auto"/>
                <w:szCs w:val="21"/>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09F570D3">
            <w:pPr>
              <w:widowControl/>
              <w:jc w:val="center"/>
              <w:textAlignment w:val="center"/>
              <w:rPr>
                <w:rFonts w:ascii="宋体" w:hAnsi="宋体" w:cs="宋体"/>
                <w:color w:val="auto"/>
                <w:szCs w:val="21"/>
              </w:rPr>
            </w:pPr>
            <w:r>
              <w:rPr>
                <w:rFonts w:hint="eastAsia" w:ascii="宋体" w:hAnsi="宋体" w:cs="宋体"/>
                <w:color w:val="auto"/>
                <w:szCs w:val="21"/>
              </w:rPr>
              <w:t>0771-8551161</w:t>
            </w:r>
          </w:p>
        </w:tc>
      </w:tr>
      <w:tr w14:paraId="7DE768E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90E3C8">
            <w:pPr>
              <w:widowControl/>
              <w:jc w:val="left"/>
              <w:textAlignment w:val="center"/>
              <w:rPr>
                <w:rFonts w:ascii="宋体" w:hAnsi="宋体" w:cs="宋体"/>
                <w:color w:val="auto"/>
                <w:szCs w:val="21"/>
              </w:rPr>
            </w:pPr>
            <w:r>
              <w:rPr>
                <w:rFonts w:hint="eastAsia" w:ascii="宋体" w:hAnsi="宋体" w:cs="宋体"/>
                <w:color w:val="auto"/>
                <w:szCs w:val="21"/>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CF23062">
            <w:pPr>
              <w:widowControl/>
              <w:jc w:val="left"/>
              <w:textAlignment w:val="center"/>
              <w:rPr>
                <w:rFonts w:ascii="宋体" w:hAnsi="宋体" w:cs="宋体"/>
                <w:color w:val="auto"/>
                <w:szCs w:val="21"/>
              </w:rPr>
            </w:pPr>
            <w:r>
              <w:rPr>
                <w:rFonts w:hint="eastAsia" w:ascii="宋体" w:hAnsi="宋体" w:cs="宋体"/>
                <w:color w:val="auto"/>
                <w:szCs w:val="21"/>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3FA6159">
            <w:pPr>
              <w:widowControl/>
              <w:jc w:val="center"/>
              <w:textAlignment w:val="center"/>
              <w:rPr>
                <w:rFonts w:ascii="宋体" w:hAnsi="宋体" w:cs="宋体"/>
                <w:color w:val="auto"/>
                <w:szCs w:val="21"/>
              </w:rPr>
            </w:pPr>
            <w:r>
              <w:rPr>
                <w:rFonts w:hint="eastAsia" w:ascii="宋体" w:hAnsi="宋体" w:cs="宋体"/>
                <w:color w:val="auto"/>
                <w:szCs w:val="21"/>
              </w:rPr>
              <w:t>0771-8561665</w:t>
            </w:r>
          </w:p>
        </w:tc>
      </w:tr>
      <w:tr w14:paraId="42F06BE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F6FF05">
            <w:pPr>
              <w:widowControl/>
              <w:jc w:val="left"/>
              <w:textAlignment w:val="center"/>
              <w:rPr>
                <w:rFonts w:ascii="宋体" w:hAnsi="宋体" w:cs="宋体"/>
                <w:color w:val="auto"/>
                <w:szCs w:val="21"/>
              </w:rPr>
            </w:pPr>
            <w:r>
              <w:rPr>
                <w:rFonts w:hint="eastAsia" w:ascii="宋体" w:hAnsi="宋体" w:cs="宋体"/>
                <w:color w:val="auto"/>
                <w:szCs w:val="21"/>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1C34670">
            <w:pPr>
              <w:widowControl/>
              <w:jc w:val="left"/>
              <w:textAlignment w:val="center"/>
              <w:rPr>
                <w:rFonts w:ascii="宋体" w:hAnsi="宋体" w:cs="宋体"/>
                <w:color w:val="auto"/>
                <w:szCs w:val="21"/>
              </w:rPr>
            </w:pPr>
            <w:r>
              <w:rPr>
                <w:rFonts w:hint="eastAsia" w:ascii="宋体" w:hAnsi="宋体" w:cs="宋体"/>
                <w:color w:val="auto"/>
                <w:szCs w:val="21"/>
              </w:rPr>
              <w:t>凭祥市-北环路112号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BCC9585">
            <w:pPr>
              <w:widowControl/>
              <w:jc w:val="center"/>
              <w:textAlignment w:val="center"/>
              <w:rPr>
                <w:rFonts w:ascii="宋体" w:hAnsi="宋体" w:cs="宋体"/>
                <w:color w:val="auto"/>
                <w:szCs w:val="21"/>
              </w:rPr>
            </w:pPr>
            <w:r>
              <w:rPr>
                <w:rFonts w:hint="eastAsia" w:ascii="宋体" w:hAnsi="宋体" w:cs="宋体"/>
                <w:color w:val="auto"/>
                <w:szCs w:val="21"/>
              </w:rPr>
              <w:t>0771-8520356</w:t>
            </w:r>
          </w:p>
        </w:tc>
      </w:tr>
      <w:tr w14:paraId="41234E1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D7A19C">
            <w:pPr>
              <w:widowControl/>
              <w:jc w:val="left"/>
              <w:textAlignment w:val="center"/>
              <w:rPr>
                <w:rFonts w:ascii="宋体" w:hAnsi="宋体" w:cs="宋体"/>
                <w:color w:val="auto"/>
                <w:szCs w:val="21"/>
              </w:rPr>
            </w:pPr>
            <w:r>
              <w:rPr>
                <w:rFonts w:hint="eastAsia" w:ascii="宋体" w:hAnsi="宋体" w:cs="宋体"/>
                <w:color w:val="auto"/>
                <w:szCs w:val="21"/>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D3A995F">
            <w:pPr>
              <w:widowControl/>
              <w:jc w:val="left"/>
              <w:textAlignment w:val="center"/>
              <w:rPr>
                <w:rFonts w:ascii="宋体" w:hAnsi="宋体" w:cs="宋体"/>
                <w:color w:val="auto"/>
                <w:szCs w:val="21"/>
              </w:rPr>
            </w:pPr>
            <w:r>
              <w:rPr>
                <w:rFonts w:hint="eastAsia" w:ascii="宋体" w:hAnsi="宋体" w:cs="宋体"/>
                <w:color w:val="auto"/>
                <w:szCs w:val="21"/>
              </w:rPr>
              <w:t>凭祥市友谊关大道13号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C877E61">
            <w:pPr>
              <w:widowControl/>
              <w:jc w:val="center"/>
              <w:textAlignment w:val="center"/>
              <w:rPr>
                <w:rFonts w:ascii="宋体" w:hAnsi="宋体" w:cs="宋体"/>
                <w:color w:val="auto"/>
                <w:szCs w:val="21"/>
              </w:rPr>
            </w:pPr>
            <w:r>
              <w:rPr>
                <w:rFonts w:hint="eastAsia" w:ascii="宋体" w:hAnsi="宋体" w:cs="宋体"/>
                <w:color w:val="auto"/>
                <w:szCs w:val="21"/>
              </w:rPr>
              <w:t>0771-8535667</w:t>
            </w:r>
          </w:p>
        </w:tc>
      </w:tr>
      <w:tr w14:paraId="1C9E968D">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143A61">
            <w:pPr>
              <w:widowControl/>
              <w:jc w:val="left"/>
              <w:textAlignment w:val="center"/>
              <w:rPr>
                <w:rFonts w:ascii="宋体" w:hAnsi="宋体" w:cs="宋体"/>
                <w:color w:val="auto"/>
                <w:szCs w:val="21"/>
              </w:rPr>
            </w:pPr>
            <w:r>
              <w:rPr>
                <w:rFonts w:hint="eastAsia" w:ascii="宋体" w:hAnsi="宋体" w:cs="宋体"/>
                <w:color w:val="auto"/>
                <w:szCs w:val="21"/>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B8A5B2E">
            <w:pPr>
              <w:widowControl/>
              <w:jc w:val="left"/>
              <w:textAlignment w:val="center"/>
              <w:rPr>
                <w:rFonts w:ascii="宋体" w:hAnsi="宋体" w:cs="宋体"/>
                <w:color w:val="auto"/>
                <w:szCs w:val="21"/>
              </w:rPr>
            </w:pPr>
            <w:r>
              <w:rPr>
                <w:rFonts w:hint="eastAsia" w:ascii="宋体" w:hAnsi="宋体" w:cs="宋体"/>
                <w:color w:val="auto"/>
                <w:szCs w:val="21"/>
              </w:rPr>
              <w:t>凭祥市北大路一支40号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A62D503">
            <w:pPr>
              <w:widowControl/>
              <w:jc w:val="center"/>
              <w:textAlignment w:val="center"/>
              <w:rPr>
                <w:rFonts w:ascii="宋体" w:hAnsi="宋体" w:cs="宋体"/>
                <w:color w:val="auto"/>
                <w:szCs w:val="21"/>
              </w:rPr>
            </w:pPr>
            <w:r>
              <w:rPr>
                <w:rFonts w:hint="eastAsia" w:ascii="宋体" w:hAnsi="宋体" w:cs="宋体"/>
                <w:color w:val="auto"/>
                <w:szCs w:val="21"/>
              </w:rPr>
              <w:t>0771-8520550</w:t>
            </w:r>
          </w:p>
        </w:tc>
      </w:tr>
      <w:tr w14:paraId="047D3C6A">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75A1CF">
            <w:pPr>
              <w:widowControl/>
              <w:jc w:val="left"/>
              <w:textAlignment w:val="center"/>
              <w:rPr>
                <w:rFonts w:ascii="宋体" w:hAnsi="宋体" w:cs="宋体"/>
                <w:color w:val="auto"/>
                <w:szCs w:val="21"/>
              </w:rPr>
            </w:pPr>
            <w:r>
              <w:rPr>
                <w:rFonts w:hint="eastAsia" w:ascii="宋体" w:hAnsi="宋体" w:cs="宋体"/>
                <w:color w:val="auto"/>
                <w:szCs w:val="21"/>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F265157">
            <w:pPr>
              <w:widowControl/>
              <w:jc w:val="left"/>
              <w:textAlignment w:val="center"/>
              <w:rPr>
                <w:rFonts w:ascii="宋体" w:hAnsi="宋体" w:cs="宋体"/>
                <w:color w:val="auto"/>
                <w:szCs w:val="21"/>
              </w:rPr>
            </w:pPr>
            <w:r>
              <w:rPr>
                <w:rFonts w:hint="eastAsia" w:ascii="宋体" w:hAnsi="宋体" w:cs="宋体"/>
                <w:color w:val="auto"/>
                <w:szCs w:val="21"/>
              </w:rPr>
              <w:t>凭祥市北大路一支60-1号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59257BC">
            <w:pPr>
              <w:widowControl/>
              <w:jc w:val="center"/>
              <w:textAlignment w:val="center"/>
              <w:rPr>
                <w:rFonts w:ascii="宋体" w:hAnsi="宋体" w:cs="宋体"/>
                <w:color w:val="auto"/>
                <w:szCs w:val="21"/>
              </w:rPr>
            </w:pPr>
            <w:r>
              <w:rPr>
                <w:rFonts w:hint="eastAsia" w:ascii="宋体" w:hAnsi="宋体" w:cs="宋体"/>
                <w:color w:val="auto"/>
                <w:szCs w:val="21"/>
              </w:rPr>
              <w:t>0771-8556667</w:t>
            </w:r>
          </w:p>
        </w:tc>
      </w:tr>
    </w:tbl>
    <w:p w14:paraId="60685023">
      <w:pPr>
        <w:jc w:val="left"/>
        <w:rPr>
          <w:rFonts w:ascii="宋体" w:hAnsi="宋体" w:cs="宋体"/>
          <w:color w:val="auto"/>
          <w:szCs w:val="21"/>
        </w:rPr>
      </w:pPr>
    </w:p>
    <w:p w14:paraId="196EF8AF">
      <w:pPr>
        <w:jc w:val="left"/>
        <w:rPr>
          <w:rFonts w:ascii="宋体" w:hAnsi="宋体" w:cs="宋体"/>
          <w:color w:val="auto"/>
          <w:szCs w:val="21"/>
        </w:rPr>
      </w:pPr>
    </w:p>
    <w:p w14:paraId="58A500C6">
      <w:pPr>
        <w:pStyle w:val="4"/>
        <w:rPr>
          <w:rFonts w:hint="eastAsia" w:ascii="宋体" w:hAnsi="宋体" w:cs="宋体"/>
          <w:color w:val="auto"/>
          <w:szCs w:val="21"/>
        </w:rPr>
      </w:pPr>
    </w:p>
    <w:p w14:paraId="399ACB0F">
      <w:pPr>
        <w:rPr>
          <w:rFonts w:hint="eastAsia" w:ascii="宋体" w:hAnsi="宋体" w:cs="宋体"/>
          <w:color w:val="auto"/>
          <w:szCs w:val="21"/>
        </w:rPr>
      </w:pPr>
    </w:p>
    <w:p w14:paraId="724FD0EB">
      <w:pPr>
        <w:pStyle w:val="4"/>
        <w:rPr>
          <w:rFonts w:hint="eastAsia" w:ascii="宋体" w:hAnsi="宋体" w:cs="宋体"/>
          <w:color w:val="auto"/>
          <w:szCs w:val="21"/>
        </w:rPr>
      </w:pPr>
    </w:p>
    <w:p w14:paraId="6F8B73B0">
      <w:pPr>
        <w:rPr>
          <w:color w:val="auto"/>
        </w:rPr>
      </w:pPr>
    </w:p>
    <w:sectPr>
      <w:footerReference r:id="rId7" w:type="default"/>
      <w:footerReference r:id="rId8" w:type="even"/>
      <w:pgSz w:w="11906" w:h="16838"/>
      <w:pgMar w:top="1304" w:right="1134" w:bottom="113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modern"/>
    <w:pitch w:val="default"/>
    <w:sig w:usb0="E10002FF" w:usb1="4000FCFF" w:usb2="00000009" w:usb3="00000000" w:csb0="6000019F" w:csb1="DFD70000"/>
  </w:font>
  <w:font w:name="华文细黑">
    <w:altName w:val="微软雅黑"/>
    <w:panose1 w:val="00000000000000000000"/>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Ìå">
    <w:altName w:val="Times New Roman"/>
    <w:panose1 w:val="00000000000000000000"/>
    <w:charset w:val="00"/>
    <w:family w:val="auto"/>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新魏">
    <w:altName w:val="宋体"/>
    <w:panose1 w:val="00000000000000000000"/>
    <w:charset w:val="86"/>
    <w:family w:val="auto"/>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322A5">
    <w:pPr>
      <w:pStyle w:val="29"/>
      <w:jc w:val="center"/>
    </w:pPr>
    <w:r>
      <w:fldChar w:fldCharType="begin"/>
    </w:r>
    <w:r>
      <w:instrText xml:space="preserve">PAGE   \* MERGEFORMAT</w:instrText>
    </w:r>
    <w:r>
      <w:fldChar w:fldCharType="separate"/>
    </w:r>
    <w:r>
      <w:rPr>
        <w:lang w:val="zh-CN"/>
      </w:rPr>
      <w:t>8</w:t>
    </w:r>
    <w:r>
      <w:rPr>
        <w:lang w:val="zh-CN"/>
      </w:rPr>
      <w:fldChar w:fldCharType="end"/>
    </w:r>
  </w:p>
  <w:p w14:paraId="6F2DBFCF">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BAD40">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16B5452E">
                          <w:pPr>
                            <w:pStyle w:val="29"/>
                            <w:rPr>
                              <w:rStyle w:val="49"/>
                            </w:rPr>
                          </w:pPr>
                          <w:r>
                            <w:fldChar w:fldCharType="begin"/>
                          </w:r>
                          <w:r>
                            <w:rPr>
                              <w:rStyle w:val="49"/>
                            </w:rPr>
                            <w:instrText xml:space="preserve">PAGE  </w:instrText>
                          </w:r>
                          <w:r>
                            <w:fldChar w:fldCharType="separate"/>
                          </w:r>
                          <w:r>
                            <w:rPr>
                              <w:rStyle w:val="49"/>
                            </w:rPr>
                            <w:t>62</w:t>
                          </w:r>
                          <w: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KH5k70PAgAAEAQAAA4AAAAAAAAAAQAgAAAA&#10;HwEAAGRycy9lMm9Eb2MueG1sUEsFBgAAAAAGAAYAWQEAAKAFAAAAAA==&#10;">
              <v:fill on="f" focussize="0,0"/>
              <v:stroke on="f"/>
              <v:imagedata o:title=""/>
              <o:lock v:ext="edit" aspectratio="f"/>
              <v:textbox inset="0mm,0mm,0mm,0mm" style="mso-fit-shape-to-text:t;">
                <w:txbxContent>
                  <w:p w14:paraId="16B5452E">
                    <w:pPr>
                      <w:pStyle w:val="29"/>
                      <w:rPr>
                        <w:rStyle w:val="49"/>
                      </w:rPr>
                    </w:pPr>
                    <w:r>
                      <w:fldChar w:fldCharType="begin"/>
                    </w:r>
                    <w:r>
                      <w:rPr>
                        <w:rStyle w:val="49"/>
                      </w:rPr>
                      <w:instrText xml:space="preserve">PAGE  </w:instrText>
                    </w:r>
                    <w:r>
                      <w:fldChar w:fldCharType="separate"/>
                    </w:r>
                    <w:r>
                      <w:rPr>
                        <w:rStyle w:val="49"/>
                      </w:rPr>
                      <w:t>62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37CF4">
    <w:pPr>
      <w:pStyle w:val="29"/>
      <w:framePr w:wrap="around" w:vAnchor="text" w:hAnchor="margin" w:xAlign="center" w:y="1"/>
      <w:rPr>
        <w:rStyle w:val="49"/>
      </w:rPr>
    </w:pPr>
    <w:r>
      <w:fldChar w:fldCharType="begin"/>
    </w:r>
    <w:r>
      <w:rPr>
        <w:rStyle w:val="49"/>
      </w:rPr>
      <w:instrText xml:space="preserve">PAGE  </w:instrText>
    </w:r>
    <w:r>
      <w:fldChar w:fldCharType="end"/>
    </w:r>
  </w:p>
  <w:p w14:paraId="7D6611F4">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4C821">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030"/>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45CCDB3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1030"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PlfknQAAAAAwEAAA8AAAAAAAAAAQAgAAAAIgAA&#10;AGRycy9kb3ducmV2LnhtbFBLAQIUABQAAAAIAIdO4kDUPJryEAIAABMEAAAOAAAAAAAAAAEAIAAA&#10;AB8BAABkcnMvZTJvRG9jLnhtbFBLBQYAAAAABgAGAFkBAAChBQAAAAA=&#10;">
              <v:fill on="f" focussize="0,0"/>
              <v:stroke on="f"/>
              <v:imagedata o:title=""/>
              <o:lock v:ext="edit" aspectratio="f"/>
              <v:textbox inset="0mm,0mm,0mm,0mm" style="mso-fit-shape-to-text:t;">
                <w:txbxContent>
                  <w:p w14:paraId="45CCDB3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8C954">
    <w:pPr>
      <w:pStyle w:val="29"/>
      <w:framePr w:wrap="around" w:vAnchor="text" w:hAnchor="margin" w:xAlign="center" w:y="1"/>
      <w:rPr>
        <w:rStyle w:val="49"/>
      </w:rPr>
    </w:pPr>
    <w:r>
      <w:fldChar w:fldCharType="begin"/>
    </w:r>
    <w:r>
      <w:rPr>
        <w:rStyle w:val="49"/>
      </w:rPr>
      <w:instrText xml:space="preserve">PAGE  </w:instrText>
    </w:r>
    <w:r>
      <w:fldChar w:fldCharType="end"/>
    </w:r>
  </w:p>
  <w:p w14:paraId="13A25E5A">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B1261">
    <w:pPr>
      <w:pStyle w:val="30"/>
      <w:pBdr>
        <w:bottom w:val="none" w:color="auto" w:sz="0" w:space="0"/>
      </w:pBdr>
      <w:jc w:val="right"/>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196B80"/>
    <w:multiLevelType w:val="singleLevel"/>
    <w:tmpl w:val="BD196B80"/>
    <w:lvl w:ilvl="0" w:tentative="0">
      <w:start w:val="1"/>
      <w:numFmt w:val="decimal"/>
      <w:suff w:val="space"/>
      <w:lvlText w:val="%1."/>
      <w:lvlJc w:val="left"/>
    </w:lvl>
  </w:abstractNum>
  <w:abstractNum w:abstractNumId="1">
    <w:nsid w:val="DA74C377"/>
    <w:multiLevelType w:val="singleLevel"/>
    <w:tmpl w:val="DA74C377"/>
    <w:lvl w:ilvl="0" w:tentative="0">
      <w:start w:val="1"/>
      <w:numFmt w:val="decimal"/>
      <w:suff w:val="nothing"/>
      <w:lvlText w:val="（%1）"/>
      <w:lvlJc w:val="left"/>
    </w:lvl>
  </w:abstractNum>
  <w:abstractNum w:abstractNumId="2">
    <w:nsid w:val="2659688A"/>
    <w:multiLevelType w:val="singleLevel"/>
    <w:tmpl w:val="2659688A"/>
    <w:lvl w:ilvl="0" w:tentative="0">
      <w:start w:val="7"/>
      <w:numFmt w:val="decimal"/>
      <w:pStyle w:val="245"/>
      <w:lvlText w:val="%1、"/>
      <w:lvlJc w:val="left"/>
      <w:pPr>
        <w:tabs>
          <w:tab w:val="left" w:pos="1260"/>
        </w:tabs>
        <w:ind w:left="1260" w:hanging="720"/>
      </w:pPr>
      <w:rPr>
        <w:rFonts w:hint="eastAsia"/>
      </w:rPr>
    </w:lvl>
  </w:abstractNum>
  <w:abstractNum w:abstractNumId="3">
    <w:nsid w:val="53578075"/>
    <w:multiLevelType w:val="singleLevel"/>
    <w:tmpl w:val="53578075"/>
    <w:lvl w:ilvl="0" w:tentative="0">
      <w:start w:val="2"/>
      <w:numFmt w:val="decimal"/>
      <w:suff w:val="nothing"/>
      <w:lvlText w:val="（%1）"/>
      <w:lvlJc w:val="left"/>
    </w:lvl>
  </w:abstractNum>
  <w:abstractNum w:abstractNumId="4">
    <w:nsid w:val="5A23BBC6"/>
    <w:multiLevelType w:val="singleLevel"/>
    <w:tmpl w:val="5A23BBC6"/>
    <w:lvl w:ilvl="0" w:tentative="0">
      <w:start w:val="2"/>
      <w:numFmt w:val="chineseCounting"/>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mZTQxYWRmOGEwYzc5ODllZDU5MjZjOGYyZTQwNWMifQ=="/>
  </w:docVars>
  <w:rsids>
    <w:rsidRoot w:val="00172A27"/>
    <w:rsid w:val="00000953"/>
    <w:rsid w:val="00000F72"/>
    <w:rsid w:val="00002848"/>
    <w:rsid w:val="00002D06"/>
    <w:rsid w:val="0000367E"/>
    <w:rsid w:val="0000401E"/>
    <w:rsid w:val="000043FB"/>
    <w:rsid w:val="00004564"/>
    <w:rsid w:val="00004A40"/>
    <w:rsid w:val="00007FDD"/>
    <w:rsid w:val="00010215"/>
    <w:rsid w:val="00010A88"/>
    <w:rsid w:val="00011934"/>
    <w:rsid w:val="00011BC1"/>
    <w:rsid w:val="00014128"/>
    <w:rsid w:val="00014131"/>
    <w:rsid w:val="000142D8"/>
    <w:rsid w:val="0001443F"/>
    <w:rsid w:val="00014639"/>
    <w:rsid w:val="00015073"/>
    <w:rsid w:val="00015369"/>
    <w:rsid w:val="00015C4D"/>
    <w:rsid w:val="000162B6"/>
    <w:rsid w:val="00016791"/>
    <w:rsid w:val="00016E98"/>
    <w:rsid w:val="0001798A"/>
    <w:rsid w:val="00020532"/>
    <w:rsid w:val="000206AF"/>
    <w:rsid w:val="00021640"/>
    <w:rsid w:val="000229FD"/>
    <w:rsid w:val="00023164"/>
    <w:rsid w:val="0002331D"/>
    <w:rsid w:val="00023523"/>
    <w:rsid w:val="000237C4"/>
    <w:rsid w:val="00023F63"/>
    <w:rsid w:val="000244F8"/>
    <w:rsid w:val="0002455D"/>
    <w:rsid w:val="00024676"/>
    <w:rsid w:val="000270D7"/>
    <w:rsid w:val="000316C1"/>
    <w:rsid w:val="000331C4"/>
    <w:rsid w:val="000336DA"/>
    <w:rsid w:val="000340C8"/>
    <w:rsid w:val="00034923"/>
    <w:rsid w:val="00034DE8"/>
    <w:rsid w:val="000367A3"/>
    <w:rsid w:val="0003756D"/>
    <w:rsid w:val="000378C5"/>
    <w:rsid w:val="000379AC"/>
    <w:rsid w:val="00037B19"/>
    <w:rsid w:val="00040D09"/>
    <w:rsid w:val="0004192E"/>
    <w:rsid w:val="00041D16"/>
    <w:rsid w:val="00042022"/>
    <w:rsid w:val="000422BF"/>
    <w:rsid w:val="0004281C"/>
    <w:rsid w:val="00042FD9"/>
    <w:rsid w:val="00043EF5"/>
    <w:rsid w:val="000446F7"/>
    <w:rsid w:val="000448CD"/>
    <w:rsid w:val="0004529D"/>
    <w:rsid w:val="000454C0"/>
    <w:rsid w:val="000455CF"/>
    <w:rsid w:val="00045EE1"/>
    <w:rsid w:val="0004685F"/>
    <w:rsid w:val="00046B1D"/>
    <w:rsid w:val="00050775"/>
    <w:rsid w:val="00051D9B"/>
    <w:rsid w:val="0005239B"/>
    <w:rsid w:val="000528F2"/>
    <w:rsid w:val="00052F1B"/>
    <w:rsid w:val="000535D7"/>
    <w:rsid w:val="00054C3C"/>
    <w:rsid w:val="0005511B"/>
    <w:rsid w:val="0005575C"/>
    <w:rsid w:val="00057322"/>
    <w:rsid w:val="000575E8"/>
    <w:rsid w:val="00062E51"/>
    <w:rsid w:val="00063067"/>
    <w:rsid w:val="0006319A"/>
    <w:rsid w:val="00063B28"/>
    <w:rsid w:val="00063D49"/>
    <w:rsid w:val="00065165"/>
    <w:rsid w:val="000653A8"/>
    <w:rsid w:val="00065FD8"/>
    <w:rsid w:val="00066821"/>
    <w:rsid w:val="00066860"/>
    <w:rsid w:val="0006702E"/>
    <w:rsid w:val="0006714B"/>
    <w:rsid w:val="000672AC"/>
    <w:rsid w:val="00067E8C"/>
    <w:rsid w:val="00070982"/>
    <w:rsid w:val="00070B71"/>
    <w:rsid w:val="00071007"/>
    <w:rsid w:val="00071318"/>
    <w:rsid w:val="0007168E"/>
    <w:rsid w:val="000728A8"/>
    <w:rsid w:val="000730A4"/>
    <w:rsid w:val="00074C10"/>
    <w:rsid w:val="000751B2"/>
    <w:rsid w:val="00075B61"/>
    <w:rsid w:val="00076B10"/>
    <w:rsid w:val="00077175"/>
    <w:rsid w:val="00080A9D"/>
    <w:rsid w:val="00080ABC"/>
    <w:rsid w:val="000822BF"/>
    <w:rsid w:val="000826B8"/>
    <w:rsid w:val="000835D4"/>
    <w:rsid w:val="0008484F"/>
    <w:rsid w:val="0008558E"/>
    <w:rsid w:val="00085833"/>
    <w:rsid w:val="00086937"/>
    <w:rsid w:val="00086A3B"/>
    <w:rsid w:val="00086DFC"/>
    <w:rsid w:val="00087072"/>
    <w:rsid w:val="00087E1B"/>
    <w:rsid w:val="0009202F"/>
    <w:rsid w:val="00092103"/>
    <w:rsid w:val="0009288C"/>
    <w:rsid w:val="00092FC6"/>
    <w:rsid w:val="00094397"/>
    <w:rsid w:val="00095646"/>
    <w:rsid w:val="00095E53"/>
    <w:rsid w:val="000968BC"/>
    <w:rsid w:val="000A06CE"/>
    <w:rsid w:val="000A0D50"/>
    <w:rsid w:val="000A0EAB"/>
    <w:rsid w:val="000A124D"/>
    <w:rsid w:val="000A12CE"/>
    <w:rsid w:val="000A1461"/>
    <w:rsid w:val="000A1E84"/>
    <w:rsid w:val="000A3DFE"/>
    <w:rsid w:val="000A563C"/>
    <w:rsid w:val="000A7629"/>
    <w:rsid w:val="000A76DE"/>
    <w:rsid w:val="000A78ED"/>
    <w:rsid w:val="000B18EF"/>
    <w:rsid w:val="000B26F6"/>
    <w:rsid w:val="000B2783"/>
    <w:rsid w:val="000B34AE"/>
    <w:rsid w:val="000B3A3A"/>
    <w:rsid w:val="000B446F"/>
    <w:rsid w:val="000B44B8"/>
    <w:rsid w:val="000B5472"/>
    <w:rsid w:val="000B65D4"/>
    <w:rsid w:val="000B72C1"/>
    <w:rsid w:val="000B7448"/>
    <w:rsid w:val="000B7BA8"/>
    <w:rsid w:val="000C0EDC"/>
    <w:rsid w:val="000C16EA"/>
    <w:rsid w:val="000C17B5"/>
    <w:rsid w:val="000C2D68"/>
    <w:rsid w:val="000C3805"/>
    <w:rsid w:val="000C3A17"/>
    <w:rsid w:val="000C4574"/>
    <w:rsid w:val="000C548A"/>
    <w:rsid w:val="000C54F8"/>
    <w:rsid w:val="000C5DB5"/>
    <w:rsid w:val="000C647E"/>
    <w:rsid w:val="000D0A7A"/>
    <w:rsid w:val="000D0DCF"/>
    <w:rsid w:val="000D13A4"/>
    <w:rsid w:val="000D1F08"/>
    <w:rsid w:val="000D1F23"/>
    <w:rsid w:val="000D26D4"/>
    <w:rsid w:val="000D2911"/>
    <w:rsid w:val="000D2C68"/>
    <w:rsid w:val="000D4016"/>
    <w:rsid w:val="000D40CA"/>
    <w:rsid w:val="000D4253"/>
    <w:rsid w:val="000D4C3A"/>
    <w:rsid w:val="000D5065"/>
    <w:rsid w:val="000D5F15"/>
    <w:rsid w:val="000D6A91"/>
    <w:rsid w:val="000D6B0C"/>
    <w:rsid w:val="000D6E2A"/>
    <w:rsid w:val="000D6F43"/>
    <w:rsid w:val="000E0B20"/>
    <w:rsid w:val="000E0C60"/>
    <w:rsid w:val="000E1319"/>
    <w:rsid w:val="000E1CC6"/>
    <w:rsid w:val="000E5545"/>
    <w:rsid w:val="000E6288"/>
    <w:rsid w:val="000E6483"/>
    <w:rsid w:val="000F021E"/>
    <w:rsid w:val="000F026D"/>
    <w:rsid w:val="000F123C"/>
    <w:rsid w:val="000F1CA2"/>
    <w:rsid w:val="000F2A44"/>
    <w:rsid w:val="000F4D6A"/>
    <w:rsid w:val="000F6C2F"/>
    <w:rsid w:val="000F7712"/>
    <w:rsid w:val="000F7A47"/>
    <w:rsid w:val="001009E3"/>
    <w:rsid w:val="00102DBD"/>
    <w:rsid w:val="001044F3"/>
    <w:rsid w:val="0010503C"/>
    <w:rsid w:val="00105C2B"/>
    <w:rsid w:val="001063A6"/>
    <w:rsid w:val="00107281"/>
    <w:rsid w:val="00107CB4"/>
    <w:rsid w:val="00107DBE"/>
    <w:rsid w:val="00107DC8"/>
    <w:rsid w:val="00107E74"/>
    <w:rsid w:val="0011033F"/>
    <w:rsid w:val="00110965"/>
    <w:rsid w:val="00112F08"/>
    <w:rsid w:val="0011372F"/>
    <w:rsid w:val="00114E16"/>
    <w:rsid w:val="001153D6"/>
    <w:rsid w:val="00115AFC"/>
    <w:rsid w:val="00115DA4"/>
    <w:rsid w:val="00116438"/>
    <w:rsid w:val="00116466"/>
    <w:rsid w:val="00117410"/>
    <w:rsid w:val="00117C93"/>
    <w:rsid w:val="00117FD1"/>
    <w:rsid w:val="00121E26"/>
    <w:rsid w:val="00122AF5"/>
    <w:rsid w:val="00123FAE"/>
    <w:rsid w:val="00127986"/>
    <w:rsid w:val="00127A4C"/>
    <w:rsid w:val="00127A81"/>
    <w:rsid w:val="00127AC3"/>
    <w:rsid w:val="00127BBE"/>
    <w:rsid w:val="00127D05"/>
    <w:rsid w:val="001305F4"/>
    <w:rsid w:val="00130640"/>
    <w:rsid w:val="0013259B"/>
    <w:rsid w:val="00132E42"/>
    <w:rsid w:val="00132E91"/>
    <w:rsid w:val="0013375D"/>
    <w:rsid w:val="001338A3"/>
    <w:rsid w:val="001404A1"/>
    <w:rsid w:val="001404A9"/>
    <w:rsid w:val="00140CE0"/>
    <w:rsid w:val="00140EE7"/>
    <w:rsid w:val="001417FC"/>
    <w:rsid w:val="00141A43"/>
    <w:rsid w:val="00141FF4"/>
    <w:rsid w:val="001420DC"/>
    <w:rsid w:val="00144107"/>
    <w:rsid w:val="00144308"/>
    <w:rsid w:val="001447E2"/>
    <w:rsid w:val="00144C52"/>
    <w:rsid w:val="001457FA"/>
    <w:rsid w:val="001479F5"/>
    <w:rsid w:val="00150819"/>
    <w:rsid w:val="00150D4B"/>
    <w:rsid w:val="00151917"/>
    <w:rsid w:val="001519F9"/>
    <w:rsid w:val="00152350"/>
    <w:rsid w:val="0015555B"/>
    <w:rsid w:val="00155A82"/>
    <w:rsid w:val="00156DD2"/>
    <w:rsid w:val="001571F3"/>
    <w:rsid w:val="00157E3B"/>
    <w:rsid w:val="00162C9C"/>
    <w:rsid w:val="001638A6"/>
    <w:rsid w:val="00163C04"/>
    <w:rsid w:val="001650A5"/>
    <w:rsid w:val="001655AB"/>
    <w:rsid w:val="00165769"/>
    <w:rsid w:val="001712AF"/>
    <w:rsid w:val="00172A27"/>
    <w:rsid w:val="00172A7A"/>
    <w:rsid w:val="001730C0"/>
    <w:rsid w:val="00175751"/>
    <w:rsid w:val="00175826"/>
    <w:rsid w:val="001762FF"/>
    <w:rsid w:val="00176FA3"/>
    <w:rsid w:val="0017778E"/>
    <w:rsid w:val="00180895"/>
    <w:rsid w:val="00182D48"/>
    <w:rsid w:val="0018344B"/>
    <w:rsid w:val="001835F6"/>
    <w:rsid w:val="001850C4"/>
    <w:rsid w:val="001858C2"/>
    <w:rsid w:val="00185A5D"/>
    <w:rsid w:val="001909B5"/>
    <w:rsid w:val="00191610"/>
    <w:rsid w:val="001945DF"/>
    <w:rsid w:val="00196485"/>
    <w:rsid w:val="00196A28"/>
    <w:rsid w:val="00196C36"/>
    <w:rsid w:val="001A0630"/>
    <w:rsid w:val="001A1BC9"/>
    <w:rsid w:val="001A42E4"/>
    <w:rsid w:val="001A456E"/>
    <w:rsid w:val="001A461C"/>
    <w:rsid w:val="001A50ED"/>
    <w:rsid w:val="001A768C"/>
    <w:rsid w:val="001A7B91"/>
    <w:rsid w:val="001B14E9"/>
    <w:rsid w:val="001B15D7"/>
    <w:rsid w:val="001B2580"/>
    <w:rsid w:val="001B2A61"/>
    <w:rsid w:val="001B3D80"/>
    <w:rsid w:val="001B4CF4"/>
    <w:rsid w:val="001B4E50"/>
    <w:rsid w:val="001B5157"/>
    <w:rsid w:val="001B55B3"/>
    <w:rsid w:val="001B77A9"/>
    <w:rsid w:val="001C293E"/>
    <w:rsid w:val="001C2E31"/>
    <w:rsid w:val="001C30BA"/>
    <w:rsid w:val="001C322A"/>
    <w:rsid w:val="001C3A5C"/>
    <w:rsid w:val="001C3BF9"/>
    <w:rsid w:val="001C51B4"/>
    <w:rsid w:val="001C5FF6"/>
    <w:rsid w:val="001C6356"/>
    <w:rsid w:val="001D0015"/>
    <w:rsid w:val="001D09C2"/>
    <w:rsid w:val="001D1F31"/>
    <w:rsid w:val="001D2C4B"/>
    <w:rsid w:val="001D2E43"/>
    <w:rsid w:val="001D3F52"/>
    <w:rsid w:val="001D45D9"/>
    <w:rsid w:val="001D5F6E"/>
    <w:rsid w:val="001D6318"/>
    <w:rsid w:val="001D724F"/>
    <w:rsid w:val="001D7393"/>
    <w:rsid w:val="001D7EDF"/>
    <w:rsid w:val="001E0118"/>
    <w:rsid w:val="001E0904"/>
    <w:rsid w:val="001E09EB"/>
    <w:rsid w:val="001E1B6D"/>
    <w:rsid w:val="001E2405"/>
    <w:rsid w:val="001E2C78"/>
    <w:rsid w:val="001E2F92"/>
    <w:rsid w:val="001E6FAB"/>
    <w:rsid w:val="001E7CC1"/>
    <w:rsid w:val="001F0DA4"/>
    <w:rsid w:val="001F2668"/>
    <w:rsid w:val="001F2832"/>
    <w:rsid w:val="001F4E11"/>
    <w:rsid w:val="001F4E5A"/>
    <w:rsid w:val="001F5C08"/>
    <w:rsid w:val="001F6003"/>
    <w:rsid w:val="001F6CDF"/>
    <w:rsid w:val="001F710A"/>
    <w:rsid w:val="001F7B9E"/>
    <w:rsid w:val="001F7D02"/>
    <w:rsid w:val="00200DA4"/>
    <w:rsid w:val="002019C7"/>
    <w:rsid w:val="00201ADA"/>
    <w:rsid w:val="002021EC"/>
    <w:rsid w:val="00203238"/>
    <w:rsid w:val="00204403"/>
    <w:rsid w:val="00205ACE"/>
    <w:rsid w:val="00206C99"/>
    <w:rsid w:val="0020745E"/>
    <w:rsid w:val="002077EC"/>
    <w:rsid w:val="00207DF6"/>
    <w:rsid w:val="002105CE"/>
    <w:rsid w:val="00210B15"/>
    <w:rsid w:val="00211FB8"/>
    <w:rsid w:val="002127CE"/>
    <w:rsid w:val="00212C85"/>
    <w:rsid w:val="0021345A"/>
    <w:rsid w:val="002134EE"/>
    <w:rsid w:val="002141AB"/>
    <w:rsid w:val="002156BD"/>
    <w:rsid w:val="00215C33"/>
    <w:rsid w:val="0021636E"/>
    <w:rsid w:val="002167C1"/>
    <w:rsid w:val="00216CCF"/>
    <w:rsid w:val="00216D92"/>
    <w:rsid w:val="00217053"/>
    <w:rsid w:val="00217E54"/>
    <w:rsid w:val="002208ED"/>
    <w:rsid w:val="00220CE7"/>
    <w:rsid w:val="00220FEC"/>
    <w:rsid w:val="00222618"/>
    <w:rsid w:val="002241B4"/>
    <w:rsid w:val="002245D0"/>
    <w:rsid w:val="00224621"/>
    <w:rsid w:val="00224835"/>
    <w:rsid w:val="00224E89"/>
    <w:rsid w:val="0022513E"/>
    <w:rsid w:val="00225674"/>
    <w:rsid w:val="00226514"/>
    <w:rsid w:val="00226703"/>
    <w:rsid w:val="00226813"/>
    <w:rsid w:val="0022756D"/>
    <w:rsid w:val="0023217A"/>
    <w:rsid w:val="002326AC"/>
    <w:rsid w:val="002328BA"/>
    <w:rsid w:val="00232BB2"/>
    <w:rsid w:val="00232CC0"/>
    <w:rsid w:val="00233456"/>
    <w:rsid w:val="002337C3"/>
    <w:rsid w:val="00233E1D"/>
    <w:rsid w:val="002348AB"/>
    <w:rsid w:val="00234C74"/>
    <w:rsid w:val="002350DE"/>
    <w:rsid w:val="0023705B"/>
    <w:rsid w:val="00241839"/>
    <w:rsid w:val="00241B23"/>
    <w:rsid w:val="0024214A"/>
    <w:rsid w:val="00243FB0"/>
    <w:rsid w:val="002448BA"/>
    <w:rsid w:val="00244A0F"/>
    <w:rsid w:val="00246392"/>
    <w:rsid w:val="00250468"/>
    <w:rsid w:val="0025078A"/>
    <w:rsid w:val="00250A4B"/>
    <w:rsid w:val="00250AC0"/>
    <w:rsid w:val="002519E2"/>
    <w:rsid w:val="002529D3"/>
    <w:rsid w:val="002533C0"/>
    <w:rsid w:val="0025384F"/>
    <w:rsid w:val="002540FB"/>
    <w:rsid w:val="0025496A"/>
    <w:rsid w:val="00256C8C"/>
    <w:rsid w:val="0026020C"/>
    <w:rsid w:val="002621C8"/>
    <w:rsid w:val="0026256E"/>
    <w:rsid w:val="00262641"/>
    <w:rsid w:val="002632AD"/>
    <w:rsid w:val="0026330B"/>
    <w:rsid w:val="00263CE2"/>
    <w:rsid w:val="002645D9"/>
    <w:rsid w:val="00265F51"/>
    <w:rsid w:val="00267BB9"/>
    <w:rsid w:val="00270C1D"/>
    <w:rsid w:val="00273354"/>
    <w:rsid w:val="00274C65"/>
    <w:rsid w:val="00274D41"/>
    <w:rsid w:val="00276626"/>
    <w:rsid w:val="002771B6"/>
    <w:rsid w:val="0027724E"/>
    <w:rsid w:val="00280B23"/>
    <w:rsid w:val="00280CAD"/>
    <w:rsid w:val="002812C3"/>
    <w:rsid w:val="002814C0"/>
    <w:rsid w:val="0028156F"/>
    <w:rsid w:val="00281C5E"/>
    <w:rsid w:val="00282850"/>
    <w:rsid w:val="00282F80"/>
    <w:rsid w:val="002854D2"/>
    <w:rsid w:val="0028610B"/>
    <w:rsid w:val="00286146"/>
    <w:rsid w:val="002861A2"/>
    <w:rsid w:val="00286C08"/>
    <w:rsid w:val="0028709A"/>
    <w:rsid w:val="00290313"/>
    <w:rsid w:val="0029082A"/>
    <w:rsid w:val="00290999"/>
    <w:rsid w:val="00291BB8"/>
    <w:rsid w:val="00293093"/>
    <w:rsid w:val="00293322"/>
    <w:rsid w:val="00293704"/>
    <w:rsid w:val="00293B13"/>
    <w:rsid w:val="002941D5"/>
    <w:rsid w:val="00295AA8"/>
    <w:rsid w:val="00295C12"/>
    <w:rsid w:val="00295E45"/>
    <w:rsid w:val="00296FAA"/>
    <w:rsid w:val="0029736A"/>
    <w:rsid w:val="002976E2"/>
    <w:rsid w:val="00297F83"/>
    <w:rsid w:val="002A0175"/>
    <w:rsid w:val="002A223F"/>
    <w:rsid w:val="002A2B9E"/>
    <w:rsid w:val="002A2FF9"/>
    <w:rsid w:val="002A31A3"/>
    <w:rsid w:val="002A3A73"/>
    <w:rsid w:val="002A4DAB"/>
    <w:rsid w:val="002A5447"/>
    <w:rsid w:val="002A7933"/>
    <w:rsid w:val="002A7FA5"/>
    <w:rsid w:val="002B029F"/>
    <w:rsid w:val="002B02A0"/>
    <w:rsid w:val="002B1465"/>
    <w:rsid w:val="002B1787"/>
    <w:rsid w:val="002B1C25"/>
    <w:rsid w:val="002B2089"/>
    <w:rsid w:val="002B2689"/>
    <w:rsid w:val="002B2C27"/>
    <w:rsid w:val="002B3103"/>
    <w:rsid w:val="002B3352"/>
    <w:rsid w:val="002B458D"/>
    <w:rsid w:val="002B4783"/>
    <w:rsid w:val="002B4B47"/>
    <w:rsid w:val="002B570D"/>
    <w:rsid w:val="002B5713"/>
    <w:rsid w:val="002B5B83"/>
    <w:rsid w:val="002B6800"/>
    <w:rsid w:val="002B6EA3"/>
    <w:rsid w:val="002C07D4"/>
    <w:rsid w:val="002C0FEF"/>
    <w:rsid w:val="002C288F"/>
    <w:rsid w:val="002C375D"/>
    <w:rsid w:val="002C4800"/>
    <w:rsid w:val="002C4AA3"/>
    <w:rsid w:val="002C667A"/>
    <w:rsid w:val="002C7114"/>
    <w:rsid w:val="002D0139"/>
    <w:rsid w:val="002D075F"/>
    <w:rsid w:val="002D0A5B"/>
    <w:rsid w:val="002D2BEC"/>
    <w:rsid w:val="002D2E68"/>
    <w:rsid w:val="002D3857"/>
    <w:rsid w:val="002D3DDE"/>
    <w:rsid w:val="002D4850"/>
    <w:rsid w:val="002D4B79"/>
    <w:rsid w:val="002D4C2E"/>
    <w:rsid w:val="002D4D19"/>
    <w:rsid w:val="002D5EE6"/>
    <w:rsid w:val="002D5F58"/>
    <w:rsid w:val="002D5FB6"/>
    <w:rsid w:val="002D7109"/>
    <w:rsid w:val="002D718E"/>
    <w:rsid w:val="002E0288"/>
    <w:rsid w:val="002E0587"/>
    <w:rsid w:val="002E0DDB"/>
    <w:rsid w:val="002E18B8"/>
    <w:rsid w:val="002E37EC"/>
    <w:rsid w:val="002E3A91"/>
    <w:rsid w:val="002E3BA2"/>
    <w:rsid w:val="002E6286"/>
    <w:rsid w:val="002E639B"/>
    <w:rsid w:val="002E654D"/>
    <w:rsid w:val="002E6E90"/>
    <w:rsid w:val="002E74A0"/>
    <w:rsid w:val="002F1837"/>
    <w:rsid w:val="002F2ECE"/>
    <w:rsid w:val="002F2FB6"/>
    <w:rsid w:val="002F39E5"/>
    <w:rsid w:val="002F4459"/>
    <w:rsid w:val="002F4B93"/>
    <w:rsid w:val="002F5E70"/>
    <w:rsid w:val="002F6864"/>
    <w:rsid w:val="002F7841"/>
    <w:rsid w:val="00301944"/>
    <w:rsid w:val="00301C39"/>
    <w:rsid w:val="00301D8E"/>
    <w:rsid w:val="00303313"/>
    <w:rsid w:val="00303898"/>
    <w:rsid w:val="00305482"/>
    <w:rsid w:val="00306649"/>
    <w:rsid w:val="003078A6"/>
    <w:rsid w:val="00307AB2"/>
    <w:rsid w:val="003109D4"/>
    <w:rsid w:val="00311328"/>
    <w:rsid w:val="00311DB4"/>
    <w:rsid w:val="0031250A"/>
    <w:rsid w:val="003128F4"/>
    <w:rsid w:val="0031415A"/>
    <w:rsid w:val="003144BC"/>
    <w:rsid w:val="00314AC3"/>
    <w:rsid w:val="00314BC5"/>
    <w:rsid w:val="00315E45"/>
    <w:rsid w:val="00316886"/>
    <w:rsid w:val="00317172"/>
    <w:rsid w:val="0032337F"/>
    <w:rsid w:val="00323AEF"/>
    <w:rsid w:val="00324A8B"/>
    <w:rsid w:val="00324EEC"/>
    <w:rsid w:val="0032532C"/>
    <w:rsid w:val="00325C7B"/>
    <w:rsid w:val="003271CE"/>
    <w:rsid w:val="0033110E"/>
    <w:rsid w:val="003315DD"/>
    <w:rsid w:val="00331A68"/>
    <w:rsid w:val="00333401"/>
    <w:rsid w:val="00334410"/>
    <w:rsid w:val="003371E1"/>
    <w:rsid w:val="003371F3"/>
    <w:rsid w:val="0034036C"/>
    <w:rsid w:val="00340EF8"/>
    <w:rsid w:val="00343873"/>
    <w:rsid w:val="00343A34"/>
    <w:rsid w:val="00343ED8"/>
    <w:rsid w:val="003444E1"/>
    <w:rsid w:val="00345229"/>
    <w:rsid w:val="00345585"/>
    <w:rsid w:val="0034673C"/>
    <w:rsid w:val="0034754D"/>
    <w:rsid w:val="00347AA3"/>
    <w:rsid w:val="003501D9"/>
    <w:rsid w:val="00350420"/>
    <w:rsid w:val="003513A6"/>
    <w:rsid w:val="0035200C"/>
    <w:rsid w:val="0035238A"/>
    <w:rsid w:val="003534A5"/>
    <w:rsid w:val="00353F0D"/>
    <w:rsid w:val="00355BE4"/>
    <w:rsid w:val="00356129"/>
    <w:rsid w:val="00356165"/>
    <w:rsid w:val="00356E19"/>
    <w:rsid w:val="00357410"/>
    <w:rsid w:val="003601C9"/>
    <w:rsid w:val="00361552"/>
    <w:rsid w:val="00361849"/>
    <w:rsid w:val="0036193F"/>
    <w:rsid w:val="00361DC5"/>
    <w:rsid w:val="003620A9"/>
    <w:rsid w:val="003629C5"/>
    <w:rsid w:val="00363190"/>
    <w:rsid w:val="003642A6"/>
    <w:rsid w:val="003643D2"/>
    <w:rsid w:val="00367CE2"/>
    <w:rsid w:val="0037009D"/>
    <w:rsid w:val="003705B5"/>
    <w:rsid w:val="00370BC4"/>
    <w:rsid w:val="00371612"/>
    <w:rsid w:val="00371790"/>
    <w:rsid w:val="003717B0"/>
    <w:rsid w:val="0037294C"/>
    <w:rsid w:val="003729B4"/>
    <w:rsid w:val="0037306D"/>
    <w:rsid w:val="00373AAD"/>
    <w:rsid w:val="00374AEC"/>
    <w:rsid w:val="00376B16"/>
    <w:rsid w:val="003770B9"/>
    <w:rsid w:val="003774B5"/>
    <w:rsid w:val="003774F1"/>
    <w:rsid w:val="003779AD"/>
    <w:rsid w:val="00377A14"/>
    <w:rsid w:val="003819D8"/>
    <w:rsid w:val="00382421"/>
    <w:rsid w:val="003830F3"/>
    <w:rsid w:val="003838A4"/>
    <w:rsid w:val="00384CF8"/>
    <w:rsid w:val="003874A1"/>
    <w:rsid w:val="00391659"/>
    <w:rsid w:val="0039178F"/>
    <w:rsid w:val="00391E97"/>
    <w:rsid w:val="003923F8"/>
    <w:rsid w:val="00392F1E"/>
    <w:rsid w:val="003938A8"/>
    <w:rsid w:val="00393C09"/>
    <w:rsid w:val="00393F7F"/>
    <w:rsid w:val="0039485D"/>
    <w:rsid w:val="00394F78"/>
    <w:rsid w:val="00396BC5"/>
    <w:rsid w:val="003974C4"/>
    <w:rsid w:val="00397505"/>
    <w:rsid w:val="0039769C"/>
    <w:rsid w:val="003A1D01"/>
    <w:rsid w:val="003A1D41"/>
    <w:rsid w:val="003A266E"/>
    <w:rsid w:val="003A3D05"/>
    <w:rsid w:val="003A642D"/>
    <w:rsid w:val="003A6FA6"/>
    <w:rsid w:val="003A79EC"/>
    <w:rsid w:val="003A7CBF"/>
    <w:rsid w:val="003B015C"/>
    <w:rsid w:val="003B09C2"/>
    <w:rsid w:val="003B1360"/>
    <w:rsid w:val="003B14BD"/>
    <w:rsid w:val="003B2EC3"/>
    <w:rsid w:val="003B48F3"/>
    <w:rsid w:val="003B792E"/>
    <w:rsid w:val="003B7951"/>
    <w:rsid w:val="003B7EAA"/>
    <w:rsid w:val="003C1773"/>
    <w:rsid w:val="003C1E47"/>
    <w:rsid w:val="003C394C"/>
    <w:rsid w:val="003C3DF1"/>
    <w:rsid w:val="003C403E"/>
    <w:rsid w:val="003C512E"/>
    <w:rsid w:val="003C5896"/>
    <w:rsid w:val="003C63E6"/>
    <w:rsid w:val="003C7250"/>
    <w:rsid w:val="003C7C91"/>
    <w:rsid w:val="003D04D6"/>
    <w:rsid w:val="003D1CD9"/>
    <w:rsid w:val="003D47E5"/>
    <w:rsid w:val="003D56E0"/>
    <w:rsid w:val="003E0281"/>
    <w:rsid w:val="003E1A49"/>
    <w:rsid w:val="003E1FE8"/>
    <w:rsid w:val="003E2556"/>
    <w:rsid w:val="003E3841"/>
    <w:rsid w:val="003E3E75"/>
    <w:rsid w:val="003E4307"/>
    <w:rsid w:val="003E43B3"/>
    <w:rsid w:val="003E448A"/>
    <w:rsid w:val="003E4CD9"/>
    <w:rsid w:val="003E53EF"/>
    <w:rsid w:val="003E611B"/>
    <w:rsid w:val="003E61BD"/>
    <w:rsid w:val="003F081F"/>
    <w:rsid w:val="003F111A"/>
    <w:rsid w:val="003F13FF"/>
    <w:rsid w:val="003F27E8"/>
    <w:rsid w:val="003F2B22"/>
    <w:rsid w:val="003F3851"/>
    <w:rsid w:val="003F6AA4"/>
    <w:rsid w:val="003F6AC6"/>
    <w:rsid w:val="003F6C3C"/>
    <w:rsid w:val="003F7169"/>
    <w:rsid w:val="003F7284"/>
    <w:rsid w:val="00400679"/>
    <w:rsid w:val="00400CCC"/>
    <w:rsid w:val="00401A53"/>
    <w:rsid w:val="00401D32"/>
    <w:rsid w:val="00402053"/>
    <w:rsid w:val="004027AE"/>
    <w:rsid w:val="00403E54"/>
    <w:rsid w:val="00403FDB"/>
    <w:rsid w:val="004044AE"/>
    <w:rsid w:val="00404750"/>
    <w:rsid w:val="00404F2A"/>
    <w:rsid w:val="00406015"/>
    <w:rsid w:val="00406795"/>
    <w:rsid w:val="00406B66"/>
    <w:rsid w:val="00406C81"/>
    <w:rsid w:val="004108A7"/>
    <w:rsid w:val="00410DB1"/>
    <w:rsid w:val="0041123B"/>
    <w:rsid w:val="004117C4"/>
    <w:rsid w:val="00412387"/>
    <w:rsid w:val="00412609"/>
    <w:rsid w:val="00412A2B"/>
    <w:rsid w:val="00412F92"/>
    <w:rsid w:val="00414A4B"/>
    <w:rsid w:val="00415470"/>
    <w:rsid w:val="00415E5C"/>
    <w:rsid w:val="004163FD"/>
    <w:rsid w:val="00420282"/>
    <w:rsid w:val="004202CF"/>
    <w:rsid w:val="0042095B"/>
    <w:rsid w:val="0042096B"/>
    <w:rsid w:val="0042125F"/>
    <w:rsid w:val="00421807"/>
    <w:rsid w:val="00421BE3"/>
    <w:rsid w:val="00422D62"/>
    <w:rsid w:val="0042375E"/>
    <w:rsid w:val="004240DD"/>
    <w:rsid w:val="00424831"/>
    <w:rsid w:val="00425305"/>
    <w:rsid w:val="00425BA4"/>
    <w:rsid w:val="00425F93"/>
    <w:rsid w:val="004268F1"/>
    <w:rsid w:val="00430CC9"/>
    <w:rsid w:val="004346B4"/>
    <w:rsid w:val="00434D2F"/>
    <w:rsid w:val="004356C6"/>
    <w:rsid w:val="00435DB4"/>
    <w:rsid w:val="00436826"/>
    <w:rsid w:val="0044000F"/>
    <w:rsid w:val="00440887"/>
    <w:rsid w:val="00440B50"/>
    <w:rsid w:val="00441006"/>
    <w:rsid w:val="0044199C"/>
    <w:rsid w:val="0044268F"/>
    <w:rsid w:val="00442CC6"/>
    <w:rsid w:val="00442DC5"/>
    <w:rsid w:val="00442E3C"/>
    <w:rsid w:val="00443C0F"/>
    <w:rsid w:val="00444074"/>
    <w:rsid w:val="00450CDC"/>
    <w:rsid w:val="0045246E"/>
    <w:rsid w:val="00452783"/>
    <w:rsid w:val="00453221"/>
    <w:rsid w:val="004532CB"/>
    <w:rsid w:val="0045372C"/>
    <w:rsid w:val="00453C76"/>
    <w:rsid w:val="00453D3C"/>
    <w:rsid w:val="004543F1"/>
    <w:rsid w:val="00456660"/>
    <w:rsid w:val="00456B56"/>
    <w:rsid w:val="004602CD"/>
    <w:rsid w:val="00461088"/>
    <w:rsid w:val="004615C2"/>
    <w:rsid w:val="0046184D"/>
    <w:rsid w:val="00461DD7"/>
    <w:rsid w:val="004623EA"/>
    <w:rsid w:val="00462446"/>
    <w:rsid w:val="004636E5"/>
    <w:rsid w:val="00463850"/>
    <w:rsid w:val="00463FC7"/>
    <w:rsid w:val="004652F4"/>
    <w:rsid w:val="0046659A"/>
    <w:rsid w:val="00466C5F"/>
    <w:rsid w:val="00467148"/>
    <w:rsid w:val="00467533"/>
    <w:rsid w:val="0047118D"/>
    <w:rsid w:val="00471C80"/>
    <w:rsid w:val="00472001"/>
    <w:rsid w:val="0047277C"/>
    <w:rsid w:val="00473F56"/>
    <w:rsid w:val="00476586"/>
    <w:rsid w:val="00476A03"/>
    <w:rsid w:val="00476A36"/>
    <w:rsid w:val="00476F44"/>
    <w:rsid w:val="00477194"/>
    <w:rsid w:val="00480112"/>
    <w:rsid w:val="00480199"/>
    <w:rsid w:val="00480BDA"/>
    <w:rsid w:val="00481C67"/>
    <w:rsid w:val="004821F7"/>
    <w:rsid w:val="00483D88"/>
    <w:rsid w:val="00486418"/>
    <w:rsid w:val="004865EF"/>
    <w:rsid w:val="004878A7"/>
    <w:rsid w:val="00487B1C"/>
    <w:rsid w:val="004919C0"/>
    <w:rsid w:val="00491C3C"/>
    <w:rsid w:val="00493597"/>
    <w:rsid w:val="0049392A"/>
    <w:rsid w:val="004942BB"/>
    <w:rsid w:val="00494C55"/>
    <w:rsid w:val="0049526A"/>
    <w:rsid w:val="004974E9"/>
    <w:rsid w:val="004A0A92"/>
    <w:rsid w:val="004A19EC"/>
    <w:rsid w:val="004A3915"/>
    <w:rsid w:val="004A548E"/>
    <w:rsid w:val="004A5911"/>
    <w:rsid w:val="004B08D9"/>
    <w:rsid w:val="004B0930"/>
    <w:rsid w:val="004B0B3C"/>
    <w:rsid w:val="004B1B05"/>
    <w:rsid w:val="004B1EC0"/>
    <w:rsid w:val="004B25E5"/>
    <w:rsid w:val="004B2716"/>
    <w:rsid w:val="004B32B1"/>
    <w:rsid w:val="004B412F"/>
    <w:rsid w:val="004B6648"/>
    <w:rsid w:val="004B6BE6"/>
    <w:rsid w:val="004B6F03"/>
    <w:rsid w:val="004B713E"/>
    <w:rsid w:val="004B7FC4"/>
    <w:rsid w:val="004C0655"/>
    <w:rsid w:val="004C09D6"/>
    <w:rsid w:val="004C0F6F"/>
    <w:rsid w:val="004C1344"/>
    <w:rsid w:val="004C13BF"/>
    <w:rsid w:val="004C3807"/>
    <w:rsid w:val="004C43A0"/>
    <w:rsid w:val="004C54EF"/>
    <w:rsid w:val="004C618F"/>
    <w:rsid w:val="004C651D"/>
    <w:rsid w:val="004C73A1"/>
    <w:rsid w:val="004C7858"/>
    <w:rsid w:val="004D0550"/>
    <w:rsid w:val="004D138F"/>
    <w:rsid w:val="004D152C"/>
    <w:rsid w:val="004D25EB"/>
    <w:rsid w:val="004D31F5"/>
    <w:rsid w:val="004D336E"/>
    <w:rsid w:val="004D3CDD"/>
    <w:rsid w:val="004D3EF0"/>
    <w:rsid w:val="004D44C1"/>
    <w:rsid w:val="004D4B44"/>
    <w:rsid w:val="004D57E2"/>
    <w:rsid w:val="004D5DA5"/>
    <w:rsid w:val="004D7C66"/>
    <w:rsid w:val="004E0CF7"/>
    <w:rsid w:val="004E14EE"/>
    <w:rsid w:val="004E4123"/>
    <w:rsid w:val="004E442D"/>
    <w:rsid w:val="004E4616"/>
    <w:rsid w:val="004E588E"/>
    <w:rsid w:val="004F00A2"/>
    <w:rsid w:val="004F2817"/>
    <w:rsid w:val="004F31A2"/>
    <w:rsid w:val="004F4418"/>
    <w:rsid w:val="004F4922"/>
    <w:rsid w:val="004F5458"/>
    <w:rsid w:val="004F5723"/>
    <w:rsid w:val="004F58AE"/>
    <w:rsid w:val="004F625D"/>
    <w:rsid w:val="004F76F1"/>
    <w:rsid w:val="005005EB"/>
    <w:rsid w:val="005005F7"/>
    <w:rsid w:val="00500806"/>
    <w:rsid w:val="00501305"/>
    <w:rsid w:val="00504270"/>
    <w:rsid w:val="00505104"/>
    <w:rsid w:val="00506F17"/>
    <w:rsid w:val="00511212"/>
    <w:rsid w:val="0051199F"/>
    <w:rsid w:val="00511B46"/>
    <w:rsid w:val="00513452"/>
    <w:rsid w:val="00515759"/>
    <w:rsid w:val="00515C10"/>
    <w:rsid w:val="00515E88"/>
    <w:rsid w:val="0051612A"/>
    <w:rsid w:val="005170C7"/>
    <w:rsid w:val="0052147F"/>
    <w:rsid w:val="005215D6"/>
    <w:rsid w:val="00522063"/>
    <w:rsid w:val="005237BB"/>
    <w:rsid w:val="00524F29"/>
    <w:rsid w:val="00525221"/>
    <w:rsid w:val="00525760"/>
    <w:rsid w:val="00525A47"/>
    <w:rsid w:val="005261D7"/>
    <w:rsid w:val="00526DD1"/>
    <w:rsid w:val="005279DC"/>
    <w:rsid w:val="005315A6"/>
    <w:rsid w:val="00531935"/>
    <w:rsid w:val="0053348A"/>
    <w:rsid w:val="0053375D"/>
    <w:rsid w:val="00533C39"/>
    <w:rsid w:val="00533DA1"/>
    <w:rsid w:val="0053404A"/>
    <w:rsid w:val="0053404F"/>
    <w:rsid w:val="00535145"/>
    <w:rsid w:val="00535430"/>
    <w:rsid w:val="005376BA"/>
    <w:rsid w:val="005377EB"/>
    <w:rsid w:val="00537A43"/>
    <w:rsid w:val="00540A85"/>
    <w:rsid w:val="00540B2A"/>
    <w:rsid w:val="005420D8"/>
    <w:rsid w:val="00542ADD"/>
    <w:rsid w:val="00542D40"/>
    <w:rsid w:val="0054343B"/>
    <w:rsid w:val="005443CF"/>
    <w:rsid w:val="00544B97"/>
    <w:rsid w:val="00544C87"/>
    <w:rsid w:val="00546555"/>
    <w:rsid w:val="00546E9A"/>
    <w:rsid w:val="00546F1B"/>
    <w:rsid w:val="00547FEC"/>
    <w:rsid w:val="005507F4"/>
    <w:rsid w:val="005518AC"/>
    <w:rsid w:val="00551CDA"/>
    <w:rsid w:val="00551ED4"/>
    <w:rsid w:val="005524D1"/>
    <w:rsid w:val="005527DE"/>
    <w:rsid w:val="0055322E"/>
    <w:rsid w:val="00554AAB"/>
    <w:rsid w:val="00560DCC"/>
    <w:rsid w:val="00560E2A"/>
    <w:rsid w:val="00561782"/>
    <w:rsid w:val="00562903"/>
    <w:rsid w:val="00562EE0"/>
    <w:rsid w:val="005634C6"/>
    <w:rsid w:val="00563D31"/>
    <w:rsid w:val="00564095"/>
    <w:rsid w:val="00564F5C"/>
    <w:rsid w:val="005653DE"/>
    <w:rsid w:val="00565496"/>
    <w:rsid w:val="00566BCB"/>
    <w:rsid w:val="00572272"/>
    <w:rsid w:val="00572D22"/>
    <w:rsid w:val="00573520"/>
    <w:rsid w:val="005740EC"/>
    <w:rsid w:val="00574DA7"/>
    <w:rsid w:val="005758BF"/>
    <w:rsid w:val="00577456"/>
    <w:rsid w:val="00577A4A"/>
    <w:rsid w:val="00577D5E"/>
    <w:rsid w:val="00581259"/>
    <w:rsid w:val="005816AB"/>
    <w:rsid w:val="00582FA7"/>
    <w:rsid w:val="00583B94"/>
    <w:rsid w:val="00585402"/>
    <w:rsid w:val="00585A91"/>
    <w:rsid w:val="005862A9"/>
    <w:rsid w:val="00590066"/>
    <w:rsid w:val="00591765"/>
    <w:rsid w:val="00591E41"/>
    <w:rsid w:val="00591FF9"/>
    <w:rsid w:val="00592087"/>
    <w:rsid w:val="005920EB"/>
    <w:rsid w:val="00592556"/>
    <w:rsid w:val="00594182"/>
    <w:rsid w:val="00594804"/>
    <w:rsid w:val="005948AE"/>
    <w:rsid w:val="005955B4"/>
    <w:rsid w:val="005A0AEB"/>
    <w:rsid w:val="005A128B"/>
    <w:rsid w:val="005A2F4A"/>
    <w:rsid w:val="005A50E2"/>
    <w:rsid w:val="005B0485"/>
    <w:rsid w:val="005B09A6"/>
    <w:rsid w:val="005B0CD9"/>
    <w:rsid w:val="005B1256"/>
    <w:rsid w:val="005B13EE"/>
    <w:rsid w:val="005B159C"/>
    <w:rsid w:val="005B2595"/>
    <w:rsid w:val="005B2C31"/>
    <w:rsid w:val="005B2E4B"/>
    <w:rsid w:val="005B3581"/>
    <w:rsid w:val="005B35EB"/>
    <w:rsid w:val="005B614A"/>
    <w:rsid w:val="005B72FC"/>
    <w:rsid w:val="005C1D71"/>
    <w:rsid w:val="005C20C9"/>
    <w:rsid w:val="005C2A5E"/>
    <w:rsid w:val="005C2CEF"/>
    <w:rsid w:val="005C2D60"/>
    <w:rsid w:val="005C36C7"/>
    <w:rsid w:val="005C3EB7"/>
    <w:rsid w:val="005C5FF2"/>
    <w:rsid w:val="005C644A"/>
    <w:rsid w:val="005C652E"/>
    <w:rsid w:val="005C6B78"/>
    <w:rsid w:val="005C72CF"/>
    <w:rsid w:val="005C73FA"/>
    <w:rsid w:val="005C7635"/>
    <w:rsid w:val="005C7DBD"/>
    <w:rsid w:val="005D0195"/>
    <w:rsid w:val="005D2492"/>
    <w:rsid w:val="005D2907"/>
    <w:rsid w:val="005D3633"/>
    <w:rsid w:val="005D455F"/>
    <w:rsid w:val="005D47D7"/>
    <w:rsid w:val="005D5634"/>
    <w:rsid w:val="005D7D62"/>
    <w:rsid w:val="005E0C8F"/>
    <w:rsid w:val="005E0DD3"/>
    <w:rsid w:val="005E126E"/>
    <w:rsid w:val="005E2A13"/>
    <w:rsid w:val="005E305F"/>
    <w:rsid w:val="005E3700"/>
    <w:rsid w:val="005E3EEE"/>
    <w:rsid w:val="005E498D"/>
    <w:rsid w:val="005E4F21"/>
    <w:rsid w:val="005E50FD"/>
    <w:rsid w:val="005E6007"/>
    <w:rsid w:val="005E6753"/>
    <w:rsid w:val="005E74BE"/>
    <w:rsid w:val="005E77C0"/>
    <w:rsid w:val="005F1CD7"/>
    <w:rsid w:val="005F2D4F"/>
    <w:rsid w:val="005F3976"/>
    <w:rsid w:val="005F409E"/>
    <w:rsid w:val="005F57D3"/>
    <w:rsid w:val="005F59A3"/>
    <w:rsid w:val="005F682E"/>
    <w:rsid w:val="00600A3C"/>
    <w:rsid w:val="00600CF3"/>
    <w:rsid w:val="006038F1"/>
    <w:rsid w:val="00604A8B"/>
    <w:rsid w:val="00604E70"/>
    <w:rsid w:val="006061FA"/>
    <w:rsid w:val="00610585"/>
    <w:rsid w:val="00610E39"/>
    <w:rsid w:val="00611093"/>
    <w:rsid w:val="00612360"/>
    <w:rsid w:val="00612F79"/>
    <w:rsid w:val="00615453"/>
    <w:rsid w:val="00615965"/>
    <w:rsid w:val="00615BE0"/>
    <w:rsid w:val="00615D76"/>
    <w:rsid w:val="00616161"/>
    <w:rsid w:val="00617133"/>
    <w:rsid w:val="00617A55"/>
    <w:rsid w:val="00620433"/>
    <w:rsid w:val="006224C5"/>
    <w:rsid w:val="006230DB"/>
    <w:rsid w:val="00623394"/>
    <w:rsid w:val="006261F5"/>
    <w:rsid w:val="0062639D"/>
    <w:rsid w:val="00626EA4"/>
    <w:rsid w:val="00627187"/>
    <w:rsid w:val="00627279"/>
    <w:rsid w:val="00627C0B"/>
    <w:rsid w:val="00630314"/>
    <w:rsid w:val="006303A1"/>
    <w:rsid w:val="00630AFC"/>
    <w:rsid w:val="0063305E"/>
    <w:rsid w:val="00634938"/>
    <w:rsid w:val="00634B1E"/>
    <w:rsid w:val="00634F3E"/>
    <w:rsid w:val="0063552C"/>
    <w:rsid w:val="006355FE"/>
    <w:rsid w:val="00635967"/>
    <w:rsid w:val="00635E0C"/>
    <w:rsid w:val="0063745E"/>
    <w:rsid w:val="006400C8"/>
    <w:rsid w:val="006419F3"/>
    <w:rsid w:val="006428B4"/>
    <w:rsid w:val="00642FDD"/>
    <w:rsid w:val="00643134"/>
    <w:rsid w:val="00643831"/>
    <w:rsid w:val="00644051"/>
    <w:rsid w:val="00644497"/>
    <w:rsid w:val="00644B34"/>
    <w:rsid w:val="00645D1E"/>
    <w:rsid w:val="00645DB6"/>
    <w:rsid w:val="00647D21"/>
    <w:rsid w:val="00650718"/>
    <w:rsid w:val="00650B77"/>
    <w:rsid w:val="006512C0"/>
    <w:rsid w:val="006512CA"/>
    <w:rsid w:val="00651767"/>
    <w:rsid w:val="006519FA"/>
    <w:rsid w:val="00652ADD"/>
    <w:rsid w:val="00654997"/>
    <w:rsid w:val="00654B50"/>
    <w:rsid w:val="00654F18"/>
    <w:rsid w:val="00655D4D"/>
    <w:rsid w:val="006563F5"/>
    <w:rsid w:val="00656511"/>
    <w:rsid w:val="006578A4"/>
    <w:rsid w:val="00657912"/>
    <w:rsid w:val="006608E2"/>
    <w:rsid w:val="00661658"/>
    <w:rsid w:val="00661C26"/>
    <w:rsid w:val="006625A1"/>
    <w:rsid w:val="00663110"/>
    <w:rsid w:val="0066404E"/>
    <w:rsid w:val="00664C74"/>
    <w:rsid w:val="00665010"/>
    <w:rsid w:val="006653B6"/>
    <w:rsid w:val="00666352"/>
    <w:rsid w:val="0066654A"/>
    <w:rsid w:val="00670787"/>
    <w:rsid w:val="006714DE"/>
    <w:rsid w:val="006715E4"/>
    <w:rsid w:val="006716E2"/>
    <w:rsid w:val="00671B3C"/>
    <w:rsid w:val="006723BE"/>
    <w:rsid w:val="00672CEB"/>
    <w:rsid w:val="006730D5"/>
    <w:rsid w:val="006732A4"/>
    <w:rsid w:val="00673592"/>
    <w:rsid w:val="006739F8"/>
    <w:rsid w:val="00673ADC"/>
    <w:rsid w:val="00674B91"/>
    <w:rsid w:val="00675EF5"/>
    <w:rsid w:val="00681D24"/>
    <w:rsid w:val="006821EC"/>
    <w:rsid w:val="00682468"/>
    <w:rsid w:val="00682C01"/>
    <w:rsid w:val="00682DA1"/>
    <w:rsid w:val="00683898"/>
    <w:rsid w:val="006840C3"/>
    <w:rsid w:val="00684452"/>
    <w:rsid w:val="00684B29"/>
    <w:rsid w:val="00685514"/>
    <w:rsid w:val="00685757"/>
    <w:rsid w:val="006871DF"/>
    <w:rsid w:val="00694995"/>
    <w:rsid w:val="00694AE4"/>
    <w:rsid w:val="0069533C"/>
    <w:rsid w:val="00696415"/>
    <w:rsid w:val="0069679E"/>
    <w:rsid w:val="006967D3"/>
    <w:rsid w:val="006A07E7"/>
    <w:rsid w:val="006A3C71"/>
    <w:rsid w:val="006A455C"/>
    <w:rsid w:val="006A55FF"/>
    <w:rsid w:val="006A6442"/>
    <w:rsid w:val="006A64B1"/>
    <w:rsid w:val="006A7556"/>
    <w:rsid w:val="006A7B9A"/>
    <w:rsid w:val="006A7E25"/>
    <w:rsid w:val="006B0B89"/>
    <w:rsid w:val="006B22EC"/>
    <w:rsid w:val="006B2ED4"/>
    <w:rsid w:val="006B31FB"/>
    <w:rsid w:val="006B338D"/>
    <w:rsid w:val="006B50CF"/>
    <w:rsid w:val="006B526C"/>
    <w:rsid w:val="006B58F2"/>
    <w:rsid w:val="006B5F91"/>
    <w:rsid w:val="006B6C64"/>
    <w:rsid w:val="006B7020"/>
    <w:rsid w:val="006B761D"/>
    <w:rsid w:val="006B7BF9"/>
    <w:rsid w:val="006C017D"/>
    <w:rsid w:val="006C0DED"/>
    <w:rsid w:val="006C4F73"/>
    <w:rsid w:val="006C60FD"/>
    <w:rsid w:val="006C61D3"/>
    <w:rsid w:val="006C75D6"/>
    <w:rsid w:val="006D0530"/>
    <w:rsid w:val="006D1026"/>
    <w:rsid w:val="006D288C"/>
    <w:rsid w:val="006D390B"/>
    <w:rsid w:val="006D4FDF"/>
    <w:rsid w:val="006D5BA2"/>
    <w:rsid w:val="006D704C"/>
    <w:rsid w:val="006D7643"/>
    <w:rsid w:val="006E06B5"/>
    <w:rsid w:val="006E0E22"/>
    <w:rsid w:val="006E20E8"/>
    <w:rsid w:val="006E2685"/>
    <w:rsid w:val="006E277D"/>
    <w:rsid w:val="006E3385"/>
    <w:rsid w:val="006E5D43"/>
    <w:rsid w:val="006E679C"/>
    <w:rsid w:val="006E6A24"/>
    <w:rsid w:val="006F08F4"/>
    <w:rsid w:val="006F1433"/>
    <w:rsid w:val="006F14D0"/>
    <w:rsid w:val="006F1915"/>
    <w:rsid w:val="006F218D"/>
    <w:rsid w:val="006F2E4F"/>
    <w:rsid w:val="006F36BC"/>
    <w:rsid w:val="006F3B9D"/>
    <w:rsid w:val="006F41BA"/>
    <w:rsid w:val="006F44D3"/>
    <w:rsid w:val="006F5929"/>
    <w:rsid w:val="00700B04"/>
    <w:rsid w:val="007030BB"/>
    <w:rsid w:val="00703336"/>
    <w:rsid w:val="007037A3"/>
    <w:rsid w:val="00703DDB"/>
    <w:rsid w:val="00704AA9"/>
    <w:rsid w:val="00706E56"/>
    <w:rsid w:val="00707509"/>
    <w:rsid w:val="0071064E"/>
    <w:rsid w:val="0071068A"/>
    <w:rsid w:val="00710978"/>
    <w:rsid w:val="007109F2"/>
    <w:rsid w:val="00711141"/>
    <w:rsid w:val="007113CD"/>
    <w:rsid w:val="00711C85"/>
    <w:rsid w:val="00711E41"/>
    <w:rsid w:val="00712F42"/>
    <w:rsid w:val="00712F99"/>
    <w:rsid w:val="00713D5C"/>
    <w:rsid w:val="00716948"/>
    <w:rsid w:val="00717AC8"/>
    <w:rsid w:val="00717B16"/>
    <w:rsid w:val="00717F75"/>
    <w:rsid w:val="0072020A"/>
    <w:rsid w:val="007234FA"/>
    <w:rsid w:val="00723AB9"/>
    <w:rsid w:val="00724556"/>
    <w:rsid w:val="0072493A"/>
    <w:rsid w:val="00724D4D"/>
    <w:rsid w:val="00725309"/>
    <w:rsid w:val="00726B1C"/>
    <w:rsid w:val="00726FE2"/>
    <w:rsid w:val="00727521"/>
    <w:rsid w:val="00727AD2"/>
    <w:rsid w:val="00730518"/>
    <w:rsid w:val="00730524"/>
    <w:rsid w:val="00731D0F"/>
    <w:rsid w:val="00732416"/>
    <w:rsid w:val="00732511"/>
    <w:rsid w:val="00733308"/>
    <w:rsid w:val="00734C2F"/>
    <w:rsid w:val="00734CE5"/>
    <w:rsid w:val="00736688"/>
    <w:rsid w:val="00736A5C"/>
    <w:rsid w:val="00740443"/>
    <w:rsid w:val="00741DB6"/>
    <w:rsid w:val="007420AF"/>
    <w:rsid w:val="00742262"/>
    <w:rsid w:val="0074235B"/>
    <w:rsid w:val="00744235"/>
    <w:rsid w:val="00744472"/>
    <w:rsid w:val="007446C6"/>
    <w:rsid w:val="007446EA"/>
    <w:rsid w:val="00745021"/>
    <w:rsid w:val="00745203"/>
    <w:rsid w:val="007454A2"/>
    <w:rsid w:val="00745665"/>
    <w:rsid w:val="0074579E"/>
    <w:rsid w:val="00745F41"/>
    <w:rsid w:val="007472CC"/>
    <w:rsid w:val="00747707"/>
    <w:rsid w:val="00751F38"/>
    <w:rsid w:val="00752AB2"/>
    <w:rsid w:val="00753D2C"/>
    <w:rsid w:val="0075684D"/>
    <w:rsid w:val="00757696"/>
    <w:rsid w:val="00757916"/>
    <w:rsid w:val="007601BC"/>
    <w:rsid w:val="00761473"/>
    <w:rsid w:val="00762D86"/>
    <w:rsid w:val="0076360F"/>
    <w:rsid w:val="007639C5"/>
    <w:rsid w:val="00764209"/>
    <w:rsid w:val="00764D6B"/>
    <w:rsid w:val="00765948"/>
    <w:rsid w:val="00767CA0"/>
    <w:rsid w:val="00770693"/>
    <w:rsid w:val="00770B81"/>
    <w:rsid w:val="00771C4F"/>
    <w:rsid w:val="00771E95"/>
    <w:rsid w:val="00772256"/>
    <w:rsid w:val="00772EAB"/>
    <w:rsid w:val="0077445A"/>
    <w:rsid w:val="007744C4"/>
    <w:rsid w:val="00774949"/>
    <w:rsid w:val="00774C45"/>
    <w:rsid w:val="00775027"/>
    <w:rsid w:val="007751B7"/>
    <w:rsid w:val="007764E2"/>
    <w:rsid w:val="0078006C"/>
    <w:rsid w:val="0078039F"/>
    <w:rsid w:val="00782596"/>
    <w:rsid w:val="00782654"/>
    <w:rsid w:val="00783E7F"/>
    <w:rsid w:val="00786AC7"/>
    <w:rsid w:val="00792732"/>
    <w:rsid w:val="00793804"/>
    <w:rsid w:val="00793B7B"/>
    <w:rsid w:val="00793D5E"/>
    <w:rsid w:val="00793D81"/>
    <w:rsid w:val="007947CD"/>
    <w:rsid w:val="00794876"/>
    <w:rsid w:val="00794EA0"/>
    <w:rsid w:val="00794FBD"/>
    <w:rsid w:val="00796DAD"/>
    <w:rsid w:val="007A1001"/>
    <w:rsid w:val="007A58AD"/>
    <w:rsid w:val="007A6C23"/>
    <w:rsid w:val="007A71AA"/>
    <w:rsid w:val="007A722F"/>
    <w:rsid w:val="007A7BF9"/>
    <w:rsid w:val="007A7F52"/>
    <w:rsid w:val="007B07CC"/>
    <w:rsid w:val="007B0960"/>
    <w:rsid w:val="007B1BDC"/>
    <w:rsid w:val="007B3CCC"/>
    <w:rsid w:val="007B56AA"/>
    <w:rsid w:val="007B572E"/>
    <w:rsid w:val="007B6A4B"/>
    <w:rsid w:val="007B6B57"/>
    <w:rsid w:val="007C0CE2"/>
    <w:rsid w:val="007C144F"/>
    <w:rsid w:val="007C1E00"/>
    <w:rsid w:val="007C3D35"/>
    <w:rsid w:val="007C4D96"/>
    <w:rsid w:val="007C51F9"/>
    <w:rsid w:val="007C5BBA"/>
    <w:rsid w:val="007C71B1"/>
    <w:rsid w:val="007C7673"/>
    <w:rsid w:val="007C78F4"/>
    <w:rsid w:val="007D2D03"/>
    <w:rsid w:val="007D4367"/>
    <w:rsid w:val="007D62E5"/>
    <w:rsid w:val="007D6CC8"/>
    <w:rsid w:val="007D73FE"/>
    <w:rsid w:val="007D7ACE"/>
    <w:rsid w:val="007E05DF"/>
    <w:rsid w:val="007E0FFB"/>
    <w:rsid w:val="007E1AF9"/>
    <w:rsid w:val="007E271B"/>
    <w:rsid w:val="007E2B7F"/>
    <w:rsid w:val="007E301A"/>
    <w:rsid w:val="007E34FB"/>
    <w:rsid w:val="007E3779"/>
    <w:rsid w:val="007E3CCB"/>
    <w:rsid w:val="007E4ACF"/>
    <w:rsid w:val="007E4D9A"/>
    <w:rsid w:val="007E54C1"/>
    <w:rsid w:val="007E573C"/>
    <w:rsid w:val="007E6813"/>
    <w:rsid w:val="007E7E59"/>
    <w:rsid w:val="007F0627"/>
    <w:rsid w:val="007F1A55"/>
    <w:rsid w:val="007F3526"/>
    <w:rsid w:val="007F38F7"/>
    <w:rsid w:val="007F4BF2"/>
    <w:rsid w:val="007F6344"/>
    <w:rsid w:val="007F799F"/>
    <w:rsid w:val="00801478"/>
    <w:rsid w:val="00801649"/>
    <w:rsid w:val="00802338"/>
    <w:rsid w:val="008024EE"/>
    <w:rsid w:val="0080274E"/>
    <w:rsid w:val="00803769"/>
    <w:rsid w:val="008047F4"/>
    <w:rsid w:val="008055D6"/>
    <w:rsid w:val="00805640"/>
    <w:rsid w:val="008057D6"/>
    <w:rsid w:val="008065A9"/>
    <w:rsid w:val="008079E0"/>
    <w:rsid w:val="00811C26"/>
    <w:rsid w:val="00811EED"/>
    <w:rsid w:val="008126AD"/>
    <w:rsid w:val="00814469"/>
    <w:rsid w:val="0081572E"/>
    <w:rsid w:val="00816AD8"/>
    <w:rsid w:val="00816E86"/>
    <w:rsid w:val="008173B2"/>
    <w:rsid w:val="00817655"/>
    <w:rsid w:val="008176C8"/>
    <w:rsid w:val="00817D13"/>
    <w:rsid w:val="0082082B"/>
    <w:rsid w:val="00821821"/>
    <w:rsid w:val="00822DE2"/>
    <w:rsid w:val="0082314D"/>
    <w:rsid w:val="008232DE"/>
    <w:rsid w:val="00823DE2"/>
    <w:rsid w:val="008240BA"/>
    <w:rsid w:val="008244DC"/>
    <w:rsid w:val="00824AFE"/>
    <w:rsid w:val="008264DC"/>
    <w:rsid w:val="00827400"/>
    <w:rsid w:val="0083021D"/>
    <w:rsid w:val="00833651"/>
    <w:rsid w:val="00833929"/>
    <w:rsid w:val="00834247"/>
    <w:rsid w:val="0083427D"/>
    <w:rsid w:val="0083437B"/>
    <w:rsid w:val="00834B4C"/>
    <w:rsid w:val="00834DF1"/>
    <w:rsid w:val="00834FE3"/>
    <w:rsid w:val="00835D77"/>
    <w:rsid w:val="008364D4"/>
    <w:rsid w:val="00836B80"/>
    <w:rsid w:val="00840BA0"/>
    <w:rsid w:val="00842207"/>
    <w:rsid w:val="00842289"/>
    <w:rsid w:val="008426FB"/>
    <w:rsid w:val="00844250"/>
    <w:rsid w:val="00844E7B"/>
    <w:rsid w:val="00845C27"/>
    <w:rsid w:val="0084685D"/>
    <w:rsid w:val="008478C9"/>
    <w:rsid w:val="00850918"/>
    <w:rsid w:val="00850FB0"/>
    <w:rsid w:val="008533FB"/>
    <w:rsid w:val="00853E14"/>
    <w:rsid w:val="00854747"/>
    <w:rsid w:val="00856CA9"/>
    <w:rsid w:val="00856EF0"/>
    <w:rsid w:val="00857274"/>
    <w:rsid w:val="00857BC1"/>
    <w:rsid w:val="00857C32"/>
    <w:rsid w:val="00860975"/>
    <w:rsid w:val="008612F7"/>
    <w:rsid w:val="00861964"/>
    <w:rsid w:val="0086276F"/>
    <w:rsid w:val="00864285"/>
    <w:rsid w:val="00867A6F"/>
    <w:rsid w:val="00867E33"/>
    <w:rsid w:val="00867E5C"/>
    <w:rsid w:val="00867E91"/>
    <w:rsid w:val="00870317"/>
    <w:rsid w:val="008706BF"/>
    <w:rsid w:val="008721A5"/>
    <w:rsid w:val="00872873"/>
    <w:rsid w:val="00872A03"/>
    <w:rsid w:val="00875043"/>
    <w:rsid w:val="00875152"/>
    <w:rsid w:val="008757BB"/>
    <w:rsid w:val="00875AFC"/>
    <w:rsid w:val="00880474"/>
    <w:rsid w:val="0088136B"/>
    <w:rsid w:val="00881445"/>
    <w:rsid w:val="0088166E"/>
    <w:rsid w:val="0088195B"/>
    <w:rsid w:val="0088240E"/>
    <w:rsid w:val="00883012"/>
    <w:rsid w:val="00884104"/>
    <w:rsid w:val="00884194"/>
    <w:rsid w:val="008906E4"/>
    <w:rsid w:val="0089083B"/>
    <w:rsid w:val="00891205"/>
    <w:rsid w:val="00891D1E"/>
    <w:rsid w:val="00892EF0"/>
    <w:rsid w:val="00893270"/>
    <w:rsid w:val="00893B92"/>
    <w:rsid w:val="00894656"/>
    <w:rsid w:val="00894B76"/>
    <w:rsid w:val="008963A5"/>
    <w:rsid w:val="00896DFC"/>
    <w:rsid w:val="00897B59"/>
    <w:rsid w:val="00897DDE"/>
    <w:rsid w:val="00897E27"/>
    <w:rsid w:val="008A0884"/>
    <w:rsid w:val="008A0CFA"/>
    <w:rsid w:val="008A2B6E"/>
    <w:rsid w:val="008A3058"/>
    <w:rsid w:val="008A3E6A"/>
    <w:rsid w:val="008A3E72"/>
    <w:rsid w:val="008A40A8"/>
    <w:rsid w:val="008A43FE"/>
    <w:rsid w:val="008A4B0D"/>
    <w:rsid w:val="008A4F80"/>
    <w:rsid w:val="008A5325"/>
    <w:rsid w:val="008A5A5D"/>
    <w:rsid w:val="008B02FC"/>
    <w:rsid w:val="008B051E"/>
    <w:rsid w:val="008B0A38"/>
    <w:rsid w:val="008B2DB8"/>
    <w:rsid w:val="008B3140"/>
    <w:rsid w:val="008B4FA3"/>
    <w:rsid w:val="008B7E6C"/>
    <w:rsid w:val="008C2139"/>
    <w:rsid w:val="008C258A"/>
    <w:rsid w:val="008C2A63"/>
    <w:rsid w:val="008C30A3"/>
    <w:rsid w:val="008C30BC"/>
    <w:rsid w:val="008C4AD3"/>
    <w:rsid w:val="008C63D4"/>
    <w:rsid w:val="008C6AA1"/>
    <w:rsid w:val="008C6DA2"/>
    <w:rsid w:val="008C7ADF"/>
    <w:rsid w:val="008D04C8"/>
    <w:rsid w:val="008D09D6"/>
    <w:rsid w:val="008D0EA4"/>
    <w:rsid w:val="008D1ABF"/>
    <w:rsid w:val="008D23AE"/>
    <w:rsid w:val="008D253E"/>
    <w:rsid w:val="008D2619"/>
    <w:rsid w:val="008D3A97"/>
    <w:rsid w:val="008D57D1"/>
    <w:rsid w:val="008D5C2E"/>
    <w:rsid w:val="008D5C4B"/>
    <w:rsid w:val="008D66E6"/>
    <w:rsid w:val="008D6A49"/>
    <w:rsid w:val="008D6E0E"/>
    <w:rsid w:val="008D714B"/>
    <w:rsid w:val="008D7E5B"/>
    <w:rsid w:val="008E03E6"/>
    <w:rsid w:val="008E094A"/>
    <w:rsid w:val="008E0A3C"/>
    <w:rsid w:val="008E0D32"/>
    <w:rsid w:val="008E11CD"/>
    <w:rsid w:val="008E3F5B"/>
    <w:rsid w:val="008E5251"/>
    <w:rsid w:val="008E57BA"/>
    <w:rsid w:val="008E5AB1"/>
    <w:rsid w:val="008E5BD8"/>
    <w:rsid w:val="008E61E7"/>
    <w:rsid w:val="008E733A"/>
    <w:rsid w:val="008E7832"/>
    <w:rsid w:val="008F0F54"/>
    <w:rsid w:val="008F0F9F"/>
    <w:rsid w:val="008F151D"/>
    <w:rsid w:val="008F2C09"/>
    <w:rsid w:val="008F2D11"/>
    <w:rsid w:val="008F31DD"/>
    <w:rsid w:val="008F5273"/>
    <w:rsid w:val="008F55FA"/>
    <w:rsid w:val="008F6068"/>
    <w:rsid w:val="008F693A"/>
    <w:rsid w:val="008F7562"/>
    <w:rsid w:val="008F78F4"/>
    <w:rsid w:val="008F7E1D"/>
    <w:rsid w:val="00900ED8"/>
    <w:rsid w:val="00902006"/>
    <w:rsid w:val="009021AA"/>
    <w:rsid w:val="00902793"/>
    <w:rsid w:val="00902878"/>
    <w:rsid w:val="009031FF"/>
    <w:rsid w:val="009048B4"/>
    <w:rsid w:val="009053A8"/>
    <w:rsid w:val="009102C9"/>
    <w:rsid w:val="00911203"/>
    <w:rsid w:val="00911258"/>
    <w:rsid w:val="009119DF"/>
    <w:rsid w:val="00912ECE"/>
    <w:rsid w:val="0091305D"/>
    <w:rsid w:val="0091328B"/>
    <w:rsid w:val="0091360A"/>
    <w:rsid w:val="00915F41"/>
    <w:rsid w:val="00916985"/>
    <w:rsid w:val="00920017"/>
    <w:rsid w:val="009201E7"/>
    <w:rsid w:val="00921EFE"/>
    <w:rsid w:val="009220AE"/>
    <w:rsid w:val="00922FF6"/>
    <w:rsid w:val="00923954"/>
    <w:rsid w:val="00923CDA"/>
    <w:rsid w:val="00924DD4"/>
    <w:rsid w:val="00925B9F"/>
    <w:rsid w:val="0092609C"/>
    <w:rsid w:val="009262F7"/>
    <w:rsid w:val="009265D2"/>
    <w:rsid w:val="00926BF3"/>
    <w:rsid w:val="00927021"/>
    <w:rsid w:val="009274CA"/>
    <w:rsid w:val="00930676"/>
    <w:rsid w:val="009317C7"/>
    <w:rsid w:val="00931ADB"/>
    <w:rsid w:val="009322B1"/>
    <w:rsid w:val="00936C96"/>
    <w:rsid w:val="00936CC2"/>
    <w:rsid w:val="00936E92"/>
    <w:rsid w:val="00937407"/>
    <w:rsid w:val="0093766E"/>
    <w:rsid w:val="0093771D"/>
    <w:rsid w:val="00937743"/>
    <w:rsid w:val="00943202"/>
    <w:rsid w:val="00943205"/>
    <w:rsid w:val="00943283"/>
    <w:rsid w:val="009440B1"/>
    <w:rsid w:val="009448A9"/>
    <w:rsid w:val="00944A52"/>
    <w:rsid w:val="00944B46"/>
    <w:rsid w:val="009479C0"/>
    <w:rsid w:val="00950C92"/>
    <w:rsid w:val="00950EDD"/>
    <w:rsid w:val="009515E4"/>
    <w:rsid w:val="0095384B"/>
    <w:rsid w:val="009547F7"/>
    <w:rsid w:val="00954DD4"/>
    <w:rsid w:val="00955218"/>
    <w:rsid w:val="00955371"/>
    <w:rsid w:val="009557A8"/>
    <w:rsid w:val="00956FB9"/>
    <w:rsid w:val="00957373"/>
    <w:rsid w:val="009575A1"/>
    <w:rsid w:val="00960454"/>
    <w:rsid w:val="00960479"/>
    <w:rsid w:val="009608BA"/>
    <w:rsid w:val="00961121"/>
    <w:rsid w:val="00961301"/>
    <w:rsid w:val="009618CB"/>
    <w:rsid w:val="00962217"/>
    <w:rsid w:val="00962EA8"/>
    <w:rsid w:val="00963E4D"/>
    <w:rsid w:val="009643D6"/>
    <w:rsid w:val="00964649"/>
    <w:rsid w:val="009652C1"/>
    <w:rsid w:val="0096530F"/>
    <w:rsid w:val="009657F4"/>
    <w:rsid w:val="00966BA4"/>
    <w:rsid w:val="00967370"/>
    <w:rsid w:val="0097172E"/>
    <w:rsid w:val="009726AD"/>
    <w:rsid w:val="00972CD5"/>
    <w:rsid w:val="009751A9"/>
    <w:rsid w:val="00975B46"/>
    <w:rsid w:val="0097621B"/>
    <w:rsid w:val="009777BB"/>
    <w:rsid w:val="009819D0"/>
    <w:rsid w:val="0098211A"/>
    <w:rsid w:val="0098227E"/>
    <w:rsid w:val="00983015"/>
    <w:rsid w:val="009830F1"/>
    <w:rsid w:val="00984D5B"/>
    <w:rsid w:val="00985C6C"/>
    <w:rsid w:val="00985D82"/>
    <w:rsid w:val="00991902"/>
    <w:rsid w:val="00992956"/>
    <w:rsid w:val="00993B71"/>
    <w:rsid w:val="00993CE1"/>
    <w:rsid w:val="00994698"/>
    <w:rsid w:val="009958A4"/>
    <w:rsid w:val="00997543"/>
    <w:rsid w:val="00997C62"/>
    <w:rsid w:val="009A0136"/>
    <w:rsid w:val="009A147C"/>
    <w:rsid w:val="009A161C"/>
    <w:rsid w:val="009A168B"/>
    <w:rsid w:val="009A195C"/>
    <w:rsid w:val="009A1F47"/>
    <w:rsid w:val="009A229C"/>
    <w:rsid w:val="009A3973"/>
    <w:rsid w:val="009A43CB"/>
    <w:rsid w:val="009A5855"/>
    <w:rsid w:val="009A60D0"/>
    <w:rsid w:val="009A6134"/>
    <w:rsid w:val="009A6C10"/>
    <w:rsid w:val="009A6EBC"/>
    <w:rsid w:val="009A6EEA"/>
    <w:rsid w:val="009A6F08"/>
    <w:rsid w:val="009A7B86"/>
    <w:rsid w:val="009B2AC0"/>
    <w:rsid w:val="009B2B3F"/>
    <w:rsid w:val="009B32D3"/>
    <w:rsid w:val="009B3579"/>
    <w:rsid w:val="009B43E1"/>
    <w:rsid w:val="009B4A29"/>
    <w:rsid w:val="009B564D"/>
    <w:rsid w:val="009B5CD3"/>
    <w:rsid w:val="009B6546"/>
    <w:rsid w:val="009C058C"/>
    <w:rsid w:val="009C0D33"/>
    <w:rsid w:val="009C1C6A"/>
    <w:rsid w:val="009C1F4A"/>
    <w:rsid w:val="009C3417"/>
    <w:rsid w:val="009C5462"/>
    <w:rsid w:val="009C6D3D"/>
    <w:rsid w:val="009C7F8D"/>
    <w:rsid w:val="009D1206"/>
    <w:rsid w:val="009D223F"/>
    <w:rsid w:val="009D57B3"/>
    <w:rsid w:val="009D582F"/>
    <w:rsid w:val="009D6A22"/>
    <w:rsid w:val="009D6F7E"/>
    <w:rsid w:val="009E23C4"/>
    <w:rsid w:val="009E26E2"/>
    <w:rsid w:val="009E4CA8"/>
    <w:rsid w:val="009E5074"/>
    <w:rsid w:val="009E5DCD"/>
    <w:rsid w:val="009E652B"/>
    <w:rsid w:val="009E6901"/>
    <w:rsid w:val="009E7F43"/>
    <w:rsid w:val="009F215F"/>
    <w:rsid w:val="009F274E"/>
    <w:rsid w:val="009F2817"/>
    <w:rsid w:val="009F51F6"/>
    <w:rsid w:val="009F5DDA"/>
    <w:rsid w:val="009F5F36"/>
    <w:rsid w:val="009F615A"/>
    <w:rsid w:val="00A0055E"/>
    <w:rsid w:val="00A00620"/>
    <w:rsid w:val="00A00C13"/>
    <w:rsid w:val="00A00F16"/>
    <w:rsid w:val="00A01619"/>
    <w:rsid w:val="00A01FBA"/>
    <w:rsid w:val="00A0202F"/>
    <w:rsid w:val="00A028B5"/>
    <w:rsid w:val="00A02B0A"/>
    <w:rsid w:val="00A02DCF"/>
    <w:rsid w:val="00A047C6"/>
    <w:rsid w:val="00A04EE2"/>
    <w:rsid w:val="00A058BB"/>
    <w:rsid w:val="00A060EB"/>
    <w:rsid w:val="00A067EB"/>
    <w:rsid w:val="00A06924"/>
    <w:rsid w:val="00A07856"/>
    <w:rsid w:val="00A10269"/>
    <w:rsid w:val="00A102C2"/>
    <w:rsid w:val="00A103AB"/>
    <w:rsid w:val="00A10B87"/>
    <w:rsid w:val="00A120B4"/>
    <w:rsid w:val="00A12C6C"/>
    <w:rsid w:val="00A137CD"/>
    <w:rsid w:val="00A147FD"/>
    <w:rsid w:val="00A15B96"/>
    <w:rsid w:val="00A15CB1"/>
    <w:rsid w:val="00A178EC"/>
    <w:rsid w:val="00A17C08"/>
    <w:rsid w:val="00A20260"/>
    <w:rsid w:val="00A21E4D"/>
    <w:rsid w:val="00A21EF6"/>
    <w:rsid w:val="00A225AA"/>
    <w:rsid w:val="00A22BDB"/>
    <w:rsid w:val="00A249DC"/>
    <w:rsid w:val="00A25124"/>
    <w:rsid w:val="00A26410"/>
    <w:rsid w:val="00A26574"/>
    <w:rsid w:val="00A2664E"/>
    <w:rsid w:val="00A268EF"/>
    <w:rsid w:val="00A309F3"/>
    <w:rsid w:val="00A31284"/>
    <w:rsid w:val="00A318BA"/>
    <w:rsid w:val="00A31C3C"/>
    <w:rsid w:val="00A320C5"/>
    <w:rsid w:val="00A32472"/>
    <w:rsid w:val="00A32720"/>
    <w:rsid w:val="00A32B52"/>
    <w:rsid w:val="00A32D2C"/>
    <w:rsid w:val="00A3344C"/>
    <w:rsid w:val="00A35140"/>
    <w:rsid w:val="00A3640F"/>
    <w:rsid w:val="00A36671"/>
    <w:rsid w:val="00A36798"/>
    <w:rsid w:val="00A3752B"/>
    <w:rsid w:val="00A37846"/>
    <w:rsid w:val="00A37A6B"/>
    <w:rsid w:val="00A37CB1"/>
    <w:rsid w:val="00A37E05"/>
    <w:rsid w:val="00A40F48"/>
    <w:rsid w:val="00A414F6"/>
    <w:rsid w:val="00A4222E"/>
    <w:rsid w:val="00A427AF"/>
    <w:rsid w:val="00A4307F"/>
    <w:rsid w:val="00A442DF"/>
    <w:rsid w:val="00A44E43"/>
    <w:rsid w:val="00A45A04"/>
    <w:rsid w:val="00A5035E"/>
    <w:rsid w:val="00A503C9"/>
    <w:rsid w:val="00A504DA"/>
    <w:rsid w:val="00A506A2"/>
    <w:rsid w:val="00A52139"/>
    <w:rsid w:val="00A53B5A"/>
    <w:rsid w:val="00A53E1A"/>
    <w:rsid w:val="00A548D7"/>
    <w:rsid w:val="00A55012"/>
    <w:rsid w:val="00A56DF8"/>
    <w:rsid w:val="00A573E8"/>
    <w:rsid w:val="00A57BE9"/>
    <w:rsid w:val="00A608A7"/>
    <w:rsid w:val="00A629C4"/>
    <w:rsid w:val="00A629D8"/>
    <w:rsid w:val="00A62F65"/>
    <w:rsid w:val="00A63AD8"/>
    <w:rsid w:val="00A63E3F"/>
    <w:rsid w:val="00A65755"/>
    <w:rsid w:val="00A65CB5"/>
    <w:rsid w:val="00A666B9"/>
    <w:rsid w:val="00A6712C"/>
    <w:rsid w:val="00A70CFE"/>
    <w:rsid w:val="00A71E73"/>
    <w:rsid w:val="00A734FD"/>
    <w:rsid w:val="00A7449F"/>
    <w:rsid w:val="00A747B1"/>
    <w:rsid w:val="00A74DBC"/>
    <w:rsid w:val="00A766A9"/>
    <w:rsid w:val="00A81201"/>
    <w:rsid w:val="00A82F97"/>
    <w:rsid w:val="00A8423D"/>
    <w:rsid w:val="00A84655"/>
    <w:rsid w:val="00A8542B"/>
    <w:rsid w:val="00A85516"/>
    <w:rsid w:val="00A86180"/>
    <w:rsid w:val="00A86682"/>
    <w:rsid w:val="00A870B1"/>
    <w:rsid w:val="00A87B68"/>
    <w:rsid w:val="00A9019C"/>
    <w:rsid w:val="00A907C4"/>
    <w:rsid w:val="00A90BEE"/>
    <w:rsid w:val="00A920B3"/>
    <w:rsid w:val="00A9239A"/>
    <w:rsid w:val="00A93B2C"/>
    <w:rsid w:val="00A94955"/>
    <w:rsid w:val="00A952FF"/>
    <w:rsid w:val="00A96234"/>
    <w:rsid w:val="00A96763"/>
    <w:rsid w:val="00A97B0C"/>
    <w:rsid w:val="00AA13AF"/>
    <w:rsid w:val="00AA237D"/>
    <w:rsid w:val="00AA43C1"/>
    <w:rsid w:val="00AA4545"/>
    <w:rsid w:val="00AA643B"/>
    <w:rsid w:val="00AA68D6"/>
    <w:rsid w:val="00AA7F66"/>
    <w:rsid w:val="00AB4829"/>
    <w:rsid w:val="00AB588E"/>
    <w:rsid w:val="00AB6A7C"/>
    <w:rsid w:val="00AB6C38"/>
    <w:rsid w:val="00AB79A7"/>
    <w:rsid w:val="00AC0058"/>
    <w:rsid w:val="00AC0113"/>
    <w:rsid w:val="00AC01D8"/>
    <w:rsid w:val="00AC0645"/>
    <w:rsid w:val="00AC133A"/>
    <w:rsid w:val="00AC1340"/>
    <w:rsid w:val="00AC1620"/>
    <w:rsid w:val="00AC2D81"/>
    <w:rsid w:val="00AC306C"/>
    <w:rsid w:val="00AC32DF"/>
    <w:rsid w:val="00AC353D"/>
    <w:rsid w:val="00AC4053"/>
    <w:rsid w:val="00AC44C9"/>
    <w:rsid w:val="00AC4611"/>
    <w:rsid w:val="00AC496A"/>
    <w:rsid w:val="00AC7F1C"/>
    <w:rsid w:val="00AD20E2"/>
    <w:rsid w:val="00AD24BF"/>
    <w:rsid w:val="00AD287D"/>
    <w:rsid w:val="00AD2F5D"/>
    <w:rsid w:val="00AD5997"/>
    <w:rsid w:val="00AD5CD2"/>
    <w:rsid w:val="00AD6408"/>
    <w:rsid w:val="00AD7528"/>
    <w:rsid w:val="00AE04AF"/>
    <w:rsid w:val="00AE2157"/>
    <w:rsid w:val="00AE3102"/>
    <w:rsid w:val="00AE3609"/>
    <w:rsid w:val="00AE3969"/>
    <w:rsid w:val="00AE4762"/>
    <w:rsid w:val="00AE4EC7"/>
    <w:rsid w:val="00AE524A"/>
    <w:rsid w:val="00AE6576"/>
    <w:rsid w:val="00AE7041"/>
    <w:rsid w:val="00AE7719"/>
    <w:rsid w:val="00AF0347"/>
    <w:rsid w:val="00AF0391"/>
    <w:rsid w:val="00AF28C7"/>
    <w:rsid w:val="00AF32E6"/>
    <w:rsid w:val="00AF4051"/>
    <w:rsid w:val="00AF45A7"/>
    <w:rsid w:val="00AF57FA"/>
    <w:rsid w:val="00AF6489"/>
    <w:rsid w:val="00AF7B59"/>
    <w:rsid w:val="00B003DA"/>
    <w:rsid w:val="00B016D4"/>
    <w:rsid w:val="00B01AE8"/>
    <w:rsid w:val="00B020EB"/>
    <w:rsid w:val="00B02D33"/>
    <w:rsid w:val="00B0366D"/>
    <w:rsid w:val="00B03F16"/>
    <w:rsid w:val="00B04777"/>
    <w:rsid w:val="00B04E87"/>
    <w:rsid w:val="00B05510"/>
    <w:rsid w:val="00B05A95"/>
    <w:rsid w:val="00B05AC3"/>
    <w:rsid w:val="00B068BD"/>
    <w:rsid w:val="00B06FE2"/>
    <w:rsid w:val="00B0752F"/>
    <w:rsid w:val="00B1017E"/>
    <w:rsid w:val="00B11A8B"/>
    <w:rsid w:val="00B1252E"/>
    <w:rsid w:val="00B12DEB"/>
    <w:rsid w:val="00B13F9B"/>
    <w:rsid w:val="00B141AE"/>
    <w:rsid w:val="00B158A7"/>
    <w:rsid w:val="00B204EA"/>
    <w:rsid w:val="00B21D90"/>
    <w:rsid w:val="00B23C1A"/>
    <w:rsid w:val="00B252FB"/>
    <w:rsid w:val="00B263C9"/>
    <w:rsid w:val="00B26C01"/>
    <w:rsid w:val="00B27086"/>
    <w:rsid w:val="00B27667"/>
    <w:rsid w:val="00B3158E"/>
    <w:rsid w:val="00B32361"/>
    <w:rsid w:val="00B339DF"/>
    <w:rsid w:val="00B35C79"/>
    <w:rsid w:val="00B35C83"/>
    <w:rsid w:val="00B3614E"/>
    <w:rsid w:val="00B376F6"/>
    <w:rsid w:val="00B37D00"/>
    <w:rsid w:val="00B4047D"/>
    <w:rsid w:val="00B41579"/>
    <w:rsid w:val="00B420A3"/>
    <w:rsid w:val="00B43B64"/>
    <w:rsid w:val="00B441EE"/>
    <w:rsid w:val="00B44272"/>
    <w:rsid w:val="00B4454D"/>
    <w:rsid w:val="00B45970"/>
    <w:rsid w:val="00B50CF1"/>
    <w:rsid w:val="00B50E64"/>
    <w:rsid w:val="00B52724"/>
    <w:rsid w:val="00B52731"/>
    <w:rsid w:val="00B52C02"/>
    <w:rsid w:val="00B52C0E"/>
    <w:rsid w:val="00B52F85"/>
    <w:rsid w:val="00B52FE4"/>
    <w:rsid w:val="00B5308B"/>
    <w:rsid w:val="00B53E28"/>
    <w:rsid w:val="00B55986"/>
    <w:rsid w:val="00B60C6F"/>
    <w:rsid w:val="00B61071"/>
    <w:rsid w:val="00B62292"/>
    <w:rsid w:val="00B62A8D"/>
    <w:rsid w:val="00B62FE6"/>
    <w:rsid w:val="00B63CDF"/>
    <w:rsid w:val="00B65206"/>
    <w:rsid w:val="00B65395"/>
    <w:rsid w:val="00B6551D"/>
    <w:rsid w:val="00B666CC"/>
    <w:rsid w:val="00B66E6F"/>
    <w:rsid w:val="00B67993"/>
    <w:rsid w:val="00B71C0C"/>
    <w:rsid w:val="00B7226F"/>
    <w:rsid w:val="00B72444"/>
    <w:rsid w:val="00B74B3A"/>
    <w:rsid w:val="00B76E46"/>
    <w:rsid w:val="00B7739B"/>
    <w:rsid w:val="00B80CE1"/>
    <w:rsid w:val="00B8108E"/>
    <w:rsid w:val="00B8279A"/>
    <w:rsid w:val="00B82B23"/>
    <w:rsid w:val="00B82F1A"/>
    <w:rsid w:val="00B830A3"/>
    <w:rsid w:val="00B835E3"/>
    <w:rsid w:val="00B85EDB"/>
    <w:rsid w:val="00B85FFE"/>
    <w:rsid w:val="00B864DD"/>
    <w:rsid w:val="00B86D0D"/>
    <w:rsid w:val="00B86D3B"/>
    <w:rsid w:val="00B86FC4"/>
    <w:rsid w:val="00B87866"/>
    <w:rsid w:val="00B900C1"/>
    <w:rsid w:val="00B91A8D"/>
    <w:rsid w:val="00B9261B"/>
    <w:rsid w:val="00B92647"/>
    <w:rsid w:val="00B932D3"/>
    <w:rsid w:val="00B93745"/>
    <w:rsid w:val="00B94A4D"/>
    <w:rsid w:val="00B94F92"/>
    <w:rsid w:val="00B95EEB"/>
    <w:rsid w:val="00B9659C"/>
    <w:rsid w:val="00B9667C"/>
    <w:rsid w:val="00B970BA"/>
    <w:rsid w:val="00B974B9"/>
    <w:rsid w:val="00BA03FB"/>
    <w:rsid w:val="00BA0EB5"/>
    <w:rsid w:val="00BA10D5"/>
    <w:rsid w:val="00BA1E9D"/>
    <w:rsid w:val="00BA1F1E"/>
    <w:rsid w:val="00BA2600"/>
    <w:rsid w:val="00BA43D5"/>
    <w:rsid w:val="00BA5A30"/>
    <w:rsid w:val="00BA6560"/>
    <w:rsid w:val="00BA658D"/>
    <w:rsid w:val="00BA6B3A"/>
    <w:rsid w:val="00BA702A"/>
    <w:rsid w:val="00BB09D0"/>
    <w:rsid w:val="00BB0D8E"/>
    <w:rsid w:val="00BB0F22"/>
    <w:rsid w:val="00BB1200"/>
    <w:rsid w:val="00BB1E2B"/>
    <w:rsid w:val="00BB2738"/>
    <w:rsid w:val="00BB2B65"/>
    <w:rsid w:val="00BB3402"/>
    <w:rsid w:val="00BB5E9B"/>
    <w:rsid w:val="00BB77D4"/>
    <w:rsid w:val="00BB79BB"/>
    <w:rsid w:val="00BC0D5B"/>
    <w:rsid w:val="00BC0DD3"/>
    <w:rsid w:val="00BC2203"/>
    <w:rsid w:val="00BC2333"/>
    <w:rsid w:val="00BC2541"/>
    <w:rsid w:val="00BC2557"/>
    <w:rsid w:val="00BC339D"/>
    <w:rsid w:val="00BC3E2D"/>
    <w:rsid w:val="00BC58A1"/>
    <w:rsid w:val="00BC58C3"/>
    <w:rsid w:val="00BC5BC7"/>
    <w:rsid w:val="00BC5E59"/>
    <w:rsid w:val="00BC656D"/>
    <w:rsid w:val="00BD03FC"/>
    <w:rsid w:val="00BD124D"/>
    <w:rsid w:val="00BD1289"/>
    <w:rsid w:val="00BD1D6F"/>
    <w:rsid w:val="00BD258E"/>
    <w:rsid w:val="00BD2742"/>
    <w:rsid w:val="00BD2BCD"/>
    <w:rsid w:val="00BD2FEC"/>
    <w:rsid w:val="00BD3368"/>
    <w:rsid w:val="00BD3613"/>
    <w:rsid w:val="00BD4DDC"/>
    <w:rsid w:val="00BD5206"/>
    <w:rsid w:val="00BD72E6"/>
    <w:rsid w:val="00BD74A7"/>
    <w:rsid w:val="00BD787F"/>
    <w:rsid w:val="00BE17FB"/>
    <w:rsid w:val="00BE1AD8"/>
    <w:rsid w:val="00BE1C56"/>
    <w:rsid w:val="00BE4139"/>
    <w:rsid w:val="00BE4C2B"/>
    <w:rsid w:val="00BE4EFE"/>
    <w:rsid w:val="00BE5341"/>
    <w:rsid w:val="00BE762A"/>
    <w:rsid w:val="00BE7C58"/>
    <w:rsid w:val="00BF2EF4"/>
    <w:rsid w:val="00BF3759"/>
    <w:rsid w:val="00BF3CD9"/>
    <w:rsid w:val="00BF4769"/>
    <w:rsid w:val="00BF4958"/>
    <w:rsid w:val="00BF4973"/>
    <w:rsid w:val="00BF55F4"/>
    <w:rsid w:val="00BF5B17"/>
    <w:rsid w:val="00BF601B"/>
    <w:rsid w:val="00BF639E"/>
    <w:rsid w:val="00BF696E"/>
    <w:rsid w:val="00BF7BD1"/>
    <w:rsid w:val="00BF7DD8"/>
    <w:rsid w:val="00C00877"/>
    <w:rsid w:val="00C008C2"/>
    <w:rsid w:val="00C00F48"/>
    <w:rsid w:val="00C027CC"/>
    <w:rsid w:val="00C028A6"/>
    <w:rsid w:val="00C045C9"/>
    <w:rsid w:val="00C04628"/>
    <w:rsid w:val="00C04EB1"/>
    <w:rsid w:val="00C0555B"/>
    <w:rsid w:val="00C05728"/>
    <w:rsid w:val="00C063AC"/>
    <w:rsid w:val="00C06674"/>
    <w:rsid w:val="00C073E0"/>
    <w:rsid w:val="00C07A1D"/>
    <w:rsid w:val="00C1146B"/>
    <w:rsid w:val="00C114CE"/>
    <w:rsid w:val="00C1174D"/>
    <w:rsid w:val="00C130A4"/>
    <w:rsid w:val="00C144ED"/>
    <w:rsid w:val="00C15643"/>
    <w:rsid w:val="00C16966"/>
    <w:rsid w:val="00C16A63"/>
    <w:rsid w:val="00C17443"/>
    <w:rsid w:val="00C17B8F"/>
    <w:rsid w:val="00C219B0"/>
    <w:rsid w:val="00C21EB0"/>
    <w:rsid w:val="00C259AC"/>
    <w:rsid w:val="00C268EC"/>
    <w:rsid w:val="00C26EBB"/>
    <w:rsid w:val="00C27541"/>
    <w:rsid w:val="00C27F29"/>
    <w:rsid w:val="00C304E7"/>
    <w:rsid w:val="00C31014"/>
    <w:rsid w:val="00C31E13"/>
    <w:rsid w:val="00C31EB3"/>
    <w:rsid w:val="00C31FA8"/>
    <w:rsid w:val="00C32924"/>
    <w:rsid w:val="00C32B95"/>
    <w:rsid w:val="00C334DC"/>
    <w:rsid w:val="00C3359B"/>
    <w:rsid w:val="00C33B6E"/>
    <w:rsid w:val="00C33FF7"/>
    <w:rsid w:val="00C34849"/>
    <w:rsid w:val="00C35086"/>
    <w:rsid w:val="00C3536A"/>
    <w:rsid w:val="00C36441"/>
    <w:rsid w:val="00C415AE"/>
    <w:rsid w:val="00C41B85"/>
    <w:rsid w:val="00C41DDF"/>
    <w:rsid w:val="00C42700"/>
    <w:rsid w:val="00C43F4D"/>
    <w:rsid w:val="00C4463E"/>
    <w:rsid w:val="00C460FC"/>
    <w:rsid w:val="00C46ED9"/>
    <w:rsid w:val="00C47F6C"/>
    <w:rsid w:val="00C50248"/>
    <w:rsid w:val="00C52117"/>
    <w:rsid w:val="00C528E6"/>
    <w:rsid w:val="00C5318F"/>
    <w:rsid w:val="00C541B5"/>
    <w:rsid w:val="00C55C33"/>
    <w:rsid w:val="00C5630D"/>
    <w:rsid w:val="00C60F63"/>
    <w:rsid w:val="00C6110D"/>
    <w:rsid w:val="00C61646"/>
    <w:rsid w:val="00C619D3"/>
    <w:rsid w:val="00C61BED"/>
    <w:rsid w:val="00C6450E"/>
    <w:rsid w:val="00C65E0F"/>
    <w:rsid w:val="00C660E6"/>
    <w:rsid w:val="00C66C7E"/>
    <w:rsid w:val="00C67B08"/>
    <w:rsid w:val="00C716EF"/>
    <w:rsid w:val="00C72044"/>
    <w:rsid w:val="00C72814"/>
    <w:rsid w:val="00C72871"/>
    <w:rsid w:val="00C72D46"/>
    <w:rsid w:val="00C73448"/>
    <w:rsid w:val="00C74E82"/>
    <w:rsid w:val="00C760AF"/>
    <w:rsid w:val="00C7632D"/>
    <w:rsid w:val="00C77214"/>
    <w:rsid w:val="00C77624"/>
    <w:rsid w:val="00C81D17"/>
    <w:rsid w:val="00C823FA"/>
    <w:rsid w:val="00C83A2A"/>
    <w:rsid w:val="00C83E2D"/>
    <w:rsid w:val="00C84137"/>
    <w:rsid w:val="00C84C76"/>
    <w:rsid w:val="00C85821"/>
    <w:rsid w:val="00C86713"/>
    <w:rsid w:val="00C87042"/>
    <w:rsid w:val="00C87D8C"/>
    <w:rsid w:val="00C905A2"/>
    <w:rsid w:val="00C910FC"/>
    <w:rsid w:val="00C9213B"/>
    <w:rsid w:val="00C92314"/>
    <w:rsid w:val="00C92F9D"/>
    <w:rsid w:val="00C93E3F"/>
    <w:rsid w:val="00C93E90"/>
    <w:rsid w:val="00C940E8"/>
    <w:rsid w:val="00C940EC"/>
    <w:rsid w:val="00C95CB9"/>
    <w:rsid w:val="00C97413"/>
    <w:rsid w:val="00C97588"/>
    <w:rsid w:val="00CA05B5"/>
    <w:rsid w:val="00CA0CC1"/>
    <w:rsid w:val="00CA36EA"/>
    <w:rsid w:val="00CA3D6B"/>
    <w:rsid w:val="00CA406F"/>
    <w:rsid w:val="00CA5985"/>
    <w:rsid w:val="00CA5F19"/>
    <w:rsid w:val="00CA5F95"/>
    <w:rsid w:val="00CB026D"/>
    <w:rsid w:val="00CB075D"/>
    <w:rsid w:val="00CB4469"/>
    <w:rsid w:val="00CB4863"/>
    <w:rsid w:val="00CB6A9D"/>
    <w:rsid w:val="00CB741D"/>
    <w:rsid w:val="00CC2747"/>
    <w:rsid w:val="00CC28D3"/>
    <w:rsid w:val="00CC3300"/>
    <w:rsid w:val="00CC3D36"/>
    <w:rsid w:val="00CC4045"/>
    <w:rsid w:val="00CC4800"/>
    <w:rsid w:val="00CC4FF7"/>
    <w:rsid w:val="00CC5CB7"/>
    <w:rsid w:val="00CC5DDF"/>
    <w:rsid w:val="00CC5F00"/>
    <w:rsid w:val="00CC6F65"/>
    <w:rsid w:val="00CC74DA"/>
    <w:rsid w:val="00CD0375"/>
    <w:rsid w:val="00CD051F"/>
    <w:rsid w:val="00CD140B"/>
    <w:rsid w:val="00CD21A7"/>
    <w:rsid w:val="00CD21D2"/>
    <w:rsid w:val="00CD2675"/>
    <w:rsid w:val="00CD2AE5"/>
    <w:rsid w:val="00CD3E48"/>
    <w:rsid w:val="00CD3EEA"/>
    <w:rsid w:val="00CD3F29"/>
    <w:rsid w:val="00CD620F"/>
    <w:rsid w:val="00CD6553"/>
    <w:rsid w:val="00CD6E46"/>
    <w:rsid w:val="00CD7E81"/>
    <w:rsid w:val="00CE0933"/>
    <w:rsid w:val="00CE0C18"/>
    <w:rsid w:val="00CE1926"/>
    <w:rsid w:val="00CE1B14"/>
    <w:rsid w:val="00CE1EF2"/>
    <w:rsid w:val="00CE2299"/>
    <w:rsid w:val="00CE3AF9"/>
    <w:rsid w:val="00CE426B"/>
    <w:rsid w:val="00CE4341"/>
    <w:rsid w:val="00CE43DF"/>
    <w:rsid w:val="00CE48BD"/>
    <w:rsid w:val="00CE4D18"/>
    <w:rsid w:val="00CE66BA"/>
    <w:rsid w:val="00CE7161"/>
    <w:rsid w:val="00CE791E"/>
    <w:rsid w:val="00CE7E37"/>
    <w:rsid w:val="00CF0C4E"/>
    <w:rsid w:val="00CF0ED5"/>
    <w:rsid w:val="00CF1E9C"/>
    <w:rsid w:val="00CF2CA2"/>
    <w:rsid w:val="00CF3A5D"/>
    <w:rsid w:val="00CF4614"/>
    <w:rsid w:val="00CF5219"/>
    <w:rsid w:val="00CF6084"/>
    <w:rsid w:val="00CF6709"/>
    <w:rsid w:val="00CF6CCF"/>
    <w:rsid w:val="00D010CE"/>
    <w:rsid w:val="00D012AB"/>
    <w:rsid w:val="00D03CF6"/>
    <w:rsid w:val="00D043FC"/>
    <w:rsid w:val="00D059CE"/>
    <w:rsid w:val="00D065D7"/>
    <w:rsid w:val="00D06B10"/>
    <w:rsid w:val="00D06E3D"/>
    <w:rsid w:val="00D109D4"/>
    <w:rsid w:val="00D10DB2"/>
    <w:rsid w:val="00D11B0D"/>
    <w:rsid w:val="00D12138"/>
    <w:rsid w:val="00D1290B"/>
    <w:rsid w:val="00D12D2C"/>
    <w:rsid w:val="00D131D0"/>
    <w:rsid w:val="00D13922"/>
    <w:rsid w:val="00D1453F"/>
    <w:rsid w:val="00D15009"/>
    <w:rsid w:val="00D16149"/>
    <w:rsid w:val="00D16946"/>
    <w:rsid w:val="00D169F0"/>
    <w:rsid w:val="00D17C22"/>
    <w:rsid w:val="00D20941"/>
    <w:rsid w:val="00D209F8"/>
    <w:rsid w:val="00D210F4"/>
    <w:rsid w:val="00D21225"/>
    <w:rsid w:val="00D218E2"/>
    <w:rsid w:val="00D21C2A"/>
    <w:rsid w:val="00D22A9B"/>
    <w:rsid w:val="00D22B8E"/>
    <w:rsid w:val="00D22DD9"/>
    <w:rsid w:val="00D23BFA"/>
    <w:rsid w:val="00D23DFB"/>
    <w:rsid w:val="00D26796"/>
    <w:rsid w:val="00D26D74"/>
    <w:rsid w:val="00D27639"/>
    <w:rsid w:val="00D30FDA"/>
    <w:rsid w:val="00D312B7"/>
    <w:rsid w:val="00D3161E"/>
    <w:rsid w:val="00D319B8"/>
    <w:rsid w:val="00D35299"/>
    <w:rsid w:val="00D3571B"/>
    <w:rsid w:val="00D36B42"/>
    <w:rsid w:val="00D3704A"/>
    <w:rsid w:val="00D37099"/>
    <w:rsid w:val="00D37FCD"/>
    <w:rsid w:val="00D40542"/>
    <w:rsid w:val="00D43E0C"/>
    <w:rsid w:val="00D4425C"/>
    <w:rsid w:val="00D4496A"/>
    <w:rsid w:val="00D45382"/>
    <w:rsid w:val="00D46675"/>
    <w:rsid w:val="00D47BC6"/>
    <w:rsid w:val="00D47DAA"/>
    <w:rsid w:val="00D506BC"/>
    <w:rsid w:val="00D51E56"/>
    <w:rsid w:val="00D52064"/>
    <w:rsid w:val="00D52F6C"/>
    <w:rsid w:val="00D53164"/>
    <w:rsid w:val="00D5377E"/>
    <w:rsid w:val="00D5380D"/>
    <w:rsid w:val="00D538AF"/>
    <w:rsid w:val="00D53B09"/>
    <w:rsid w:val="00D53CCD"/>
    <w:rsid w:val="00D53E0A"/>
    <w:rsid w:val="00D54BE3"/>
    <w:rsid w:val="00D551C7"/>
    <w:rsid w:val="00D55A03"/>
    <w:rsid w:val="00D55A46"/>
    <w:rsid w:val="00D56A4B"/>
    <w:rsid w:val="00D5707A"/>
    <w:rsid w:val="00D5785C"/>
    <w:rsid w:val="00D60BAD"/>
    <w:rsid w:val="00D61988"/>
    <w:rsid w:val="00D62022"/>
    <w:rsid w:val="00D62080"/>
    <w:rsid w:val="00D62D48"/>
    <w:rsid w:val="00D64209"/>
    <w:rsid w:val="00D64966"/>
    <w:rsid w:val="00D65607"/>
    <w:rsid w:val="00D65E8F"/>
    <w:rsid w:val="00D66AD5"/>
    <w:rsid w:val="00D66DD5"/>
    <w:rsid w:val="00D67CB9"/>
    <w:rsid w:val="00D703E9"/>
    <w:rsid w:val="00D70FFE"/>
    <w:rsid w:val="00D714EF"/>
    <w:rsid w:val="00D71F0A"/>
    <w:rsid w:val="00D721B7"/>
    <w:rsid w:val="00D74024"/>
    <w:rsid w:val="00D745F2"/>
    <w:rsid w:val="00D759A3"/>
    <w:rsid w:val="00D767D0"/>
    <w:rsid w:val="00D77C23"/>
    <w:rsid w:val="00D823C9"/>
    <w:rsid w:val="00D84AD7"/>
    <w:rsid w:val="00D85C34"/>
    <w:rsid w:val="00D863AF"/>
    <w:rsid w:val="00D8704B"/>
    <w:rsid w:val="00D8776F"/>
    <w:rsid w:val="00D90328"/>
    <w:rsid w:val="00D90AAE"/>
    <w:rsid w:val="00D90C94"/>
    <w:rsid w:val="00D9182E"/>
    <w:rsid w:val="00D93EF2"/>
    <w:rsid w:val="00D93F96"/>
    <w:rsid w:val="00D9567A"/>
    <w:rsid w:val="00D97C1B"/>
    <w:rsid w:val="00D97CAE"/>
    <w:rsid w:val="00D97FE0"/>
    <w:rsid w:val="00DA2F4B"/>
    <w:rsid w:val="00DA3145"/>
    <w:rsid w:val="00DA392A"/>
    <w:rsid w:val="00DA3B58"/>
    <w:rsid w:val="00DA3D88"/>
    <w:rsid w:val="00DA55A6"/>
    <w:rsid w:val="00DA597C"/>
    <w:rsid w:val="00DA6536"/>
    <w:rsid w:val="00DA6F8B"/>
    <w:rsid w:val="00DA7EFA"/>
    <w:rsid w:val="00DB13C0"/>
    <w:rsid w:val="00DB29AC"/>
    <w:rsid w:val="00DB2EC5"/>
    <w:rsid w:val="00DB2F86"/>
    <w:rsid w:val="00DB335C"/>
    <w:rsid w:val="00DB36CD"/>
    <w:rsid w:val="00DB3A6B"/>
    <w:rsid w:val="00DB3CB7"/>
    <w:rsid w:val="00DB451D"/>
    <w:rsid w:val="00DB571D"/>
    <w:rsid w:val="00DB74B9"/>
    <w:rsid w:val="00DC00D3"/>
    <w:rsid w:val="00DC0940"/>
    <w:rsid w:val="00DC2809"/>
    <w:rsid w:val="00DC3C89"/>
    <w:rsid w:val="00DC4184"/>
    <w:rsid w:val="00DC4337"/>
    <w:rsid w:val="00DC47D8"/>
    <w:rsid w:val="00DC4938"/>
    <w:rsid w:val="00DC5DE1"/>
    <w:rsid w:val="00DC68F1"/>
    <w:rsid w:val="00DC6A1C"/>
    <w:rsid w:val="00DD0CF2"/>
    <w:rsid w:val="00DD0E61"/>
    <w:rsid w:val="00DD1999"/>
    <w:rsid w:val="00DD1C5E"/>
    <w:rsid w:val="00DD2B20"/>
    <w:rsid w:val="00DD5A99"/>
    <w:rsid w:val="00DD6665"/>
    <w:rsid w:val="00DD682A"/>
    <w:rsid w:val="00DD77B1"/>
    <w:rsid w:val="00DE0691"/>
    <w:rsid w:val="00DE11C8"/>
    <w:rsid w:val="00DE22D2"/>
    <w:rsid w:val="00DE2B0A"/>
    <w:rsid w:val="00DE3DD6"/>
    <w:rsid w:val="00DE4453"/>
    <w:rsid w:val="00DE4604"/>
    <w:rsid w:val="00DE4DF9"/>
    <w:rsid w:val="00DE4DFB"/>
    <w:rsid w:val="00DE5FE7"/>
    <w:rsid w:val="00DE61EA"/>
    <w:rsid w:val="00DE6391"/>
    <w:rsid w:val="00DE64C6"/>
    <w:rsid w:val="00DE6973"/>
    <w:rsid w:val="00DE6BB9"/>
    <w:rsid w:val="00DE6E8D"/>
    <w:rsid w:val="00DE7F62"/>
    <w:rsid w:val="00DF1FC7"/>
    <w:rsid w:val="00DF229B"/>
    <w:rsid w:val="00DF2896"/>
    <w:rsid w:val="00DF2A1C"/>
    <w:rsid w:val="00DF4696"/>
    <w:rsid w:val="00DF5169"/>
    <w:rsid w:val="00DF55F7"/>
    <w:rsid w:val="00DF791F"/>
    <w:rsid w:val="00DF7D35"/>
    <w:rsid w:val="00E005E4"/>
    <w:rsid w:val="00E005F8"/>
    <w:rsid w:val="00E01756"/>
    <w:rsid w:val="00E02410"/>
    <w:rsid w:val="00E02F43"/>
    <w:rsid w:val="00E055FB"/>
    <w:rsid w:val="00E056F5"/>
    <w:rsid w:val="00E05F46"/>
    <w:rsid w:val="00E0698F"/>
    <w:rsid w:val="00E069DC"/>
    <w:rsid w:val="00E07038"/>
    <w:rsid w:val="00E11BBB"/>
    <w:rsid w:val="00E127D0"/>
    <w:rsid w:val="00E128EB"/>
    <w:rsid w:val="00E12A56"/>
    <w:rsid w:val="00E131EC"/>
    <w:rsid w:val="00E1329A"/>
    <w:rsid w:val="00E13A77"/>
    <w:rsid w:val="00E1414F"/>
    <w:rsid w:val="00E160B9"/>
    <w:rsid w:val="00E16B95"/>
    <w:rsid w:val="00E17F1E"/>
    <w:rsid w:val="00E20349"/>
    <w:rsid w:val="00E2166A"/>
    <w:rsid w:val="00E2301A"/>
    <w:rsid w:val="00E25DB4"/>
    <w:rsid w:val="00E2656B"/>
    <w:rsid w:val="00E27A02"/>
    <w:rsid w:val="00E30594"/>
    <w:rsid w:val="00E3093A"/>
    <w:rsid w:val="00E315AB"/>
    <w:rsid w:val="00E337FA"/>
    <w:rsid w:val="00E33C7A"/>
    <w:rsid w:val="00E34CE9"/>
    <w:rsid w:val="00E358F4"/>
    <w:rsid w:val="00E35F84"/>
    <w:rsid w:val="00E368DB"/>
    <w:rsid w:val="00E36D6D"/>
    <w:rsid w:val="00E36E40"/>
    <w:rsid w:val="00E37747"/>
    <w:rsid w:val="00E37FA0"/>
    <w:rsid w:val="00E37FF2"/>
    <w:rsid w:val="00E40283"/>
    <w:rsid w:val="00E402DC"/>
    <w:rsid w:val="00E41644"/>
    <w:rsid w:val="00E41B51"/>
    <w:rsid w:val="00E420F8"/>
    <w:rsid w:val="00E421B9"/>
    <w:rsid w:val="00E42FCB"/>
    <w:rsid w:val="00E45274"/>
    <w:rsid w:val="00E45D74"/>
    <w:rsid w:val="00E45F6A"/>
    <w:rsid w:val="00E463B3"/>
    <w:rsid w:val="00E46AF6"/>
    <w:rsid w:val="00E4735C"/>
    <w:rsid w:val="00E47DBC"/>
    <w:rsid w:val="00E502FD"/>
    <w:rsid w:val="00E50481"/>
    <w:rsid w:val="00E506D1"/>
    <w:rsid w:val="00E51955"/>
    <w:rsid w:val="00E519D3"/>
    <w:rsid w:val="00E51B9B"/>
    <w:rsid w:val="00E531B2"/>
    <w:rsid w:val="00E5376A"/>
    <w:rsid w:val="00E53D1A"/>
    <w:rsid w:val="00E56748"/>
    <w:rsid w:val="00E56992"/>
    <w:rsid w:val="00E60501"/>
    <w:rsid w:val="00E60F25"/>
    <w:rsid w:val="00E6156D"/>
    <w:rsid w:val="00E620F2"/>
    <w:rsid w:val="00E630FB"/>
    <w:rsid w:val="00E6332E"/>
    <w:rsid w:val="00E64FFE"/>
    <w:rsid w:val="00E655A3"/>
    <w:rsid w:val="00E65C89"/>
    <w:rsid w:val="00E65D24"/>
    <w:rsid w:val="00E67194"/>
    <w:rsid w:val="00E671D3"/>
    <w:rsid w:val="00E673B7"/>
    <w:rsid w:val="00E70061"/>
    <w:rsid w:val="00E70CB3"/>
    <w:rsid w:val="00E717AE"/>
    <w:rsid w:val="00E72080"/>
    <w:rsid w:val="00E72179"/>
    <w:rsid w:val="00E7217D"/>
    <w:rsid w:val="00E7274F"/>
    <w:rsid w:val="00E7479F"/>
    <w:rsid w:val="00E74BBD"/>
    <w:rsid w:val="00E75A52"/>
    <w:rsid w:val="00E77102"/>
    <w:rsid w:val="00E7732A"/>
    <w:rsid w:val="00E77679"/>
    <w:rsid w:val="00E8012C"/>
    <w:rsid w:val="00E80308"/>
    <w:rsid w:val="00E8157B"/>
    <w:rsid w:val="00E81DA3"/>
    <w:rsid w:val="00E821D0"/>
    <w:rsid w:val="00E828CA"/>
    <w:rsid w:val="00E8341F"/>
    <w:rsid w:val="00E843B3"/>
    <w:rsid w:val="00E87884"/>
    <w:rsid w:val="00E87C4A"/>
    <w:rsid w:val="00E900C5"/>
    <w:rsid w:val="00E90170"/>
    <w:rsid w:val="00E9145B"/>
    <w:rsid w:val="00E92237"/>
    <w:rsid w:val="00E922D3"/>
    <w:rsid w:val="00E92E39"/>
    <w:rsid w:val="00E936E6"/>
    <w:rsid w:val="00E93B72"/>
    <w:rsid w:val="00E942A8"/>
    <w:rsid w:val="00E94916"/>
    <w:rsid w:val="00E96349"/>
    <w:rsid w:val="00E973DC"/>
    <w:rsid w:val="00EA015D"/>
    <w:rsid w:val="00EA01C4"/>
    <w:rsid w:val="00EA04CE"/>
    <w:rsid w:val="00EA0D9C"/>
    <w:rsid w:val="00EA16B2"/>
    <w:rsid w:val="00EA3359"/>
    <w:rsid w:val="00EA46E5"/>
    <w:rsid w:val="00EA51F4"/>
    <w:rsid w:val="00EA5438"/>
    <w:rsid w:val="00EA56B4"/>
    <w:rsid w:val="00EA6AFC"/>
    <w:rsid w:val="00EA7B14"/>
    <w:rsid w:val="00EB0B5D"/>
    <w:rsid w:val="00EB1DE1"/>
    <w:rsid w:val="00EB23BB"/>
    <w:rsid w:val="00EB2BF3"/>
    <w:rsid w:val="00EB30C9"/>
    <w:rsid w:val="00EB3EE9"/>
    <w:rsid w:val="00EB5063"/>
    <w:rsid w:val="00EB5283"/>
    <w:rsid w:val="00EB6215"/>
    <w:rsid w:val="00EB7125"/>
    <w:rsid w:val="00EB7975"/>
    <w:rsid w:val="00EB7985"/>
    <w:rsid w:val="00EC030A"/>
    <w:rsid w:val="00EC18A3"/>
    <w:rsid w:val="00EC292A"/>
    <w:rsid w:val="00EC3304"/>
    <w:rsid w:val="00EC4261"/>
    <w:rsid w:val="00EC50DB"/>
    <w:rsid w:val="00EC545A"/>
    <w:rsid w:val="00EC566A"/>
    <w:rsid w:val="00EC5769"/>
    <w:rsid w:val="00EC587C"/>
    <w:rsid w:val="00EC6891"/>
    <w:rsid w:val="00EC69F3"/>
    <w:rsid w:val="00EC6AF3"/>
    <w:rsid w:val="00EC6AF7"/>
    <w:rsid w:val="00ED1346"/>
    <w:rsid w:val="00ED2AFF"/>
    <w:rsid w:val="00ED2D3A"/>
    <w:rsid w:val="00ED2EC0"/>
    <w:rsid w:val="00ED50E0"/>
    <w:rsid w:val="00ED5169"/>
    <w:rsid w:val="00ED5986"/>
    <w:rsid w:val="00ED5EC8"/>
    <w:rsid w:val="00ED70CE"/>
    <w:rsid w:val="00EE0744"/>
    <w:rsid w:val="00EE26D8"/>
    <w:rsid w:val="00EE32B4"/>
    <w:rsid w:val="00EE3A41"/>
    <w:rsid w:val="00EE3FC6"/>
    <w:rsid w:val="00EE623A"/>
    <w:rsid w:val="00EE65F0"/>
    <w:rsid w:val="00EE6B93"/>
    <w:rsid w:val="00EE781F"/>
    <w:rsid w:val="00EE7D6E"/>
    <w:rsid w:val="00EF05D4"/>
    <w:rsid w:val="00EF1298"/>
    <w:rsid w:val="00EF1920"/>
    <w:rsid w:val="00EF1F61"/>
    <w:rsid w:val="00EF3440"/>
    <w:rsid w:val="00EF3920"/>
    <w:rsid w:val="00EF3D52"/>
    <w:rsid w:val="00EF4AC9"/>
    <w:rsid w:val="00EF54D6"/>
    <w:rsid w:val="00EF5908"/>
    <w:rsid w:val="00EF5EB5"/>
    <w:rsid w:val="00EF73D3"/>
    <w:rsid w:val="00F00CFB"/>
    <w:rsid w:val="00F00D6E"/>
    <w:rsid w:val="00F00F91"/>
    <w:rsid w:val="00F01085"/>
    <w:rsid w:val="00F02C31"/>
    <w:rsid w:val="00F03EC9"/>
    <w:rsid w:val="00F0433B"/>
    <w:rsid w:val="00F05371"/>
    <w:rsid w:val="00F05932"/>
    <w:rsid w:val="00F05BF8"/>
    <w:rsid w:val="00F06302"/>
    <w:rsid w:val="00F10E6D"/>
    <w:rsid w:val="00F10EC9"/>
    <w:rsid w:val="00F10F52"/>
    <w:rsid w:val="00F111E2"/>
    <w:rsid w:val="00F11272"/>
    <w:rsid w:val="00F11CB8"/>
    <w:rsid w:val="00F16D9B"/>
    <w:rsid w:val="00F17B49"/>
    <w:rsid w:val="00F2088C"/>
    <w:rsid w:val="00F20CB1"/>
    <w:rsid w:val="00F21437"/>
    <w:rsid w:val="00F228CC"/>
    <w:rsid w:val="00F23934"/>
    <w:rsid w:val="00F24155"/>
    <w:rsid w:val="00F242D6"/>
    <w:rsid w:val="00F24865"/>
    <w:rsid w:val="00F24B07"/>
    <w:rsid w:val="00F25535"/>
    <w:rsid w:val="00F25739"/>
    <w:rsid w:val="00F25E5B"/>
    <w:rsid w:val="00F2713B"/>
    <w:rsid w:val="00F3009B"/>
    <w:rsid w:val="00F304D3"/>
    <w:rsid w:val="00F30E04"/>
    <w:rsid w:val="00F3121E"/>
    <w:rsid w:val="00F319DD"/>
    <w:rsid w:val="00F31CC8"/>
    <w:rsid w:val="00F32A74"/>
    <w:rsid w:val="00F3518B"/>
    <w:rsid w:val="00F36BC1"/>
    <w:rsid w:val="00F40547"/>
    <w:rsid w:val="00F408BD"/>
    <w:rsid w:val="00F4189D"/>
    <w:rsid w:val="00F4216F"/>
    <w:rsid w:val="00F42314"/>
    <w:rsid w:val="00F42730"/>
    <w:rsid w:val="00F42C01"/>
    <w:rsid w:val="00F432AB"/>
    <w:rsid w:val="00F436D9"/>
    <w:rsid w:val="00F43704"/>
    <w:rsid w:val="00F43D55"/>
    <w:rsid w:val="00F44F3A"/>
    <w:rsid w:val="00F4536A"/>
    <w:rsid w:val="00F45FE8"/>
    <w:rsid w:val="00F46503"/>
    <w:rsid w:val="00F46DCE"/>
    <w:rsid w:val="00F473BA"/>
    <w:rsid w:val="00F478EC"/>
    <w:rsid w:val="00F47991"/>
    <w:rsid w:val="00F47E28"/>
    <w:rsid w:val="00F50061"/>
    <w:rsid w:val="00F50388"/>
    <w:rsid w:val="00F50F89"/>
    <w:rsid w:val="00F51339"/>
    <w:rsid w:val="00F52FD2"/>
    <w:rsid w:val="00F531DC"/>
    <w:rsid w:val="00F53748"/>
    <w:rsid w:val="00F538CF"/>
    <w:rsid w:val="00F53CE0"/>
    <w:rsid w:val="00F53F9F"/>
    <w:rsid w:val="00F541BD"/>
    <w:rsid w:val="00F547A3"/>
    <w:rsid w:val="00F56282"/>
    <w:rsid w:val="00F56C06"/>
    <w:rsid w:val="00F57096"/>
    <w:rsid w:val="00F57A3D"/>
    <w:rsid w:val="00F62698"/>
    <w:rsid w:val="00F635AD"/>
    <w:rsid w:val="00F63964"/>
    <w:rsid w:val="00F64D8B"/>
    <w:rsid w:val="00F654E0"/>
    <w:rsid w:val="00F66750"/>
    <w:rsid w:val="00F7014C"/>
    <w:rsid w:val="00F70B1F"/>
    <w:rsid w:val="00F70E1F"/>
    <w:rsid w:val="00F70F85"/>
    <w:rsid w:val="00F71B96"/>
    <w:rsid w:val="00F72435"/>
    <w:rsid w:val="00F72595"/>
    <w:rsid w:val="00F72AFF"/>
    <w:rsid w:val="00F74821"/>
    <w:rsid w:val="00F75C41"/>
    <w:rsid w:val="00F764FC"/>
    <w:rsid w:val="00F76862"/>
    <w:rsid w:val="00F7778B"/>
    <w:rsid w:val="00F77970"/>
    <w:rsid w:val="00F77B0D"/>
    <w:rsid w:val="00F8102D"/>
    <w:rsid w:val="00F81090"/>
    <w:rsid w:val="00F834F9"/>
    <w:rsid w:val="00F867BA"/>
    <w:rsid w:val="00F87897"/>
    <w:rsid w:val="00F87B63"/>
    <w:rsid w:val="00F90271"/>
    <w:rsid w:val="00F90340"/>
    <w:rsid w:val="00F9289A"/>
    <w:rsid w:val="00F92DF7"/>
    <w:rsid w:val="00F948FB"/>
    <w:rsid w:val="00F94E1A"/>
    <w:rsid w:val="00F9509D"/>
    <w:rsid w:val="00F96273"/>
    <w:rsid w:val="00F97D05"/>
    <w:rsid w:val="00FA09AF"/>
    <w:rsid w:val="00FA1124"/>
    <w:rsid w:val="00FA3E38"/>
    <w:rsid w:val="00FA5545"/>
    <w:rsid w:val="00FA55AA"/>
    <w:rsid w:val="00FA615E"/>
    <w:rsid w:val="00FA7101"/>
    <w:rsid w:val="00FA7739"/>
    <w:rsid w:val="00FB0547"/>
    <w:rsid w:val="00FB2FDD"/>
    <w:rsid w:val="00FB3BDC"/>
    <w:rsid w:val="00FB3FD7"/>
    <w:rsid w:val="00FB62BE"/>
    <w:rsid w:val="00FB6386"/>
    <w:rsid w:val="00FC2555"/>
    <w:rsid w:val="00FC45A8"/>
    <w:rsid w:val="00FC50D4"/>
    <w:rsid w:val="00FC58B7"/>
    <w:rsid w:val="00FC715B"/>
    <w:rsid w:val="00FC7E02"/>
    <w:rsid w:val="00FD16BD"/>
    <w:rsid w:val="00FD37B5"/>
    <w:rsid w:val="00FD3FDC"/>
    <w:rsid w:val="00FD4757"/>
    <w:rsid w:val="00FD4CB9"/>
    <w:rsid w:val="00FD4EE7"/>
    <w:rsid w:val="00FD5DF1"/>
    <w:rsid w:val="00FD7FE0"/>
    <w:rsid w:val="00FE0699"/>
    <w:rsid w:val="00FE15E9"/>
    <w:rsid w:val="00FE1F46"/>
    <w:rsid w:val="00FE2721"/>
    <w:rsid w:val="00FE2AE4"/>
    <w:rsid w:val="00FE369B"/>
    <w:rsid w:val="00FE3C4B"/>
    <w:rsid w:val="00FE42F8"/>
    <w:rsid w:val="00FE5262"/>
    <w:rsid w:val="00FE55CF"/>
    <w:rsid w:val="00FE6BCF"/>
    <w:rsid w:val="00FF0D3D"/>
    <w:rsid w:val="00FF1DA5"/>
    <w:rsid w:val="00FF1FE6"/>
    <w:rsid w:val="00FF6B63"/>
    <w:rsid w:val="00FF7081"/>
    <w:rsid w:val="00FF7D18"/>
    <w:rsid w:val="00FF7E08"/>
    <w:rsid w:val="01101FB2"/>
    <w:rsid w:val="017634E4"/>
    <w:rsid w:val="01934780"/>
    <w:rsid w:val="01964F5F"/>
    <w:rsid w:val="01A912DA"/>
    <w:rsid w:val="01A95359"/>
    <w:rsid w:val="01B55D76"/>
    <w:rsid w:val="01B65D6B"/>
    <w:rsid w:val="020F3E3B"/>
    <w:rsid w:val="026B5620"/>
    <w:rsid w:val="02BD720C"/>
    <w:rsid w:val="034A7CBD"/>
    <w:rsid w:val="035E6E25"/>
    <w:rsid w:val="03990047"/>
    <w:rsid w:val="03C13F1E"/>
    <w:rsid w:val="03D87216"/>
    <w:rsid w:val="04150238"/>
    <w:rsid w:val="04377A82"/>
    <w:rsid w:val="043D37F9"/>
    <w:rsid w:val="04660CC5"/>
    <w:rsid w:val="04AD5DE2"/>
    <w:rsid w:val="052B1173"/>
    <w:rsid w:val="053346E4"/>
    <w:rsid w:val="05377290"/>
    <w:rsid w:val="056D438D"/>
    <w:rsid w:val="059C5A3C"/>
    <w:rsid w:val="05BF112B"/>
    <w:rsid w:val="05E6612A"/>
    <w:rsid w:val="061D6D0E"/>
    <w:rsid w:val="06500E17"/>
    <w:rsid w:val="0665030C"/>
    <w:rsid w:val="06D1214A"/>
    <w:rsid w:val="06DD17AE"/>
    <w:rsid w:val="079165AE"/>
    <w:rsid w:val="07C301EB"/>
    <w:rsid w:val="07C93273"/>
    <w:rsid w:val="07CF5DE6"/>
    <w:rsid w:val="07D465AB"/>
    <w:rsid w:val="08F83AB5"/>
    <w:rsid w:val="09146933"/>
    <w:rsid w:val="09A339CE"/>
    <w:rsid w:val="09F2640F"/>
    <w:rsid w:val="0A067C3B"/>
    <w:rsid w:val="0A461507"/>
    <w:rsid w:val="0A7E43E7"/>
    <w:rsid w:val="0A887B1D"/>
    <w:rsid w:val="0AB36C6B"/>
    <w:rsid w:val="0AD67115"/>
    <w:rsid w:val="0ADE38FD"/>
    <w:rsid w:val="0B217CEC"/>
    <w:rsid w:val="0B3E7C46"/>
    <w:rsid w:val="0B466938"/>
    <w:rsid w:val="0B8230A3"/>
    <w:rsid w:val="0BB43C70"/>
    <w:rsid w:val="0BFB1AD5"/>
    <w:rsid w:val="0C2C7CAB"/>
    <w:rsid w:val="0C721436"/>
    <w:rsid w:val="0D037946"/>
    <w:rsid w:val="0D6D7196"/>
    <w:rsid w:val="0DFA2BFE"/>
    <w:rsid w:val="0E170C4C"/>
    <w:rsid w:val="0E4D64C8"/>
    <w:rsid w:val="0E9B7F18"/>
    <w:rsid w:val="0EDC547B"/>
    <w:rsid w:val="0F443124"/>
    <w:rsid w:val="0F5D5185"/>
    <w:rsid w:val="0F640E0F"/>
    <w:rsid w:val="0F734171"/>
    <w:rsid w:val="0FE95324"/>
    <w:rsid w:val="10370A0C"/>
    <w:rsid w:val="10A83EEB"/>
    <w:rsid w:val="10AD2502"/>
    <w:rsid w:val="10D97124"/>
    <w:rsid w:val="10FB7B84"/>
    <w:rsid w:val="113F562E"/>
    <w:rsid w:val="11983F16"/>
    <w:rsid w:val="119E69F0"/>
    <w:rsid w:val="11B35AC0"/>
    <w:rsid w:val="11E569CB"/>
    <w:rsid w:val="12691182"/>
    <w:rsid w:val="12BF47A5"/>
    <w:rsid w:val="12D521DD"/>
    <w:rsid w:val="12D839D1"/>
    <w:rsid w:val="12E804D5"/>
    <w:rsid w:val="13215580"/>
    <w:rsid w:val="132650F8"/>
    <w:rsid w:val="133576D0"/>
    <w:rsid w:val="134F0723"/>
    <w:rsid w:val="136452C0"/>
    <w:rsid w:val="13AC16D1"/>
    <w:rsid w:val="13B710B6"/>
    <w:rsid w:val="13E12710"/>
    <w:rsid w:val="142A4914"/>
    <w:rsid w:val="144638D4"/>
    <w:rsid w:val="145204CA"/>
    <w:rsid w:val="14667AD2"/>
    <w:rsid w:val="14800779"/>
    <w:rsid w:val="14AB38D4"/>
    <w:rsid w:val="15260D9B"/>
    <w:rsid w:val="15504E1F"/>
    <w:rsid w:val="156F4137"/>
    <w:rsid w:val="157D7A67"/>
    <w:rsid w:val="164C2821"/>
    <w:rsid w:val="16CE53F5"/>
    <w:rsid w:val="181300B2"/>
    <w:rsid w:val="18296142"/>
    <w:rsid w:val="183C1F53"/>
    <w:rsid w:val="188A5A9D"/>
    <w:rsid w:val="18C56D3B"/>
    <w:rsid w:val="19571313"/>
    <w:rsid w:val="196C04EF"/>
    <w:rsid w:val="19A54BF8"/>
    <w:rsid w:val="19D779EC"/>
    <w:rsid w:val="19E219ED"/>
    <w:rsid w:val="1A180016"/>
    <w:rsid w:val="1A3259AD"/>
    <w:rsid w:val="1AAE72A7"/>
    <w:rsid w:val="1B045195"/>
    <w:rsid w:val="1B053056"/>
    <w:rsid w:val="1B3E5629"/>
    <w:rsid w:val="1C1451B2"/>
    <w:rsid w:val="1C2629F1"/>
    <w:rsid w:val="1C517F83"/>
    <w:rsid w:val="1DA13929"/>
    <w:rsid w:val="1DE972FF"/>
    <w:rsid w:val="1E343343"/>
    <w:rsid w:val="1E3A477C"/>
    <w:rsid w:val="1E8C1A6C"/>
    <w:rsid w:val="1EF415B4"/>
    <w:rsid w:val="1F1E2ECE"/>
    <w:rsid w:val="1F2F5AB3"/>
    <w:rsid w:val="1F551ED9"/>
    <w:rsid w:val="1F8C4B9B"/>
    <w:rsid w:val="20BC03EC"/>
    <w:rsid w:val="21034449"/>
    <w:rsid w:val="215658B1"/>
    <w:rsid w:val="216E084E"/>
    <w:rsid w:val="218218B5"/>
    <w:rsid w:val="219A4905"/>
    <w:rsid w:val="22173671"/>
    <w:rsid w:val="229248DE"/>
    <w:rsid w:val="22BA1565"/>
    <w:rsid w:val="22C228CF"/>
    <w:rsid w:val="231177A3"/>
    <w:rsid w:val="232C7111"/>
    <w:rsid w:val="234467AB"/>
    <w:rsid w:val="237F4FDE"/>
    <w:rsid w:val="23DD77DA"/>
    <w:rsid w:val="240A3215"/>
    <w:rsid w:val="24225221"/>
    <w:rsid w:val="24763AB7"/>
    <w:rsid w:val="25020536"/>
    <w:rsid w:val="256C0CC0"/>
    <w:rsid w:val="25732620"/>
    <w:rsid w:val="25A97A85"/>
    <w:rsid w:val="260449B7"/>
    <w:rsid w:val="26107771"/>
    <w:rsid w:val="261B0AA7"/>
    <w:rsid w:val="2673794C"/>
    <w:rsid w:val="26860885"/>
    <w:rsid w:val="270C6416"/>
    <w:rsid w:val="27441CC8"/>
    <w:rsid w:val="27481510"/>
    <w:rsid w:val="27532138"/>
    <w:rsid w:val="278B6C42"/>
    <w:rsid w:val="27A94840"/>
    <w:rsid w:val="27AC56E3"/>
    <w:rsid w:val="281D3FE9"/>
    <w:rsid w:val="286979D7"/>
    <w:rsid w:val="28E107A2"/>
    <w:rsid w:val="29960B9A"/>
    <w:rsid w:val="29DE56A7"/>
    <w:rsid w:val="2A30050E"/>
    <w:rsid w:val="2A334FBD"/>
    <w:rsid w:val="2B245020"/>
    <w:rsid w:val="2B5F363F"/>
    <w:rsid w:val="2B634FBD"/>
    <w:rsid w:val="2BC5737C"/>
    <w:rsid w:val="2C1B212E"/>
    <w:rsid w:val="2C362F15"/>
    <w:rsid w:val="2C642F06"/>
    <w:rsid w:val="2CE84257"/>
    <w:rsid w:val="2D0F4C2F"/>
    <w:rsid w:val="2D272BBA"/>
    <w:rsid w:val="2D6107C2"/>
    <w:rsid w:val="2E8801EE"/>
    <w:rsid w:val="2E980D78"/>
    <w:rsid w:val="2EDF1E7E"/>
    <w:rsid w:val="2EF531C6"/>
    <w:rsid w:val="2F805A94"/>
    <w:rsid w:val="2FD440C0"/>
    <w:rsid w:val="304F2588"/>
    <w:rsid w:val="30943D2F"/>
    <w:rsid w:val="30B24204"/>
    <w:rsid w:val="30E14F91"/>
    <w:rsid w:val="30EF5831"/>
    <w:rsid w:val="312F519A"/>
    <w:rsid w:val="315630D5"/>
    <w:rsid w:val="31740BD8"/>
    <w:rsid w:val="32C61150"/>
    <w:rsid w:val="32D721E1"/>
    <w:rsid w:val="32EF5E01"/>
    <w:rsid w:val="33445128"/>
    <w:rsid w:val="3367054F"/>
    <w:rsid w:val="33904F7E"/>
    <w:rsid w:val="342237CC"/>
    <w:rsid w:val="3434670A"/>
    <w:rsid w:val="345F02AE"/>
    <w:rsid w:val="348C4B17"/>
    <w:rsid w:val="34930D92"/>
    <w:rsid w:val="350D5DEE"/>
    <w:rsid w:val="35164262"/>
    <w:rsid w:val="351D5B33"/>
    <w:rsid w:val="35266411"/>
    <w:rsid w:val="353D343A"/>
    <w:rsid w:val="35A41005"/>
    <w:rsid w:val="35A973C7"/>
    <w:rsid w:val="35C24816"/>
    <w:rsid w:val="35D83D05"/>
    <w:rsid w:val="36985DB9"/>
    <w:rsid w:val="369B7EDF"/>
    <w:rsid w:val="37465815"/>
    <w:rsid w:val="388C36FB"/>
    <w:rsid w:val="38B7004D"/>
    <w:rsid w:val="3907635F"/>
    <w:rsid w:val="399A5379"/>
    <w:rsid w:val="3A266863"/>
    <w:rsid w:val="3ABC00D6"/>
    <w:rsid w:val="3B003F2D"/>
    <w:rsid w:val="3BA94498"/>
    <w:rsid w:val="3BBF0315"/>
    <w:rsid w:val="3C1622DD"/>
    <w:rsid w:val="3C1A012A"/>
    <w:rsid w:val="3C29411D"/>
    <w:rsid w:val="3CF01EC4"/>
    <w:rsid w:val="3CF25AF7"/>
    <w:rsid w:val="3D277BF5"/>
    <w:rsid w:val="3DB30D52"/>
    <w:rsid w:val="3DC12254"/>
    <w:rsid w:val="3DD97C8D"/>
    <w:rsid w:val="3DEE79A0"/>
    <w:rsid w:val="3DFC6C2D"/>
    <w:rsid w:val="3E366731"/>
    <w:rsid w:val="3E4F22C8"/>
    <w:rsid w:val="3E7F135B"/>
    <w:rsid w:val="3E993FCC"/>
    <w:rsid w:val="3EA177D5"/>
    <w:rsid w:val="3F2C52F0"/>
    <w:rsid w:val="3F431BC8"/>
    <w:rsid w:val="3F6E1259"/>
    <w:rsid w:val="3FE26263"/>
    <w:rsid w:val="3FE90322"/>
    <w:rsid w:val="3FF971C0"/>
    <w:rsid w:val="408420BB"/>
    <w:rsid w:val="40A91388"/>
    <w:rsid w:val="40FE73AD"/>
    <w:rsid w:val="41565937"/>
    <w:rsid w:val="41C06A10"/>
    <w:rsid w:val="41D00779"/>
    <w:rsid w:val="42826FDF"/>
    <w:rsid w:val="42C27D1A"/>
    <w:rsid w:val="42C47578"/>
    <w:rsid w:val="42E9148A"/>
    <w:rsid w:val="42ED3B6B"/>
    <w:rsid w:val="43137B46"/>
    <w:rsid w:val="43831F55"/>
    <w:rsid w:val="43DD305D"/>
    <w:rsid w:val="43EC7FC3"/>
    <w:rsid w:val="441B5AA4"/>
    <w:rsid w:val="44297E41"/>
    <w:rsid w:val="44374290"/>
    <w:rsid w:val="445D36B1"/>
    <w:rsid w:val="44675A0E"/>
    <w:rsid w:val="44B37668"/>
    <w:rsid w:val="44CC56D0"/>
    <w:rsid w:val="44F94751"/>
    <w:rsid w:val="45502E52"/>
    <w:rsid w:val="456D0411"/>
    <w:rsid w:val="45EC031F"/>
    <w:rsid w:val="464949DA"/>
    <w:rsid w:val="46C91677"/>
    <w:rsid w:val="480B4BFD"/>
    <w:rsid w:val="48F05286"/>
    <w:rsid w:val="490A030F"/>
    <w:rsid w:val="49150C4C"/>
    <w:rsid w:val="498875C7"/>
    <w:rsid w:val="49A716A5"/>
    <w:rsid w:val="49B57605"/>
    <w:rsid w:val="49F70BF1"/>
    <w:rsid w:val="4A312982"/>
    <w:rsid w:val="4A875F18"/>
    <w:rsid w:val="4AA246B9"/>
    <w:rsid w:val="4AF37504"/>
    <w:rsid w:val="4B07535B"/>
    <w:rsid w:val="4B1F5161"/>
    <w:rsid w:val="4B6B5764"/>
    <w:rsid w:val="4BD22001"/>
    <w:rsid w:val="4C011E0F"/>
    <w:rsid w:val="4C4902C6"/>
    <w:rsid w:val="4C51283A"/>
    <w:rsid w:val="4C603682"/>
    <w:rsid w:val="4C707265"/>
    <w:rsid w:val="4D7E7F26"/>
    <w:rsid w:val="4E600B13"/>
    <w:rsid w:val="4ED82D9F"/>
    <w:rsid w:val="4EFA5CAC"/>
    <w:rsid w:val="4F72505A"/>
    <w:rsid w:val="4F9F0519"/>
    <w:rsid w:val="50002380"/>
    <w:rsid w:val="507054E7"/>
    <w:rsid w:val="5080101B"/>
    <w:rsid w:val="50B14EE7"/>
    <w:rsid w:val="513749B3"/>
    <w:rsid w:val="515672E9"/>
    <w:rsid w:val="51976B08"/>
    <w:rsid w:val="524A26A8"/>
    <w:rsid w:val="526E7576"/>
    <w:rsid w:val="52727066"/>
    <w:rsid w:val="52C75604"/>
    <w:rsid w:val="530118C8"/>
    <w:rsid w:val="535B5689"/>
    <w:rsid w:val="536310C8"/>
    <w:rsid w:val="53723378"/>
    <w:rsid w:val="549040FD"/>
    <w:rsid w:val="54E7744E"/>
    <w:rsid w:val="550C37A2"/>
    <w:rsid w:val="55277EAD"/>
    <w:rsid w:val="554276CD"/>
    <w:rsid w:val="555E3E29"/>
    <w:rsid w:val="55CA4039"/>
    <w:rsid w:val="55DD6F17"/>
    <w:rsid w:val="56443294"/>
    <w:rsid w:val="56AE1205"/>
    <w:rsid w:val="570F757A"/>
    <w:rsid w:val="571B5BC7"/>
    <w:rsid w:val="57474BE1"/>
    <w:rsid w:val="575A1C9E"/>
    <w:rsid w:val="581773DC"/>
    <w:rsid w:val="58287414"/>
    <w:rsid w:val="58E73F74"/>
    <w:rsid w:val="592F3F03"/>
    <w:rsid w:val="59582C6C"/>
    <w:rsid w:val="59C363FA"/>
    <w:rsid w:val="59CF33D3"/>
    <w:rsid w:val="59EF71EF"/>
    <w:rsid w:val="5A81165A"/>
    <w:rsid w:val="5AB126F6"/>
    <w:rsid w:val="5B0B12A0"/>
    <w:rsid w:val="5B1433B1"/>
    <w:rsid w:val="5BA81D4B"/>
    <w:rsid w:val="5CBA7B22"/>
    <w:rsid w:val="5CC774D5"/>
    <w:rsid w:val="5CE2702C"/>
    <w:rsid w:val="5D564D52"/>
    <w:rsid w:val="5D743B69"/>
    <w:rsid w:val="5DA073D4"/>
    <w:rsid w:val="5DB04DB9"/>
    <w:rsid w:val="5E0019CA"/>
    <w:rsid w:val="5E0B591A"/>
    <w:rsid w:val="5E7238AF"/>
    <w:rsid w:val="5E817C29"/>
    <w:rsid w:val="5E842182"/>
    <w:rsid w:val="5E8B6BF7"/>
    <w:rsid w:val="5E9F292F"/>
    <w:rsid w:val="5ECC0D90"/>
    <w:rsid w:val="5ECE050B"/>
    <w:rsid w:val="5EF06D5F"/>
    <w:rsid w:val="5EFC4888"/>
    <w:rsid w:val="5F1E3693"/>
    <w:rsid w:val="5F1E7164"/>
    <w:rsid w:val="5F364B05"/>
    <w:rsid w:val="5FAA1D1A"/>
    <w:rsid w:val="5FFF2150"/>
    <w:rsid w:val="60823F80"/>
    <w:rsid w:val="60931857"/>
    <w:rsid w:val="60A76942"/>
    <w:rsid w:val="60AE4E44"/>
    <w:rsid w:val="60E761A9"/>
    <w:rsid w:val="61FA4AD9"/>
    <w:rsid w:val="620263AB"/>
    <w:rsid w:val="623D36E3"/>
    <w:rsid w:val="62B31701"/>
    <w:rsid w:val="62CA4B8F"/>
    <w:rsid w:val="62F04081"/>
    <w:rsid w:val="631E5CAD"/>
    <w:rsid w:val="63520F1A"/>
    <w:rsid w:val="63725D0E"/>
    <w:rsid w:val="638A31EC"/>
    <w:rsid w:val="639018D1"/>
    <w:rsid w:val="639237D7"/>
    <w:rsid w:val="649D0C50"/>
    <w:rsid w:val="64C6241A"/>
    <w:rsid w:val="64ED3A58"/>
    <w:rsid w:val="64F8789F"/>
    <w:rsid w:val="650E4DE5"/>
    <w:rsid w:val="6571230A"/>
    <w:rsid w:val="65884052"/>
    <w:rsid w:val="65A23E19"/>
    <w:rsid w:val="65A2780B"/>
    <w:rsid w:val="65C77271"/>
    <w:rsid w:val="66D659BE"/>
    <w:rsid w:val="66E16111"/>
    <w:rsid w:val="66EF6A80"/>
    <w:rsid w:val="677A3F77"/>
    <w:rsid w:val="67F02BEA"/>
    <w:rsid w:val="68253615"/>
    <w:rsid w:val="683C3F47"/>
    <w:rsid w:val="6906312E"/>
    <w:rsid w:val="69551F42"/>
    <w:rsid w:val="696372B1"/>
    <w:rsid w:val="6A085D71"/>
    <w:rsid w:val="6AAB2201"/>
    <w:rsid w:val="6AE74987"/>
    <w:rsid w:val="6AF74D12"/>
    <w:rsid w:val="6C0905E4"/>
    <w:rsid w:val="6C3A689C"/>
    <w:rsid w:val="6C6D6B9E"/>
    <w:rsid w:val="6C7F08A6"/>
    <w:rsid w:val="6CCE0EE6"/>
    <w:rsid w:val="6D39454B"/>
    <w:rsid w:val="6D8B6DD7"/>
    <w:rsid w:val="6DD923E6"/>
    <w:rsid w:val="6DDA4344"/>
    <w:rsid w:val="6E023C70"/>
    <w:rsid w:val="6E2F78ED"/>
    <w:rsid w:val="6E524A75"/>
    <w:rsid w:val="6E671738"/>
    <w:rsid w:val="6E791EB6"/>
    <w:rsid w:val="6F712728"/>
    <w:rsid w:val="6F997EF4"/>
    <w:rsid w:val="6FEC4B98"/>
    <w:rsid w:val="6FF56708"/>
    <w:rsid w:val="71080E6A"/>
    <w:rsid w:val="71167885"/>
    <w:rsid w:val="7158377E"/>
    <w:rsid w:val="71665975"/>
    <w:rsid w:val="718B6892"/>
    <w:rsid w:val="718D4B5B"/>
    <w:rsid w:val="71B06C42"/>
    <w:rsid w:val="71BA13EF"/>
    <w:rsid w:val="726E2F4F"/>
    <w:rsid w:val="72EE5E3E"/>
    <w:rsid w:val="730C0123"/>
    <w:rsid w:val="734B7734"/>
    <w:rsid w:val="73DF324D"/>
    <w:rsid w:val="73E515B6"/>
    <w:rsid w:val="74021661"/>
    <w:rsid w:val="741A51E1"/>
    <w:rsid w:val="747C597A"/>
    <w:rsid w:val="74D15B6D"/>
    <w:rsid w:val="75096549"/>
    <w:rsid w:val="75175B20"/>
    <w:rsid w:val="751834B0"/>
    <w:rsid w:val="752F5FFD"/>
    <w:rsid w:val="754742BA"/>
    <w:rsid w:val="754A769E"/>
    <w:rsid w:val="75770645"/>
    <w:rsid w:val="75972BB4"/>
    <w:rsid w:val="75A24B35"/>
    <w:rsid w:val="75C62CEF"/>
    <w:rsid w:val="76676633"/>
    <w:rsid w:val="767A6F44"/>
    <w:rsid w:val="76A81442"/>
    <w:rsid w:val="76B04A9A"/>
    <w:rsid w:val="76C24CDC"/>
    <w:rsid w:val="775743C4"/>
    <w:rsid w:val="77D73344"/>
    <w:rsid w:val="781B5EA0"/>
    <w:rsid w:val="78540E39"/>
    <w:rsid w:val="788039DC"/>
    <w:rsid w:val="78B25EE0"/>
    <w:rsid w:val="78C532E7"/>
    <w:rsid w:val="79C87163"/>
    <w:rsid w:val="79E852B0"/>
    <w:rsid w:val="7AE83ABA"/>
    <w:rsid w:val="7B1072F5"/>
    <w:rsid w:val="7B3A2568"/>
    <w:rsid w:val="7B476B4B"/>
    <w:rsid w:val="7B525CDA"/>
    <w:rsid w:val="7BA03361"/>
    <w:rsid w:val="7BA95770"/>
    <w:rsid w:val="7C201D9F"/>
    <w:rsid w:val="7C406E5D"/>
    <w:rsid w:val="7C484810"/>
    <w:rsid w:val="7C75591A"/>
    <w:rsid w:val="7C7D1645"/>
    <w:rsid w:val="7CDF6A4A"/>
    <w:rsid w:val="7D036989"/>
    <w:rsid w:val="7D0D3FA6"/>
    <w:rsid w:val="7DB87774"/>
    <w:rsid w:val="7DBA4644"/>
    <w:rsid w:val="7EA31417"/>
    <w:rsid w:val="7EFE5F4B"/>
    <w:rsid w:val="7F323556"/>
    <w:rsid w:val="7F62644E"/>
    <w:rsid w:val="7F934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2"/>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59"/>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63"/>
    <w:qFormat/>
    <w:uiPriority w:val="9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4"/>
    <w:qFormat/>
    <w:uiPriority w:val="99"/>
    <w:pPr>
      <w:keepNext/>
      <w:keepLines/>
      <w:spacing w:before="280" w:after="290" w:line="376" w:lineRule="auto"/>
      <w:outlineLvl w:val="4"/>
    </w:pPr>
    <w:rPr>
      <w:b/>
      <w:bCs/>
      <w:sz w:val="28"/>
      <w:szCs w:val="28"/>
    </w:rPr>
  </w:style>
  <w:style w:type="paragraph" w:styleId="7">
    <w:name w:val="heading 6"/>
    <w:basedOn w:val="1"/>
    <w:next w:val="1"/>
    <w:link w:val="66"/>
    <w:qFormat/>
    <w:uiPriority w:val="9"/>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67"/>
    <w:qFormat/>
    <w:uiPriority w:val="9"/>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68"/>
    <w:qFormat/>
    <w:uiPriority w:val="9"/>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69"/>
    <w:qFormat/>
    <w:uiPriority w:val="9"/>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18"/>
      <w:szCs w:val="18"/>
    </w:rPr>
  </w:style>
  <w:style w:type="paragraph" w:styleId="12">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3">
    <w:name w:val="Normal Indent"/>
    <w:basedOn w:val="1"/>
    <w:qFormat/>
    <w:uiPriority w:val="99"/>
    <w:pPr>
      <w:widowControl/>
      <w:ind w:firstLine="420"/>
      <w:jc w:val="left"/>
    </w:pPr>
    <w:rPr>
      <w:kern w:val="0"/>
      <w:sz w:val="20"/>
      <w:szCs w:val="20"/>
    </w:rPr>
  </w:style>
  <w:style w:type="paragraph" w:styleId="14">
    <w:name w:val="caption"/>
    <w:basedOn w:val="1"/>
    <w:next w:val="1"/>
    <w:qFormat/>
    <w:uiPriority w:val="99"/>
    <w:rPr>
      <w:rFonts w:ascii="Cambria" w:hAnsi="Cambria" w:eastAsia="黑体" w:cs="Cambria"/>
      <w:sz w:val="20"/>
      <w:szCs w:val="20"/>
    </w:rPr>
  </w:style>
  <w:style w:type="paragraph" w:styleId="15">
    <w:name w:val="Document Map"/>
    <w:basedOn w:val="1"/>
    <w:link w:val="70"/>
    <w:qFormat/>
    <w:uiPriority w:val="99"/>
    <w:pPr>
      <w:shd w:val="clear" w:color="auto" w:fill="000080"/>
    </w:pPr>
  </w:style>
  <w:style w:type="paragraph" w:styleId="16">
    <w:name w:val="annotation text"/>
    <w:basedOn w:val="1"/>
    <w:link w:val="71"/>
    <w:qFormat/>
    <w:uiPriority w:val="0"/>
    <w:pPr>
      <w:jc w:val="left"/>
    </w:pPr>
  </w:style>
  <w:style w:type="paragraph" w:styleId="17">
    <w:name w:val="Body Text 3"/>
    <w:basedOn w:val="1"/>
    <w:link w:val="72"/>
    <w:qFormat/>
    <w:uiPriority w:val="0"/>
    <w:rPr>
      <w:rFonts w:ascii="宋体"/>
      <w:sz w:val="24"/>
      <w:szCs w:val="20"/>
    </w:rPr>
  </w:style>
  <w:style w:type="paragraph" w:styleId="18">
    <w:name w:val="Body Text"/>
    <w:basedOn w:val="1"/>
    <w:next w:val="1"/>
    <w:qFormat/>
    <w:uiPriority w:val="99"/>
    <w:pPr>
      <w:spacing w:after="120"/>
    </w:pPr>
  </w:style>
  <w:style w:type="paragraph" w:styleId="19">
    <w:name w:val="Body Text Indent"/>
    <w:basedOn w:val="1"/>
    <w:link w:val="73"/>
    <w:qFormat/>
    <w:uiPriority w:val="0"/>
    <w:pPr>
      <w:spacing w:line="200" w:lineRule="exact"/>
      <w:ind w:firstLine="301"/>
    </w:pPr>
    <w:rPr>
      <w:rFonts w:ascii="宋体" w:hAnsi="Courier New"/>
      <w:spacing w:val="-4"/>
      <w:sz w:val="18"/>
      <w:szCs w:val="20"/>
    </w:rPr>
  </w:style>
  <w:style w:type="paragraph" w:styleId="20">
    <w:name w:val="Block Text"/>
    <w:basedOn w:val="1"/>
    <w:qFormat/>
    <w:uiPriority w:val="0"/>
    <w:pPr>
      <w:widowControl/>
      <w:spacing w:after="120" w:line="357" w:lineRule="atLeast"/>
      <w:ind w:left="1440" w:right="1440"/>
      <w:textAlignment w:val="baseline"/>
    </w:pPr>
    <w:rPr>
      <w:color w:val="000000"/>
      <w:kern w:val="0"/>
      <w:szCs w:val="20"/>
      <w:u w:color="000000"/>
    </w:rPr>
  </w:style>
  <w:style w:type="paragraph" w:styleId="21">
    <w:name w:val="index 4"/>
    <w:basedOn w:val="1"/>
    <w:next w:val="1"/>
    <w:qFormat/>
    <w:uiPriority w:val="99"/>
    <w:pPr>
      <w:ind w:left="600" w:leftChars="600"/>
    </w:pPr>
    <w:rPr>
      <w:szCs w:val="21"/>
    </w:rPr>
  </w:style>
  <w:style w:type="paragraph" w:styleId="22">
    <w:name w:val="toc 5"/>
    <w:basedOn w:val="1"/>
    <w:next w:val="1"/>
    <w:link w:val="271"/>
    <w:qFormat/>
    <w:uiPriority w:val="39"/>
    <w:pPr>
      <w:ind w:left="840"/>
      <w:jc w:val="left"/>
    </w:pPr>
    <w:rPr>
      <w:sz w:val="18"/>
      <w:szCs w:val="18"/>
    </w:rPr>
  </w:style>
  <w:style w:type="paragraph" w:styleId="23">
    <w:name w:val="toc 3"/>
    <w:basedOn w:val="1"/>
    <w:next w:val="1"/>
    <w:qFormat/>
    <w:uiPriority w:val="39"/>
    <w:pPr>
      <w:ind w:left="840" w:leftChars="400"/>
    </w:pPr>
  </w:style>
  <w:style w:type="paragraph" w:styleId="24">
    <w:name w:val="Plain Text"/>
    <w:basedOn w:val="1"/>
    <w:next w:val="5"/>
    <w:link w:val="74"/>
    <w:qFormat/>
    <w:uiPriority w:val="0"/>
    <w:rPr>
      <w:rFonts w:ascii="宋体" w:hAnsi="Courier New"/>
      <w:szCs w:val="20"/>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75"/>
    <w:qFormat/>
    <w:uiPriority w:val="99"/>
    <w:pPr>
      <w:ind w:left="100" w:leftChars="2500"/>
    </w:pPr>
  </w:style>
  <w:style w:type="paragraph" w:styleId="27">
    <w:name w:val="Body Text Indent 2"/>
    <w:basedOn w:val="1"/>
    <w:link w:val="76"/>
    <w:qFormat/>
    <w:uiPriority w:val="99"/>
    <w:pPr>
      <w:spacing w:after="120" w:line="480" w:lineRule="auto"/>
      <w:ind w:left="420" w:leftChars="200"/>
    </w:pPr>
  </w:style>
  <w:style w:type="paragraph" w:styleId="28">
    <w:name w:val="Balloon Text"/>
    <w:basedOn w:val="1"/>
    <w:link w:val="77"/>
    <w:semiHidden/>
    <w:qFormat/>
    <w:uiPriority w:val="99"/>
    <w:rPr>
      <w:sz w:val="18"/>
      <w:szCs w:val="18"/>
    </w:rPr>
  </w:style>
  <w:style w:type="paragraph" w:styleId="29">
    <w:name w:val="footer"/>
    <w:basedOn w:val="1"/>
    <w:next w:val="1"/>
    <w:link w:val="65"/>
    <w:qFormat/>
    <w:uiPriority w:val="99"/>
    <w:pPr>
      <w:tabs>
        <w:tab w:val="center" w:pos="4153"/>
        <w:tab w:val="right" w:pos="8306"/>
      </w:tabs>
      <w:snapToGrid w:val="0"/>
      <w:jc w:val="left"/>
    </w:pPr>
    <w:rPr>
      <w:sz w:val="18"/>
      <w:szCs w:val="18"/>
    </w:rPr>
  </w:style>
  <w:style w:type="paragraph" w:styleId="30">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840"/>
        <w:tab w:val="right" w:leader="dot" w:pos="9628"/>
      </w:tabs>
    </w:pPr>
  </w:style>
  <w:style w:type="paragraph" w:styleId="32">
    <w:name w:val="toc 4"/>
    <w:basedOn w:val="1"/>
    <w:next w:val="1"/>
    <w:qFormat/>
    <w:uiPriority w:val="39"/>
    <w:pPr>
      <w:ind w:left="630"/>
      <w:jc w:val="left"/>
    </w:pPr>
    <w:rPr>
      <w:sz w:val="18"/>
      <w:szCs w:val="18"/>
    </w:rPr>
  </w:style>
  <w:style w:type="paragraph" w:styleId="33">
    <w:name w:val="Subtitle"/>
    <w:basedOn w:val="1"/>
    <w:next w:val="1"/>
    <w:link w:val="79"/>
    <w:qFormat/>
    <w:uiPriority w:val="11"/>
    <w:pPr>
      <w:spacing w:before="240" w:after="60" w:line="312" w:lineRule="auto"/>
      <w:jc w:val="center"/>
      <w:outlineLvl w:val="1"/>
    </w:pPr>
    <w:rPr>
      <w:rFonts w:ascii="Cambria" w:hAnsi="Cambria"/>
      <w:b/>
      <w:bCs/>
      <w:kern w:val="28"/>
      <w:sz w:val="32"/>
      <w:szCs w:val="32"/>
    </w:rPr>
  </w:style>
  <w:style w:type="paragraph" w:styleId="34">
    <w:name w:val="footnote text"/>
    <w:basedOn w:val="1"/>
    <w:link w:val="80"/>
    <w:qFormat/>
    <w:uiPriority w:val="99"/>
    <w:pPr>
      <w:adjustRightInd w:val="0"/>
      <w:spacing w:line="312" w:lineRule="atLeast"/>
      <w:jc w:val="left"/>
      <w:textAlignment w:val="baseline"/>
    </w:pPr>
    <w:rPr>
      <w:kern w:val="0"/>
      <w:sz w:val="18"/>
      <w:szCs w:val="18"/>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81"/>
    <w:qFormat/>
    <w:uiPriority w:val="0"/>
    <w:pPr>
      <w:spacing w:after="120"/>
      <w:ind w:left="420" w:leftChars="200"/>
    </w:pPr>
    <w:rPr>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39"/>
    <w:pPr>
      <w:ind w:left="1680"/>
      <w:jc w:val="left"/>
    </w:pPr>
    <w:rPr>
      <w:sz w:val="18"/>
      <w:szCs w:val="18"/>
    </w:rPr>
  </w:style>
  <w:style w:type="paragraph" w:styleId="39">
    <w:name w:val="Body Text 2"/>
    <w:basedOn w:val="1"/>
    <w:link w:val="82"/>
    <w:qFormat/>
    <w:uiPriority w:val="0"/>
    <w:pPr>
      <w:spacing w:after="120" w:line="480" w:lineRule="auto"/>
    </w:pPr>
  </w:style>
  <w:style w:type="paragraph" w:styleId="40">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kern w:val="0"/>
      <w:sz w:val="24"/>
    </w:rPr>
  </w:style>
  <w:style w:type="paragraph" w:styleId="42">
    <w:name w:val="index 1"/>
    <w:basedOn w:val="1"/>
    <w:next w:val="1"/>
    <w:semiHidden/>
    <w:qFormat/>
    <w:uiPriority w:val="0"/>
    <w:pPr>
      <w:spacing w:line="300" w:lineRule="exact"/>
      <w:ind w:firstLine="430" w:firstLineChars="205"/>
    </w:pPr>
    <w:rPr>
      <w:rFonts w:ascii="宋体" w:hAnsi="Courier New"/>
      <w:bCs/>
      <w:szCs w:val="36"/>
    </w:rPr>
  </w:style>
  <w:style w:type="paragraph" w:styleId="43">
    <w:name w:val="Title"/>
    <w:basedOn w:val="1"/>
    <w:next w:val="1"/>
    <w:link w:val="84"/>
    <w:qFormat/>
    <w:uiPriority w:val="99"/>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link w:val="85"/>
    <w:semiHidden/>
    <w:qFormat/>
    <w:uiPriority w:val="99"/>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22"/>
    <w:rPr>
      <w:b/>
      <w:bCs/>
    </w:rPr>
  </w:style>
  <w:style w:type="character" w:styleId="49">
    <w:name w:val="page number"/>
    <w:qFormat/>
    <w:uiPriority w:val="0"/>
  </w:style>
  <w:style w:type="character" w:styleId="50">
    <w:name w:val="FollowedHyperlink"/>
    <w:qFormat/>
    <w:uiPriority w:val="99"/>
    <w:rPr>
      <w:rFonts w:ascii="Arial" w:hAnsi="Arial" w:eastAsia="黑体"/>
      <w:color w:val="800080"/>
      <w:kern w:val="2"/>
      <w:sz w:val="21"/>
      <w:szCs w:val="21"/>
      <w:u w:val="single"/>
      <w:lang w:val="en-US" w:eastAsia="zh-CN" w:bidi="ar-SA"/>
    </w:rPr>
  </w:style>
  <w:style w:type="character" w:styleId="51">
    <w:name w:val="Emphasis"/>
    <w:qFormat/>
    <w:uiPriority w:val="99"/>
    <w:rPr>
      <w:color w:val="CC0000"/>
      <w:sz w:val="24"/>
      <w:szCs w:val="24"/>
    </w:rPr>
  </w:style>
  <w:style w:type="character" w:styleId="52">
    <w:name w:val="HTML Definition"/>
    <w:basedOn w:val="47"/>
    <w:qFormat/>
    <w:uiPriority w:val="0"/>
    <w:rPr>
      <w:i/>
      <w:iCs/>
    </w:rPr>
  </w:style>
  <w:style w:type="character" w:styleId="53">
    <w:name w:val="Hyperlink"/>
    <w:basedOn w:val="47"/>
    <w:qFormat/>
    <w:uiPriority w:val="99"/>
    <w:rPr>
      <w:color w:val="3177FD"/>
      <w:u w:val="none"/>
    </w:rPr>
  </w:style>
  <w:style w:type="character" w:styleId="54">
    <w:name w:val="HTML Code"/>
    <w:basedOn w:val="47"/>
    <w:qFormat/>
    <w:uiPriority w:val="0"/>
    <w:rPr>
      <w:rFonts w:hint="default" w:ascii="Consolas" w:hAnsi="Consolas" w:eastAsia="Consolas" w:cs="Consolas"/>
      <w:sz w:val="21"/>
      <w:szCs w:val="21"/>
    </w:rPr>
  </w:style>
  <w:style w:type="character" w:styleId="55">
    <w:name w:val="annotation reference"/>
    <w:qFormat/>
    <w:uiPriority w:val="0"/>
    <w:rPr>
      <w:sz w:val="21"/>
      <w:szCs w:val="21"/>
    </w:rPr>
  </w:style>
  <w:style w:type="character" w:styleId="56">
    <w:name w:val="HTML Keyboard"/>
    <w:basedOn w:val="47"/>
    <w:qFormat/>
    <w:uiPriority w:val="0"/>
    <w:rPr>
      <w:rFonts w:ascii="Consolas" w:hAnsi="Consolas" w:eastAsia="Consolas" w:cs="Consolas"/>
      <w:sz w:val="21"/>
      <w:szCs w:val="21"/>
    </w:rPr>
  </w:style>
  <w:style w:type="character" w:styleId="57">
    <w:name w:val="HTML Sample"/>
    <w:basedOn w:val="47"/>
    <w:qFormat/>
    <w:uiPriority w:val="0"/>
    <w:rPr>
      <w:rFonts w:hint="default" w:ascii="Consolas" w:hAnsi="Consolas" w:eastAsia="Consolas" w:cs="Consolas"/>
      <w:sz w:val="21"/>
      <w:szCs w:val="21"/>
    </w:rPr>
  </w:style>
  <w:style w:type="paragraph" w:customStyle="1" w:styleId="58">
    <w:name w:val="表格文字"/>
    <w:basedOn w:val="1"/>
    <w:qFormat/>
    <w:uiPriority w:val="0"/>
    <w:pPr>
      <w:adjustRightInd w:val="0"/>
      <w:spacing w:line="420" w:lineRule="atLeast"/>
      <w:jc w:val="left"/>
      <w:textAlignment w:val="baseline"/>
    </w:pPr>
    <w:rPr>
      <w:kern w:val="0"/>
      <w:szCs w:val="20"/>
    </w:rPr>
  </w:style>
  <w:style w:type="character" w:customStyle="1" w:styleId="59">
    <w:name w:val="标题 2 Char"/>
    <w:link w:val="3"/>
    <w:qFormat/>
    <w:locked/>
    <w:uiPriority w:val="99"/>
    <w:rPr>
      <w:rFonts w:ascii="Arial" w:hAnsi="Arial" w:eastAsia="黑体"/>
      <w:b/>
      <w:bCs/>
      <w:kern w:val="2"/>
      <w:sz w:val="32"/>
      <w:szCs w:val="32"/>
    </w:rPr>
  </w:style>
  <w:style w:type="character" w:customStyle="1" w:styleId="60">
    <w:name w:val="标题 3 Char"/>
    <w:qFormat/>
    <w:uiPriority w:val="99"/>
    <w:rPr>
      <w:rFonts w:ascii="宋体" w:eastAsia="宋体"/>
      <w:b/>
      <w:bCs/>
      <w:kern w:val="2"/>
      <w:sz w:val="24"/>
      <w:szCs w:val="24"/>
      <w:lang w:val="en-US" w:eastAsia="zh-CN" w:bidi="ar-SA"/>
    </w:rPr>
  </w:style>
  <w:style w:type="character" w:customStyle="1" w:styleId="61">
    <w:name w:val="标题 1 Char"/>
    <w:qFormat/>
    <w:uiPriority w:val="99"/>
    <w:rPr>
      <w:rFonts w:eastAsia="宋体"/>
      <w:b/>
      <w:bCs/>
      <w:kern w:val="44"/>
      <w:sz w:val="44"/>
      <w:szCs w:val="44"/>
      <w:lang w:val="en-US" w:eastAsia="zh-CN" w:bidi="ar-SA"/>
    </w:rPr>
  </w:style>
  <w:style w:type="paragraph" w:customStyle="1" w:styleId="62">
    <w:name w:val="表"/>
    <w:basedOn w:val="1"/>
    <w:qFormat/>
    <w:uiPriority w:val="0"/>
    <w:pPr>
      <w:spacing w:line="300" w:lineRule="auto"/>
    </w:pPr>
    <w:rPr>
      <w:color w:val="000000"/>
      <w:szCs w:val="21"/>
    </w:rPr>
  </w:style>
  <w:style w:type="character" w:customStyle="1" w:styleId="63">
    <w:name w:val="标题 4 Char"/>
    <w:link w:val="5"/>
    <w:qFormat/>
    <w:uiPriority w:val="99"/>
    <w:rPr>
      <w:rFonts w:ascii="Arial" w:hAnsi="Arial" w:eastAsia="黑体"/>
      <w:b/>
      <w:bCs/>
      <w:kern w:val="2"/>
      <w:sz w:val="28"/>
      <w:szCs w:val="28"/>
    </w:rPr>
  </w:style>
  <w:style w:type="character" w:customStyle="1" w:styleId="64">
    <w:name w:val="标题 5 Char"/>
    <w:link w:val="6"/>
    <w:qFormat/>
    <w:uiPriority w:val="99"/>
    <w:rPr>
      <w:b/>
      <w:bCs/>
      <w:kern w:val="2"/>
      <w:sz w:val="28"/>
      <w:szCs w:val="28"/>
    </w:rPr>
  </w:style>
  <w:style w:type="character" w:customStyle="1" w:styleId="65">
    <w:name w:val="页脚 Char"/>
    <w:link w:val="29"/>
    <w:qFormat/>
    <w:uiPriority w:val="99"/>
    <w:rPr>
      <w:kern w:val="2"/>
      <w:sz w:val="18"/>
      <w:szCs w:val="18"/>
    </w:rPr>
  </w:style>
  <w:style w:type="character" w:customStyle="1" w:styleId="66">
    <w:name w:val="标题 6 Char"/>
    <w:link w:val="7"/>
    <w:qFormat/>
    <w:uiPriority w:val="9"/>
    <w:rPr>
      <w:rFonts w:ascii="Arial" w:hAnsi="Arial" w:eastAsia="黑体"/>
      <w:b/>
      <w:bCs/>
      <w:sz w:val="24"/>
      <w:szCs w:val="24"/>
    </w:rPr>
  </w:style>
  <w:style w:type="character" w:customStyle="1" w:styleId="67">
    <w:name w:val="标题 7 Char"/>
    <w:link w:val="8"/>
    <w:qFormat/>
    <w:uiPriority w:val="9"/>
    <w:rPr>
      <w:b/>
      <w:bCs/>
      <w:sz w:val="24"/>
      <w:szCs w:val="24"/>
    </w:rPr>
  </w:style>
  <w:style w:type="character" w:customStyle="1" w:styleId="68">
    <w:name w:val="标题 8 Char"/>
    <w:link w:val="9"/>
    <w:qFormat/>
    <w:uiPriority w:val="9"/>
    <w:rPr>
      <w:rFonts w:ascii="Arial" w:hAnsi="Arial" w:eastAsia="黑体"/>
      <w:sz w:val="24"/>
      <w:szCs w:val="24"/>
    </w:rPr>
  </w:style>
  <w:style w:type="character" w:customStyle="1" w:styleId="69">
    <w:name w:val="标题 9 Char"/>
    <w:link w:val="10"/>
    <w:qFormat/>
    <w:uiPriority w:val="9"/>
    <w:rPr>
      <w:rFonts w:ascii="Arial" w:hAnsi="Arial" w:eastAsia="黑体"/>
      <w:sz w:val="21"/>
      <w:szCs w:val="21"/>
    </w:rPr>
  </w:style>
  <w:style w:type="character" w:customStyle="1" w:styleId="70">
    <w:name w:val="文档结构图 Char"/>
    <w:link w:val="15"/>
    <w:qFormat/>
    <w:uiPriority w:val="99"/>
    <w:rPr>
      <w:kern w:val="2"/>
      <w:sz w:val="21"/>
      <w:szCs w:val="24"/>
      <w:shd w:val="clear" w:color="auto" w:fill="000080"/>
    </w:rPr>
  </w:style>
  <w:style w:type="character" w:customStyle="1" w:styleId="71">
    <w:name w:val="批注文字 Char2"/>
    <w:link w:val="16"/>
    <w:qFormat/>
    <w:locked/>
    <w:uiPriority w:val="0"/>
    <w:rPr>
      <w:kern w:val="2"/>
      <w:sz w:val="21"/>
      <w:szCs w:val="24"/>
    </w:rPr>
  </w:style>
  <w:style w:type="character" w:customStyle="1" w:styleId="72">
    <w:name w:val="正文文本 3 Char"/>
    <w:link w:val="17"/>
    <w:qFormat/>
    <w:uiPriority w:val="0"/>
    <w:rPr>
      <w:rFonts w:ascii="宋体"/>
      <w:kern w:val="2"/>
      <w:sz w:val="24"/>
    </w:rPr>
  </w:style>
  <w:style w:type="character" w:customStyle="1" w:styleId="73">
    <w:name w:val="正文文本缩进 Char"/>
    <w:link w:val="19"/>
    <w:qFormat/>
    <w:locked/>
    <w:uiPriority w:val="0"/>
    <w:rPr>
      <w:rFonts w:ascii="宋体" w:hAnsi="Courier New"/>
      <w:spacing w:val="-4"/>
      <w:kern w:val="2"/>
      <w:sz w:val="18"/>
    </w:rPr>
  </w:style>
  <w:style w:type="character" w:customStyle="1" w:styleId="74">
    <w:name w:val="纯文本 Char"/>
    <w:link w:val="24"/>
    <w:qFormat/>
    <w:uiPriority w:val="0"/>
    <w:rPr>
      <w:rFonts w:ascii="宋体" w:hAnsi="Courier New" w:eastAsia="宋体"/>
      <w:kern w:val="2"/>
      <w:sz w:val="21"/>
      <w:lang w:val="en-US" w:eastAsia="zh-CN" w:bidi="ar-SA"/>
    </w:rPr>
  </w:style>
  <w:style w:type="character" w:customStyle="1" w:styleId="75">
    <w:name w:val="日期 Char"/>
    <w:link w:val="26"/>
    <w:qFormat/>
    <w:locked/>
    <w:uiPriority w:val="99"/>
    <w:rPr>
      <w:kern w:val="2"/>
      <w:sz w:val="21"/>
      <w:szCs w:val="24"/>
    </w:rPr>
  </w:style>
  <w:style w:type="character" w:customStyle="1" w:styleId="76">
    <w:name w:val="正文文本缩进 2 Char"/>
    <w:link w:val="27"/>
    <w:qFormat/>
    <w:locked/>
    <w:uiPriority w:val="99"/>
    <w:rPr>
      <w:kern w:val="2"/>
      <w:sz w:val="21"/>
      <w:szCs w:val="24"/>
    </w:rPr>
  </w:style>
  <w:style w:type="character" w:customStyle="1" w:styleId="77">
    <w:name w:val="批注框文本 Char"/>
    <w:link w:val="28"/>
    <w:semiHidden/>
    <w:qFormat/>
    <w:locked/>
    <w:uiPriority w:val="99"/>
    <w:rPr>
      <w:kern w:val="2"/>
      <w:sz w:val="18"/>
      <w:szCs w:val="18"/>
    </w:rPr>
  </w:style>
  <w:style w:type="character" w:customStyle="1" w:styleId="78">
    <w:name w:val="页眉 Char"/>
    <w:link w:val="30"/>
    <w:qFormat/>
    <w:uiPriority w:val="0"/>
    <w:rPr>
      <w:kern w:val="2"/>
      <w:sz w:val="18"/>
      <w:szCs w:val="18"/>
    </w:rPr>
  </w:style>
  <w:style w:type="character" w:customStyle="1" w:styleId="79">
    <w:name w:val="副标题 Char"/>
    <w:link w:val="33"/>
    <w:qFormat/>
    <w:uiPriority w:val="11"/>
    <w:rPr>
      <w:rFonts w:ascii="Cambria" w:hAnsi="Cambria"/>
      <w:b/>
      <w:bCs/>
      <w:kern w:val="28"/>
      <w:sz w:val="32"/>
      <w:szCs w:val="32"/>
    </w:rPr>
  </w:style>
  <w:style w:type="character" w:customStyle="1" w:styleId="80">
    <w:name w:val="脚注文本 Char"/>
    <w:link w:val="34"/>
    <w:qFormat/>
    <w:uiPriority w:val="99"/>
    <w:rPr>
      <w:sz w:val="18"/>
      <w:szCs w:val="18"/>
    </w:rPr>
  </w:style>
  <w:style w:type="character" w:customStyle="1" w:styleId="81">
    <w:name w:val="正文文本缩进 3 Char"/>
    <w:link w:val="36"/>
    <w:qFormat/>
    <w:uiPriority w:val="0"/>
    <w:rPr>
      <w:kern w:val="2"/>
      <w:sz w:val="16"/>
      <w:szCs w:val="16"/>
    </w:rPr>
  </w:style>
  <w:style w:type="character" w:customStyle="1" w:styleId="82">
    <w:name w:val="正文文本 2 Char"/>
    <w:link w:val="39"/>
    <w:qFormat/>
    <w:uiPriority w:val="0"/>
    <w:rPr>
      <w:kern w:val="2"/>
      <w:sz w:val="21"/>
      <w:szCs w:val="24"/>
    </w:rPr>
  </w:style>
  <w:style w:type="character" w:customStyle="1" w:styleId="83">
    <w:name w:val="HTML 预设格式 Char"/>
    <w:link w:val="40"/>
    <w:qFormat/>
    <w:uiPriority w:val="0"/>
    <w:rPr>
      <w:rFonts w:ascii="Arial" w:hAnsi="Arial" w:cs="Arial"/>
      <w:sz w:val="24"/>
      <w:szCs w:val="24"/>
    </w:rPr>
  </w:style>
  <w:style w:type="character" w:customStyle="1" w:styleId="84">
    <w:name w:val="标题 Char"/>
    <w:link w:val="43"/>
    <w:qFormat/>
    <w:uiPriority w:val="99"/>
    <w:rPr>
      <w:rFonts w:ascii="Arial" w:hAnsi="Arial"/>
      <w:b/>
      <w:sz w:val="32"/>
    </w:rPr>
  </w:style>
  <w:style w:type="character" w:customStyle="1" w:styleId="85">
    <w:name w:val="批注主题 Char"/>
    <w:link w:val="44"/>
    <w:semiHidden/>
    <w:qFormat/>
    <w:locked/>
    <w:uiPriority w:val="99"/>
    <w:rPr>
      <w:b/>
      <w:bCs/>
      <w:kern w:val="2"/>
      <w:sz w:val="21"/>
      <w:szCs w:val="24"/>
    </w:rPr>
  </w:style>
  <w:style w:type="character" w:customStyle="1" w:styleId="86">
    <w:name w:val="Plain Text Char"/>
    <w:qFormat/>
    <w:uiPriority w:val="99"/>
    <w:rPr>
      <w:rFonts w:ascii="宋体" w:hAnsi="Courier New" w:eastAsia="宋体" w:cs="宋体"/>
      <w:sz w:val="24"/>
      <w:szCs w:val="24"/>
    </w:rPr>
  </w:style>
  <w:style w:type="character" w:customStyle="1" w:styleId="87">
    <w:name w:val="引用 Char1"/>
    <w:qFormat/>
    <w:uiPriority w:val="99"/>
    <w:rPr>
      <w:rFonts w:ascii="Times New Roman" w:hAnsi="Times New Roman" w:eastAsia="宋体" w:cs="Times New Roman"/>
      <w:i/>
      <w:iCs/>
      <w:color w:val="000000"/>
      <w:sz w:val="24"/>
      <w:szCs w:val="24"/>
    </w:rPr>
  </w:style>
  <w:style w:type="character" w:customStyle="1" w:styleId="88">
    <w:name w:val="Heading 5 Char"/>
    <w:qFormat/>
    <w:uiPriority w:val="99"/>
    <w:rPr>
      <w:rFonts w:eastAsia="宋体"/>
      <w:b/>
      <w:bCs/>
      <w:kern w:val="2"/>
      <w:sz w:val="28"/>
      <w:szCs w:val="28"/>
      <w:lang w:val="en-US" w:eastAsia="zh-CN"/>
    </w:rPr>
  </w:style>
  <w:style w:type="character" w:customStyle="1" w:styleId="89">
    <w:name w:val="10"/>
    <w:qFormat/>
    <w:uiPriority w:val="0"/>
  </w:style>
  <w:style w:type="character" w:customStyle="1" w:styleId="90">
    <w:name w:val="cjn1"/>
    <w:qFormat/>
    <w:uiPriority w:val="0"/>
    <w:rPr>
      <w:rFonts w:ascii="宋体" w:hAnsi="宋体" w:eastAsia="宋体"/>
      <w:spacing w:val="500"/>
      <w:sz w:val="22"/>
      <w:szCs w:val="22"/>
      <w:u w:val="none"/>
    </w:rPr>
  </w:style>
  <w:style w:type="character" w:customStyle="1" w:styleId="91">
    <w:name w:val="NormalCharacter"/>
    <w:semiHidden/>
    <w:qFormat/>
    <w:uiPriority w:val="0"/>
  </w:style>
  <w:style w:type="character" w:customStyle="1" w:styleId="92">
    <w:name w:val="Footer Char"/>
    <w:qFormat/>
    <w:uiPriority w:val="99"/>
    <w:rPr>
      <w:rFonts w:eastAsia="宋体"/>
      <w:kern w:val="2"/>
      <w:sz w:val="18"/>
      <w:szCs w:val="18"/>
      <w:lang w:val="en-US" w:eastAsia="zh-CN"/>
    </w:rPr>
  </w:style>
  <w:style w:type="character" w:customStyle="1" w:styleId="93">
    <w:name w:val="Comment Text Char"/>
    <w:qFormat/>
    <w:uiPriority w:val="99"/>
    <w:rPr>
      <w:sz w:val="24"/>
      <w:szCs w:val="24"/>
    </w:rPr>
  </w:style>
  <w:style w:type="character" w:customStyle="1" w:styleId="94">
    <w:name w:val="Char Char20"/>
    <w:qFormat/>
    <w:uiPriority w:val="99"/>
    <w:rPr>
      <w:rFonts w:ascii="Times New Roman" w:hAnsi="Times New Roman" w:eastAsia="宋体" w:cs="Times New Roman"/>
      <w:b/>
      <w:bCs/>
      <w:sz w:val="32"/>
      <w:szCs w:val="32"/>
    </w:rPr>
  </w:style>
  <w:style w:type="character" w:customStyle="1" w:styleId="95">
    <w:name w:val="Char Char18"/>
    <w:qFormat/>
    <w:uiPriority w:val="99"/>
    <w:rPr>
      <w:rFonts w:ascii="Times New Roman" w:hAnsi="Times New Roman" w:eastAsia="宋体" w:cs="Times New Roman"/>
      <w:b/>
      <w:bCs/>
      <w:sz w:val="28"/>
      <w:szCs w:val="28"/>
    </w:rPr>
  </w:style>
  <w:style w:type="character" w:customStyle="1" w:styleId="96">
    <w:name w:val="Comment Text Char1"/>
    <w:qFormat/>
    <w:uiPriority w:val="99"/>
    <w:rPr>
      <w:sz w:val="24"/>
      <w:szCs w:val="24"/>
    </w:rPr>
  </w:style>
  <w:style w:type="character" w:customStyle="1" w:styleId="97">
    <w:name w:val="textcontents"/>
    <w:qFormat/>
    <w:uiPriority w:val="99"/>
  </w:style>
  <w:style w:type="character" w:customStyle="1" w:styleId="98">
    <w:name w:val="Char Char22"/>
    <w:qFormat/>
    <w:uiPriority w:val="99"/>
    <w:rPr>
      <w:rFonts w:ascii="Times New Roman" w:hAnsi="Times New Roman" w:eastAsia="宋体" w:cs="Times New Roman"/>
      <w:b/>
      <w:bCs/>
      <w:kern w:val="44"/>
      <w:sz w:val="44"/>
      <w:szCs w:val="44"/>
    </w:rPr>
  </w:style>
  <w:style w:type="character" w:customStyle="1" w:styleId="99">
    <w:name w:val="Char Char181"/>
    <w:qFormat/>
    <w:uiPriority w:val="99"/>
    <w:rPr>
      <w:b/>
      <w:bCs/>
      <w:kern w:val="44"/>
      <w:sz w:val="44"/>
      <w:szCs w:val="44"/>
    </w:rPr>
  </w:style>
  <w:style w:type="character" w:customStyle="1" w:styleId="100">
    <w:name w:val="Footnote Text Char"/>
    <w:qFormat/>
    <w:uiPriority w:val="99"/>
    <w:rPr>
      <w:rFonts w:eastAsia="宋体"/>
      <w:sz w:val="18"/>
      <w:szCs w:val="18"/>
      <w:lang w:val="en-US" w:eastAsia="zh-CN"/>
    </w:rPr>
  </w:style>
  <w:style w:type="character" w:customStyle="1" w:styleId="101">
    <w:name w:val="批注文字 Char"/>
    <w:qFormat/>
    <w:uiPriority w:val="0"/>
    <w:rPr>
      <w:kern w:val="2"/>
      <w:sz w:val="24"/>
      <w:szCs w:val="24"/>
    </w:rPr>
  </w:style>
  <w:style w:type="character" w:customStyle="1" w:styleId="102">
    <w:name w:val="Heading 4 Char"/>
    <w:qFormat/>
    <w:uiPriority w:val="99"/>
    <w:rPr>
      <w:rFonts w:ascii="Arial" w:hAnsi="Arial" w:eastAsia="宋体" w:cs="Arial"/>
      <w:b/>
      <w:bCs/>
      <w:kern w:val="2"/>
      <w:sz w:val="28"/>
      <w:szCs w:val="28"/>
      <w:lang w:val="en-US" w:eastAsia="zh-CN"/>
    </w:rPr>
  </w:style>
  <w:style w:type="character" w:customStyle="1" w:styleId="103">
    <w:name w:val="批注框文本 Char1"/>
    <w:qFormat/>
    <w:uiPriority w:val="99"/>
    <w:rPr>
      <w:rFonts w:ascii="Times New Roman" w:hAnsi="Times New Roman" w:eastAsia="宋体" w:cs="Times New Roman"/>
      <w:sz w:val="18"/>
      <w:szCs w:val="18"/>
    </w:rPr>
  </w:style>
  <w:style w:type="character" w:customStyle="1" w:styleId="104">
    <w:name w:val="Title Char"/>
    <w:qFormat/>
    <w:uiPriority w:val="99"/>
    <w:rPr>
      <w:rFonts w:ascii="Cambria" w:hAnsi="Cambria" w:cs="Cambria"/>
      <w:b/>
      <w:bCs/>
      <w:sz w:val="32"/>
      <w:szCs w:val="32"/>
    </w:rPr>
  </w:style>
  <w:style w:type="character" w:customStyle="1" w:styleId="105">
    <w:name w:val="font161"/>
    <w:qFormat/>
    <w:uiPriority w:val="0"/>
    <w:rPr>
      <w:rFonts w:ascii="Arial" w:hAnsi="Arial" w:eastAsia="黑体"/>
      <w:b/>
      <w:bCs/>
      <w:kern w:val="2"/>
      <w:sz w:val="32"/>
      <w:szCs w:val="32"/>
      <w:lang w:val="en-US" w:eastAsia="zh-CN" w:bidi="ar-SA"/>
    </w:rPr>
  </w:style>
  <w:style w:type="character" w:customStyle="1" w:styleId="106">
    <w:name w:val="明显引用 Char"/>
    <w:link w:val="107"/>
    <w:qFormat/>
    <w:locked/>
    <w:uiPriority w:val="99"/>
    <w:rPr>
      <w:b/>
      <w:bCs/>
      <w:i/>
      <w:iCs/>
      <w:color w:val="4F81BD"/>
    </w:rPr>
  </w:style>
  <w:style w:type="paragraph" w:customStyle="1" w:styleId="107">
    <w:name w:val="明显引用1"/>
    <w:basedOn w:val="1"/>
    <w:next w:val="1"/>
    <w:link w:val="106"/>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108">
    <w:name w:val="Header Char"/>
    <w:qFormat/>
    <w:uiPriority w:val="99"/>
    <w:rPr>
      <w:rFonts w:eastAsia="宋体"/>
      <w:kern w:val="2"/>
      <w:sz w:val="18"/>
      <w:szCs w:val="18"/>
      <w:lang w:val="en-US" w:eastAsia="zh-CN"/>
    </w:rPr>
  </w:style>
  <w:style w:type="character" w:customStyle="1" w:styleId="109">
    <w:name w:val="Heading 3 Char"/>
    <w:qFormat/>
    <w:uiPriority w:val="99"/>
    <w:rPr>
      <w:b/>
      <w:bCs/>
      <w:kern w:val="2"/>
      <w:sz w:val="32"/>
      <w:szCs w:val="32"/>
    </w:rPr>
  </w:style>
  <w:style w:type="character" w:customStyle="1" w:styleId="110">
    <w:name w:val="Heading 1 Char"/>
    <w:qFormat/>
    <w:uiPriority w:val="99"/>
    <w:rPr>
      <w:rFonts w:eastAsia="宋体"/>
      <w:b/>
      <w:bCs/>
      <w:kern w:val="44"/>
      <w:sz w:val="44"/>
      <w:szCs w:val="44"/>
      <w:lang w:val="en-US" w:eastAsia="zh-CN"/>
    </w:rPr>
  </w:style>
  <w:style w:type="character" w:customStyle="1" w:styleId="111">
    <w:name w:val="标题 Char2"/>
    <w:qFormat/>
    <w:uiPriority w:val="99"/>
    <w:rPr>
      <w:rFonts w:ascii="Cambria" w:hAnsi="Cambria" w:eastAsia="宋体" w:cs="Cambria"/>
      <w:b/>
      <w:bCs/>
      <w:sz w:val="32"/>
      <w:szCs w:val="32"/>
    </w:rPr>
  </w:style>
  <w:style w:type="character" w:customStyle="1" w:styleId="112">
    <w:name w:val="标题4 Char Char"/>
    <w:link w:val="113"/>
    <w:qFormat/>
    <w:locked/>
    <w:uiPriority w:val="99"/>
    <w:rPr>
      <w:rFonts w:ascii="Arial" w:hAnsi="Arial" w:cs="Arial"/>
      <w:b/>
      <w:bCs/>
      <w:sz w:val="32"/>
      <w:szCs w:val="32"/>
    </w:rPr>
  </w:style>
  <w:style w:type="paragraph" w:customStyle="1" w:styleId="113">
    <w:name w:val="标题4"/>
    <w:basedOn w:val="3"/>
    <w:next w:val="21"/>
    <w:link w:val="112"/>
    <w:qFormat/>
    <w:uiPriority w:val="99"/>
    <w:pPr>
      <w:spacing w:before="60" w:after="60" w:line="413" w:lineRule="auto"/>
    </w:pPr>
    <w:rPr>
      <w:rFonts w:eastAsia="宋体"/>
      <w:kern w:val="0"/>
    </w:rPr>
  </w:style>
  <w:style w:type="character" w:customStyle="1" w:styleId="114">
    <w:name w:val="明显强调1"/>
    <w:qFormat/>
    <w:uiPriority w:val="99"/>
    <w:rPr>
      <w:b/>
      <w:bCs/>
      <w:i/>
      <w:iCs/>
      <w:color w:val="4F81BD"/>
    </w:rPr>
  </w:style>
  <w:style w:type="character" w:customStyle="1" w:styleId="115">
    <w:name w:val="正文文本 Char1"/>
    <w:qFormat/>
    <w:uiPriority w:val="99"/>
    <w:rPr>
      <w:kern w:val="2"/>
      <w:sz w:val="22"/>
      <w:szCs w:val="22"/>
    </w:rPr>
  </w:style>
  <w:style w:type="character" w:customStyle="1" w:styleId="116">
    <w:name w:val="日期 Char1"/>
    <w:qFormat/>
    <w:uiPriority w:val="99"/>
    <w:rPr>
      <w:rFonts w:ascii="Times New Roman" w:hAnsi="Times New Roman" w:eastAsia="宋体" w:cs="Times New Roman"/>
      <w:sz w:val="24"/>
      <w:szCs w:val="24"/>
    </w:rPr>
  </w:style>
  <w:style w:type="character" w:customStyle="1" w:styleId="117">
    <w:name w:val="普通文字 Char Char1"/>
    <w:semiHidden/>
    <w:qFormat/>
    <w:uiPriority w:val="0"/>
    <w:rPr>
      <w:rFonts w:ascii="宋体" w:hAnsi="Courier New" w:eastAsia="宋体"/>
      <w:kern w:val="2"/>
      <w:sz w:val="21"/>
      <w:lang w:val="en-US" w:eastAsia="zh-CN" w:bidi="ar-SA"/>
    </w:rPr>
  </w:style>
  <w:style w:type="character" w:customStyle="1" w:styleId="118">
    <w:name w:val="col-icon8"/>
    <w:qFormat/>
    <w:uiPriority w:val="0"/>
    <w:rPr>
      <w:shd w:val="clear" w:color="auto" w:fill="FFFFFF"/>
    </w:rPr>
  </w:style>
  <w:style w:type="character" w:customStyle="1" w:styleId="119">
    <w:name w:val="不明显强调1"/>
    <w:qFormat/>
    <w:uiPriority w:val="99"/>
    <w:rPr>
      <w:i/>
      <w:iCs/>
      <w:color w:val="808080"/>
    </w:rPr>
  </w:style>
  <w:style w:type="character" w:customStyle="1" w:styleId="120">
    <w:name w:val="Char Char21"/>
    <w:qFormat/>
    <w:uiPriority w:val="99"/>
    <w:rPr>
      <w:rFonts w:ascii="Arial" w:hAnsi="Arial" w:eastAsia="黑体" w:cs="Arial"/>
      <w:b/>
      <w:bCs/>
      <w:sz w:val="32"/>
      <w:szCs w:val="32"/>
    </w:rPr>
  </w:style>
  <w:style w:type="character" w:customStyle="1" w:styleId="121">
    <w:name w:val="Comment Subject Char"/>
    <w:qFormat/>
    <w:uiPriority w:val="99"/>
    <w:rPr>
      <w:b/>
      <w:bCs/>
      <w:sz w:val="24"/>
      <w:szCs w:val="24"/>
    </w:rPr>
  </w:style>
  <w:style w:type="character" w:customStyle="1" w:styleId="122">
    <w:name w:val="Char Char"/>
    <w:qFormat/>
    <w:uiPriority w:val="0"/>
    <w:rPr>
      <w:rFonts w:ascii="Arial" w:hAnsi="Arial" w:eastAsia="黑体"/>
      <w:b/>
      <w:bCs/>
      <w:kern w:val="2"/>
      <w:sz w:val="32"/>
      <w:szCs w:val="32"/>
      <w:lang w:val="en-US" w:eastAsia="zh-CN" w:bidi="ar-SA"/>
    </w:rPr>
  </w:style>
  <w:style w:type="character" w:customStyle="1" w:styleId="123">
    <w:name w:val="批注主题 Char1"/>
    <w:qFormat/>
    <w:uiPriority w:val="99"/>
    <w:rPr>
      <w:rFonts w:ascii="Times New Roman" w:hAnsi="Times New Roman" w:eastAsia="宋体" w:cs="Times New Roman"/>
      <w:b/>
      <w:bCs/>
      <w:sz w:val="24"/>
      <w:szCs w:val="24"/>
    </w:rPr>
  </w:style>
  <w:style w:type="character" w:customStyle="1" w:styleId="124">
    <w:name w:val="Char Char9"/>
    <w:qFormat/>
    <w:uiPriority w:val="99"/>
    <w:rPr>
      <w:rFonts w:eastAsia="宋体"/>
      <w:b/>
      <w:bCs/>
      <w:kern w:val="44"/>
      <w:sz w:val="44"/>
      <w:szCs w:val="44"/>
      <w:lang w:val="en-US" w:eastAsia="zh-CN"/>
    </w:rPr>
  </w:style>
  <w:style w:type="character" w:customStyle="1" w:styleId="125">
    <w:name w:val="Char Char6"/>
    <w:qFormat/>
    <w:uiPriority w:val="99"/>
    <w:rPr>
      <w:rFonts w:eastAsia="宋体"/>
      <w:b/>
      <w:bCs/>
      <w:kern w:val="44"/>
      <w:sz w:val="44"/>
      <w:szCs w:val="44"/>
      <w:lang w:val="en-US" w:eastAsia="zh-CN"/>
    </w:rPr>
  </w:style>
  <w:style w:type="character" w:customStyle="1" w:styleId="126">
    <w:name w:val="纯文本 Char2"/>
    <w:qFormat/>
    <w:uiPriority w:val="0"/>
    <w:rPr>
      <w:rFonts w:ascii="宋体" w:hAnsi="Courier New" w:cs="Courier New"/>
      <w:kern w:val="2"/>
      <w:sz w:val="21"/>
      <w:szCs w:val="21"/>
    </w:rPr>
  </w:style>
  <w:style w:type="character" w:customStyle="1" w:styleId="127">
    <w:name w:val="正文文本 Char"/>
    <w:qFormat/>
    <w:uiPriority w:val="99"/>
    <w:rPr>
      <w:rFonts w:eastAsia="宋体"/>
      <w:kern w:val="2"/>
      <w:sz w:val="28"/>
      <w:lang w:val="en-US" w:eastAsia="zh-CN" w:bidi="ar-SA"/>
    </w:rPr>
  </w:style>
  <w:style w:type="character" w:customStyle="1" w:styleId="128">
    <w:name w:val="不明显参考1"/>
    <w:qFormat/>
    <w:uiPriority w:val="99"/>
    <w:rPr>
      <w:smallCaps/>
      <w:color w:val="auto"/>
      <w:u w:val="single"/>
    </w:rPr>
  </w:style>
  <w:style w:type="character" w:customStyle="1" w:styleId="129">
    <w:name w:val="书籍标题1"/>
    <w:qFormat/>
    <w:uiPriority w:val="99"/>
    <w:rPr>
      <w:b/>
      <w:bCs/>
      <w:smallCaps/>
      <w:spacing w:val="5"/>
    </w:rPr>
  </w:style>
  <w:style w:type="character" w:customStyle="1" w:styleId="130">
    <w:name w:val="Document Map Char"/>
    <w:qFormat/>
    <w:uiPriority w:val="99"/>
    <w:rPr>
      <w:rFonts w:eastAsia="宋体"/>
      <w:kern w:val="2"/>
      <w:sz w:val="24"/>
      <w:szCs w:val="24"/>
      <w:lang w:val="en-US" w:eastAsia="zh-CN"/>
    </w:rPr>
  </w:style>
  <w:style w:type="character" w:customStyle="1" w:styleId="131">
    <w:name w:val="Balloon Text Char"/>
    <w:qFormat/>
    <w:uiPriority w:val="99"/>
    <w:rPr>
      <w:sz w:val="18"/>
      <w:szCs w:val="18"/>
    </w:rPr>
  </w:style>
  <w:style w:type="character" w:customStyle="1" w:styleId="132">
    <w:name w:val="明显参考1"/>
    <w:qFormat/>
    <w:uiPriority w:val="99"/>
    <w:rPr>
      <w:b/>
      <w:bCs/>
      <w:smallCaps/>
      <w:color w:val="auto"/>
      <w:spacing w:val="5"/>
      <w:u w:val="single"/>
    </w:rPr>
  </w:style>
  <w:style w:type="character" w:customStyle="1" w:styleId="133">
    <w:name w:val="纯文本 Char1"/>
    <w:qFormat/>
    <w:uiPriority w:val="0"/>
    <w:rPr>
      <w:rFonts w:ascii="宋体" w:hAnsi="Courier New" w:eastAsia="宋体"/>
      <w:b/>
      <w:bCs/>
      <w:kern w:val="2"/>
      <w:sz w:val="21"/>
      <w:szCs w:val="32"/>
      <w:lang w:val="en-US" w:eastAsia="zh-CN" w:bidi="ar-SA"/>
    </w:rPr>
  </w:style>
  <w:style w:type="character" w:customStyle="1" w:styleId="134">
    <w:name w:val="Body Text Indent Char"/>
    <w:qFormat/>
    <w:uiPriority w:val="99"/>
    <w:rPr>
      <w:rFonts w:ascii="宋体" w:hAnsi="宋体" w:eastAsia="宋体" w:cs="宋体"/>
      <w:kern w:val="2"/>
      <w:sz w:val="21"/>
      <w:szCs w:val="21"/>
      <w:lang w:val="en-US" w:eastAsia="zh-CN"/>
    </w:rPr>
  </w:style>
  <w:style w:type="character" w:customStyle="1" w:styleId="135">
    <w:name w:val="列出段落 Char"/>
    <w:link w:val="136"/>
    <w:qFormat/>
    <w:uiPriority w:val="0"/>
    <w:rPr>
      <w:rFonts w:ascii="Calibri" w:hAnsi="Calibri"/>
      <w:kern w:val="2"/>
      <w:sz w:val="21"/>
      <w:szCs w:val="22"/>
    </w:rPr>
  </w:style>
  <w:style w:type="paragraph" w:styleId="136">
    <w:name w:val="List Paragraph"/>
    <w:basedOn w:val="1"/>
    <w:link w:val="135"/>
    <w:qFormat/>
    <w:uiPriority w:val="0"/>
    <w:pPr>
      <w:ind w:firstLine="420" w:firstLineChars="200"/>
    </w:pPr>
    <w:rPr>
      <w:rFonts w:ascii="Calibri" w:hAnsi="Calibri"/>
      <w:szCs w:val="22"/>
    </w:rPr>
  </w:style>
  <w:style w:type="character" w:customStyle="1" w:styleId="137">
    <w:name w:val="文档结构图 Char1"/>
    <w:qFormat/>
    <w:uiPriority w:val="99"/>
    <w:rPr>
      <w:rFonts w:ascii="宋体" w:hAnsi="Times New Roman" w:eastAsia="宋体" w:cs="宋体"/>
      <w:sz w:val="18"/>
      <w:szCs w:val="18"/>
    </w:rPr>
  </w:style>
  <w:style w:type="character" w:customStyle="1" w:styleId="138">
    <w:name w:val="批注文字 Char Char"/>
    <w:qFormat/>
    <w:uiPriority w:val="99"/>
    <w:rPr>
      <w:rFonts w:ascii="宋体" w:hAnsi="Times New Roman" w:eastAsia="宋体" w:cs="宋体"/>
      <w:sz w:val="20"/>
      <w:szCs w:val="20"/>
    </w:rPr>
  </w:style>
  <w:style w:type="character" w:customStyle="1" w:styleId="139">
    <w:name w:val="Body Text Indent 2 Char"/>
    <w:qFormat/>
    <w:uiPriority w:val="99"/>
    <w:rPr>
      <w:rFonts w:eastAsia="宋体"/>
      <w:kern w:val="2"/>
      <w:sz w:val="24"/>
      <w:szCs w:val="24"/>
      <w:lang w:val="en-US" w:eastAsia="zh-CN"/>
    </w:rPr>
  </w:style>
  <w:style w:type="character" w:customStyle="1" w:styleId="140">
    <w:name w:val="Char Char23"/>
    <w:qFormat/>
    <w:uiPriority w:val="99"/>
    <w:rPr>
      <w:rFonts w:eastAsia="宋体"/>
      <w:b/>
      <w:bCs/>
      <w:kern w:val="44"/>
      <w:sz w:val="44"/>
      <w:szCs w:val="44"/>
      <w:lang w:val="en-US" w:eastAsia="zh-CN"/>
    </w:rPr>
  </w:style>
  <w:style w:type="character" w:customStyle="1" w:styleId="141">
    <w:name w:val="批注文字 Char1"/>
    <w:qFormat/>
    <w:uiPriority w:val="99"/>
    <w:rPr>
      <w:rFonts w:ascii="Times New Roman" w:hAnsi="Times New Roman" w:eastAsia="宋体" w:cs="Times New Roman"/>
      <w:sz w:val="24"/>
      <w:szCs w:val="24"/>
    </w:rPr>
  </w:style>
  <w:style w:type="character" w:customStyle="1" w:styleId="142">
    <w:name w:val="引用 Char"/>
    <w:link w:val="143"/>
    <w:qFormat/>
    <w:locked/>
    <w:uiPriority w:val="99"/>
    <w:rPr>
      <w:i/>
      <w:iCs/>
      <w:color w:val="000000"/>
    </w:rPr>
  </w:style>
  <w:style w:type="paragraph" w:customStyle="1" w:styleId="143">
    <w:name w:val="引用1"/>
    <w:basedOn w:val="1"/>
    <w:next w:val="1"/>
    <w:link w:val="142"/>
    <w:qFormat/>
    <w:uiPriority w:val="99"/>
    <w:rPr>
      <w:i/>
      <w:iCs/>
      <w:color w:val="000000"/>
      <w:kern w:val="0"/>
      <w:sz w:val="20"/>
      <w:szCs w:val="20"/>
    </w:rPr>
  </w:style>
  <w:style w:type="character" w:customStyle="1" w:styleId="144">
    <w:name w:val="Date Char"/>
    <w:qFormat/>
    <w:uiPriority w:val="99"/>
    <w:rPr>
      <w:rFonts w:eastAsia="宋体"/>
      <w:kern w:val="2"/>
      <w:sz w:val="24"/>
      <w:szCs w:val="24"/>
      <w:lang w:val="en-US" w:eastAsia="zh-CN"/>
    </w:rPr>
  </w:style>
  <w:style w:type="character" w:customStyle="1" w:styleId="145">
    <w:name w:val="Heading 2 Char"/>
    <w:qFormat/>
    <w:uiPriority w:val="99"/>
    <w:rPr>
      <w:rFonts w:ascii="Arial" w:hAnsi="Arial" w:eastAsia="黑体" w:cs="Arial"/>
      <w:b/>
      <w:bCs/>
      <w:kern w:val="2"/>
      <w:sz w:val="32"/>
      <w:szCs w:val="32"/>
      <w:lang w:val="en-US" w:eastAsia="zh-CN"/>
    </w:rPr>
  </w:style>
  <w:style w:type="character" w:customStyle="1" w:styleId="146">
    <w:name w:val="正文文本 3 Char1"/>
    <w:qFormat/>
    <w:uiPriority w:val="0"/>
    <w:rPr>
      <w:kern w:val="2"/>
      <w:sz w:val="16"/>
      <w:szCs w:val="16"/>
    </w:rPr>
  </w:style>
  <w:style w:type="character" w:customStyle="1" w:styleId="147">
    <w:name w:val="Char Char19"/>
    <w:qFormat/>
    <w:uiPriority w:val="99"/>
    <w:rPr>
      <w:rFonts w:ascii="Arial" w:hAnsi="Arial" w:eastAsia="宋体" w:cs="Arial"/>
      <w:b/>
      <w:bCs/>
      <w:sz w:val="28"/>
      <w:szCs w:val="28"/>
    </w:rPr>
  </w:style>
  <w:style w:type="character" w:customStyle="1" w:styleId="148">
    <w:name w:val="font5 Char"/>
    <w:qFormat/>
    <w:uiPriority w:val="0"/>
    <w:rPr>
      <w:rFonts w:ascii="宋体" w:hAnsi="宋体" w:eastAsia="宋体"/>
      <w:sz w:val="24"/>
      <w:szCs w:val="24"/>
      <w:lang w:val="en-US" w:eastAsia="zh-CN" w:bidi="ar-SA"/>
    </w:rPr>
  </w:style>
  <w:style w:type="character" w:customStyle="1" w:styleId="149">
    <w:name w:val="标题5 Char Char"/>
    <w:link w:val="150"/>
    <w:qFormat/>
    <w:locked/>
    <w:uiPriority w:val="99"/>
    <w:rPr>
      <w:rFonts w:ascii="Arial" w:hAnsi="Arial" w:cs="Arial"/>
      <w:b/>
      <w:bCs/>
      <w:sz w:val="32"/>
      <w:szCs w:val="32"/>
    </w:rPr>
  </w:style>
  <w:style w:type="paragraph" w:customStyle="1" w:styleId="150">
    <w:name w:val="标题5"/>
    <w:basedOn w:val="4"/>
    <w:link w:val="149"/>
    <w:qFormat/>
    <w:uiPriority w:val="99"/>
    <w:pPr>
      <w:spacing w:line="413" w:lineRule="auto"/>
    </w:pPr>
    <w:rPr>
      <w:rFonts w:ascii="Arial" w:hAnsi="Arial"/>
      <w:kern w:val="0"/>
    </w:rPr>
  </w:style>
  <w:style w:type="character" w:customStyle="1" w:styleId="151">
    <w:name w:val="Char Char24"/>
    <w:qFormat/>
    <w:uiPriority w:val="99"/>
    <w:rPr>
      <w:rFonts w:eastAsia="宋体"/>
      <w:b/>
      <w:bCs/>
      <w:kern w:val="44"/>
      <w:sz w:val="44"/>
      <w:szCs w:val="44"/>
      <w:lang w:val="en-US" w:eastAsia="zh-CN"/>
    </w:rPr>
  </w:style>
  <w:style w:type="character" w:customStyle="1" w:styleId="152">
    <w:name w:val="Heading 3 Char1"/>
    <w:qFormat/>
    <w:uiPriority w:val="99"/>
    <w:rPr>
      <w:rFonts w:eastAsia="宋体"/>
      <w:b/>
      <w:bCs/>
      <w:kern w:val="2"/>
      <w:sz w:val="32"/>
      <w:szCs w:val="32"/>
      <w:lang w:val="en-US" w:eastAsia="zh-CN"/>
    </w:rPr>
  </w:style>
  <w:style w:type="character" w:customStyle="1" w:styleId="153">
    <w:name w:val="标题 Char1"/>
    <w:qFormat/>
    <w:uiPriority w:val="99"/>
    <w:rPr>
      <w:rFonts w:ascii="Cambria" w:hAnsi="Cambria" w:eastAsia="宋体" w:cs="Cambria"/>
      <w:b/>
      <w:bCs/>
      <w:sz w:val="32"/>
      <w:szCs w:val="32"/>
    </w:rPr>
  </w:style>
  <w:style w:type="character" w:customStyle="1" w:styleId="154">
    <w:name w:val="明显引用 Char1"/>
    <w:qFormat/>
    <w:uiPriority w:val="99"/>
    <w:rPr>
      <w:rFonts w:ascii="Times New Roman" w:hAnsi="Times New Roman" w:eastAsia="宋体" w:cs="Times New Roman"/>
      <w:b/>
      <w:bCs/>
      <w:i/>
      <w:iCs/>
      <w:color w:val="4F81BD"/>
      <w:sz w:val="24"/>
      <w:szCs w:val="24"/>
    </w:rPr>
  </w:style>
  <w:style w:type="character" w:customStyle="1" w:styleId="155">
    <w:name w:val="Char Char91"/>
    <w:qFormat/>
    <w:uiPriority w:val="99"/>
    <w:rPr>
      <w:rFonts w:eastAsia="宋体"/>
      <w:b/>
      <w:bCs/>
      <w:kern w:val="44"/>
      <w:sz w:val="44"/>
      <w:szCs w:val="44"/>
      <w:lang w:val="en-US" w:eastAsia="zh-CN"/>
    </w:rPr>
  </w:style>
  <w:style w:type="paragraph" w:customStyle="1" w:styleId="156">
    <w:name w:val="表头"/>
    <w:basedOn w:val="1"/>
    <w:qFormat/>
    <w:uiPriority w:val="0"/>
    <w:pPr>
      <w:spacing w:line="300" w:lineRule="auto"/>
      <w:jc w:val="center"/>
    </w:pPr>
    <w:rPr>
      <w:rFonts w:eastAsia="黑体" w:cs="华文细黑"/>
      <w:color w:val="000000"/>
    </w:rPr>
  </w:style>
  <w:style w:type="paragraph" w:customStyle="1" w:styleId="157">
    <w:name w:val="Char Char Char Char Char Char Char"/>
    <w:basedOn w:val="1"/>
    <w:qFormat/>
    <w:uiPriority w:val="0"/>
  </w:style>
  <w:style w:type="paragraph" w:customStyle="1" w:styleId="158">
    <w:name w:val="Normal_0"/>
    <w:basedOn w:val="159"/>
    <w:qFormat/>
    <w:uiPriority w:val="0"/>
    <w:pPr>
      <w:widowControl/>
      <w:spacing w:line="384" w:lineRule="auto"/>
      <w:jc w:val="left"/>
    </w:pPr>
    <w:rPr>
      <w:rFonts w:ascii="宋体" w:hAnsi="宋体" w:cs="宋体"/>
      <w:kern w:val="0"/>
      <w:sz w:val="24"/>
      <w:szCs w:val="24"/>
    </w:rPr>
  </w:style>
  <w:style w:type="paragraph" w:customStyle="1" w:styleId="159">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0">
    <w:name w:val="xl34"/>
    <w:basedOn w:val="1"/>
    <w:qFormat/>
    <w:uiPriority w:val="0"/>
    <w:pPr>
      <w:widowControl/>
      <w:pBdr>
        <w:left w:val="single" w:color="auto" w:sz="4" w:space="0"/>
        <w:right w:val="single" w:color="auto" w:sz="4" w:space="0"/>
      </w:pBdr>
      <w:spacing w:before="100" w:after="100"/>
      <w:jc w:val="center"/>
    </w:pPr>
    <w:rPr>
      <w:rFonts w:ascii="宋体" w:hAnsi="宋体"/>
      <w:kern w:val="0"/>
      <w:sz w:val="24"/>
      <w:szCs w:val="20"/>
    </w:rPr>
  </w:style>
  <w:style w:type="paragraph" w:customStyle="1" w:styleId="161">
    <w:name w:val="样式1"/>
    <w:basedOn w:val="1"/>
    <w:next w:val="5"/>
    <w:qFormat/>
    <w:uiPriority w:val="99"/>
    <w:pPr>
      <w:spacing w:line="360" w:lineRule="auto"/>
      <w:ind w:firstLine="420" w:firstLineChars="200"/>
    </w:pPr>
    <w:rPr>
      <w:rFonts w:ascii="宋体" w:hAnsi="宋体" w:cs="宋体"/>
      <w:szCs w:val="21"/>
    </w:rPr>
  </w:style>
  <w:style w:type="paragraph" w:customStyle="1" w:styleId="16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163">
    <w:name w:val="z-窗体顶端1"/>
    <w:basedOn w:val="1"/>
    <w:next w:val="1"/>
    <w:qFormat/>
    <w:uiPriority w:val="0"/>
    <w:pPr>
      <w:widowControl/>
      <w:pBdr>
        <w:bottom w:val="single" w:color="auto" w:sz="6" w:space="1"/>
      </w:pBdr>
      <w:jc w:val="center"/>
    </w:pPr>
    <w:rPr>
      <w:rFonts w:ascii="Arial" w:hAnsi="Arial" w:cs="Arial"/>
      <w:vanish/>
      <w:color w:val="000000"/>
      <w:kern w:val="0"/>
      <w:sz w:val="16"/>
      <w:szCs w:val="16"/>
    </w:rPr>
  </w:style>
  <w:style w:type="paragraph" w:customStyle="1" w:styleId="164">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6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6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7">
    <w:name w:val="2-2ji"/>
    <w:basedOn w:val="3"/>
    <w:qFormat/>
    <w:uiPriority w:val="99"/>
    <w:pPr>
      <w:spacing w:before="0" w:after="0" w:line="360" w:lineRule="auto"/>
      <w:jc w:val="center"/>
    </w:pPr>
    <w:rPr>
      <w:rFonts w:ascii="宋体" w:hAnsi="宋体" w:eastAsia="宋体" w:cs="宋体"/>
      <w:sz w:val="36"/>
      <w:szCs w:val="36"/>
      <w:lang w:val="zh-CN"/>
    </w:rPr>
  </w:style>
  <w:style w:type="paragraph" w:customStyle="1" w:styleId="168">
    <w:name w:val="Char Char Char2 Char"/>
    <w:basedOn w:val="1"/>
    <w:qFormat/>
    <w:uiPriority w:val="0"/>
    <w:pPr>
      <w:tabs>
        <w:tab w:val="left" w:pos="815"/>
      </w:tabs>
      <w:ind w:left="815" w:hanging="360"/>
    </w:pPr>
  </w:style>
  <w:style w:type="paragraph" w:customStyle="1" w:styleId="16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17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71">
    <w:name w:val="Char Char Char 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172">
    <w:name w:val="head4"/>
    <w:basedOn w:val="1"/>
    <w:qFormat/>
    <w:uiPriority w:val="0"/>
    <w:pPr>
      <w:widowControl/>
      <w:overflowPunct w:val="0"/>
      <w:autoSpaceDE w:val="0"/>
      <w:autoSpaceDN w:val="0"/>
      <w:adjustRightInd w:val="0"/>
      <w:spacing w:before="120" w:line="360" w:lineRule="auto"/>
      <w:textAlignment w:val="baseline"/>
    </w:pPr>
    <w:rPr>
      <w:rFonts w:ascii="¿¬Ìå" w:hAnsi="¿¬Ìå"/>
      <w:kern w:val="0"/>
      <w:sz w:val="24"/>
    </w:rPr>
  </w:style>
  <w:style w:type="paragraph" w:customStyle="1" w:styleId="173">
    <w:name w:val="简单回函地址"/>
    <w:basedOn w:val="1"/>
    <w:qFormat/>
    <w:uiPriority w:val="0"/>
    <w:rPr>
      <w:rFonts w:ascii="仿宋_GB2312" w:hAnsi="宋体" w:eastAsia="仿宋_GB2312"/>
      <w:bCs/>
      <w:sz w:val="30"/>
      <w:szCs w:val="20"/>
    </w:rPr>
  </w:style>
  <w:style w:type="paragraph" w:customStyle="1" w:styleId="174">
    <w:name w:val="TOC 标题1"/>
    <w:basedOn w:val="2"/>
    <w:next w:val="1"/>
    <w:qFormat/>
    <w:uiPriority w:val="99"/>
    <w:pPr>
      <w:spacing w:line="576" w:lineRule="auto"/>
      <w:outlineLvl w:val="9"/>
    </w:pPr>
    <w:rPr>
      <w:rFonts w:ascii="Calibri" w:hAnsi="Calibri" w:eastAsia="黑体" w:cs="Calibri"/>
      <w:lang w:val="zh-CN"/>
    </w:rPr>
  </w:style>
  <w:style w:type="paragraph" w:customStyle="1" w:styleId="175">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76">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kern w:val="0"/>
      <w:sz w:val="28"/>
      <w:szCs w:val="28"/>
    </w:rPr>
  </w:style>
  <w:style w:type="paragraph" w:customStyle="1" w:styleId="177">
    <w:name w:val="font8"/>
    <w:basedOn w:val="1"/>
    <w:qFormat/>
    <w:uiPriority w:val="0"/>
    <w:pPr>
      <w:widowControl/>
      <w:spacing w:before="100" w:beforeAutospacing="1" w:after="100" w:afterAutospacing="1"/>
      <w:jc w:val="left"/>
    </w:pPr>
    <w:rPr>
      <w:rFonts w:hint="eastAsia" w:ascii="宋体" w:hAnsi="宋体"/>
      <w:kern w:val="0"/>
      <w:sz w:val="40"/>
      <w:szCs w:val="40"/>
    </w:rPr>
  </w:style>
  <w:style w:type="paragraph" w:customStyle="1" w:styleId="17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179">
    <w:name w:val="xl44"/>
    <w:basedOn w:val="1"/>
    <w:qFormat/>
    <w:uiPriority w:val="0"/>
    <w:pPr>
      <w:widowControl/>
      <w:pBdr>
        <w:bottom w:val="single" w:color="auto" w:sz="4" w:space="0"/>
      </w:pBdr>
      <w:spacing w:before="100" w:beforeAutospacing="1" w:after="100" w:afterAutospacing="1"/>
      <w:jc w:val="center"/>
    </w:pPr>
    <w:rPr>
      <w:rFonts w:ascii="Arial Unicode MS" w:hAnsi="Arial Unicode MS"/>
      <w:kern w:val="0"/>
      <w:sz w:val="24"/>
    </w:rPr>
  </w:style>
  <w:style w:type="paragraph" w:customStyle="1" w:styleId="180">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81">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82">
    <w:name w:val="font6"/>
    <w:basedOn w:val="1"/>
    <w:qFormat/>
    <w:uiPriority w:val="0"/>
    <w:pPr>
      <w:widowControl/>
      <w:spacing w:before="100" w:beforeAutospacing="1" w:after="100" w:afterAutospacing="1"/>
      <w:jc w:val="left"/>
    </w:pPr>
    <w:rPr>
      <w:kern w:val="0"/>
      <w:sz w:val="24"/>
    </w:rPr>
  </w:style>
  <w:style w:type="paragraph" w:customStyle="1" w:styleId="183">
    <w:name w:val="font9"/>
    <w:basedOn w:val="1"/>
    <w:qFormat/>
    <w:uiPriority w:val="0"/>
    <w:pPr>
      <w:widowControl/>
      <w:spacing w:before="100" w:beforeAutospacing="1" w:after="100" w:afterAutospacing="1"/>
      <w:jc w:val="left"/>
    </w:pPr>
    <w:rPr>
      <w:kern w:val="0"/>
      <w:sz w:val="40"/>
      <w:szCs w:val="40"/>
    </w:rPr>
  </w:style>
  <w:style w:type="paragraph" w:customStyle="1" w:styleId="184">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8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8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18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188">
    <w:name w:val="样式 行距: 固定值 25 磅"/>
    <w:basedOn w:val="1"/>
    <w:qFormat/>
    <w:uiPriority w:val="0"/>
    <w:pPr>
      <w:spacing w:line="500" w:lineRule="exact"/>
    </w:pPr>
    <w:rPr>
      <w:rFonts w:cs="宋体"/>
      <w:sz w:val="28"/>
      <w:szCs w:val="20"/>
    </w:rPr>
  </w:style>
  <w:style w:type="paragraph" w:customStyle="1" w:styleId="189">
    <w:name w:val="Char Char Char Char Char Char Char Char Char1 Char Char Char Char Char Char Char Char Char Char Char Char Char"/>
    <w:basedOn w:val="2"/>
    <w:qFormat/>
    <w:uiPriority w:val="0"/>
    <w:pPr>
      <w:snapToGrid w:val="0"/>
      <w:spacing w:before="240" w:after="240" w:line="348" w:lineRule="auto"/>
    </w:pPr>
  </w:style>
  <w:style w:type="paragraph" w:customStyle="1" w:styleId="190">
    <w:name w:val="表格"/>
    <w:basedOn w:val="1"/>
    <w:qFormat/>
    <w:uiPriority w:val="0"/>
    <w:pPr>
      <w:jc w:val="center"/>
      <w:textAlignment w:val="center"/>
    </w:pPr>
    <w:rPr>
      <w:rFonts w:ascii="华文细黑" w:hAnsi="华文细黑"/>
      <w:kern w:val="0"/>
      <w:szCs w:val="20"/>
    </w:rPr>
  </w:style>
  <w:style w:type="paragraph" w:customStyle="1" w:styleId="19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92">
    <w:name w:val="标题2"/>
    <w:basedOn w:val="3"/>
    <w:next w:val="1"/>
    <w:qFormat/>
    <w:uiPriority w:val="0"/>
    <w:pPr>
      <w:snapToGrid w:val="0"/>
      <w:spacing w:before="120" w:after="120" w:line="240" w:lineRule="auto"/>
      <w:jc w:val="left"/>
    </w:pPr>
    <w:rPr>
      <w:b w:val="0"/>
      <w:bCs w:val="0"/>
      <w:sz w:val="21"/>
      <w:szCs w:val="21"/>
    </w:rPr>
  </w:style>
  <w:style w:type="paragraph" w:customStyle="1" w:styleId="193">
    <w:name w:val="正文段"/>
    <w:basedOn w:val="1"/>
    <w:qFormat/>
    <w:uiPriority w:val="0"/>
    <w:pPr>
      <w:widowControl/>
      <w:snapToGrid w:val="0"/>
      <w:spacing w:afterLines="50"/>
      <w:ind w:firstLine="200" w:firstLineChars="200"/>
    </w:pPr>
    <w:rPr>
      <w:kern w:val="0"/>
      <w:sz w:val="24"/>
      <w:szCs w:val="20"/>
    </w:rPr>
  </w:style>
  <w:style w:type="paragraph" w:customStyle="1" w:styleId="194">
    <w:name w:val="修订11"/>
    <w:qFormat/>
    <w:uiPriority w:val="99"/>
    <w:rPr>
      <w:rFonts w:ascii="Times New Roman" w:hAnsi="Times New Roman" w:eastAsia="宋体" w:cs="Times New Roman"/>
      <w:kern w:val="2"/>
      <w:sz w:val="21"/>
      <w:szCs w:val="21"/>
      <w:lang w:val="en-US" w:eastAsia="zh-CN" w:bidi="ar-SA"/>
    </w:rPr>
  </w:style>
  <w:style w:type="paragraph" w:customStyle="1" w:styleId="195">
    <w:name w:val="p0"/>
    <w:basedOn w:val="1"/>
    <w:qFormat/>
    <w:uiPriority w:val="99"/>
    <w:pPr>
      <w:widowControl/>
      <w:spacing w:before="100" w:beforeAutospacing="1" w:after="100" w:afterAutospacing="1" w:line="312" w:lineRule="auto"/>
      <w:jc w:val="left"/>
    </w:pPr>
    <w:rPr>
      <w:rFonts w:ascii="宋体" w:hAnsi="宋体" w:cs="宋体"/>
      <w:kern w:val="0"/>
      <w:sz w:val="24"/>
    </w:rPr>
  </w:style>
  <w:style w:type="paragraph" w:customStyle="1" w:styleId="196">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19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199">
    <w:name w:val="1"/>
    <w:basedOn w:val="1"/>
    <w:next w:val="24"/>
    <w:qFormat/>
    <w:uiPriority w:val="99"/>
    <w:rPr>
      <w:rFonts w:ascii="宋体" w:hAnsi="Courier New"/>
      <w:szCs w:val="20"/>
    </w:rPr>
  </w:style>
  <w:style w:type="paragraph" w:customStyle="1" w:styleId="200">
    <w:name w:val="文件目录"/>
    <w:basedOn w:val="1"/>
    <w:qFormat/>
    <w:uiPriority w:val="0"/>
    <w:pPr>
      <w:spacing w:line="600" w:lineRule="exact"/>
      <w:jc w:val="left"/>
    </w:pPr>
    <w:rPr>
      <w:b/>
      <w:sz w:val="30"/>
      <w:szCs w:val="20"/>
    </w:rPr>
  </w:style>
  <w:style w:type="paragraph" w:customStyle="1" w:styleId="201">
    <w:name w:val="font5"/>
    <w:basedOn w:val="1"/>
    <w:qFormat/>
    <w:uiPriority w:val="0"/>
    <w:pPr>
      <w:widowControl/>
      <w:spacing w:before="100" w:beforeAutospacing="1" w:after="100" w:afterAutospacing="1"/>
      <w:jc w:val="left"/>
    </w:pPr>
    <w:rPr>
      <w:rFonts w:ascii="宋体" w:hAnsi="宋体"/>
      <w:kern w:val="0"/>
      <w:sz w:val="24"/>
    </w:rPr>
  </w:style>
  <w:style w:type="paragraph" w:customStyle="1" w:styleId="202">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203">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04">
    <w:name w:val="Char Char Char Char Char Char Char Char Char Char Char Char Char Char Char Char Char Char Char"/>
    <w:basedOn w:val="1"/>
    <w:semiHidden/>
    <w:qFormat/>
    <w:uiPriority w:val="0"/>
  </w:style>
  <w:style w:type="paragraph" w:customStyle="1" w:styleId="205">
    <w:name w:val="_Style 37"/>
    <w:basedOn w:val="1"/>
    <w:next w:val="1"/>
    <w:qFormat/>
    <w:uiPriority w:val="99"/>
    <w:rPr>
      <w:szCs w:val="21"/>
    </w:rPr>
  </w:style>
  <w:style w:type="paragraph" w:customStyle="1" w:styleId="206">
    <w:name w:val="正文文本 21"/>
    <w:basedOn w:val="1"/>
    <w:qFormat/>
    <w:uiPriority w:val="0"/>
    <w:pPr>
      <w:adjustRightInd w:val="0"/>
      <w:spacing w:line="460" w:lineRule="exact"/>
      <w:ind w:firstLine="635"/>
      <w:jc w:val="left"/>
      <w:textAlignment w:val="baseline"/>
    </w:pPr>
    <w:rPr>
      <w:sz w:val="28"/>
      <w:szCs w:val="20"/>
    </w:rPr>
  </w:style>
  <w:style w:type="paragraph" w:customStyle="1" w:styleId="20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208">
    <w:name w:val="text"/>
    <w:basedOn w:val="1"/>
    <w:qFormat/>
    <w:uiPriority w:val="0"/>
    <w:pPr>
      <w:overflowPunct w:val="0"/>
      <w:autoSpaceDE w:val="0"/>
      <w:autoSpaceDN w:val="0"/>
      <w:adjustRightInd w:val="0"/>
      <w:spacing w:before="120" w:after="120"/>
      <w:ind w:left="864"/>
      <w:textAlignment w:val="baseline"/>
    </w:pPr>
    <w:rPr>
      <w:rFonts w:ascii="宋体"/>
      <w:spacing w:val="-14"/>
      <w:kern w:val="0"/>
      <w:sz w:val="24"/>
    </w:rPr>
  </w:style>
  <w:style w:type="paragraph" w:customStyle="1" w:styleId="209">
    <w:name w:val="Default"/>
    <w:qFormat/>
    <w:uiPriority w:val="0"/>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210">
    <w:name w:val="Char1"/>
    <w:basedOn w:val="1"/>
    <w:qFormat/>
    <w:uiPriority w:val="99"/>
    <w:pPr>
      <w:widowControl/>
      <w:spacing w:after="160" w:line="240" w:lineRule="exact"/>
      <w:jc w:val="left"/>
    </w:pPr>
    <w:rPr>
      <w:szCs w:val="21"/>
    </w:rPr>
  </w:style>
  <w:style w:type="paragraph" w:customStyle="1" w:styleId="211">
    <w:name w:val="p17"/>
    <w:basedOn w:val="1"/>
    <w:qFormat/>
    <w:uiPriority w:val="0"/>
    <w:pPr>
      <w:widowControl/>
      <w:spacing w:before="100" w:beforeAutospacing="1" w:after="100" w:afterAutospacing="1" w:line="312" w:lineRule="auto"/>
      <w:jc w:val="left"/>
    </w:pPr>
    <w:rPr>
      <w:rFonts w:ascii="宋体" w:hAnsi="宋体" w:cs="宋体"/>
      <w:kern w:val="0"/>
      <w:sz w:val="24"/>
    </w:rPr>
  </w:style>
  <w:style w:type="paragraph" w:customStyle="1" w:styleId="212">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21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214">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215">
    <w:name w:val="文件标题"/>
    <w:basedOn w:val="1"/>
    <w:qFormat/>
    <w:uiPriority w:val="0"/>
    <w:pPr>
      <w:jc w:val="center"/>
    </w:pPr>
    <w:rPr>
      <w:b/>
      <w:sz w:val="36"/>
      <w:szCs w:val="20"/>
    </w:rPr>
  </w:style>
  <w:style w:type="paragraph" w:customStyle="1" w:styleId="216">
    <w:name w:val="head1"/>
    <w:basedOn w:val="1"/>
    <w:qFormat/>
    <w:uiPriority w:val="0"/>
    <w:pPr>
      <w:widowControl/>
      <w:tabs>
        <w:tab w:val="left" w:pos="1680"/>
      </w:tabs>
      <w:overflowPunct w:val="0"/>
      <w:autoSpaceDE w:val="0"/>
      <w:autoSpaceDN w:val="0"/>
      <w:adjustRightInd w:val="0"/>
      <w:spacing w:before="60" w:after="60"/>
      <w:ind w:left="1680"/>
      <w:jc w:val="left"/>
      <w:textAlignment w:val="baseline"/>
      <w:outlineLvl w:val="0"/>
    </w:pPr>
    <w:rPr>
      <w:rFonts w:ascii="黑体" w:hAnsi="¿¬Ìå" w:eastAsia="黑体"/>
      <w:kern w:val="0"/>
      <w:sz w:val="30"/>
      <w:szCs w:val="30"/>
    </w:rPr>
  </w:style>
  <w:style w:type="paragraph" w:customStyle="1" w:styleId="217">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21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19">
    <w:name w:val="xl31"/>
    <w:basedOn w:val="1"/>
    <w:qFormat/>
    <w:uiPriority w:val="0"/>
    <w:pPr>
      <w:widowControl/>
      <w:spacing w:before="100" w:beforeAutospacing="1" w:after="100" w:afterAutospacing="1"/>
      <w:jc w:val="center"/>
    </w:pPr>
    <w:rPr>
      <w:rFonts w:ascii="宋体" w:hAnsi="宋体"/>
      <w:kern w:val="0"/>
      <w:sz w:val="24"/>
    </w:rPr>
  </w:style>
  <w:style w:type="paragraph" w:customStyle="1" w:styleId="220">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221">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22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223">
    <w:name w:val="表格2"/>
    <w:basedOn w:val="1"/>
    <w:qFormat/>
    <w:uiPriority w:val="0"/>
    <w:pPr>
      <w:adjustRightInd w:val="0"/>
      <w:spacing w:before="60" w:after="60"/>
      <w:jc w:val="center"/>
    </w:pPr>
    <w:rPr>
      <w:rFonts w:ascii="宋体"/>
      <w:color w:val="000000"/>
      <w:kern w:val="0"/>
      <w:sz w:val="24"/>
      <w:szCs w:val="20"/>
    </w:rPr>
  </w:style>
  <w:style w:type="paragraph" w:customStyle="1" w:styleId="224">
    <w:name w:val="5 Char Char Char Char Char Char Char Char Char Char"/>
    <w:basedOn w:val="1"/>
    <w:qFormat/>
    <w:uiPriority w:val="0"/>
  </w:style>
  <w:style w:type="paragraph" w:customStyle="1" w:styleId="225">
    <w:name w:val="合同正文"/>
    <w:basedOn w:val="1"/>
    <w:qFormat/>
    <w:uiPriority w:val="0"/>
    <w:pPr>
      <w:adjustRightInd w:val="0"/>
      <w:spacing w:line="580" w:lineRule="exact"/>
    </w:pPr>
    <w:rPr>
      <w:b/>
      <w:sz w:val="24"/>
      <w:szCs w:val="20"/>
    </w:rPr>
  </w:style>
  <w:style w:type="paragraph" w:customStyle="1" w:styleId="226">
    <w:name w:val="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22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22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229">
    <w:name w:val="纯文本1"/>
    <w:basedOn w:val="1"/>
    <w:qFormat/>
    <w:uiPriority w:val="0"/>
    <w:pPr>
      <w:adjustRightInd w:val="0"/>
      <w:jc w:val="left"/>
      <w:textAlignment w:val="baseline"/>
    </w:pPr>
    <w:rPr>
      <w:rFonts w:ascii="宋体" w:hAnsi="Courier New"/>
      <w:szCs w:val="20"/>
    </w:rPr>
  </w:style>
  <w:style w:type="paragraph" w:customStyle="1" w:styleId="230">
    <w:name w:val="列出段落1"/>
    <w:basedOn w:val="1"/>
    <w:qFormat/>
    <w:uiPriority w:val="99"/>
    <w:pPr>
      <w:ind w:firstLine="420" w:firstLineChars="200"/>
    </w:pPr>
    <w:rPr>
      <w:rFonts w:ascii="Calibri" w:hAnsi="Calibri" w:cs="Calibri"/>
      <w:szCs w:val="21"/>
    </w:rPr>
  </w:style>
  <w:style w:type="paragraph" w:customStyle="1" w:styleId="231">
    <w:name w:val="xl45"/>
    <w:basedOn w:val="1"/>
    <w:qFormat/>
    <w:uiPriority w:val="0"/>
    <w:pPr>
      <w:widowControl/>
      <w:pBdr>
        <w:bottom w:val="single" w:color="auto" w:sz="4" w:space="0"/>
      </w:pBdr>
      <w:spacing w:before="100" w:beforeAutospacing="1" w:after="100" w:afterAutospacing="1"/>
      <w:jc w:val="center"/>
    </w:pPr>
    <w:rPr>
      <w:kern w:val="0"/>
      <w:sz w:val="40"/>
      <w:szCs w:val="40"/>
    </w:rPr>
  </w:style>
  <w:style w:type="paragraph" w:customStyle="1" w:styleId="2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24"/>
    </w:rPr>
  </w:style>
  <w:style w:type="paragraph" w:customStyle="1" w:styleId="233">
    <w:name w:val="font1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234">
    <w:name w:val="默认段落字体 Para Char Char Char Char Char Char Char"/>
    <w:basedOn w:val="1"/>
    <w:qFormat/>
    <w:uiPriority w:val="0"/>
    <w:pPr>
      <w:adjustRightInd w:val="0"/>
      <w:spacing w:line="360" w:lineRule="auto"/>
      <w:ind w:left="200" w:hanging="200" w:hangingChars="200"/>
    </w:pPr>
    <w:rPr>
      <w:kern w:val="0"/>
      <w:sz w:val="24"/>
      <w:szCs w:val="20"/>
    </w:rPr>
  </w:style>
  <w:style w:type="paragraph" w:customStyle="1" w:styleId="235">
    <w:name w:val="样式 标题 2 + Times New Roman 四号 非加粗 段前: 5 磅 段后: 0 磅 行距: 固定值 20..."/>
    <w:basedOn w:val="3"/>
    <w:qFormat/>
    <w:uiPriority w:val="99"/>
    <w:pPr>
      <w:spacing w:before="100" w:after="0" w:line="400" w:lineRule="exact"/>
    </w:pPr>
    <w:rPr>
      <w:rFonts w:ascii="Times New Roman" w:hAnsi="Times New Roman" w:cs="宋体"/>
      <w:b w:val="0"/>
      <w:bCs w:val="0"/>
      <w:sz w:val="28"/>
      <w:szCs w:val="20"/>
    </w:rPr>
  </w:style>
  <w:style w:type="paragraph" w:customStyle="1" w:styleId="236">
    <w:name w:val="Char2"/>
    <w:basedOn w:val="1"/>
    <w:qFormat/>
    <w:uiPriority w:val="0"/>
    <w:pPr>
      <w:snapToGrid w:val="0"/>
      <w:spacing w:line="360" w:lineRule="auto"/>
      <w:ind w:firstLine="200" w:firstLineChars="200"/>
    </w:pPr>
    <w:rPr>
      <w:rFonts w:ascii="Arial" w:hAnsi="Arial" w:eastAsia="黑体"/>
      <w:szCs w:val="21"/>
    </w:rPr>
  </w:style>
  <w:style w:type="paragraph" w:customStyle="1" w:styleId="237">
    <w:name w:val="Char Char Char Char Char Char Char1"/>
    <w:basedOn w:val="1"/>
    <w:qFormat/>
    <w:uiPriority w:val="99"/>
    <w:pPr>
      <w:widowControl/>
      <w:spacing w:after="160" w:line="240" w:lineRule="exact"/>
      <w:jc w:val="left"/>
    </w:pPr>
    <w:rPr>
      <w:szCs w:val="21"/>
    </w:rPr>
  </w:style>
  <w:style w:type="paragraph" w:customStyle="1" w:styleId="23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8"/>
      <w:szCs w:val="28"/>
    </w:rPr>
  </w:style>
  <w:style w:type="paragraph" w:customStyle="1" w:styleId="239">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40">
    <w:name w:val="列出段落2"/>
    <w:basedOn w:val="1"/>
    <w:qFormat/>
    <w:uiPriority w:val="99"/>
    <w:pPr>
      <w:ind w:firstLine="420" w:firstLineChars="200"/>
    </w:pPr>
    <w:rPr>
      <w:rFonts w:ascii="Calibri" w:hAnsi="Calibri" w:cs="Calibri"/>
      <w:szCs w:val="21"/>
    </w:rPr>
  </w:style>
  <w:style w:type="paragraph" w:customStyle="1" w:styleId="241">
    <w:name w:val="样式 标题 3 + (中文) 黑体 小四 非加粗 段前: 7.8 磅 段后: 0 磅 行距: 固定值 20 磅"/>
    <w:basedOn w:val="4"/>
    <w:qFormat/>
    <w:uiPriority w:val="99"/>
    <w:pPr>
      <w:spacing w:before="0" w:after="0" w:line="400" w:lineRule="exact"/>
      <w:jc w:val="center"/>
    </w:pPr>
    <w:rPr>
      <w:rFonts w:ascii="宋体" w:hAnsi="宋体" w:eastAsia="黑体" w:cs="宋体"/>
      <w:b w:val="0"/>
      <w:bCs w:val="0"/>
      <w:kern w:val="0"/>
      <w:sz w:val="24"/>
      <w:szCs w:val="20"/>
    </w:rPr>
  </w:style>
  <w:style w:type="paragraph" w:customStyle="1" w:styleId="242">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3">
    <w:name w:val="Char Char1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44">
    <w:name w:val="Char Char Char Char Char Char Char Char Char Char"/>
    <w:basedOn w:val="1"/>
    <w:qFormat/>
    <w:uiPriority w:val="0"/>
  </w:style>
  <w:style w:type="paragraph" w:customStyle="1" w:styleId="245">
    <w:name w:val="."/>
    <w:basedOn w:val="1"/>
    <w:qFormat/>
    <w:uiPriority w:val="0"/>
    <w:pPr>
      <w:widowControl/>
      <w:numPr>
        <w:ilvl w:val="0"/>
        <w:numId w:val="1"/>
      </w:numPr>
      <w:overflowPunct w:val="0"/>
      <w:autoSpaceDE w:val="0"/>
      <w:autoSpaceDN w:val="0"/>
      <w:adjustRightInd w:val="0"/>
      <w:spacing w:before="60" w:after="60" w:line="264" w:lineRule="auto"/>
      <w:ind w:left="1135" w:hanging="284"/>
      <w:textAlignment w:val="baseline"/>
    </w:pPr>
    <w:rPr>
      <w:rFonts w:ascii="宋体"/>
      <w:kern w:val="0"/>
      <w:sz w:val="24"/>
      <w:szCs w:val="20"/>
    </w:rPr>
  </w:style>
  <w:style w:type="character" w:customStyle="1" w:styleId="246">
    <w:name w:val="bookmark-item"/>
    <w:qFormat/>
    <w:uiPriority w:val="0"/>
  </w:style>
  <w:style w:type="paragraph" w:customStyle="1" w:styleId="247">
    <w:name w:val="Normal_17"/>
    <w:qFormat/>
    <w:uiPriority w:val="0"/>
    <w:pPr>
      <w:spacing w:before="120" w:after="240"/>
      <w:jc w:val="both"/>
    </w:pPr>
    <w:rPr>
      <w:rFonts w:ascii="Calibri" w:hAnsi="Calibri" w:eastAsia="Calibri" w:cs="Times New Roman"/>
      <w:sz w:val="22"/>
      <w:szCs w:val="22"/>
      <w:lang w:val="ru-RU" w:eastAsia="en-US" w:bidi="ar-SA"/>
    </w:rPr>
  </w:style>
  <w:style w:type="character" w:customStyle="1" w:styleId="248">
    <w:name w:val="纯文本 Char3"/>
    <w:qFormat/>
    <w:uiPriority w:val="0"/>
    <w:rPr>
      <w:rFonts w:ascii="宋体" w:hAnsi="Courier New" w:eastAsia="宋体" w:cs="Courier New"/>
      <w:kern w:val="2"/>
      <w:sz w:val="21"/>
      <w:szCs w:val="21"/>
      <w:lang w:val="en-US" w:eastAsia="zh-CN" w:bidi="ar-SA"/>
    </w:rPr>
  </w:style>
  <w:style w:type="paragraph" w:styleId="24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0">
    <w:name w:val="Blockquote"/>
    <w:basedOn w:val="1"/>
    <w:qFormat/>
    <w:uiPriority w:val="0"/>
    <w:pPr>
      <w:adjustRightInd w:val="0"/>
      <w:spacing w:before="100" w:after="100"/>
      <w:ind w:left="360" w:right="360"/>
    </w:pPr>
    <w:rPr>
      <w:sz w:val="24"/>
    </w:rPr>
  </w:style>
  <w:style w:type="paragraph" w:customStyle="1" w:styleId="251">
    <w:name w:val="Table Paragraph"/>
    <w:basedOn w:val="1"/>
    <w:qFormat/>
    <w:uiPriority w:val="1"/>
  </w:style>
  <w:style w:type="paragraph" w:customStyle="1" w:styleId="252">
    <w:name w:val="纯文本_0"/>
    <w:basedOn w:val="180"/>
    <w:qFormat/>
    <w:uiPriority w:val="0"/>
    <w:rPr>
      <w:rFonts w:ascii="宋体" w:hAnsi="Courier New"/>
    </w:rPr>
  </w:style>
  <w:style w:type="paragraph" w:customStyle="1" w:styleId="253">
    <w:name w:val="PlainText"/>
    <w:basedOn w:val="1"/>
    <w:qFormat/>
    <w:uiPriority w:val="0"/>
    <w:rPr>
      <w:rFonts w:ascii="宋体" w:hAnsi="Courier New"/>
      <w:szCs w:val="20"/>
    </w:rPr>
  </w:style>
  <w:style w:type="character" w:customStyle="1" w:styleId="254">
    <w:name w:val="ant-radio+*"/>
    <w:basedOn w:val="47"/>
    <w:qFormat/>
    <w:uiPriority w:val="0"/>
  </w:style>
  <w:style w:type="character" w:customStyle="1" w:styleId="255">
    <w:name w:val="ant-radio+*1"/>
    <w:basedOn w:val="47"/>
    <w:qFormat/>
    <w:uiPriority w:val="0"/>
  </w:style>
  <w:style w:type="character" w:customStyle="1" w:styleId="256">
    <w:name w:val="first-child1"/>
    <w:basedOn w:val="47"/>
    <w:qFormat/>
    <w:uiPriority w:val="0"/>
  </w:style>
  <w:style w:type="character" w:customStyle="1" w:styleId="257">
    <w:name w:val="ant-input28"/>
    <w:basedOn w:val="47"/>
    <w:qFormat/>
    <w:uiPriority w:val="0"/>
  </w:style>
  <w:style w:type="character" w:customStyle="1" w:styleId="258">
    <w:name w:val="last-child"/>
    <w:basedOn w:val="47"/>
    <w:qFormat/>
    <w:uiPriority w:val="0"/>
  </w:style>
  <w:style w:type="character" w:customStyle="1" w:styleId="259">
    <w:name w:val="ant-select-tree-checkbox"/>
    <w:basedOn w:val="47"/>
    <w:qFormat/>
    <w:uiPriority w:val="0"/>
  </w:style>
  <w:style w:type="character" w:customStyle="1" w:styleId="260">
    <w:name w:val="ant-select-tree-switcher"/>
    <w:basedOn w:val="47"/>
    <w:qFormat/>
    <w:uiPriority w:val="0"/>
  </w:style>
  <w:style w:type="character" w:customStyle="1" w:styleId="261">
    <w:name w:val="nc-lang-cnt"/>
    <w:basedOn w:val="47"/>
    <w:qFormat/>
    <w:uiPriority w:val="0"/>
    <w:rPr>
      <w:rFonts w:hint="cs"/>
      <w:rtl/>
      <w:cs/>
    </w:rPr>
  </w:style>
  <w:style w:type="character" w:customStyle="1" w:styleId="262">
    <w:name w:val="nc-lang-cnt1"/>
    <w:basedOn w:val="47"/>
    <w:qFormat/>
    <w:uiPriority w:val="0"/>
    <w:rPr>
      <w:rFonts w:hint="cs"/>
      <w:rtl/>
      <w:cs/>
    </w:rPr>
  </w:style>
  <w:style w:type="character" w:customStyle="1" w:styleId="263">
    <w:name w:val="nc-lang-cnt2"/>
    <w:basedOn w:val="47"/>
    <w:qFormat/>
    <w:uiPriority w:val="0"/>
  </w:style>
  <w:style w:type="character" w:customStyle="1" w:styleId="264">
    <w:name w:val="nc-lang-cnt3"/>
    <w:basedOn w:val="47"/>
    <w:qFormat/>
    <w:uiPriority w:val="0"/>
  </w:style>
  <w:style w:type="character" w:customStyle="1" w:styleId="265">
    <w:name w:val="nc-lang-cnt4"/>
    <w:basedOn w:val="47"/>
    <w:qFormat/>
    <w:uiPriority w:val="0"/>
    <w:rPr>
      <w:rFonts w:hint="cs"/>
      <w:rtl/>
      <w:cs/>
    </w:rPr>
  </w:style>
  <w:style w:type="character" w:customStyle="1" w:styleId="266">
    <w:name w:val="nc-lang-cnt5"/>
    <w:basedOn w:val="47"/>
    <w:qFormat/>
    <w:uiPriority w:val="0"/>
    <w:rPr>
      <w:rFonts w:hint="cs"/>
      <w:rtl/>
      <w:cs/>
    </w:rPr>
  </w:style>
  <w:style w:type="character" w:customStyle="1" w:styleId="267">
    <w:name w:val="nc-lang-cnt6"/>
    <w:basedOn w:val="47"/>
    <w:qFormat/>
    <w:uiPriority w:val="0"/>
  </w:style>
  <w:style w:type="character" w:customStyle="1" w:styleId="268">
    <w:name w:val="ant-select-tree-iconele"/>
    <w:basedOn w:val="47"/>
    <w:qFormat/>
    <w:uiPriority w:val="0"/>
  </w:style>
  <w:style w:type="character" w:customStyle="1" w:styleId="269">
    <w:name w:val="ant-table-tbody1"/>
    <w:basedOn w:val="47"/>
    <w:qFormat/>
    <w:uiPriority w:val="0"/>
  </w:style>
  <w:style w:type="paragraph" w:customStyle="1" w:styleId="270">
    <w:name w:val="正文_4"/>
    <w:qFormat/>
    <w:uiPriority w:val="0"/>
    <w:pPr>
      <w:widowControl w:val="0"/>
      <w:jc w:val="both"/>
    </w:pPr>
    <w:rPr>
      <w:rFonts w:ascii="Calibri" w:hAnsi="Calibri" w:eastAsia="宋体" w:cs="Times New Roman"/>
      <w:kern w:val="2"/>
      <w:sz w:val="21"/>
      <w:szCs w:val="22"/>
      <w:lang w:val="en-US" w:eastAsia="zh-CN" w:bidi="ar-SA"/>
    </w:rPr>
  </w:style>
  <w:style w:type="character" w:customStyle="1" w:styleId="271">
    <w:name w:val="目录 5 Char"/>
    <w:link w:val="22"/>
    <w:qFormat/>
    <w:uiPriority w:val="39"/>
    <w:rPr>
      <w:sz w:val="18"/>
      <w:szCs w:val="18"/>
    </w:rPr>
  </w:style>
  <w:style w:type="character" w:customStyle="1" w:styleId="272">
    <w:name w:val="标题 1 Char1"/>
    <w:link w:val="2"/>
    <w:qFormat/>
    <w:uiPriority w:val="9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08759F-A9EA-4442-A732-FC593FBB691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84</Pages>
  <Words>12002</Words>
  <Characters>12831</Characters>
  <Lines>386</Lines>
  <Paragraphs>108</Paragraphs>
  <TotalTime>6</TotalTime>
  <ScaleCrop>false</ScaleCrop>
  <LinksUpToDate>false</LinksUpToDate>
  <CharactersWithSpaces>12978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2021-11-18T03:04:00Z</dcterms:created>
  <dc:creator>USER</dc:creator>
  <cp:lastModifiedBy>微信用户</cp:lastModifiedBy>
  <cp:lastPrinted>2021-08-27T07:45:00Z</cp:lastPrinted>
  <dcterms:modified xsi:type="dcterms:W3CDTF">2025-12-01T02:59:14Z</dcterms:modified>
  <dc:title>第三章  项目需求</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B219A597953343EAB99CCCFE0F6CB979_13</vt:lpwstr>
  </property>
  <property fmtid="{D5CDD505-2E9C-101B-9397-08002B2CF9AE}" pid="4" name="KSOTemplateDocerSaveRecord">
    <vt:lpwstr>eyJoZGlkIjoiNjRiNDA3ZDIwYmQyZDBhZDE1MDQ2ODk0Y2IwYWI5OTIiLCJ1c2VySWQiOiIxMzU2MTI2MzQ5In0=</vt:lpwstr>
  </property>
</Properties>
</file>