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</w:pPr>
      <w:bookmarkStart w:id="0" w:name="_Hlk166488948"/>
      <w:r>
        <w:rPr>
          <w:rFonts w:hint="eastAsia"/>
        </w:rPr>
        <w:t>无创试剂盒参数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>用途：定性检测</w:t>
      </w:r>
      <w:r>
        <w:rPr>
          <w:rFonts w:hint="eastAsia" w:ascii="宋体" w:hAnsi="宋体" w:eastAsia="宋体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孕周</w:t>
      </w:r>
      <w:r>
        <w:rPr>
          <w:rFonts w:ascii="宋体" w:hAnsi="宋体" w:eastAsia="宋体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12+0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宋体" w:hAnsi="宋体" w:eastAsia="宋体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snapToGrid w:val="0"/>
          <w:sz w:val="24"/>
          <w:szCs w:val="24"/>
        </w:rPr>
        <w:t>孕妇外周血血浆中胎儿游离脱氧核糖核酸（DNA），通过分析样本中胎儿游离DNA的21号、18号及13号染色体数量的差异，对胎儿染色体非整倍体疾病21三体综合征、18三体综合征和13三体综合征进行产前筛查（提供注册证）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投标人需提供核酸提取试剂、</w:t>
      </w:r>
      <w:r>
        <w:rPr>
          <w:rFonts w:hint="eastAsia" w:ascii="宋体" w:hAnsi="宋体" w:eastAsia="宋体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胎儿染色体非整倍体(T21、T18、T13)检测试剂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、测序反应通用试剂盒整套检测试剂，且所有试剂均需提供试剂盒医疗器械注册证或备案凭证证明材料。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使用国产化测序平台，且检测设备被列入科技部创新医疗器械产品目录。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napToGrid w:val="0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/>
          <w:snapToGrid w:val="0"/>
          <w:sz w:val="24"/>
          <w:szCs w:val="24"/>
        </w:rPr>
        <w:t>采用DNA片段环化，线性扩增的方法，避免指数扩增带来的错误累积。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>检测样本类型为：孕妇外周血5ml（需提供检测试剂盒说明书）。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>外周血胎儿游离DNA产前检测项目所需血浆的起始量≦200uL。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建库</w:t>
      </w:r>
      <w:r>
        <w:rPr>
          <w:rFonts w:ascii="宋体" w:hAnsi="宋体" w:eastAsia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试剂盒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适用于≥</w:t>
      </w:r>
      <w:r>
        <w:rPr>
          <w:rFonts w:ascii="宋体" w:hAnsi="宋体" w:eastAsia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个平台，可灵活运用（提供注册证）。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配套胎儿染色体非整倍体数据分析软件</w:t>
      </w:r>
      <w:r>
        <w:rPr>
          <w:rFonts w:hint="eastAsia" w:ascii="宋体" w:hAnsi="宋体" w:eastAsia="宋体"/>
          <w:snapToGrid w:val="0"/>
          <w:sz w:val="24"/>
          <w:szCs w:val="24"/>
        </w:rPr>
        <w:t>需经药监局批准，并提供注册证作为证明材料。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napToGrid w:val="0"/>
          <w:kern w:val="11"/>
          <w:sz w:val="24"/>
          <w:szCs w:val="24"/>
        </w:rPr>
      </w:pPr>
      <w:r>
        <w:rPr>
          <w:rFonts w:ascii="宋体" w:hAnsi="宋体" w:eastAsia="宋体"/>
          <w:sz w:val="24"/>
          <w:szCs w:val="24"/>
          <w:lang w:bidi="ar"/>
        </w:rPr>
        <w:t>样本数据量：每个样品不少于6M reads，单次运行</w:t>
      </w:r>
      <w:r>
        <w:rPr>
          <w:rFonts w:hint="eastAsia" w:ascii="宋体" w:hAnsi="宋体" w:eastAsia="宋体"/>
          <w:sz w:val="24"/>
          <w:szCs w:val="24"/>
          <w:lang w:bidi="ar"/>
        </w:rPr>
        <w:t>可以达到</w:t>
      </w:r>
      <w:r>
        <w:rPr>
          <w:rFonts w:ascii="宋体" w:hAnsi="宋体" w:eastAsia="宋体"/>
          <w:sz w:val="24"/>
          <w:szCs w:val="24"/>
          <w:lang w:bidi="ar"/>
        </w:rPr>
        <w:t>96人份</w:t>
      </w:r>
      <w:r>
        <w:rPr>
          <w:rFonts w:hint="eastAsia" w:ascii="宋体" w:hAnsi="宋体" w:eastAsia="宋体"/>
          <w:sz w:val="24"/>
          <w:szCs w:val="24"/>
          <w:lang w:bidi="ar"/>
        </w:rPr>
        <w:t>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测序质量：以Q30为测序质量标准（即每个碱基的准确度为99.9％），在常用测序模式下，</w:t>
      </w:r>
      <w:r>
        <w:rPr>
          <w:rFonts w:ascii="宋体" w:hAnsi="宋体" w:eastAsia="宋体"/>
          <w:sz w:val="24"/>
          <w:szCs w:val="24"/>
        </w:rPr>
        <w:t>85</w:t>
      </w:r>
      <w:r>
        <w:rPr>
          <w:rFonts w:hint="eastAsia" w:ascii="宋体" w:hAnsi="宋体" w:eastAsia="宋体"/>
          <w:sz w:val="24"/>
          <w:szCs w:val="24"/>
        </w:rPr>
        <w:t>%以上的碱基比例可达到Q30。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bidi="ar"/>
        </w:rPr>
        <w:t>为提高检测成功率，使用核酸富集技术以提高胎儿浓度。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检测结果要求只分阳性（高风险）和阴性（低风险），没有灰区或无法确定的结果。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>提供试剂相关产品说明书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一体机可实现多产品同时分析，可同时分析胎儿染色体非整倍体基因检测结果和 CNV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-seq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检测结果。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Style w:val="19"/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胎儿染色体非整倍体基因检测项目需有充足临床经验，已完成检测例数大于</w:t>
      </w:r>
      <w:r>
        <w:rPr>
          <w:rStyle w:val="19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1000</w:t>
      </w:r>
      <w:r>
        <w:rPr>
          <w:rStyle w:val="19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万例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bidi="ar"/>
        </w:rPr>
        <w:t>（需提供公开发表的证明材料，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若投标人为子公司的，可提供所属集团公司的佐证材料；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若投标人为代理商的，可提供厂家的佐证材料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bidi="ar"/>
        </w:rPr>
        <w:t>）</w:t>
      </w:r>
      <w:r>
        <w:rPr>
          <w:rStyle w:val="19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1"/>
        <w:numPr>
          <w:ilvl w:val="0"/>
          <w:numId w:val="1"/>
        </w:numPr>
        <w:spacing w:line="360" w:lineRule="auto"/>
        <w:ind w:left="0" w:firstLine="480"/>
        <w:rPr>
          <w:rStyle w:val="19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bidi="ar"/>
        </w:rPr>
        <w:t>具有良好的科研能力，</w:t>
      </w:r>
      <w:r>
        <w:rPr>
          <w:rFonts w:hint="eastAsia" w:ascii="宋体" w:hAnsi="宋体" w:eastAsia="宋体"/>
          <w:sz w:val="24"/>
          <w:szCs w:val="24"/>
        </w:rPr>
        <w:t>胎儿无创产前基因检测项目发表</w:t>
      </w:r>
      <w:r>
        <w:rPr>
          <w:rFonts w:ascii="宋体" w:hAnsi="宋体" w:eastAsia="宋体"/>
          <w:sz w:val="24"/>
          <w:szCs w:val="24"/>
        </w:rPr>
        <w:t>SCI文章70篇以上（提供文章清单证明材料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若投标人为子公司的，可提供所属集团公司的佐证材料；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若投标人为代理商的，可提供厂家的佐证材料</w:t>
      </w:r>
      <w:r>
        <w:rPr>
          <w:rFonts w:ascii="宋体" w:hAnsi="宋体" w:eastAsia="宋体"/>
          <w:sz w:val="24"/>
          <w:szCs w:val="24"/>
        </w:rPr>
        <w:t>）</w:t>
      </w:r>
      <w:r>
        <w:rPr>
          <w:rStyle w:val="19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bookmarkEnd w:id="0"/>
    <w:p>
      <w:pPr>
        <w:pStyle w:val="3"/>
        <w:spacing w:line="360" w:lineRule="auto"/>
      </w:pPr>
      <w:bookmarkStart w:id="1" w:name="_Hlk148519861"/>
      <w:r>
        <w:rPr>
          <w:rFonts w:hint="eastAsia"/>
        </w:rPr>
        <w:t>染色体检测试剂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预计用途：用于体外定性检测人样本中</w:t>
      </w:r>
      <w:r>
        <w:rPr>
          <w:rFonts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染色体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异常</w:t>
      </w:r>
      <w:r>
        <w:rPr>
          <w:rFonts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投标人需提供核酸提取试剂、染色体非整倍体和片段缺失检测试剂盒、测序反应通用试剂整套检测试剂，且所有试剂均需提供试剂盒医疗器械注册证或备案凭证证明材料。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2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使用国产化测序平台，且检测设备被列入科技部创新医疗器械产品目录。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>采用DNA片段环化，线性扩增的方法，避免指数扩增带来的错误累积。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需提供试剂相关产品说明书。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数据量CNVseq-100K平均数据量≥35M reads，CNVseq-1M 平均数据量≥10M reads。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2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具备染色体非整倍体分析相关软件注册证，可用于</w:t>
      </w:r>
      <w:r>
        <w:rPr>
          <w:rFonts w:ascii="宋体" w:hAnsi="宋体" w:eastAsia="宋体" w:cs="Times New Roman"/>
          <w:bCs/>
          <w:sz w:val="24"/>
          <w:szCs w:val="24"/>
        </w:rPr>
        <w:t>13、18、21、X和Y染色体</w:t>
      </w:r>
      <w:r>
        <w:rPr>
          <w:rFonts w:hint="eastAsia" w:ascii="宋体" w:hAnsi="宋体" w:eastAsia="宋体" w:cs="Times New Roman"/>
          <w:bCs/>
          <w:sz w:val="24"/>
          <w:szCs w:val="24"/>
        </w:rPr>
        <w:t>等</w:t>
      </w:r>
      <w:r>
        <w:rPr>
          <w:rFonts w:ascii="宋体" w:hAnsi="宋体" w:eastAsia="宋体" w:cs="Times New Roman"/>
          <w:bCs/>
          <w:sz w:val="24"/>
          <w:szCs w:val="24"/>
        </w:rPr>
        <w:t>的辅助性判断</w:t>
      </w:r>
      <w:r>
        <w:rPr>
          <w:rFonts w:hint="eastAsia" w:ascii="宋体" w:hAnsi="宋体" w:eastAsia="宋体" w:cs="Times New Roman"/>
          <w:bCs/>
          <w:sz w:val="24"/>
          <w:szCs w:val="24"/>
        </w:rPr>
        <w:t>（提供注册证）。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一</w:t>
      </w:r>
      <w:r>
        <w:rPr>
          <w:rFonts w:hint="eastAsia" w:ascii="宋体" w:hAnsi="宋体" w:eastAsia="宋体"/>
          <w:sz w:val="24"/>
          <w:szCs w:val="24"/>
        </w:rPr>
        <w:t>体机实现多产品同时分析，可以同时分析CNV-seq检测结果和无创产前基因检测结果。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投标人具有CNV-seq智能化解读云平台，提供智能化ACMG打分、变异注释、自动出报告等CNV解读本地化方案</w:t>
      </w:r>
      <w:r>
        <w:rPr>
          <w:rFonts w:hint="eastAsia" w:ascii="宋体" w:hAnsi="宋体" w:eastAsia="宋体" w:cs="仿宋"/>
          <w:sz w:val="24"/>
          <w:szCs w:val="24"/>
        </w:rPr>
        <w:t>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测序质量：以Q30为测序质量标准（即每个碱基的准确度为99.9％），在常用测序模式下，85%以上的碱基比例可达到Q30。</w:t>
      </w:r>
    </w:p>
    <w:p>
      <w:pPr>
        <w:pStyle w:val="21"/>
        <w:numPr>
          <w:ilvl w:val="3"/>
          <w:numId w:val="2"/>
        </w:numPr>
        <w:spacing w:line="360" w:lineRule="auto"/>
        <w:ind w:left="0" w:firstLine="480"/>
        <w:rPr>
          <w:rFonts w:ascii="宋体" w:hAnsi="宋体" w:eastAsia="宋体" w:cs="仿宋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具备染色体非整倍体和片段缺失检测试剂盒注册证，可用于羊水样本中</w:t>
      </w:r>
      <w:r>
        <w:rPr>
          <w:rFonts w:ascii="宋体" w:hAnsi="宋体" w:eastAsia="宋体" w:cs="Times New Roman"/>
          <w:bCs/>
          <w:sz w:val="24"/>
          <w:szCs w:val="24"/>
        </w:rPr>
        <w:t>13、18、21、X和Y染色体非整倍体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染色体4p16.3、染色体22q11.2、染色体5p15.2-5p、染色体15q11-q13等区域</w:t>
      </w:r>
      <w:r>
        <w:rPr>
          <w:rFonts w:hint="eastAsia" w:ascii="宋体" w:hAnsi="宋体" w:eastAsia="宋体"/>
          <w:sz w:val="24"/>
          <w:szCs w:val="24"/>
        </w:rPr>
        <w:t>的缺失情况。</w:t>
      </w:r>
    </w:p>
    <w:p>
      <w:pPr>
        <w:spacing w:line="360" w:lineRule="auto"/>
        <w:ind w:left="240"/>
        <w:rPr>
          <w:rFonts w:ascii="宋体" w:hAnsi="宋体" w:eastAsia="宋体" w:cs="仿宋"/>
          <w:sz w:val="24"/>
          <w:szCs w:val="24"/>
        </w:rPr>
      </w:pPr>
    </w:p>
    <w:p>
      <w:pPr>
        <w:spacing w:line="360" w:lineRule="auto"/>
        <w:ind w:left="240"/>
        <w:rPr>
          <w:rFonts w:ascii="宋体" w:hAnsi="宋体" w:eastAsia="宋体" w:cs="仿宋"/>
          <w:sz w:val="24"/>
          <w:szCs w:val="24"/>
        </w:rPr>
      </w:pPr>
    </w:p>
    <w:bookmarkEnd w:id="1"/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728D5"/>
    <w:multiLevelType w:val="multilevel"/>
    <w:tmpl w:val="1EA728D5"/>
    <w:lvl w:ilvl="0" w:tentative="0">
      <w:start w:val="1"/>
      <w:numFmt w:val="decimal"/>
      <w:lvlText w:val="%1."/>
      <w:lvlJc w:val="left"/>
      <w:pPr>
        <w:ind w:left="920" w:hanging="440"/>
      </w:pPr>
      <w:rPr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38997573"/>
    <w:multiLevelType w:val="multilevel"/>
    <w:tmpl w:val="3899757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  <w:rPr>
        <w:color w:val="000000" w:themeColor="text1"/>
        <w14:textFill>
          <w14:solidFill>
            <w14:schemeClr w14:val="tx1"/>
          </w14:solidFill>
        </w14:textFill>
      </w:r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NGVmMjQ4YzEwMDc0ZWU4NzEzNmQ1NDcxMjE1NjAifQ=="/>
  </w:docVars>
  <w:rsids>
    <w:rsidRoot w:val="00000000"/>
    <w:rsid w:val="0E9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ind w:left="482" w:hanging="482" w:hangingChars="200"/>
      <w:outlineLvl w:val="1"/>
    </w:pPr>
    <w:rPr>
      <w:rFonts w:ascii="宋体" w:hAnsi="宋体" w:eastAsia="宋体" w:cstheme="majorBidi"/>
      <w:b/>
      <w:bCs/>
      <w:color w:val="000000"/>
      <w:kern w:val="44"/>
      <w:sz w:val="24"/>
      <w:szCs w:val="24"/>
      <w:shd w:val="clear" w:color="auto" w:fill="FFFFFF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widowControl w:val="0"/>
      <w:outlineLvl w:val="2"/>
    </w:pPr>
    <w:rPr>
      <w:rFonts w:ascii="宋体" w:hAnsi="宋体" w:eastAsia="宋体" w:cs="Times New Roman"/>
      <w:b/>
      <w:bCs/>
      <w:sz w:val="24"/>
      <w:szCs w:val="24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widowControl w:val="0"/>
      <w:snapToGrid w:val="0"/>
      <w:outlineLvl w:val="3"/>
    </w:pPr>
    <w:rPr>
      <w:rFonts w:ascii="宋体" w:hAnsi="宋体" w:eastAsia="宋体" w:cstheme="majorBidi"/>
      <w:b/>
      <w:bCs/>
      <w:sz w:val="24"/>
      <w:szCs w:val="2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qFormat/>
    <w:uiPriority w:val="0"/>
    <w:rPr>
      <w:rFonts w:ascii="宋体" w:hAnsi="宋体"/>
      <w:szCs w:val="24"/>
    </w:rPr>
  </w:style>
  <w:style w:type="character" w:customStyle="1" w:styleId="11">
    <w:name w:val="标题 1 字符"/>
    <w:basedOn w:val="9"/>
    <w:link w:val="2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="宋体" w:hAnsi="宋体" w:eastAsia="宋体" w:cstheme="majorBidi"/>
      <w:b/>
      <w:bCs/>
      <w:color w:val="000000"/>
      <w:kern w:val="44"/>
      <w:sz w:val="24"/>
      <w:szCs w:val="24"/>
    </w:rPr>
  </w:style>
  <w:style w:type="paragraph" w:customStyle="1" w:styleId="13">
    <w:name w:val="样式2"/>
    <w:basedOn w:val="3"/>
    <w:link w:val="14"/>
    <w:qFormat/>
    <w:uiPriority w:val="0"/>
  </w:style>
  <w:style w:type="character" w:customStyle="1" w:styleId="14">
    <w:name w:val="样式2 字符"/>
    <w:basedOn w:val="12"/>
    <w:link w:val="13"/>
    <w:uiPriority w:val="0"/>
    <w:rPr>
      <w:rFonts w:ascii="宋体" w:hAnsi="宋体" w:eastAsia="宋体" w:cstheme="majorBidi"/>
      <w:color w:val="000000"/>
      <w:kern w:val="44"/>
      <w:sz w:val="24"/>
      <w:szCs w:val="32"/>
    </w:rPr>
  </w:style>
  <w:style w:type="character" w:customStyle="1" w:styleId="15">
    <w:name w:val="标题 4 字符"/>
    <w:basedOn w:val="9"/>
    <w:link w:val="5"/>
    <w:qFormat/>
    <w:uiPriority w:val="9"/>
    <w:rPr>
      <w:rFonts w:ascii="宋体" w:hAnsi="宋体" w:eastAsia="宋体" w:cstheme="majorBidi"/>
      <w:b/>
      <w:bCs/>
      <w:sz w:val="24"/>
      <w:szCs w:val="24"/>
    </w:rPr>
  </w:style>
  <w:style w:type="character" w:customStyle="1" w:styleId="16">
    <w:name w:val="标题 3 字符"/>
    <w:basedOn w:val="9"/>
    <w:link w:val="4"/>
    <w:qFormat/>
    <w:uiPriority w:val="9"/>
    <w:rPr>
      <w:rFonts w:ascii="宋体" w:hAnsi="宋体" w:eastAsia="宋体" w:cs="Times New Roman"/>
      <w:b/>
      <w:bCs/>
      <w:sz w:val="24"/>
      <w:szCs w:val="24"/>
    </w:rPr>
  </w:style>
  <w:style w:type="character" w:customStyle="1" w:styleId="17">
    <w:name w:val="页眉 字符"/>
    <w:basedOn w:val="9"/>
    <w:link w:val="7"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uiPriority w:val="99"/>
    <w:rPr>
      <w:sz w:val="18"/>
      <w:szCs w:val="18"/>
    </w:rPr>
  </w:style>
  <w:style w:type="character" w:customStyle="1" w:styleId="19">
    <w:name w:val="Body Text Indent Char"/>
    <w:link w:val="20"/>
    <w:qFormat/>
    <w:uiPriority w:val="0"/>
    <w:rPr>
      <w:rFonts w:ascii="仿宋_GB2312" w:eastAsia="仿宋_GB2312"/>
      <w:sz w:val="32"/>
    </w:rPr>
  </w:style>
  <w:style w:type="paragraph" w:customStyle="1" w:styleId="20">
    <w:name w:val="正文文本缩进1"/>
    <w:basedOn w:val="1"/>
    <w:link w:val="19"/>
    <w:qFormat/>
    <w:uiPriority w:val="0"/>
    <w:pPr>
      <w:widowControl w:val="0"/>
      <w:ind w:firstLine="830" w:firstLineChars="352"/>
    </w:pPr>
    <w:rPr>
      <w:rFonts w:ascii="仿宋_GB2312" w:eastAsia="仿宋_GB2312"/>
      <w:sz w:val="32"/>
    </w:rPr>
  </w:style>
  <w:style w:type="paragraph" w:customStyle="1" w:styleId="21">
    <w:name w:val="List Paragraph"/>
    <w:basedOn w:val="1"/>
    <w:link w:val="22"/>
    <w:qFormat/>
    <w:uiPriority w:val="34"/>
    <w:pPr>
      <w:widowControl w:val="0"/>
      <w:ind w:firstLine="420" w:firstLineChars="200"/>
    </w:pPr>
    <w:rPr>
      <w:rFonts w:ascii="等线" w:hAnsi="等线" w:eastAsia="等线" w:cs="宋体"/>
    </w:rPr>
  </w:style>
  <w:style w:type="character" w:customStyle="1" w:styleId="22">
    <w:name w:val="列表段落 字符"/>
    <w:link w:val="21"/>
    <w:qFormat/>
    <w:uiPriority w:val="34"/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1298</Words>
  <Characters>1447</Characters>
  <Lines>10</Lines>
  <Paragraphs>3</Paragraphs>
  <TotalTime>1</TotalTime>
  <ScaleCrop>false</ScaleCrop>
  <LinksUpToDate>false</LinksUpToDate>
  <CharactersWithSpaces>1452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2024-06-12T10:46:00Z</dcterms:created>
  <dc:creator>方芳(Fang Fang)</dc:creator>
  <cp:lastModifiedBy>尤小弋</cp:lastModifiedBy>
  <dcterms:modified xsi:type="dcterms:W3CDTF">2024-07-05T06:41:39Z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6D8C3CAAB1284293BB24CAC82DBA9244_13</vt:lpwstr>
  </property>
  <property fmtid="{D5CDD505-2E9C-101B-9397-08002B2CF9AE}" pid="3" name="KSOProductBuildVer">
    <vt:lpwstr>2052-12.1.0.16929</vt:lpwstr>
  </property>
</Properties>
</file>