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1392C">
      <w:pPr>
        <w:spacing w:line="360" w:lineRule="auto"/>
        <w:ind w:left="8" w:leftChars="0" w:hanging="8" w:firstLineChars="0"/>
        <w:jc w:val="center"/>
        <w:rPr>
          <w:rFonts w:hint="eastAsia" w:asciiTheme="minorEastAsia" w:hAnsiTheme="minorEastAsia" w:eastAsiaTheme="minorEastAsia" w:cstheme="minorEastAsia"/>
          <w:b/>
          <w:color w:val="auto"/>
          <w:sz w:val="28"/>
          <w:szCs w:val="28"/>
          <w:highlight w:val="none"/>
          <w:lang w:eastAsia="zh-CN"/>
        </w:rPr>
      </w:pPr>
      <w:bookmarkStart w:id="3" w:name="_GoBack"/>
      <w:bookmarkEnd w:id="3"/>
      <w:bookmarkStart w:id="0" w:name="OLE_LINK14"/>
      <w:bookmarkStart w:id="1" w:name="OLE_LINK13"/>
      <w:r>
        <w:rPr>
          <w:rFonts w:hint="eastAsia" w:asciiTheme="minorEastAsia" w:hAnsiTheme="minorEastAsia" w:eastAsiaTheme="minorEastAsia" w:cstheme="minorEastAsia"/>
          <w:b/>
          <w:color w:val="auto"/>
          <w:sz w:val="28"/>
          <w:szCs w:val="28"/>
          <w:highlight w:val="none"/>
          <w:lang w:eastAsia="zh-CN"/>
        </w:rPr>
        <w:t>广西崇善项目咨询有限公司</w:t>
      </w:r>
    </w:p>
    <w:p w14:paraId="2138E274">
      <w:pPr>
        <w:spacing w:line="360" w:lineRule="auto"/>
        <w:ind w:left="8" w:leftChars="0" w:hanging="8" w:firstLineChars="0"/>
        <w:jc w:val="center"/>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8"/>
          <w:szCs w:val="28"/>
          <w:highlight w:val="none"/>
          <w:lang w:eastAsia="zh-CN"/>
        </w:rPr>
        <w:t>关于天等县天等镇朗明村朗二屯梗雷片甘蔗产业基地配套项目（项目编号：CZZC2025-C2-250035-GXCS）成交结果公告</w:t>
      </w:r>
    </w:p>
    <w:p w14:paraId="128E8DED">
      <w:pPr>
        <w:spacing w:line="360" w:lineRule="auto"/>
        <w:ind w:left="8" w:leftChars="0" w:hanging="8" w:firstLineChars="0"/>
        <w:jc w:val="center"/>
        <w:rPr>
          <w:rFonts w:hint="eastAsia" w:asciiTheme="minorEastAsia" w:hAnsiTheme="minorEastAsia" w:eastAsiaTheme="minorEastAsia" w:cstheme="minorEastAsia"/>
          <w:b/>
          <w:color w:val="auto"/>
          <w:sz w:val="28"/>
          <w:szCs w:val="28"/>
          <w:highlight w:val="none"/>
          <w:lang w:eastAsia="zh-CN"/>
        </w:rPr>
      </w:pPr>
    </w:p>
    <w:p w14:paraId="217ECB5D">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b/>
          <w:bCs/>
          <w:i w:val="0"/>
          <w:iCs w:val="0"/>
          <w:color w:val="auto"/>
          <w:sz w:val="24"/>
          <w:szCs w:val="24"/>
          <w:highlight w:val="none"/>
          <w:lang w:eastAsia="zh-CN"/>
        </w:rPr>
        <w:t>一、</w:t>
      </w:r>
      <w:r>
        <w:rPr>
          <w:rFonts w:hint="eastAsia" w:asciiTheme="minorEastAsia" w:hAnsiTheme="minorEastAsia" w:eastAsiaTheme="minorEastAsia" w:cstheme="minorEastAsia"/>
          <w:b/>
          <w:bCs/>
          <w:i w:val="0"/>
          <w:iCs w:val="0"/>
          <w:color w:val="auto"/>
          <w:sz w:val="24"/>
          <w:szCs w:val="24"/>
          <w:highlight w:val="none"/>
        </w:rPr>
        <w:t>项目编号</w:t>
      </w:r>
      <w:r>
        <w:rPr>
          <w:rFonts w:hint="eastAsia" w:asciiTheme="minorEastAsia" w:hAnsiTheme="minorEastAsia" w:eastAsiaTheme="minorEastAsia" w:cstheme="minorEastAsia"/>
          <w:i w:val="0"/>
          <w:iCs w:val="0"/>
          <w:color w:val="auto"/>
          <w:sz w:val="24"/>
          <w:szCs w:val="24"/>
          <w:highlight w:val="none"/>
          <w:lang w:val="en-US" w:eastAsia="zh-CN"/>
        </w:rPr>
        <w:t>：CZZC2025-C2-250035-GXCS；</w:t>
      </w:r>
    </w:p>
    <w:p w14:paraId="4836FFEF">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宋体" w:hAnsi="宋体" w:eastAsia="宋体" w:cs="宋体"/>
          <w:b w:val="0"/>
          <w:bCs w:val="0"/>
          <w:color w:val="auto"/>
          <w:sz w:val="24"/>
          <w:szCs w:val="24"/>
          <w:highlight w:val="none"/>
          <w:u w:val="none"/>
          <w:lang w:val="en-US" w:eastAsia="zh-CN" w:bidi="ar-SA"/>
        </w:rPr>
        <w:t>二、</w:t>
      </w:r>
      <w:r>
        <w:rPr>
          <w:rFonts w:hint="eastAsia" w:asciiTheme="minorEastAsia" w:hAnsiTheme="minorEastAsia" w:eastAsiaTheme="minorEastAsia" w:cstheme="minorEastAsia"/>
          <w:b/>
          <w:bCs/>
          <w:i w:val="0"/>
          <w:iCs w:val="0"/>
          <w:color w:val="auto"/>
          <w:sz w:val="24"/>
          <w:szCs w:val="24"/>
          <w:highlight w:val="none"/>
          <w:lang w:val="en-US" w:eastAsia="zh-CN"/>
        </w:rPr>
        <w:t>项目名称</w:t>
      </w:r>
      <w:r>
        <w:rPr>
          <w:rFonts w:hint="eastAsia" w:ascii="宋体" w:hAnsi="宋体" w:eastAsia="宋体" w:cs="宋体"/>
          <w:b w:val="0"/>
          <w:bCs w:val="0"/>
          <w:color w:val="auto"/>
          <w:sz w:val="24"/>
          <w:szCs w:val="24"/>
          <w:highlight w:val="none"/>
          <w:u w:val="none"/>
          <w:lang w:val="en-US" w:eastAsia="zh-CN" w:bidi="ar-SA"/>
        </w:rPr>
        <w:t>：</w:t>
      </w:r>
      <w:r>
        <w:rPr>
          <w:rFonts w:hint="eastAsia" w:asciiTheme="minorEastAsia" w:hAnsiTheme="minorEastAsia" w:eastAsiaTheme="minorEastAsia" w:cstheme="minorEastAsia"/>
          <w:i w:val="0"/>
          <w:iCs w:val="0"/>
          <w:color w:val="auto"/>
          <w:sz w:val="24"/>
          <w:szCs w:val="24"/>
          <w:highlight w:val="none"/>
          <w:lang w:val="en-US" w:eastAsia="zh-CN"/>
        </w:rPr>
        <w:t>天等县天等镇朗明村朗二屯梗雷片甘蔗产业基地配套项目；</w:t>
      </w:r>
    </w:p>
    <w:p w14:paraId="2E571E54">
      <w:pPr>
        <w:spacing w:line="360" w:lineRule="auto"/>
        <w:rPr>
          <w:rFonts w:hint="eastAsia" w:asciiTheme="minorEastAsia" w:hAnsiTheme="minorEastAsia" w:eastAsiaTheme="minorEastAsia" w:cstheme="minorEastAsia"/>
          <w:b/>
          <w:bCs/>
          <w:i w:val="0"/>
          <w:iCs w:val="0"/>
          <w:color w:val="auto"/>
          <w:sz w:val="24"/>
          <w:szCs w:val="24"/>
          <w:highlight w:val="none"/>
          <w:lang w:eastAsia="zh-CN"/>
        </w:rPr>
      </w:pPr>
      <w:r>
        <w:rPr>
          <w:rFonts w:hint="eastAsia" w:asciiTheme="minorEastAsia" w:hAnsiTheme="minorEastAsia" w:eastAsiaTheme="minorEastAsia" w:cstheme="minorEastAsia"/>
          <w:b/>
          <w:bCs/>
          <w:i w:val="0"/>
          <w:iCs w:val="0"/>
          <w:color w:val="auto"/>
          <w:sz w:val="24"/>
          <w:szCs w:val="24"/>
          <w:highlight w:val="none"/>
        </w:rPr>
        <w:t>三、成交信息</w:t>
      </w:r>
      <w:r>
        <w:rPr>
          <w:rFonts w:hint="eastAsia" w:asciiTheme="minorEastAsia" w:hAnsiTheme="minorEastAsia" w:eastAsiaTheme="minorEastAsia" w:cstheme="minorEastAsia"/>
          <w:b/>
          <w:bCs/>
          <w:i w:val="0"/>
          <w:iCs w:val="0"/>
          <w:color w:val="auto"/>
          <w:sz w:val="24"/>
          <w:szCs w:val="24"/>
          <w:highlight w:val="none"/>
          <w:lang w:eastAsia="zh-CN"/>
        </w:rPr>
        <w:t>：</w:t>
      </w:r>
    </w:p>
    <w:p w14:paraId="67DAB610">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供应商名称：广西旺崇建设工程有限公司（统一社会信用代码：91451425MA5Q1E6285）</w:t>
      </w:r>
    </w:p>
    <w:p w14:paraId="24C0AEC7">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供应商地址：广西壮族自治区崇左市天等县天等镇天宝南路002号天富商业广场25号楼09号房三楼</w:t>
      </w:r>
    </w:p>
    <w:p w14:paraId="5FED1B83">
      <w:pPr>
        <w:numPr>
          <w:ilvl w:val="0"/>
          <w:numId w:val="0"/>
        </w:numPr>
        <w:spacing w:line="360" w:lineRule="auto"/>
        <w:rPr>
          <w:rFonts w:hint="eastAsia" w:asciiTheme="minorEastAsia" w:hAnsiTheme="minorEastAsia" w:eastAsiaTheme="minorEastAsia" w:cstheme="minorEastAsia"/>
          <w:i w:val="0"/>
          <w:iCs w:val="0"/>
          <w:color w:val="0000FF"/>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成交金额：人民币壹佰捌拾壹万捌仟陆佰贰拾肆元叁角玖分（¥1818624.39）</w:t>
      </w:r>
    </w:p>
    <w:p w14:paraId="2B48BE11">
      <w:pPr>
        <w:spacing w:line="360" w:lineRule="auto"/>
        <w:rPr>
          <w:rFonts w:hint="eastAsia" w:asciiTheme="minorEastAsia" w:hAnsiTheme="minorEastAsia" w:eastAsiaTheme="minorEastAsia" w:cstheme="minorEastAsia"/>
          <w:b/>
          <w:bCs/>
          <w:i w:val="0"/>
          <w:iCs w:val="0"/>
          <w:color w:val="auto"/>
          <w:sz w:val="24"/>
          <w:szCs w:val="24"/>
          <w:highlight w:val="none"/>
          <w:lang w:eastAsia="zh-CN"/>
        </w:rPr>
      </w:pPr>
      <w:r>
        <w:rPr>
          <w:rFonts w:hint="eastAsia" w:asciiTheme="minorEastAsia" w:hAnsiTheme="minorEastAsia" w:eastAsiaTheme="minorEastAsia" w:cstheme="minorEastAsia"/>
          <w:b/>
          <w:bCs/>
          <w:i w:val="0"/>
          <w:iCs w:val="0"/>
          <w:color w:val="auto"/>
          <w:sz w:val="24"/>
          <w:szCs w:val="24"/>
          <w:highlight w:val="none"/>
        </w:rPr>
        <w:t>四、主要标的信息</w:t>
      </w:r>
      <w:r>
        <w:rPr>
          <w:rFonts w:hint="eastAsia" w:asciiTheme="minorEastAsia" w:hAnsiTheme="minorEastAsia" w:eastAsiaTheme="minorEastAsia" w:cstheme="minorEastAsia"/>
          <w:b/>
          <w:bCs/>
          <w:i w:val="0"/>
          <w:iCs w:val="0"/>
          <w:color w:val="auto"/>
          <w:sz w:val="24"/>
          <w:szCs w:val="24"/>
          <w:highlight w:val="none"/>
          <w:lang w:eastAsia="zh-CN"/>
        </w:rPr>
        <w:t>：</w:t>
      </w:r>
    </w:p>
    <w:tbl>
      <w:tblPr>
        <w:tblStyle w:val="3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8"/>
      </w:tblGrid>
      <w:tr w14:paraId="66D3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878" w:type="dxa"/>
          </w:tcPr>
          <w:p w14:paraId="51B610F8">
            <w:pPr>
              <w:widowControl w:val="0"/>
              <w:spacing w:line="360" w:lineRule="auto"/>
              <w:jc w:val="center"/>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eastAsia="zh-CN"/>
              </w:rPr>
              <w:t>工程类</w:t>
            </w:r>
          </w:p>
        </w:tc>
      </w:tr>
      <w:tr w14:paraId="7D8C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8878" w:type="dxa"/>
          </w:tcPr>
          <w:p w14:paraId="390BB396">
            <w:pPr>
              <w:widowControl w:val="0"/>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项目名称：天等县天等镇朗明村朗二屯梗雷片甘蔗产业基地配套项目。</w:t>
            </w:r>
          </w:p>
          <w:p w14:paraId="64F65629">
            <w:pPr>
              <w:widowControl w:val="0"/>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 xml:space="preserve">施工范围：天等县天等镇朗明村朗二屯梗雷片甘蔗产业基地配套项目拟新建水利渠道1.747公里，以施工图和工程量清单包含的内容为准。 </w:t>
            </w:r>
          </w:p>
          <w:p w14:paraId="5B39125C">
            <w:pPr>
              <w:widowControl w:val="0"/>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合同履行期限：120日历天。</w:t>
            </w:r>
          </w:p>
          <w:p w14:paraId="67D029F2">
            <w:pPr>
              <w:widowControl w:val="0"/>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质量标准：达到国家竣工验收规范合格标准。</w:t>
            </w:r>
          </w:p>
          <w:p w14:paraId="19B78409">
            <w:pPr>
              <w:widowControl w:val="0"/>
              <w:spacing w:line="360" w:lineRule="auto"/>
              <w:jc w:val="both"/>
              <w:rPr>
                <w:rFonts w:hint="default"/>
                <w:color w:val="auto"/>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项目经理：杨镇宇   执业证书信息：桂245181901706。</w:t>
            </w:r>
          </w:p>
        </w:tc>
      </w:tr>
    </w:tbl>
    <w:p w14:paraId="6F1E6130">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b/>
          <w:bCs/>
          <w:i w:val="0"/>
          <w:iCs w:val="0"/>
          <w:color w:val="auto"/>
          <w:sz w:val="24"/>
          <w:szCs w:val="24"/>
          <w:highlight w:val="none"/>
          <w:lang w:val="en-US" w:eastAsia="zh-CN"/>
        </w:rPr>
        <w:t>五、评审专家名单</w:t>
      </w:r>
      <w:r>
        <w:rPr>
          <w:rFonts w:hint="eastAsia" w:asciiTheme="minorEastAsia" w:hAnsiTheme="minorEastAsia" w:eastAsiaTheme="minorEastAsia" w:cstheme="minorEastAsia"/>
          <w:i w:val="0"/>
          <w:iCs w:val="0"/>
          <w:color w:val="auto"/>
          <w:sz w:val="24"/>
          <w:szCs w:val="24"/>
          <w:highlight w:val="none"/>
          <w:lang w:val="en-US" w:eastAsia="zh-CN"/>
        </w:rPr>
        <w:t>：吕春玲（组长）、胡坚、赵玉清(采购人代表）。</w:t>
      </w:r>
    </w:p>
    <w:p w14:paraId="6DBACDB3">
      <w:p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ajorEastAsia" w:hAnsiTheme="majorEastAsia" w:eastAsiaTheme="majorEastAsia" w:cstheme="majorEastAsia"/>
          <w:b/>
          <w:bCs/>
          <w:i w:val="0"/>
          <w:iCs w:val="0"/>
          <w:color w:val="auto"/>
          <w:sz w:val="24"/>
          <w:szCs w:val="24"/>
          <w:highlight w:val="none"/>
        </w:rPr>
        <w:t>六、代理服务收费标准及金额：</w:t>
      </w:r>
      <w:r>
        <w:rPr>
          <w:rFonts w:hint="eastAsia" w:asciiTheme="minorEastAsia" w:hAnsiTheme="minorEastAsia" w:eastAsiaTheme="minorEastAsia" w:cstheme="minorEastAsia"/>
          <w:i w:val="0"/>
          <w:iCs w:val="0"/>
          <w:color w:val="auto"/>
          <w:sz w:val="24"/>
          <w:szCs w:val="24"/>
          <w:highlight w:val="none"/>
          <w:lang w:val="en-US" w:eastAsia="zh-CN"/>
        </w:rPr>
        <w:t>参照原国家发展计划委员会计价格[2002]1980号《招标代理服务费管理暂行办法》、原发改办价格[2003]857号、原发改价格[2011]534号按标准进行计取，金额：15730.00元。</w:t>
      </w:r>
    </w:p>
    <w:p w14:paraId="347FBB2A">
      <w:pPr>
        <w:spacing w:line="360" w:lineRule="auto"/>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b/>
          <w:bCs/>
          <w:i w:val="0"/>
          <w:iCs w:val="0"/>
          <w:color w:val="auto"/>
          <w:sz w:val="24"/>
          <w:szCs w:val="24"/>
          <w:highlight w:val="none"/>
          <w:lang w:val="en-US" w:eastAsia="zh-CN"/>
        </w:rPr>
        <w:t>七</w:t>
      </w:r>
      <w:r>
        <w:rPr>
          <w:rFonts w:hint="eastAsia" w:asciiTheme="minorEastAsia" w:hAnsiTheme="minorEastAsia" w:eastAsiaTheme="minorEastAsia" w:cstheme="minorEastAsia"/>
          <w:b/>
          <w:bCs/>
          <w:i w:val="0"/>
          <w:iCs w:val="0"/>
          <w:color w:val="auto"/>
          <w:sz w:val="24"/>
          <w:szCs w:val="24"/>
          <w:highlight w:val="none"/>
        </w:rPr>
        <w:t>、公告期限</w:t>
      </w:r>
      <w:r>
        <w:rPr>
          <w:rFonts w:hint="eastAsia" w:asciiTheme="minorEastAsia" w:hAnsiTheme="minorEastAsia" w:eastAsiaTheme="minorEastAsia" w:cstheme="minorEastAsia"/>
          <w:b/>
          <w:bCs/>
          <w:i w:val="0"/>
          <w:iCs w:val="0"/>
          <w:color w:val="auto"/>
          <w:sz w:val="24"/>
          <w:szCs w:val="24"/>
          <w:highlight w:val="none"/>
          <w:lang w:eastAsia="zh-CN"/>
        </w:rPr>
        <w:t>：</w:t>
      </w:r>
      <w:r>
        <w:rPr>
          <w:rFonts w:hint="eastAsia" w:asciiTheme="minorEastAsia" w:hAnsiTheme="minorEastAsia" w:eastAsiaTheme="minorEastAsia" w:cstheme="minorEastAsia"/>
          <w:i w:val="0"/>
          <w:iCs w:val="0"/>
          <w:color w:val="auto"/>
          <w:kern w:val="0"/>
          <w:sz w:val="24"/>
          <w:szCs w:val="24"/>
          <w:highlight w:val="none"/>
        </w:rPr>
        <w:t>自本公告发布之日起1个工作日。</w:t>
      </w:r>
    </w:p>
    <w:p w14:paraId="33DAB0DF">
      <w:pPr>
        <w:spacing w:line="360" w:lineRule="auto"/>
        <w:rPr>
          <w:rFonts w:hint="default"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b/>
          <w:bCs/>
          <w:i w:val="0"/>
          <w:iCs w:val="0"/>
          <w:color w:val="auto"/>
          <w:sz w:val="24"/>
          <w:szCs w:val="24"/>
          <w:highlight w:val="none"/>
          <w:lang w:val="en-US" w:eastAsia="zh-CN"/>
        </w:rPr>
        <w:t>八</w:t>
      </w:r>
      <w:r>
        <w:rPr>
          <w:rFonts w:hint="eastAsia" w:asciiTheme="minorEastAsia" w:hAnsiTheme="minorEastAsia" w:eastAsiaTheme="minorEastAsia" w:cstheme="minorEastAsia"/>
          <w:b/>
          <w:bCs/>
          <w:i w:val="0"/>
          <w:iCs w:val="0"/>
          <w:color w:val="auto"/>
          <w:sz w:val="24"/>
          <w:szCs w:val="24"/>
          <w:highlight w:val="none"/>
        </w:rPr>
        <w:t>、其他补充事宜</w:t>
      </w:r>
      <w:r>
        <w:rPr>
          <w:rFonts w:hint="eastAsia" w:asciiTheme="minorEastAsia" w:hAnsiTheme="minorEastAsia" w:eastAsiaTheme="minorEastAsia" w:cstheme="minorEastAsia"/>
          <w:b/>
          <w:bCs/>
          <w:i w:val="0"/>
          <w:iCs w:val="0"/>
          <w:color w:val="auto"/>
          <w:sz w:val="24"/>
          <w:szCs w:val="24"/>
          <w:highlight w:val="none"/>
          <w:lang w:eastAsia="zh-CN"/>
        </w:rPr>
        <w:t>：</w:t>
      </w:r>
      <w:r>
        <w:rPr>
          <w:rFonts w:hint="eastAsia" w:ascii="宋体" w:hAnsi="宋体" w:eastAsia="宋体" w:cs="宋体"/>
          <w:b w:val="0"/>
          <w:bCs w:val="0"/>
          <w:color w:val="auto"/>
          <w:sz w:val="24"/>
          <w:szCs w:val="24"/>
          <w:highlight w:val="none"/>
          <w:u w:val="none"/>
          <w:lang w:val="en-US" w:eastAsia="zh-CN" w:bidi="ar-SA"/>
        </w:rPr>
        <w:t>1.</w:t>
      </w:r>
      <w:r>
        <w:rPr>
          <w:rFonts w:hint="eastAsia" w:asciiTheme="minorEastAsia" w:hAnsiTheme="minorEastAsia" w:eastAsiaTheme="minorEastAsia" w:cstheme="minorEastAsia"/>
          <w:i w:val="0"/>
          <w:iCs w:val="0"/>
          <w:color w:val="auto"/>
          <w:kern w:val="0"/>
          <w:sz w:val="24"/>
          <w:szCs w:val="24"/>
          <w:highlight w:val="none"/>
          <w:lang w:val="en-US" w:eastAsia="zh-CN"/>
        </w:rPr>
        <w:t>成交供应商评审</w:t>
      </w:r>
      <w:r>
        <w:rPr>
          <w:rFonts w:hint="eastAsia" w:asciiTheme="minorEastAsia" w:hAnsiTheme="minorEastAsia" w:eastAsiaTheme="minorEastAsia" w:cstheme="minorEastAsia"/>
          <w:i w:val="0"/>
          <w:iCs w:val="0"/>
          <w:color w:val="auto"/>
          <w:sz w:val="24"/>
          <w:szCs w:val="24"/>
          <w:highlight w:val="none"/>
          <w:lang w:val="en-US" w:eastAsia="zh-CN"/>
        </w:rPr>
        <w:t>得分：84.33分。</w:t>
      </w:r>
    </w:p>
    <w:p w14:paraId="1BF3D956">
      <w:pPr>
        <w:spacing w:line="360" w:lineRule="auto"/>
        <w:rPr>
          <w:rFonts w:hint="eastAsia" w:ascii="宋体" w:hAnsi="宋体" w:eastAsia="宋体" w:cs="宋体"/>
          <w:b w:val="0"/>
          <w:bCs w:val="0"/>
          <w:color w:val="auto"/>
          <w:sz w:val="24"/>
          <w:szCs w:val="24"/>
          <w:highlight w:val="none"/>
          <w:u w:val="none"/>
          <w:lang w:val="en-US" w:eastAsia="zh-CN" w:bidi="ar-SA"/>
        </w:rPr>
      </w:pPr>
      <w:r>
        <w:rPr>
          <w:rFonts w:hint="eastAsia" w:ascii="宋体" w:hAnsi="宋体" w:eastAsia="宋体" w:cs="宋体"/>
          <w:b w:val="0"/>
          <w:bCs w:val="0"/>
          <w:color w:val="auto"/>
          <w:sz w:val="24"/>
          <w:szCs w:val="24"/>
          <w:highlight w:val="none"/>
          <w:u w:val="none"/>
          <w:lang w:val="en-US" w:eastAsia="zh-CN" w:bidi="ar-SA"/>
        </w:rPr>
        <w:t>2.本公告同时在中国政府采购网和广西壮族自治区政府采购网上发布。</w:t>
      </w:r>
    </w:p>
    <w:p w14:paraId="5111570D">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i w:val="0"/>
          <w:iCs w:val="0"/>
          <w:color w:val="auto"/>
          <w:kern w:val="0"/>
          <w:sz w:val="24"/>
          <w:szCs w:val="24"/>
          <w:highlight w:val="none"/>
          <w:lang w:eastAsia="zh-CN"/>
        </w:rPr>
      </w:pPr>
      <w:r>
        <w:rPr>
          <w:rFonts w:hint="eastAsia" w:asciiTheme="minorEastAsia" w:hAnsiTheme="minorEastAsia" w:eastAsiaTheme="minorEastAsia" w:cstheme="minorEastAsia"/>
          <w:b/>
          <w:bCs/>
          <w:i w:val="0"/>
          <w:iCs w:val="0"/>
          <w:color w:val="auto"/>
          <w:kern w:val="0"/>
          <w:sz w:val="24"/>
          <w:szCs w:val="24"/>
          <w:highlight w:val="none"/>
          <w:lang w:val="en-US" w:eastAsia="zh-CN"/>
        </w:rPr>
        <w:t>九</w:t>
      </w:r>
      <w:r>
        <w:rPr>
          <w:rFonts w:hint="eastAsia" w:asciiTheme="minorEastAsia" w:hAnsiTheme="minorEastAsia" w:eastAsiaTheme="minorEastAsia" w:cstheme="minorEastAsia"/>
          <w:b/>
          <w:bCs/>
          <w:i w:val="0"/>
          <w:iCs w:val="0"/>
          <w:color w:val="auto"/>
          <w:kern w:val="0"/>
          <w:sz w:val="24"/>
          <w:szCs w:val="24"/>
          <w:highlight w:val="none"/>
        </w:rPr>
        <w:t>、凡对本次公告内容提出询问，请按以下方式联系</w:t>
      </w:r>
      <w:r>
        <w:rPr>
          <w:rFonts w:hint="eastAsia" w:asciiTheme="minorEastAsia" w:hAnsiTheme="minorEastAsia" w:eastAsiaTheme="minorEastAsia" w:cstheme="minorEastAsia"/>
          <w:b/>
          <w:bCs/>
          <w:i w:val="0"/>
          <w:iCs w:val="0"/>
          <w:color w:val="auto"/>
          <w:kern w:val="0"/>
          <w:sz w:val="24"/>
          <w:szCs w:val="24"/>
          <w:highlight w:val="none"/>
          <w:lang w:eastAsia="zh-CN"/>
        </w:rPr>
        <w:t>：</w:t>
      </w:r>
    </w:p>
    <w:p w14:paraId="64853A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1.采购人信息</w:t>
      </w:r>
    </w:p>
    <w:p w14:paraId="60D2A8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名   称：天等县民族宗教服务中心　　　　</w:t>
      </w:r>
    </w:p>
    <w:p w14:paraId="410278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址：天等县天等镇天桃路76号</w:t>
      </w:r>
    </w:p>
    <w:p w14:paraId="0885B9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联系人及电话：赵梅先    0771-3530558 </w:t>
      </w:r>
    </w:p>
    <w:p w14:paraId="12BDA9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2.采购代理机构信息</w:t>
      </w:r>
    </w:p>
    <w:p w14:paraId="443355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名    称：广西崇善项目咨询有限公司</w:t>
      </w:r>
    </w:p>
    <w:p w14:paraId="4B8068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址：崇左市江州区城南区新城路西段南侧（阳光名邸）第C4栋103号</w:t>
      </w:r>
    </w:p>
    <w:p w14:paraId="1B887A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联系人及电话：庞青青   0771-5945100 　</w:t>
      </w:r>
    </w:p>
    <w:p w14:paraId="2E57AF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3.项目联系方式</w:t>
      </w:r>
    </w:p>
    <w:p w14:paraId="55576E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项目联系人：庞青青   0771-5945100 　</w:t>
      </w:r>
    </w:p>
    <w:p w14:paraId="0ECBD2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2" w:name="_Toc17345"/>
      <w:r>
        <w:rPr>
          <w:rFonts w:hint="eastAsia" w:asciiTheme="minorEastAsia" w:hAnsiTheme="minorEastAsia" w:eastAsiaTheme="minorEastAsia" w:cstheme="minorEastAsia"/>
          <w:color w:val="auto"/>
          <w:sz w:val="24"/>
          <w:szCs w:val="24"/>
          <w:highlight w:val="none"/>
          <w:lang w:val="en-US" w:eastAsia="zh-CN"/>
        </w:rPr>
        <w:t>4.监督单位：</w:t>
      </w:r>
      <w:bookmarkEnd w:id="2"/>
      <w:r>
        <w:rPr>
          <w:rFonts w:hint="eastAsia" w:asciiTheme="minorEastAsia" w:hAnsiTheme="minorEastAsia" w:eastAsiaTheme="minorEastAsia" w:cstheme="minorEastAsia"/>
          <w:color w:val="auto"/>
          <w:sz w:val="24"/>
          <w:szCs w:val="24"/>
          <w:highlight w:val="none"/>
          <w:lang w:val="en-US" w:eastAsia="zh-CN"/>
        </w:rPr>
        <w:t>天等县财政局政府采购监督管理股  电话：0771-3530890</w:t>
      </w:r>
    </w:p>
    <w:p w14:paraId="4D6A226B">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i w:val="0"/>
          <w:iCs w:val="0"/>
          <w:color w:val="auto"/>
          <w:kern w:val="0"/>
          <w:sz w:val="24"/>
          <w:szCs w:val="24"/>
          <w:highlight w:val="none"/>
          <w:lang w:val="en-US" w:eastAsia="zh-CN"/>
        </w:rPr>
      </w:pPr>
      <w:r>
        <w:rPr>
          <w:rFonts w:hint="eastAsia" w:asciiTheme="minorEastAsia" w:hAnsiTheme="minorEastAsia" w:eastAsiaTheme="minorEastAsia" w:cstheme="minorEastAsia"/>
          <w:b/>
          <w:bCs/>
          <w:i w:val="0"/>
          <w:iCs w:val="0"/>
          <w:color w:val="auto"/>
          <w:kern w:val="0"/>
          <w:sz w:val="24"/>
          <w:szCs w:val="24"/>
          <w:highlight w:val="none"/>
          <w:lang w:val="en-US" w:eastAsia="zh-CN"/>
        </w:rPr>
        <w:t>十、附件</w:t>
      </w:r>
    </w:p>
    <w:p w14:paraId="4AFE0E47">
      <w:pPr>
        <w:spacing w:line="360" w:lineRule="auto"/>
        <w:ind w:firstLine="480" w:firstLineChars="200"/>
        <w:rPr>
          <w:rFonts w:hint="eastAsia" w:asciiTheme="majorEastAsia" w:hAnsiTheme="majorEastAsia" w:eastAsiaTheme="majorEastAsia" w:cstheme="majorEastAsia"/>
          <w:i w:val="0"/>
          <w:iCs w:val="0"/>
          <w:color w:val="auto"/>
          <w:kern w:val="0"/>
          <w:sz w:val="24"/>
          <w:szCs w:val="24"/>
        </w:rPr>
      </w:pPr>
      <w:r>
        <w:rPr>
          <w:rFonts w:hint="eastAsia" w:asciiTheme="majorEastAsia" w:hAnsiTheme="majorEastAsia" w:eastAsiaTheme="majorEastAsia" w:cstheme="majorEastAsia"/>
          <w:i w:val="0"/>
          <w:iCs w:val="0"/>
          <w:color w:val="auto"/>
          <w:kern w:val="0"/>
          <w:sz w:val="24"/>
          <w:szCs w:val="24"/>
        </w:rPr>
        <w:t>1.采购文件</w:t>
      </w:r>
    </w:p>
    <w:p w14:paraId="1FFA9AE4">
      <w:pPr>
        <w:pStyle w:val="6"/>
        <w:ind w:left="0" w:leftChars="0" w:firstLine="480" w:firstLineChars="200"/>
        <w:rPr>
          <w:rFonts w:hint="default" w:asciiTheme="majorEastAsia" w:hAnsiTheme="majorEastAsia" w:eastAsiaTheme="majorEastAsia" w:cstheme="majorEastAsia"/>
          <w:b w:val="0"/>
          <w:i w:val="0"/>
          <w:iCs w:val="0"/>
          <w:color w:val="auto"/>
          <w:kern w:val="0"/>
          <w:sz w:val="24"/>
          <w:szCs w:val="24"/>
          <w:lang w:val="en-US" w:eastAsia="zh-CN" w:bidi="ar-SA"/>
        </w:rPr>
      </w:pPr>
      <w:r>
        <w:rPr>
          <w:rFonts w:hint="eastAsia" w:asciiTheme="majorEastAsia" w:hAnsiTheme="majorEastAsia" w:eastAsiaTheme="majorEastAsia" w:cstheme="majorEastAsia"/>
          <w:b w:val="0"/>
          <w:i w:val="0"/>
          <w:iCs w:val="0"/>
          <w:color w:val="auto"/>
          <w:kern w:val="0"/>
          <w:sz w:val="24"/>
          <w:szCs w:val="24"/>
          <w:lang w:val="en-US" w:eastAsia="zh-CN" w:bidi="ar-SA"/>
        </w:rPr>
        <w:t>2.中小企业声明函</w:t>
      </w:r>
    </w:p>
    <w:p w14:paraId="6955FB79">
      <w:pPr>
        <w:pStyle w:val="46"/>
        <w:rPr>
          <w:rFonts w:hint="default" w:eastAsiaTheme="majorEastAsia"/>
          <w:color w:val="auto"/>
          <w:lang w:val="en-US" w:eastAsia="zh-CN"/>
        </w:rPr>
      </w:pPr>
      <w:r>
        <w:rPr>
          <w:rFonts w:hint="eastAsia" w:asciiTheme="majorEastAsia" w:hAnsiTheme="majorEastAsia" w:eastAsiaTheme="majorEastAsia" w:cstheme="majorEastAsia"/>
          <w:i w:val="0"/>
          <w:iCs w:val="0"/>
          <w:color w:val="auto"/>
          <w:kern w:val="0"/>
          <w:sz w:val="24"/>
          <w:szCs w:val="24"/>
          <w:lang w:val="en-US" w:eastAsia="zh-CN"/>
        </w:rPr>
        <w:t xml:space="preserve">   </w:t>
      </w:r>
    </w:p>
    <w:p w14:paraId="1CB846AE">
      <w:pPr>
        <w:keepNext w:val="0"/>
        <w:keepLines w:val="0"/>
        <w:pageBreakBefore w:val="0"/>
        <w:widowControl w:val="0"/>
        <w:kinsoku/>
        <w:wordWrap/>
        <w:overflowPunct/>
        <w:topLinePunct w:val="0"/>
        <w:autoSpaceDE/>
        <w:autoSpaceDN/>
        <w:bidi w:val="0"/>
        <w:adjustRightInd/>
        <w:snapToGrid/>
        <w:spacing w:line="336" w:lineRule="auto"/>
        <w:ind w:firstLine="240" w:firstLineChars="100"/>
        <w:textAlignment w:val="auto"/>
        <w:outlineLvl w:val="9"/>
        <w:rPr>
          <w:rFonts w:hint="eastAsia" w:asciiTheme="minorEastAsia" w:hAnsiTheme="minorEastAsia" w:eastAsiaTheme="minorEastAsia" w:cstheme="minorEastAsia"/>
          <w:i w:val="0"/>
          <w:iCs w:val="0"/>
          <w:color w:val="auto"/>
          <w:kern w:val="0"/>
          <w:sz w:val="24"/>
          <w:szCs w:val="24"/>
          <w:highlight w:val="none"/>
          <w:lang w:val="en-US" w:eastAsia="zh-CN" w:bidi="ar-SA"/>
        </w:rPr>
      </w:pPr>
    </w:p>
    <w:p w14:paraId="4F944D51">
      <w:pPr>
        <w:keepNext w:val="0"/>
        <w:keepLines w:val="0"/>
        <w:pageBreakBefore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i w:val="0"/>
          <w:iCs w:val="0"/>
          <w:color w:val="auto"/>
          <w:kern w:val="0"/>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lang w:val="en-US" w:eastAsia="zh-CN" w:bidi="ar-SA"/>
        </w:rPr>
        <w:t xml:space="preserve">                               采购单位：天等县民族宗教服务中心　　   </w:t>
      </w:r>
    </w:p>
    <w:p w14:paraId="713E775E">
      <w:pPr>
        <w:keepNext w:val="0"/>
        <w:keepLines w:val="0"/>
        <w:pageBreakBefore w:val="0"/>
        <w:widowControl w:val="0"/>
        <w:kinsoku/>
        <w:wordWrap/>
        <w:overflowPunct/>
        <w:topLinePunct w:val="0"/>
        <w:autoSpaceDE/>
        <w:autoSpaceDN/>
        <w:bidi w:val="0"/>
        <w:adjustRightInd/>
        <w:snapToGrid/>
        <w:spacing w:line="336" w:lineRule="auto"/>
        <w:ind w:firstLine="240" w:firstLineChars="100"/>
        <w:textAlignment w:val="auto"/>
        <w:outlineLvl w:val="9"/>
        <w:rPr>
          <w:rFonts w:hint="eastAsia" w:asciiTheme="minorEastAsia" w:hAnsiTheme="minorEastAsia" w:eastAsiaTheme="minorEastAsia" w:cstheme="minorEastAsia"/>
          <w:i w:val="0"/>
          <w:iCs w:val="0"/>
          <w:color w:val="auto"/>
          <w:kern w:val="0"/>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lang w:val="en-US" w:eastAsia="zh-CN" w:bidi="ar-SA"/>
        </w:rPr>
        <w:t xml:space="preserve">                           采购代理机构：广西崇善项目咨询有限公司</w:t>
      </w:r>
    </w:p>
    <w:p w14:paraId="4F01852D">
      <w:pPr>
        <w:keepNext w:val="0"/>
        <w:keepLines w:val="0"/>
        <w:pageBreakBefore w:val="0"/>
        <w:widowControl w:val="0"/>
        <w:kinsoku/>
        <w:wordWrap/>
        <w:overflowPunct/>
        <w:topLinePunct w:val="0"/>
        <w:autoSpaceDE/>
        <w:autoSpaceDN/>
        <w:bidi w:val="0"/>
        <w:adjustRightInd/>
        <w:snapToGrid/>
        <w:spacing w:line="336" w:lineRule="auto"/>
        <w:ind w:firstLine="240" w:firstLineChars="100"/>
        <w:textAlignment w:val="auto"/>
        <w:outlineLvl w:val="9"/>
        <w:rPr>
          <w:rFonts w:hint="eastAsia" w:asciiTheme="minorEastAsia" w:hAnsiTheme="minorEastAsia" w:eastAsiaTheme="minorEastAsia" w:cstheme="minorEastAsia"/>
          <w:i w:val="0"/>
          <w:iCs w:val="0"/>
          <w:color w:val="auto"/>
          <w:kern w:val="0"/>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lang w:val="en-US" w:eastAsia="zh-CN" w:bidi="ar-SA"/>
        </w:rPr>
        <w:t xml:space="preserve">                               日期：2025年4月15日</w:t>
      </w:r>
      <w:bookmarkEnd w:id="0"/>
      <w:bookmarkEnd w:id="1"/>
    </w:p>
    <w:p w14:paraId="3E5E9A0F">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i w:val="0"/>
          <w:iCs w:val="0"/>
          <w:color w:val="auto"/>
          <w:kern w:val="0"/>
          <w:sz w:val="24"/>
          <w:szCs w:val="24"/>
          <w:highlight w:val="none"/>
          <w:lang w:val="en-US" w:eastAsia="zh-CN" w:bidi="ar-SA"/>
        </w:rPr>
      </w:pPr>
    </w:p>
    <w:sectPr>
      <w:footerReference r:id="rId3" w:type="default"/>
      <w:pgSz w:w="11906" w:h="16838"/>
      <w:pgMar w:top="1154" w:right="1486" w:bottom="598" w:left="1400" w:header="851" w:footer="992" w:gutter="0"/>
      <w:cols w:equalWidth="0" w:num="1">
        <w:col w:w="9877"/>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B45AB">
    <w:pPr>
      <w:pStyle w:val="21"/>
      <w:snapToGrid w:val="0"/>
      <w:spacing w:after="160"/>
      <w:jc w:val="left"/>
      <w:rPr>
        <w:rFonts w:hAnsi="宋体"/>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240665"/>
              <wp:effectExtent l="0" t="0" r="0" b="0"/>
              <wp:wrapNone/>
              <wp:docPr id="3" name="文本框 1"/>
              <wp:cNvGraphicFramePr/>
              <a:graphic xmlns:a="http://schemas.openxmlformats.org/drawingml/2006/main">
                <a:graphicData uri="http://schemas.microsoft.com/office/word/2010/wordprocessingShape">
                  <wps:wsp>
                    <wps:cNvSpPr txBox="1"/>
                    <wps:spPr>
                      <a:xfrm>
                        <a:off x="0" y="0"/>
                        <a:ext cx="58420" cy="241300"/>
                      </a:xfrm>
                      <a:prstGeom prst="rect">
                        <a:avLst/>
                      </a:prstGeom>
                      <a:noFill/>
                      <a:ln w="6350" cap="flat">
                        <a:noFill/>
                      </a:ln>
                      <a:effectLst/>
                    </wps:spPr>
                    <wps:txbx>
                      <w:txbxContent>
                        <w:p w14:paraId="7B518647">
                          <w:pPr>
                            <w:snapToGrid w:val="0"/>
                            <w:spacing w:after="160"/>
                            <w:rPr>
                              <w:rFonts w:hAnsi="宋体"/>
                              <w:sz w:val="18"/>
                              <w:szCs w:val="18"/>
                            </w:rPr>
                          </w:pPr>
                          <w:r>
                            <w:rPr>
                              <w:rFonts w:hAnsi="宋体"/>
                            </w:rPr>
                            <w:fldChar w:fldCharType="begin"/>
                          </w:r>
                          <w:r>
                            <w:instrText xml:space="preserve">PAGE  \* MERGEFORMAT</w:instrText>
                          </w:r>
                          <w:r>
                            <w:fldChar w:fldCharType="separate"/>
                          </w:r>
                          <w:r>
                            <w:rPr>
                              <w:rFonts w:hAnsi="宋体"/>
                              <w:sz w:val="18"/>
                              <w:szCs w:val="18"/>
                            </w:rPr>
                            <w:t>2</w:t>
                          </w:r>
                          <w:r>
                            <w:rPr>
                              <w:rFonts w:hAnsi="宋体"/>
                              <w:sz w:val="18"/>
                              <w:szCs w:val="18"/>
                            </w:rPr>
                            <w:fldChar w:fldCharType="end"/>
                          </w:r>
                        </w:p>
                      </w:txbxContent>
                    </wps:txbx>
                    <wps:bodyPr rot="0" spcFirstLastPara="0" vertOverflow="overflow" horzOverflow="overflow" vert="horz" wrap="none" lIns="0" tIns="0" rIns="0" bIns="0" numCol="1" spcCol="0" rtlCol="0" fromWordArt="0" anchor="t" anchorCtr="0" forceAA="0" compatLnSpc="0">
                      <a:spAutoFit/>
                    </wps:bodyPr>
                  </wps:wsp>
                </a:graphicData>
              </a:graphic>
            </wp:anchor>
          </w:drawing>
        </mc:Choice>
        <mc:Fallback>
          <w:pict>
            <v:shape id="文本框 1" o:spid="_x0000_s1026" o:spt="202" type="#_x0000_t202" style="position:absolute;left:0pt;margin-top:0pt;height:18.95pt;width:4.55pt;mso-position-horizontal:center;mso-position-horizontal-relative:margin;mso-wrap-style:none;z-index:251659264;mso-width-relative:page;mso-height-relative:page;" filled="f" stroked="f" coordsize="21600,21600" o:gfxdata="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I/jstEAAAACAQAADwAAAAAAAAABACAAAAAiAAAAZHJzL2Rvd25yZXYu&#10;eG1sUEsBAhQAFAAAAAgAh07iQJhG8tU7AgAAawQAAA4AAAAAAAAAAQAgAAAAIAEAAGRycy9lMm9E&#10;b2MueG1sUEsFBgAAAAAGAAYAWQEAAM0FAAAAAA==&#10;">
              <v:fill on="f" focussize="0,0"/>
              <v:stroke on="f" weight="0.5pt"/>
              <v:imagedata o:title=""/>
              <o:lock v:ext="edit" aspectratio="f"/>
              <v:textbox inset="0mm,0mm,0mm,0mm" style="mso-fit-shape-to-text:t;">
                <w:txbxContent>
                  <w:p w14:paraId="7B518647">
                    <w:pPr>
                      <w:snapToGrid w:val="0"/>
                      <w:spacing w:after="160"/>
                      <w:rPr>
                        <w:rFonts w:hAnsi="宋体"/>
                        <w:sz w:val="18"/>
                        <w:szCs w:val="18"/>
                      </w:rPr>
                    </w:pPr>
                    <w:r>
                      <w:rPr>
                        <w:rFonts w:hAnsi="宋体"/>
                      </w:rPr>
                      <w:fldChar w:fldCharType="begin"/>
                    </w:r>
                    <w:r>
                      <w:instrText xml:space="preserve">PAGE  \* MERGEFORMAT</w:instrText>
                    </w:r>
                    <w:r>
                      <w:fldChar w:fldCharType="separate"/>
                    </w:r>
                    <w:r>
                      <w:rPr>
                        <w:rFonts w:hAnsi="宋体"/>
                        <w:sz w:val="18"/>
                        <w:szCs w:val="18"/>
                      </w:rPr>
                      <w:t>2</w:t>
                    </w:r>
                    <w:r>
                      <w:rPr>
                        <w:rFonts w:hAnsi="宋体"/>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1" w:cryptProviderType="rsaFull" w:cryptAlgorithmClass="hash" w:cryptAlgorithmType="typeAny" w:cryptAlgorithmSid="4" w:cryptSpinCount="0" w:hash="7uFC+VOWTZa+UPifLiCEmbLb3fg=" w:salt="Ar536cASKoAc4tXidZj/lg=="/>
  <w:defaultTabStop w:val="420"/>
  <w:displayHorizontalDrawingGridEvery w:val="1"/>
  <w:displayVerticalDrawingGridEvery w:val="1"/>
  <w:noPunctuationKerning w:val="1"/>
  <w:characterSpacingControl w:val="compressPunctuation"/>
  <w:hdrShapeDefaults>
    <o:shapelayout v:ext="edit">
      <o:idmap v:ext="edit" data="1"/>
    </o:shapelayout>
  </w:hdrShapeDefaults>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iM2Q4ODdkZTU3MjQ0NWI4Y2JlNjJhNWEwMWU1NGYifQ=="/>
  </w:docVars>
  <w:rsids>
    <w:rsidRoot w:val="00A76B41"/>
    <w:rsid w:val="005472CC"/>
    <w:rsid w:val="005A7D62"/>
    <w:rsid w:val="009B2631"/>
    <w:rsid w:val="00A76B41"/>
    <w:rsid w:val="00B46918"/>
    <w:rsid w:val="00B718FB"/>
    <w:rsid w:val="00BA451D"/>
    <w:rsid w:val="00FA12B7"/>
    <w:rsid w:val="0197085F"/>
    <w:rsid w:val="020E69F3"/>
    <w:rsid w:val="02C939D3"/>
    <w:rsid w:val="03412321"/>
    <w:rsid w:val="045B2529"/>
    <w:rsid w:val="046D2918"/>
    <w:rsid w:val="047C3F44"/>
    <w:rsid w:val="04B77ABB"/>
    <w:rsid w:val="04FA3D1E"/>
    <w:rsid w:val="051A0D14"/>
    <w:rsid w:val="05562A2F"/>
    <w:rsid w:val="05745EE8"/>
    <w:rsid w:val="05CF793B"/>
    <w:rsid w:val="05D26727"/>
    <w:rsid w:val="063B076D"/>
    <w:rsid w:val="06616D34"/>
    <w:rsid w:val="066F7B01"/>
    <w:rsid w:val="07966D78"/>
    <w:rsid w:val="07DA7459"/>
    <w:rsid w:val="07F239B4"/>
    <w:rsid w:val="080E6381"/>
    <w:rsid w:val="083E16CE"/>
    <w:rsid w:val="08A2729E"/>
    <w:rsid w:val="08E566B9"/>
    <w:rsid w:val="099A7323"/>
    <w:rsid w:val="0A5D50CD"/>
    <w:rsid w:val="0A8E464B"/>
    <w:rsid w:val="0AD15196"/>
    <w:rsid w:val="0AEB73DB"/>
    <w:rsid w:val="0B326AA7"/>
    <w:rsid w:val="0B513C34"/>
    <w:rsid w:val="0B521344"/>
    <w:rsid w:val="0B532BB1"/>
    <w:rsid w:val="0B6215B1"/>
    <w:rsid w:val="0B7B0792"/>
    <w:rsid w:val="0B7F7C58"/>
    <w:rsid w:val="0BCC482C"/>
    <w:rsid w:val="0C2A2FCA"/>
    <w:rsid w:val="0C317150"/>
    <w:rsid w:val="0C643391"/>
    <w:rsid w:val="0CF1398F"/>
    <w:rsid w:val="0D444B80"/>
    <w:rsid w:val="0D754BBF"/>
    <w:rsid w:val="0E0D6E85"/>
    <w:rsid w:val="0E1037BB"/>
    <w:rsid w:val="0E46416D"/>
    <w:rsid w:val="0E8F73B2"/>
    <w:rsid w:val="0E937E65"/>
    <w:rsid w:val="0EA855E3"/>
    <w:rsid w:val="0F0C3197"/>
    <w:rsid w:val="0F5217FE"/>
    <w:rsid w:val="0FDF5034"/>
    <w:rsid w:val="0FE34D25"/>
    <w:rsid w:val="10093A9D"/>
    <w:rsid w:val="10855448"/>
    <w:rsid w:val="10A336A6"/>
    <w:rsid w:val="112D2517"/>
    <w:rsid w:val="11707DA9"/>
    <w:rsid w:val="118B6A83"/>
    <w:rsid w:val="11C17A90"/>
    <w:rsid w:val="123C25DA"/>
    <w:rsid w:val="124A0097"/>
    <w:rsid w:val="1253014A"/>
    <w:rsid w:val="125F10C0"/>
    <w:rsid w:val="12BC449A"/>
    <w:rsid w:val="12C02EFB"/>
    <w:rsid w:val="131F4C4F"/>
    <w:rsid w:val="134602BC"/>
    <w:rsid w:val="137D464E"/>
    <w:rsid w:val="138118D1"/>
    <w:rsid w:val="13D6674E"/>
    <w:rsid w:val="141111D3"/>
    <w:rsid w:val="142B2BA2"/>
    <w:rsid w:val="146E7ECF"/>
    <w:rsid w:val="1487552F"/>
    <w:rsid w:val="14F27344"/>
    <w:rsid w:val="151B02ED"/>
    <w:rsid w:val="15580E96"/>
    <w:rsid w:val="158E3A17"/>
    <w:rsid w:val="15926D1A"/>
    <w:rsid w:val="15F836BD"/>
    <w:rsid w:val="16032714"/>
    <w:rsid w:val="16105F47"/>
    <w:rsid w:val="163C4C77"/>
    <w:rsid w:val="16A50027"/>
    <w:rsid w:val="170079B2"/>
    <w:rsid w:val="17234876"/>
    <w:rsid w:val="172C352F"/>
    <w:rsid w:val="17510C30"/>
    <w:rsid w:val="17C665CB"/>
    <w:rsid w:val="17D8514C"/>
    <w:rsid w:val="18107DD8"/>
    <w:rsid w:val="183068B4"/>
    <w:rsid w:val="187F3E5C"/>
    <w:rsid w:val="190A58BA"/>
    <w:rsid w:val="192B0748"/>
    <w:rsid w:val="1962270A"/>
    <w:rsid w:val="19B150A8"/>
    <w:rsid w:val="19E33973"/>
    <w:rsid w:val="19E53676"/>
    <w:rsid w:val="19E76ECA"/>
    <w:rsid w:val="1A0C3AD5"/>
    <w:rsid w:val="1A646B08"/>
    <w:rsid w:val="1AAB0724"/>
    <w:rsid w:val="1AEC1BFB"/>
    <w:rsid w:val="1BA114CA"/>
    <w:rsid w:val="1BF712F4"/>
    <w:rsid w:val="1C19042F"/>
    <w:rsid w:val="1C856220"/>
    <w:rsid w:val="1C99662C"/>
    <w:rsid w:val="1D48702D"/>
    <w:rsid w:val="1D5F77B4"/>
    <w:rsid w:val="1DC262E4"/>
    <w:rsid w:val="1EA15035"/>
    <w:rsid w:val="1EAA2CB1"/>
    <w:rsid w:val="1EB7407E"/>
    <w:rsid w:val="1F073C5F"/>
    <w:rsid w:val="1FF26D7A"/>
    <w:rsid w:val="204E6908"/>
    <w:rsid w:val="20A27815"/>
    <w:rsid w:val="20DD33BA"/>
    <w:rsid w:val="214931F1"/>
    <w:rsid w:val="215F521B"/>
    <w:rsid w:val="21983295"/>
    <w:rsid w:val="21A746A0"/>
    <w:rsid w:val="2237609D"/>
    <w:rsid w:val="22516A83"/>
    <w:rsid w:val="22C1532E"/>
    <w:rsid w:val="23415BF2"/>
    <w:rsid w:val="23492A98"/>
    <w:rsid w:val="238910E7"/>
    <w:rsid w:val="23F364BF"/>
    <w:rsid w:val="23F4334A"/>
    <w:rsid w:val="24282A58"/>
    <w:rsid w:val="24A438C3"/>
    <w:rsid w:val="24A944FA"/>
    <w:rsid w:val="24E902DE"/>
    <w:rsid w:val="24EE0AFB"/>
    <w:rsid w:val="24F42ED8"/>
    <w:rsid w:val="25396B3D"/>
    <w:rsid w:val="253E1390"/>
    <w:rsid w:val="256513E6"/>
    <w:rsid w:val="25BD151C"/>
    <w:rsid w:val="2619712E"/>
    <w:rsid w:val="265B7FFA"/>
    <w:rsid w:val="26765186"/>
    <w:rsid w:val="270F5DA7"/>
    <w:rsid w:val="2782294A"/>
    <w:rsid w:val="27B20E3E"/>
    <w:rsid w:val="2855116B"/>
    <w:rsid w:val="28E1568B"/>
    <w:rsid w:val="296642AE"/>
    <w:rsid w:val="2984482A"/>
    <w:rsid w:val="2A7D127A"/>
    <w:rsid w:val="2A8212ED"/>
    <w:rsid w:val="2AE06085"/>
    <w:rsid w:val="2B500585"/>
    <w:rsid w:val="2B6C4D7B"/>
    <w:rsid w:val="2BEA0084"/>
    <w:rsid w:val="2C51732D"/>
    <w:rsid w:val="2C54671C"/>
    <w:rsid w:val="2C9D5C03"/>
    <w:rsid w:val="2CB110B1"/>
    <w:rsid w:val="2CD944E4"/>
    <w:rsid w:val="2D403FD7"/>
    <w:rsid w:val="2D5A09FF"/>
    <w:rsid w:val="2D5D0BD5"/>
    <w:rsid w:val="2D8A43D9"/>
    <w:rsid w:val="2D8B59E0"/>
    <w:rsid w:val="2D8B5C93"/>
    <w:rsid w:val="2DC71EBE"/>
    <w:rsid w:val="2DE12F1B"/>
    <w:rsid w:val="2E894691"/>
    <w:rsid w:val="2E9D4519"/>
    <w:rsid w:val="2ECC4926"/>
    <w:rsid w:val="2F88095A"/>
    <w:rsid w:val="2FCC2A87"/>
    <w:rsid w:val="30303300"/>
    <w:rsid w:val="309A4933"/>
    <w:rsid w:val="30AD43F6"/>
    <w:rsid w:val="30BC6FA0"/>
    <w:rsid w:val="319E14BC"/>
    <w:rsid w:val="31C34F5A"/>
    <w:rsid w:val="31C6506E"/>
    <w:rsid w:val="322A78A8"/>
    <w:rsid w:val="32BC4A22"/>
    <w:rsid w:val="33827F3E"/>
    <w:rsid w:val="33D22636"/>
    <w:rsid w:val="33DE36B0"/>
    <w:rsid w:val="34BB30CA"/>
    <w:rsid w:val="35112233"/>
    <w:rsid w:val="353663FD"/>
    <w:rsid w:val="35503F8F"/>
    <w:rsid w:val="359939AE"/>
    <w:rsid w:val="35B34777"/>
    <w:rsid w:val="35B8321C"/>
    <w:rsid w:val="35DC154A"/>
    <w:rsid w:val="362519F9"/>
    <w:rsid w:val="362726F1"/>
    <w:rsid w:val="36E97FA5"/>
    <w:rsid w:val="38241E52"/>
    <w:rsid w:val="386A5BB9"/>
    <w:rsid w:val="38CC1D4A"/>
    <w:rsid w:val="39A429A6"/>
    <w:rsid w:val="39B2330E"/>
    <w:rsid w:val="39DB4EF4"/>
    <w:rsid w:val="39E15381"/>
    <w:rsid w:val="39F96B54"/>
    <w:rsid w:val="3A8F44F9"/>
    <w:rsid w:val="3ADC48A5"/>
    <w:rsid w:val="3B1B195A"/>
    <w:rsid w:val="3B1C6E4F"/>
    <w:rsid w:val="3B3760F2"/>
    <w:rsid w:val="3B70321E"/>
    <w:rsid w:val="3B7F12F6"/>
    <w:rsid w:val="3C3A521C"/>
    <w:rsid w:val="3C461179"/>
    <w:rsid w:val="3CB23196"/>
    <w:rsid w:val="3CD940B2"/>
    <w:rsid w:val="3CED228F"/>
    <w:rsid w:val="3D437B8F"/>
    <w:rsid w:val="3D6D0374"/>
    <w:rsid w:val="3E2E297F"/>
    <w:rsid w:val="3E3127CE"/>
    <w:rsid w:val="3E4A7022"/>
    <w:rsid w:val="3E671D2D"/>
    <w:rsid w:val="3EB3718E"/>
    <w:rsid w:val="3F100466"/>
    <w:rsid w:val="3F112E3C"/>
    <w:rsid w:val="3F4C33BE"/>
    <w:rsid w:val="3FFA08D7"/>
    <w:rsid w:val="4005453D"/>
    <w:rsid w:val="40894B10"/>
    <w:rsid w:val="40E467DB"/>
    <w:rsid w:val="411C0175"/>
    <w:rsid w:val="419C0BCE"/>
    <w:rsid w:val="4220594B"/>
    <w:rsid w:val="42256D94"/>
    <w:rsid w:val="426C1EA8"/>
    <w:rsid w:val="42D5192F"/>
    <w:rsid w:val="42EF5839"/>
    <w:rsid w:val="431556B3"/>
    <w:rsid w:val="43223183"/>
    <w:rsid w:val="43274FD6"/>
    <w:rsid w:val="435C52A0"/>
    <w:rsid w:val="44A746C3"/>
    <w:rsid w:val="44BD1F0F"/>
    <w:rsid w:val="44D374C3"/>
    <w:rsid w:val="454E1449"/>
    <w:rsid w:val="461B60BF"/>
    <w:rsid w:val="46630F78"/>
    <w:rsid w:val="46642FD5"/>
    <w:rsid w:val="468B11F6"/>
    <w:rsid w:val="46905EC3"/>
    <w:rsid w:val="469F19BE"/>
    <w:rsid w:val="46F4390A"/>
    <w:rsid w:val="46F74436"/>
    <w:rsid w:val="470630D7"/>
    <w:rsid w:val="47307948"/>
    <w:rsid w:val="47D72FAB"/>
    <w:rsid w:val="47E14729"/>
    <w:rsid w:val="480B4458"/>
    <w:rsid w:val="48AF4480"/>
    <w:rsid w:val="48DB1B35"/>
    <w:rsid w:val="48F75326"/>
    <w:rsid w:val="48FC4C39"/>
    <w:rsid w:val="490B41C9"/>
    <w:rsid w:val="49297C40"/>
    <w:rsid w:val="494E1A92"/>
    <w:rsid w:val="49822B9F"/>
    <w:rsid w:val="49883EA2"/>
    <w:rsid w:val="498B4601"/>
    <w:rsid w:val="499441BE"/>
    <w:rsid w:val="49DD0584"/>
    <w:rsid w:val="4A0C159C"/>
    <w:rsid w:val="4A14231E"/>
    <w:rsid w:val="4B1827AB"/>
    <w:rsid w:val="4B296B88"/>
    <w:rsid w:val="4B4439C2"/>
    <w:rsid w:val="4B460AD8"/>
    <w:rsid w:val="4BD272E3"/>
    <w:rsid w:val="4BD74836"/>
    <w:rsid w:val="4BE945A7"/>
    <w:rsid w:val="4CEE4E32"/>
    <w:rsid w:val="4CFF2296"/>
    <w:rsid w:val="4DE01951"/>
    <w:rsid w:val="4E5170DA"/>
    <w:rsid w:val="4E8B5050"/>
    <w:rsid w:val="4EA93CB2"/>
    <w:rsid w:val="4F087DA4"/>
    <w:rsid w:val="4F197D32"/>
    <w:rsid w:val="4F6E40E9"/>
    <w:rsid w:val="4F986A2D"/>
    <w:rsid w:val="500B4ABE"/>
    <w:rsid w:val="50591456"/>
    <w:rsid w:val="50601B75"/>
    <w:rsid w:val="51742805"/>
    <w:rsid w:val="51C848AD"/>
    <w:rsid w:val="51DE2A6B"/>
    <w:rsid w:val="52142B51"/>
    <w:rsid w:val="52191BF2"/>
    <w:rsid w:val="52445767"/>
    <w:rsid w:val="52A07B61"/>
    <w:rsid w:val="52EA5C25"/>
    <w:rsid w:val="53057AF2"/>
    <w:rsid w:val="53235A75"/>
    <w:rsid w:val="532E1C22"/>
    <w:rsid w:val="533153C4"/>
    <w:rsid w:val="537A7104"/>
    <w:rsid w:val="53C26FD3"/>
    <w:rsid w:val="542851A0"/>
    <w:rsid w:val="54301456"/>
    <w:rsid w:val="543A318D"/>
    <w:rsid w:val="54487F79"/>
    <w:rsid w:val="544D4A01"/>
    <w:rsid w:val="548E3F00"/>
    <w:rsid w:val="54C47662"/>
    <w:rsid w:val="554A0BF4"/>
    <w:rsid w:val="554E4232"/>
    <w:rsid w:val="55DE082D"/>
    <w:rsid w:val="56397106"/>
    <w:rsid w:val="566C2DC2"/>
    <w:rsid w:val="56BC4D54"/>
    <w:rsid w:val="56D4624F"/>
    <w:rsid w:val="56E46F1C"/>
    <w:rsid w:val="56F07F04"/>
    <w:rsid w:val="574E7B2B"/>
    <w:rsid w:val="576C677A"/>
    <w:rsid w:val="57A57DB9"/>
    <w:rsid w:val="57CD56A1"/>
    <w:rsid w:val="58294442"/>
    <w:rsid w:val="58BC7D7B"/>
    <w:rsid w:val="58CC7859"/>
    <w:rsid w:val="59114EF7"/>
    <w:rsid w:val="595A737F"/>
    <w:rsid w:val="595B6AA6"/>
    <w:rsid w:val="59604DB1"/>
    <w:rsid w:val="59A01A77"/>
    <w:rsid w:val="59F610F6"/>
    <w:rsid w:val="5A04543F"/>
    <w:rsid w:val="5A794951"/>
    <w:rsid w:val="5A8B3C1A"/>
    <w:rsid w:val="5A8D097B"/>
    <w:rsid w:val="5A9370AA"/>
    <w:rsid w:val="5AA87252"/>
    <w:rsid w:val="5AAC1C92"/>
    <w:rsid w:val="5B2010E2"/>
    <w:rsid w:val="5B56582C"/>
    <w:rsid w:val="5BFC234D"/>
    <w:rsid w:val="5C7A7619"/>
    <w:rsid w:val="5C997422"/>
    <w:rsid w:val="5CB25F54"/>
    <w:rsid w:val="5D2D2B96"/>
    <w:rsid w:val="5D907A45"/>
    <w:rsid w:val="5DB10ADD"/>
    <w:rsid w:val="5DB30067"/>
    <w:rsid w:val="5DCD5A99"/>
    <w:rsid w:val="5DF32438"/>
    <w:rsid w:val="5E0513DA"/>
    <w:rsid w:val="5E0C4D48"/>
    <w:rsid w:val="5E245091"/>
    <w:rsid w:val="5E3F189A"/>
    <w:rsid w:val="5E64151B"/>
    <w:rsid w:val="5EE57D12"/>
    <w:rsid w:val="5EF31D63"/>
    <w:rsid w:val="5EF726E5"/>
    <w:rsid w:val="5F74474D"/>
    <w:rsid w:val="5F9E4A44"/>
    <w:rsid w:val="60060CD2"/>
    <w:rsid w:val="6033538C"/>
    <w:rsid w:val="6090329E"/>
    <w:rsid w:val="6094289E"/>
    <w:rsid w:val="61015C2A"/>
    <w:rsid w:val="61212315"/>
    <w:rsid w:val="6124616D"/>
    <w:rsid w:val="61700C15"/>
    <w:rsid w:val="61DD6D85"/>
    <w:rsid w:val="62487DE4"/>
    <w:rsid w:val="624D4A2C"/>
    <w:rsid w:val="625A70E9"/>
    <w:rsid w:val="62E02795"/>
    <w:rsid w:val="6347009B"/>
    <w:rsid w:val="6365652E"/>
    <w:rsid w:val="636F5D78"/>
    <w:rsid w:val="63D6185D"/>
    <w:rsid w:val="644B55F3"/>
    <w:rsid w:val="645E5FB7"/>
    <w:rsid w:val="64742B72"/>
    <w:rsid w:val="647A6B63"/>
    <w:rsid w:val="64BE613B"/>
    <w:rsid w:val="64E646C9"/>
    <w:rsid w:val="655139C5"/>
    <w:rsid w:val="65946EE3"/>
    <w:rsid w:val="65A43EF2"/>
    <w:rsid w:val="66334AEE"/>
    <w:rsid w:val="6638763C"/>
    <w:rsid w:val="66485827"/>
    <w:rsid w:val="668E6377"/>
    <w:rsid w:val="66A45145"/>
    <w:rsid w:val="66AF4004"/>
    <w:rsid w:val="66C31962"/>
    <w:rsid w:val="67205D2E"/>
    <w:rsid w:val="67327086"/>
    <w:rsid w:val="675B42D8"/>
    <w:rsid w:val="678B24B0"/>
    <w:rsid w:val="67E95F1A"/>
    <w:rsid w:val="68064081"/>
    <w:rsid w:val="681E61C6"/>
    <w:rsid w:val="68494D96"/>
    <w:rsid w:val="68AF4868"/>
    <w:rsid w:val="68DB28B0"/>
    <w:rsid w:val="68F55EA4"/>
    <w:rsid w:val="694621E7"/>
    <w:rsid w:val="695B3F54"/>
    <w:rsid w:val="699F478D"/>
    <w:rsid w:val="69AA0546"/>
    <w:rsid w:val="6A0F748C"/>
    <w:rsid w:val="6A451B01"/>
    <w:rsid w:val="6AC123AB"/>
    <w:rsid w:val="6ACC1D6D"/>
    <w:rsid w:val="6AD42215"/>
    <w:rsid w:val="6AE6715C"/>
    <w:rsid w:val="6B3726F6"/>
    <w:rsid w:val="6B6E46BD"/>
    <w:rsid w:val="6B712291"/>
    <w:rsid w:val="6B7337B6"/>
    <w:rsid w:val="6BBF41E1"/>
    <w:rsid w:val="6BED530D"/>
    <w:rsid w:val="6C180827"/>
    <w:rsid w:val="6CB6313A"/>
    <w:rsid w:val="6CD01102"/>
    <w:rsid w:val="6D17487D"/>
    <w:rsid w:val="6D4A2C62"/>
    <w:rsid w:val="6D5D08AB"/>
    <w:rsid w:val="6D7A21C0"/>
    <w:rsid w:val="6DA260DD"/>
    <w:rsid w:val="6DCD3829"/>
    <w:rsid w:val="6DCF13B9"/>
    <w:rsid w:val="6DE35BE2"/>
    <w:rsid w:val="6DEB257D"/>
    <w:rsid w:val="6E023365"/>
    <w:rsid w:val="6E867ECB"/>
    <w:rsid w:val="6EBA6BE7"/>
    <w:rsid w:val="6EDE3E2B"/>
    <w:rsid w:val="6F51552C"/>
    <w:rsid w:val="6FB5060A"/>
    <w:rsid w:val="6FC07EC9"/>
    <w:rsid w:val="700A1DC2"/>
    <w:rsid w:val="701B7BAE"/>
    <w:rsid w:val="70371352"/>
    <w:rsid w:val="70763D6E"/>
    <w:rsid w:val="70CD3EDD"/>
    <w:rsid w:val="71731202"/>
    <w:rsid w:val="71732AFC"/>
    <w:rsid w:val="71CB1E97"/>
    <w:rsid w:val="724A7260"/>
    <w:rsid w:val="72754FAE"/>
    <w:rsid w:val="72844C06"/>
    <w:rsid w:val="72E202F0"/>
    <w:rsid w:val="72E667CD"/>
    <w:rsid w:val="73874F7B"/>
    <w:rsid w:val="739E271B"/>
    <w:rsid w:val="740D2C3B"/>
    <w:rsid w:val="74973556"/>
    <w:rsid w:val="74A40EAE"/>
    <w:rsid w:val="74B7369A"/>
    <w:rsid w:val="74DB2550"/>
    <w:rsid w:val="750202C6"/>
    <w:rsid w:val="750A5DF7"/>
    <w:rsid w:val="75585F67"/>
    <w:rsid w:val="758E505F"/>
    <w:rsid w:val="75D91027"/>
    <w:rsid w:val="75E82090"/>
    <w:rsid w:val="7610256F"/>
    <w:rsid w:val="763B655B"/>
    <w:rsid w:val="76474FCD"/>
    <w:rsid w:val="76742882"/>
    <w:rsid w:val="769D2EF8"/>
    <w:rsid w:val="76E073B2"/>
    <w:rsid w:val="76EF5A60"/>
    <w:rsid w:val="771340C5"/>
    <w:rsid w:val="775A1460"/>
    <w:rsid w:val="77800FA4"/>
    <w:rsid w:val="77D74F07"/>
    <w:rsid w:val="78E57A8C"/>
    <w:rsid w:val="78FD74BC"/>
    <w:rsid w:val="79011F8F"/>
    <w:rsid w:val="799E0F55"/>
    <w:rsid w:val="7A091920"/>
    <w:rsid w:val="7A612861"/>
    <w:rsid w:val="7A625031"/>
    <w:rsid w:val="7AD20B09"/>
    <w:rsid w:val="7AFE7DCC"/>
    <w:rsid w:val="7B0A1C83"/>
    <w:rsid w:val="7B704C94"/>
    <w:rsid w:val="7BA0731F"/>
    <w:rsid w:val="7BB231F9"/>
    <w:rsid w:val="7C0E2816"/>
    <w:rsid w:val="7C2E00FA"/>
    <w:rsid w:val="7C7D6705"/>
    <w:rsid w:val="7C835849"/>
    <w:rsid w:val="7D0F49B0"/>
    <w:rsid w:val="7D197BC4"/>
    <w:rsid w:val="7D512677"/>
    <w:rsid w:val="7D5565E8"/>
    <w:rsid w:val="7D781DD5"/>
    <w:rsid w:val="7D8C2452"/>
    <w:rsid w:val="7DA51645"/>
    <w:rsid w:val="7DC03E38"/>
    <w:rsid w:val="7E2768C4"/>
    <w:rsid w:val="7E52335B"/>
    <w:rsid w:val="7E7217E4"/>
    <w:rsid w:val="7FD53D9E"/>
    <w:rsid w:val="7FEC0AF4"/>
    <w:rsid w:val="7FED0938"/>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jc w:val="both"/>
    </w:pPr>
    <w:rPr>
      <w:rFonts w:ascii="Calibri" w:hAnsi="Calibri" w:eastAsia="宋体" w:cstheme="minorBidi"/>
      <w:sz w:val="21"/>
      <w:szCs w:val="21"/>
      <w:lang w:val="en-US" w:eastAsia="zh-CN" w:bidi="ar-SA"/>
    </w:rPr>
  </w:style>
  <w:style w:type="paragraph" w:styleId="3">
    <w:name w:val="heading 1"/>
    <w:basedOn w:val="1"/>
    <w:next w:val="1"/>
    <w:autoRedefine/>
    <w:qFormat/>
    <w:uiPriority w:val="7"/>
    <w:pPr>
      <w:outlineLvl w:val="0"/>
    </w:pPr>
    <w:rPr>
      <w:rFonts w:ascii="Times New Roman" w:hAnsi="Times New Roman" w:eastAsia="Times New Roman"/>
      <w:sz w:val="28"/>
      <w:szCs w:val="28"/>
    </w:rPr>
  </w:style>
  <w:style w:type="paragraph" w:styleId="4">
    <w:name w:val="heading 2"/>
    <w:next w:val="1"/>
    <w:autoRedefine/>
    <w:qFormat/>
    <w:uiPriority w:val="8"/>
    <w:pPr>
      <w:jc w:val="both"/>
      <w:outlineLvl w:val="1"/>
    </w:pPr>
    <w:rPr>
      <w:rFonts w:ascii="Times New Roman" w:hAnsi="Times New Roman" w:eastAsia="Times New Roman" w:cstheme="minorBidi"/>
      <w:sz w:val="21"/>
      <w:szCs w:val="21"/>
      <w:lang w:val="en-US" w:eastAsia="zh-CN" w:bidi="ar-SA"/>
    </w:rPr>
  </w:style>
  <w:style w:type="paragraph" w:styleId="5">
    <w:name w:val="heading 3"/>
    <w:next w:val="1"/>
    <w:autoRedefine/>
    <w:qFormat/>
    <w:uiPriority w:val="9"/>
    <w:pPr>
      <w:ind w:left="1000" w:hanging="400"/>
      <w:jc w:val="both"/>
      <w:outlineLvl w:val="2"/>
    </w:pPr>
    <w:rPr>
      <w:rFonts w:ascii="Times New Roman" w:hAnsi="Times New Roman" w:eastAsia="Times New Roman" w:cstheme="minorBidi"/>
      <w:sz w:val="21"/>
      <w:szCs w:val="21"/>
      <w:lang w:val="en-US" w:eastAsia="zh-CN" w:bidi="ar-SA"/>
    </w:rPr>
  </w:style>
  <w:style w:type="paragraph" w:styleId="6">
    <w:name w:val="heading 4"/>
    <w:basedOn w:val="1"/>
    <w:next w:val="1"/>
    <w:autoRedefine/>
    <w:qFormat/>
    <w:uiPriority w:val="10"/>
    <w:pPr>
      <w:ind w:left="1200" w:hanging="400"/>
      <w:jc w:val="both"/>
      <w:outlineLvl w:val="3"/>
    </w:pPr>
    <w:rPr>
      <w:rFonts w:ascii="Times New Roman" w:hAnsi="Times New Roman" w:eastAsia="Times New Roman" w:cstheme="minorBidi"/>
      <w:b/>
      <w:sz w:val="21"/>
      <w:szCs w:val="21"/>
      <w:lang w:val="en-US" w:eastAsia="zh-CN" w:bidi="ar-SA"/>
    </w:rPr>
  </w:style>
  <w:style w:type="paragraph" w:styleId="7">
    <w:name w:val="heading 5"/>
    <w:next w:val="1"/>
    <w:autoRedefine/>
    <w:qFormat/>
    <w:uiPriority w:val="11"/>
    <w:pPr>
      <w:ind w:left="1400" w:hanging="400"/>
      <w:jc w:val="both"/>
      <w:outlineLvl w:val="4"/>
    </w:pPr>
    <w:rPr>
      <w:rFonts w:ascii="Times New Roman" w:hAnsi="Times New Roman" w:eastAsia="Times New Roman" w:cstheme="minorBidi"/>
      <w:sz w:val="21"/>
      <w:szCs w:val="21"/>
      <w:lang w:val="en-US" w:eastAsia="zh-CN" w:bidi="ar-SA"/>
    </w:rPr>
  </w:style>
  <w:style w:type="paragraph" w:styleId="8">
    <w:name w:val="heading 6"/>
    <w:next w:val="1"/>
    <w:autoRedefine/>
    <w:qFormat/>
    <w:uiPriority w:val="12"/>
    <w:pPr>
      <w:ind w:left="1600" w:hanging="400"/>
      <w:jc w:val="both"/>
      <w:outlineLvl w:val="5"/>
    </w:pPr>
    <w:rPr>
      <w:rFonts w:ascii="Times New Roman" w:hAnsi="Times New Roman" w:eastAsia="Times New Roman" w:cstheme="minorBidi"/>
      <w:b/>
      <w:sz w:val="21"/>
      <w:szCs w:val="21"/>
      <w:lang w:val="en-US" w:eastAsia="zh-CN" w:bidi="ar-SA"/>
    </w:rPr>
  </w:style>
  <w:style w:type="paragraph" w:styleId="9">
    <w:name w:val="heading 7"/>
    <w:next w:val="1"/>
    <w:autoRedefine/>
    <w:qFormat/>
    <w:uiPriority w:val="13"/>
    <w:pPr>
      <w:ind w:left="1800" w:hanging="400"/>
      <w:jc w:val="both"/>
      <w:outlineLvl w:val="6"/>
    </w:pPr>
    <w:rPr>
      <w:rFonts w:ascii="Times New Roman" w:hAnsi="Times New Roman" w:eastAsia="Times New Roman" w:cstheme="minorBidi"/>
      <w:sz w:val="21"/>
      <w:szCs w:val="21"/>
      <w:lang w:val="en-US" w:eastAsia="zh-CN" w:bidi="ar-SA"/>
    </w:rPr>
  </w:style>
  <w:style w:type="paragraph" w:styleId="10">
    <w:name w:val="heading 8"/>
    <w:next w:val="1"/>
    <w:autoRedefine/>
    <w:qFormat/>
    <w:uiPriority w:val="14"/>
    <w:pPr>
      <w:ind w:left="2000" w:hanging="400"/>
      <w:jc w:val="both"/>
      <w:outlineLvl w:val="7"/>
    </w:pPr>
    <w:rPr>
      <w:rFonts w:ascii="Times New Roman" w:hAnsi="Times New Roman" w:eastAsia="Times New Roman" w:cstheme="minorBidi"/>
      <w:sz w:val="21"/>
      <w:szCs w:val="21"/>
      <w:lang w:val="en-US" w:eastAsia="zh-CN" w:bidi="ar-SA"/>
    </w:rPr>
  </w:style>
  <w:style w:type="paragraph" w:styleId="11">
    <w:name w:val="heading 9"/>
    <w:next w:val="1"/>
    <w:autoRedefine/>
    <w:qFormat/>
    <w:uiPriority w:val="15"/>
    <w:pPr>
      <w:ind w:left="2200" w:hanging="400"/>
      <w:jc w:val="both"/>
      <w:outlineLvl w:val="8"/>
    </w:pPr>
    <w:rPr>
      <w:rFonts w:ascii="Times New Roman" w:hAnsi="Times New Roman" w:eastAsia="Times New Roman" w:cstheme="minorBidi"/>
      <w:sz w:val="21"/>
      <w:szCs w:val="21"/>
      <w:lang w:val="en-US" w:eastAsia="zh-CN" w:bidi="ar-SA"/>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Indent1"/>
    <w:basedOn w:val="1"/>
    <w:autoRedefine/>
    <w:qFormat/>
    <w:uiPriority w:val="0"/>
    <w:pPr>
      <w:spacing w:line="660" w:lineRule="exact"/>
      <w:ind w:firstLine="720"/>
    </w:pPr>
    <w:rPr>
      <w:rFonts w:eastAsia="Cambria Math"/>
      <w:sz w:val="36"/>
      <w:szCs w:val="36"/>
    </w:rPr>
  </w:style>
  <w:style w:type="paragraph" w:styleId="12">
    <w:name w:val="toc 7"/>
    <w:next w:val="1"/>
    <w:autoRedefine/>
    <w:unhideWhenUsed/>
    <w:qFormat/>
    <w:uiPriority w:val="34"/>
    <w:pPr>
      <w:ind w:left="2550"/>
      <w:jc w:val="both"/>
    </w:pPr>
    <w:rPr>
      <w:rFonts w:ascii="Times New Roman" w:hAnsi="Times New Roman" w:eastAsia="Times New Roman" w:cstheme="minorBidi"/>
      <w:sz w:val="21"/>
      <w:szCs w:val="21"/>
      <w:lang w:val="en-US" w:eastAsia="zh-CN" w:bidi="ar-SA"/>
    </w:rPr>
  </w:style>
  <w:style w:type="paragraph" w:styleId="13">
    <w:name w:val="annotation text"/>
    <w:basedOn w:val="1"/>
    <w:autoRedefine/>
    <w:qFormat/>
    <w:uiPriority w:val="0"/>
    <w:pPr>
      <w:jc w:val="left"/>
    </w:pPr>
  </w:style>
  <w:style w:type="paragraph" w:styleId="14">
    <w:name w:val="Body Text"/>
    <w:basedOn w:val="1"/>
    <w:next w:val="1"/>
    <w:autoRedefine/>
    <w:qFormat/>
    <w:uiPriority w:val="0"/>
    <w:pPr>
      <w:spacing w:after="120"/>
    </w:pPr>
  </w:style>
  <w:style w:type="paragraph" w:styleId="15">
    <w:name w:val="Body Text Indent"/>
    <w:basedOn w:val="1"/>
    <w:autoRedefine/>
    <w:qFormat/>
    <w:uiPriority w:val="0"/>
    <w:pPr>
      <w:spacing w:line="200" w:lineRule="exact"/>
      <w:ind w:firstLine="301"/>
    </w:pPr>
    <w:rPr>
      <w:rFonts w:ascii="宋体" w:hAnsi="Courier New"/>
      <w:spacing w:val="-4"/>
      <w:sz w:val="18"/>
      <w:szCs w:val="20"/>
    </w:rPr>
  </w:style>
  <w:style w:type="paragraph" w:styleId="16">
    <w:name w:val="toc 5"/>
    <w:next w:val="1"/>
    <w:autoRedefine/>
    <w:unhideWhenUsed/>
    <w:qFormat/>
    <w:uiPriority w:val="32"/>
    <w:pPr>
      <w:ind w:left="1700"/>
      <w:jc w:val="both"/>
    </w:pPr>
    <w:rPr>
      <w:rFonts w:ascii="Times New Roman" w:hAnsi="Times New Roman" w:eastAsia="Times New Roman" w:cstheme="minorBidi"/>
      <w:sz w:val="21"/>
      <w:szCs w:val="21"/>
      <w:lang w:val="en-US" w:eastAsia="zh-CN" w:bidi="ar-SA"/>
    </w:rPr>
  </w:style>
  <w:style w:type="paragraph" w:styleId="17">
    <w:name w:val="toc 3"/>
    <w:next w:val="1"/>
    <w:autoRedefine/>
    <w:unhideWhenUsed/>
    <w:qFormat/>
    <w:uiPriority w:val="30"/>
    <w:pPr>
      <w:ind w:left="850"/>
      <w:jc w:val="both"/>
    </w:pPr>
    <w:rPr>
      <w:rFonts w:ascii="Times New Roman" w:hAnsi="Times New Roman" w:eastAsia="Times New Roman" w:cstheme="minorBidi"/>
      <w:sz w:val="21"/>
      <w:szCs w:val="21"/>
      <w:lang w:val="en-US" w:eastAsia="zh-CN" w:bidi="ar-SA"/>
    </w:rPr>
  </w:style>
  <w:style w:type="paragraph" w:styleId="18">
    <w:name w:val="Plain Text"/>
    <w:basedOn w:val="1"/>
    <w:autoRedefine/>
    <w:qFormat/>
    <w:uiPriority w:val="0"/>
    <w:rPr>
      <w:rFonts w:ascii="宋体" w:hAnsi="宋体" w:eastAsia="Courier New"/>
      <w:sz w:val="20"/>
      <w:szCs w:val="20"/>
    </w:rPr>
  </w:style>
  <w:style w:type="paragraph" w:styleId="19">
    <w:name w:val="toc 8"/>
    <w:next w:val="1"/>
    <w:autoRedefine/>
    <w:unhideWhenUsed/>
    <w:qFormat/>
    <w:uiPriority w:val="35"/>
    <w:pPr>
      <w:ind w:left="2975"/>
      <w:jc w:val="both"/>
    </w:pPr>
    <w:rPr>
      <w:rFonts w:ascii="Times New Roman" w:hAnsi="Times New Roman" w:eastAsia="Times New Roman" w:cstheme="minorBidi"/>
      <w:sz w:val="21"/>
      <w:szCs w:val="21"/>
      <w:lang w:val="en-US" w:eastAsia="zh-CN" w:bidi="ar-SA"/>
    </w:rPr>
  </w:style>
  <w:style w:type="paragraph" w:styleId="20">
    <w:name w:val="Balloon Text"/>
    <w:basedOn w:val="1"/>
    <w:link w:val="59"/>
    <w:autoRedefine/>
    <w:qFormat/>
    <w:uiPriority w:val="0"/>
    <w:rPr>
      <w:sz w:val="18"/>
      <w:szCs w:val="18"/>
    </w:rPr>
  </w:style>
  <w:style w:type="paragraph" w:styleId="21">
    <w:name w:val="footer"/>
    <w:basedOn w:val="1"/>
    <w:autoRedefine/>
    <w:qFormat/>
    <w:uiPriority w:val="0"/>
    <w:pPr>
      <w:tabs>
        <w:tab w:val="center" w:pos="4153"/>
        <w:tab w:val="right" w:pos="8306"/>
      </w:tabs>
    </w:pPr>
    <w:rPr>
      <w:sz w:val="18"/>
      <w:szCs w:val="18"/>
    </w:rPr>
  </w:style>
  <w:style w:type="paragraph" w:styleId="22">
    <w:name w:val="header"/>
    <w:basedOn w:val="1"/>
    <w:autoRedefine/>
    <w:qFormat/>
    <w:uiPriority w:val="0"/>
    <w:pPr>
      <w:tabs>
        <w:tab w:val="center" w:pos="4153"/>
        <w:tab w:val="right" w:pos="8306"/>
      </w:tabs>
    </w:pPr>
    <w:rPr>
      <w:sz w:val="18"/>
      <w:szCs w:val="18"/>
    </w:rPr>
  </w:style>
  <w:style w:type="paragraph" w:styleId="23">
    <w:name w:val="toc 1"/>
    <w:next w:val="1"/>
    <w:autoRedefine/>
    <w:unhideWhenUsed/>
    <w:qFormat/>
    <w:uiPriority w:val="28"/>
    <w:pPr>
      <w:jc w:val="both"/>
    </w:pPr>
    <w:rPr>
      <w:rFonts w:ascii="Times New Roman" w:hAnsi="Times New Roman" w:eastAsia="Times New Roman" w:cstheme="minorBidi"/>
      <w:sz w:val="21"/>
      <w:szCs w:val="21"/>
      <w:lang w:val="en-US" w:eastAsia="zh-CN" w:bidi="ar-SA"/>
    </w:rPr>
  </w:style>
  <w:style w:type="paragraph" w:styleId="24">
    <w:name w:val="toc 4"/>
    <w:next w:val="1"/>
    <w:autoRedefine/>
    <w:unhideWhenUsed/>
    <w:qFormat/>
    <w:uiPriority w:val="31"/>
    <w:pPr>
      <w:ind w:left="1275"/>
      <w:jc w:val="both"/>
    </w:pPr>
    <w:rPr>
      <w:rFonts w:ascii="Times New Roman" w:hAnsi="Times New Roman" w:eastAsia="Times New Roman" w:cstheme="minorBidi"/>
      <w:sz w:val="21"/>
      <w:szCs w:val="21"/>
      <w:lang w:val="en-US" w:eastAsia="zh-CN" w:bidi="ar-SA"/>
    </w:rPr>
  </w:style>
  <w:style w:type="paragraph" w:styleId="25">
    <w:name w:val="Subtitle"/>
    <w:autoRedefine/>
    <w:qFormat/>
    <w:uiPriority w:val="16"/>
    <w:pPr>
      <w:jc w:val="center"/>
    </w:pPr>
    <w:rPr>
      <w:rFonts w:ascii="Times New Roman" w:hAnsi="Times New Roman" w:eastAsia="Times New Roman" w:cstheme="minorBidi"/>
      <w:sz w:val="24"/>
      <w:szCs w:val="24"/>
      <w:lang w:val="en-US" w:eastAsia="zh-CN" w:bidi="ar-SA"/>
    </w:rPr>
  </w:style>
  <w:style w:type="paragraph" w:styleId="26">
    <w:name w:val="toc 6"/>
    <w:next w:val="1"/>
    <w:autoRedefine/>
    <w:unhideWhenUsed/>
    <w:qFormat/>
    <w:uiPriority w:val="33"/>
    <w:pPr>
      <w:ind w:left="2125"/>
      <w:jc w:val="both"/>
    </w:pPr>
    <w:rPr>
      <w:rFonts w:ascii="Times New Roman" w:hAnsi="Times New Roman" w:eastAsia="Times New Roman" w:cstheme="minorBidi"/>
      <w:sz w:val="21"/>
      <w:szCs w:val="21"/>
      <w:lang w:val="en-US" w:eastAsia="zh-CN" w:bidi="ar-SA"/>
    </w:rPr>
  </w:style>
  <w:style w:type="paragraph" w:styleId="27">
    <w:name w:val="toc 2"/>
    <w:next w:val="1"/>
    <w:autoRedefine/>
    <w:unhideWhenUsed/>
    <w:qFormat/>
    <w:uiPriority w:val="29"/>
    <w:pPr>
      <w:ind w:left="425"/>
      <w:jc w:val="both"/>
    </w:pPr>
    <w:rPr>
      <w:rFonts w:ascii="Times New Roman" w:hAnsi="Times New Roman" w:eastAsia="Times New Roman" w:cstheme="minorBidi"/>
      <w:sz w:val="21"/>
      <w:szCs w:val="21"/>
      <w:lang w:val="en-US" w:eastAsia="zh-CN" w:bidi="ar-SA"/>
    </w:rPr>
  </w:style>
  <w:style w:type="paragraph" w:styleId="28">
    <w:name w:val="toc 9"/>
    <w:next w:val="1"/>
    <w:autoRedefine/>
    <w:unhideWhenUsed/>
    <w:qFormat/>
    <w:uiPriority w:val="36"/>
    <w:pPr>
      <w:ind w:left="3400"/>
      <w:jc w:val="both"/>
    </w:pPr>
    <w:rPr>
      <w:rFonts w:ascii="Times New Roman" w:hAnsi="Times New Roman" w:eastAsia="Times New Roman" w:cstheme="minorBidi"/>
      <w:sz w:val="21"/>
      <w:szCs w:val="21"/>
      <w:lang w:val="en-US" w:eastAsia="zh-CN" w:bidi="ar-SA"/>
    </w:rPr>
  </w:style>
  <w:style w:type="paragraph" w:styleId="29">
    <w:name w:val="Title"/>
    <w:autoRedefine/>
    <w:qFormat/>
    <w:uiPriority w:val="6"/>
    <w:pPr>
      <w:jc w:val="center"/>
    </w:pPr>
    <w:rPr>
      <w:rFonts w:ascii="Times New Roman" w:hAnsi="Times New Roman" w:eastAsia="Times New Roman" w:cstheme="minorBidi"/>
      <w:b/>
      <w:sz w:val="32"/>
      <w:szCs w:val="32"/>
      <w:lang w:val="en-US" w:eastAsia="zh-CN" w:bidi="ar-SA"/>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autoRedefine/>
    <w:qFormat/>
    <w:uiPriority w:val="20"/>
    <w:rPr>
      <w:b/>
      <w:w w:val="100"/>
      <w:sz w:val="21"/>
      <w:szCs w:val="21"/>
      <w:shd w:val="clear" w:color="auto" w:fill="auto"/>
    </w:rPr>
  </w:style>
  <w:style w:type="character" w:styleId="34">
    <w:name w:val="page number"/>
    <w:basedOn w:val="32"/>
    <w:autoRedefine/>
    <w:qFormat/>
    <w:uiPriority w:val="0"/>
  </w:style>
  <w:style w:type="character" w:styleId="35">
    <w:name w:val="FollowedHyperlink"/>
    <w:basedOn w:val="32"/>
    <w:autoRedefine/>
    <w:qFormat/>
    <w:uiPriority w:val="0"/>
    <w:rPr>
      <w:color w:val="000000"/>
      <w:u w:val="none"/>
    </w:rPr>
  </w:style>
  <w:style w:type="character" w:styleId="36">
    <w:name w:val="Emphasis"/>
    <w:autoRedefine/>
    <w:qFormat/>
    <w:uiPriority w:val="18"/>
    <w:rPr>
      <w:i/>
      <w:w w:val="100"/>
      <w:sz w:val="21"/>
      <w:szCs w:val="21"/>
      <w:shd w:val="clear" w:color="auto" w:fill="auto"/>
    </w:rPr>
  </w:style>
  <w:style w:type="character" w:styleId="37">
    <w:name w:val="HTML Definition"/>
    <w:basedOn w:val="32"/>
    <w:autoRedefine/>
    <w:qFormat/>
    <w:uiPriority w:val="0"/>
  </w:style>
  <w:style w:type="character" w:styleId="38">
    <w:name w:val="HTML Acronym"/>
    <w:basedOn w:val="32"/>
    <w:autoRedefine/>
    <w:qFormat/>
    <w:uiPriority w:val="0"/>
  </w:style>
  <w:style w:type="character" w:styleId="39">
    <w:name w:val="HTML Variable"/>
    <w:basedOn w:val="32"/>
    <w:autoRedefine/>
    <w:qFormat/>
    <w:uiPriority w:val="0"/>
  </w:style>
  <w:style w:type="character" w:styleId="40">
    <w:name w:val="Hyperlink"/>
    <w:basedOn w:val="32"/>
    <w:autoRedefine/>
    <w:qFormat/>
    <w:uiPriority w:val="0"/>
    <w:rPr>
      <w:color w:val="000000"/>
      <w:u w:val="none"/>
    </w:rPr>
  </w:style>
  <w:style w:type="character" w:styleId="41">
    <w:name w:val="HTML Code"/>
    <w:basedOn w:val="32"/>
    <w:autoRedefine/>
    <w:qFormat/>
    <w:uiPriority w:val="0"/>
    <w:rPr>
      <w:rFonts w:ascii="Courier New" w:hAnsi="Courier New"/>
      <w:sz w:val="20"/>
    </w:rPr>
  </w:style>
  <w:style w:type="character" w:styleId="42">
    <w:name w:val="annotation reference"/>
    <w:basedOn w:val="32"/>
    <w:autoRedefine/>
    <w:qFormat/>
    <w:uiPriority w:val="0"/>
    <w:rPr>
      <w:sz w:val="21"/>
      <w:szCs w:val="21"/>
    </w:rPr>
  </w:style>
  <w:style w:type="character" w:styleId="43">
    <w:name w:val="HTML Cite"/>
    <w:basedOn w:val="32"/>
    <w:autoRedefine/>
    <w:qFormat/>
    <w:uiPriority w:val="0"/>
  </w:style>
  <w:style w:type="paragraph" w:customStyle="1" w:styleId="44">
    <w:name w:val="BodyText1I2"/>
    <w:basedOn w:val="45"/>
    <w:autoRedefine/>
    <w:qFormat/>
    <w:uiPriority w:val="0"/>
    <w:pPr>
      <w:ind w:firstLine="200" w:firstLineChars="200"/>
    </w:pPr>
  </w:style>
  <w:style w:type="paragraph" w:customStyle="1" w:styleId="45">
    <w:name w:val="BodyTextIndent"/>
    <w:basedOn w:val="1"/>
    <w:autoRedefine/>
    <w:qFormat/>
    <w:uiPriority w:val="0"/>
    <w:pPr>
      <w:spacing w:after="120"/>
      <w:ind w:left="420" w:leftChars="200"/>
    </w:pPr>
  </w:style>
  <w:style w:type="paragraph" w:customStyle="1" w:styleId="46">
    <w:name w:val="表格文字"/>
    <w:basedOn w:val="1"/>
    <w:autoRedefine/>
    <w:qFormat/>
    <w:uiPriority w:val="0"/>
    <w:pPr>
      <w:jc w:val="left"/>
    </w:pPr>
    <w:rPr>
      <w:bCs/>
      <w:spacing w:val="10"/>
      <w:sz w:val="24"/>
    </w:rPr>
  </w:style>
  <w:style w:type="paragraph" w:customStyle="1" w:styleId="47">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目录 21"/>
    <w:basedOn w:val="1"/>
    <w:next w:val="1"/>
    <w:autoRedefine/>
    <w:qFormat/>
    <w:uiPriority w:val="0"/>
    <w:pPr>
      <w:spacing w:before="100" w:beforeAutospacing="1" w:after="100" w:afterAutospacing="1"/>
      <w:ind w:left="420" w:leftChars="200"/>
    </w:pPr>
  </w:style>
  <w:style w:type="paragraph" w:customStyle="1" w:styleId="49">
    <w:name w:val="无间隔1"/>
    <w:autoRedefine/>
    <w:qFormat/>
    <w:uiPriority w:val="5"/>
    <w:pPr>
      <w:jc w:val="both"/>
    </w:pPr>
    <w:rPr>
      <w:rFonts w:ascii="Times New Roman" w:hAnsi="Times New Roman" w:eastAsia="Times New Roman" w:cstheme="minorBidi"/>
      <w:sz w:val="21"/>
      <w:szCs w:val="21"/>
      <w:lang w:val="en-US" w:eastAsia="zh-CN" w:bidi="ar-SA"/>
    </w:rPr>
  </w:style>
  <w:style w:type="character" w:customStyle="1" w:styleId="50">
    <w:name w:val="不明显强调1"/>
    <w:autoRedefine/>
    <w:qFormat/>
    <w:uiPriority w:val="17"/>
    <w:rPr>
      <w:i/>
      <w:color w:val="404040"/>
      <w:w w:val="100"/>
      <w:sz w:val="21"/>
      <w:szCs w:val="21"/>
      <w:shd w:val="clear" w:color="auto" w:fill="auto"/>
    </w:rPr>
  </w:style>
  <w:style w:type="character" w:customStyle="1" w:styleId="51">
    <w:name w:val="明显强调1"/>
    <w:autoRedefine/>
    <w:qFormat/>
    <w:uiPriority w:val="19"/>
    <w:rPr>
      <w:i/>
      <w:color w:val="5B9BD5"/>
      <w:w w:val="100"/>
      <w:sz w:val="21"/>
      <w:szCs w:val="21"/>
      <w:shd w:val="clear" w:color="auto" w:fill="auto"/>
    </w:rPr>
  </w:style>
  <w:style w:type="paragraph" w:customStyle="1" w:styleId="52">
    <w:name w:val="引用1"/>
    <w:autoRedefine/>
    <w:qFormat/>
    <w:uiPriority w:val="21"/>
    <w:pPr>
      <w:ind w:left="864" w:right="864"/>
      <w:jc w:val="center"/>
    </w:pPr>
    <w:rPr>
      <w:rFonts w:ascii="Times New Roman" w:hAnsi="Times New Roman" w:eastAsia="Times New Roman" w:cstheme="minorBidi"/>
      <w:i/>
      <w:color w:val="404040"/>
      <w:sz w:val="21"/>
      <w:szCs w:val="21"/>
      <w:lang w:val="en-US" w:eastAsia="zh-CN" w:bidi="ar-SA"/>
    </w:rPr>
  </w:style>
  <w:style w:type="paragraph" w:customStyle="1" w:styleId="53">
    <w:name w:val="明显引用1"/>
    <w:autoRedefine/>
    <w:qFormat/>
    <w:uiPriority w:val="22"/>
    <w:pPr>
      <w:ind w:left="950" w:right="950"/>
      <w:jc w:val="center"/>
    </w:pPr>
    <w:rPr>
      <w:rFonts w:ascii="Times New Roman" w:hAnsi="Times New Roman" w:eastAsia="Times New Roman" w:cstheme="minorBidi"/>
      <w:i/>
      <w:color w:val="5B9BD5"/>
      <w:sz w:val="21"/>
      <w:szCs w:val="21"/>
      <w:lang w:val="en-US" w:eastAsia="zh-CN" w:bidi="ar-SA"/>
    </w:rPr>
  </w:style>
  <w:style w:type="character" w:customStyle="1" w:styleId="54">
    <w:name w:val="不明显参考1"/>
    <w:autoRedefine/>
    <w:qFormat/>
    <w:uiPriority w:val="23"/>
    <w:rPr>
      <w:smallCaps/>
      <w:color w:val="5A5A5A"/>
      <w:w w:val="100"/>
      <w:sz w:val="21"/>
      <w:szCs w:val="21"/>
      <w:shd w:val="clear" w:color="auto" w:fill="auto"/>
    </w:rPr>
  </w:style>
  <w:style w:type="character" w:customStyle="1" w:styleId="55">
    <w:name w:val="明显参考1"/>
    <w:autoRedefine/>
    <w:qFormat/>
    <w:uiPriority w:val="24"/>
    <w:rPr>
      <w:b/>
      <w:smallCaps/>
      <w:color w:val="5B9BD5"/>
      <w:w w:val="100"/>
      <w:sz w:val="21"/>
      <w:szCs w:val="21"/>
      <w:shd w:val="clear" w:color="auto" w:fill="auto"/>
    </w:rPr>
  </w:style>
  <w:style w:type="character" w:customStyle="1" w:styleId="56">
    <w:name w:val="书籍标题1"/>
    <w:autoRedefine/>
    <w:qFormat/>
    <w:uiPriority w:val="25"/>
    <w:rPr>
      <w:b/>
      <w:i/>
      <w:w w:val="100"/>
      <w:sz w:val="21"/>
      <w:szCs w:val="21"/>
      <w:shd w:val="clear" w:color="auto" w:fill="auto"/>
    </w:rPr>
  </w:style>
  <w:style w:type="paragraph" w:customStyle="1" w:styleId="57">
    <w:name w:val="列出段落1"/>
    <w:autoRedefine/>
    <w:qFormat/>
    <w:uiPriority w:val="26"/>
    <w:pPr>
      <w:ind w:left="850"/>
      <w:jc w:val="both"/>
    </w:pPr>
    <w:rPr>
      <w:rFonts w:ascii="Times New Roman" w:hAnsi="Times New Roman" w:eastAsia="Times New Roman" w:cstheme="minorBidi"/>
      <w:sz w:val="21"/>
      <w:szCs w:val="21"/>
      <w:lang w:val="en-US" w:eastAsia="zh-CN" w:bidi="ar-SA"/>
    </w:rPr>
  </w:style>
  <w:style w:type="paragraph" w:customStyle="1" w:styleId="58">
    <w:name w:val="TOC 标题1"/>
    <w:autoRedefine/>
    <w:unhideWhenUsed/>
    <w:qFormat/>
    <w:uiPriority w:val="27"/>
    <w:rPr>
      <w:rFonts w:ascii="Times New Roman" w:hAnsi="Times New Roman" w:eastAsia="Times New Roman" w:cstheme="minorBidi"/>
      <w:color w:val="2E74B5"/>
      <w:sz w:val="32"/>
      <w:szCs w:val="32"/>
      <w:lang w:val="en-US" w:eastAsia="zh-CN" w:bidi="ar-SA"/>
    </w:rPr>
  </w:style>
  <w:style w:type="character" w:customStyle="1" w:styleId="59">
    <w:name w:val="批注框文本 Char"/>
    <w:basedOn w:val="32"/>
    <w:link w:val="20"/>
    <w:autoRedefine/>
    <w:qFormat/>
    <w:uiPriority w:val="0"/>
    <w:rPr>
      <w:rFonts w:ascii="Calibri" w:hAnsi="Calibri" w:cstheme="minorBidi"/>
      <w:sz w:val="18"/>
      <w:szCs w:val="18"/>
    </w:rPr>
  </w:style>
  <w:style w:type="character" w:customStyle="1" w:styleId="60">
    <w:name w:val="hover5"/>
    <w:basedOn w:val="32"/>
    <w:autoRedefine/>
    <w:qFormat/>
    <w:uiPriority w:val="0"/>
    <w:rPr>
      <w:color w:val="0063BA"/>
    </w:rPr>
  </w:style>
  <w:style w:type="character" w:customStyle="1" w:styleId="61">
    <w:name w:val="before"/>
    <w:basedOn w:val="32"/>
    <w:autoRedefine/>
    <w:qFormat/>
    <w:uiPriority w:val="0"/>
    <w:rPr>
      <w:shd w:val="clear" w:fill="E22323"/>
    </w:rPr>
  </w:style>
  <w:style w:type="character" w:customStyle="1" w:styleId="62">
    <w:name w:val="hover"/>
    <w:basedOn w:val="32"/>
    <w:autoRedefine/>
    <w:qFormat/>
    <w:uiPriority w:val="0"/>
    <w:rPr>
      <w:color w:val="0063BA"/>
    </w:rPr>
  </w:style>
  <w:style w:type="character" w:customStyle="1" w:styleId="63">
    <w:name w:val="hover4"/>
    <w:basedOn w:val="32"/>
    <w:autoRedefine/>
    <w:qFormat/>
    <w:uiPriority w:val="0"/>
    <w:rPr>
      <w:color w:val="0063B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775</Words>
  <Characters>962</Characters>
  <Lines>9</Lines>
  <Paragraphs>2</Paragraphs>
  <TotalTime>9</TotalTime>
  <ScaleCrop>false</ScaleCrop>
  <LinksUpToDate>false</LinksUpToDate>
  <CharactersWithSpaces>1100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2018-09-20T02:06:00Z</dcterms:created>
  <dc:creator>Administrator</dc:creator>
  <cp:lastModifiedBy>WPS_1602497377</cp:lastModifiedBy>
  <cp:lastPrinted>2025-04-14T03:35:00Z</cp:lastPrinted>
  <dcterms:modified xsi:type="dcterms:W3CDTF">2025-04-15T01:55:10Z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EF8A4EAD4C6F4AB285B0B353914DBF38_13</vt:lpwstr>
  </property>
  <property fmtid="{D5CDD505-2E9C-101B-9397-08002B2CF9AE}" pid="4" name="KSOTemplateDocerSaveRecord">
    <vt:lpwstr>eyJoZGlkIjoiOTBmMjdiOTExOTZiZGQxYWM0Y2ZlNWFjZmEyZTRjYTUiLCJ1c2VySWQiOiIxMTMwNTMyMTQ1In0=</vt:lpwstr>
  </property>
</Properties>
</file>