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480" w:firstLineChars="150"/>
        <w:rPr>
          <w:rFonts w:ascii="宋体" w:hAnsi="宋体"/>
          <w:sz w:val="32"/>
          <w:szCs w:val="32"/>
        </w:rPr>
      </w:pPr>
      <w:r>
        <w:rPr>
          <w:rFonts w:hint="eastAsia" w:ascii="宋体" w:hAnsi="宋体"/>
          <w:sz w:val="32"/>
          <w:szCs w:val="32"/>
        </w:rPr>
        <w:t>2025年国家绿色高产高效行动项目象州</w:t>
      </w:r>
      <w:r>
        <w:rPr>
          <w:rFonts w:hint="eastAsia" w:ascii="宋体" w:hAnsi="宋体" w:cs="楷体_GB2312"/>
          <w:sz w:val="32"/>
          <w:szCs w:val="32"/>
        </w:rPr>
        <w:t>糖料蔗推进县</w:t>
      </w:r>
      <w:r>
        <w:rPr>
          <w:rFonts w:hint="eastAsia" w:ascii="宋体" w:hAnsi="宋体"/>
          <w:sz w:val="32"/>
          <w:szCs w:val="32"/>
        </w:rPr>
        <w:t xml:space="preserve"> </w:t>
      </w:r>
    </w:p>
    <w:p>
      <w:pPr>
        <w:ind w:firstLine="640" w:firstLineChars="200"/>
        <w:jc w:val="center"/>
        <w:rPr>
          <w:rFonts w:ascii="宋体" w:hAnsi="宋体" w:cs="宋体"/>
          <w:sz w:val="32"/>
          <w:szCs w:val="32"/>
        </w:rPr>
      </w:pPr>
      <w:r>
        <w:rPr>
          <w:rFonts w:hint="eastAsia" w:ascii="宋体" w:hAnsi="宋体"/>
          <w:kern w:val="0"/>
          <w:sz w:val="32"/>
          <w:szCs w:val="32"/>
        </w:rPr>
        <w:t>重大农作物病虫害观测场建设</w:t>
      </w:r>
      <w:r>
        <w:rPr>
          <w:rFonts w:hint="eastAsia" w:ascii="宋体" w:hAnsi="宋体" w:cs="宋体"/>
          <w:sz w:val="32"/>
          <w:szCs w:val="32"/>
        </w:rPr>
        <w:t>询价采购公告</w:t>
      </w:r>
    </w:p>
    <w:p>
      <w:pPr>
        <w:adjustRightInd w:val="0"/>
        <w:snapToGrid w:val="0"/>
        <w:spacing w:line="600" w:lineRule="exact"/>
        <w:ind w:firstLine="420" w:firstLineChars="150"/>
        <w:rPr>
          <w:rFonts w:asciiTheme="majorEastAsia" w:hAnsiTheme="majorEastAsia" w:eastAsiaTheme="majorEastAsia"/>
          <w:sz w:val="28"/>
          <w:szCs w:val="28"/>
        </w:rPr>
      </w:pPr>
      <w:r>
        <w:rPr>
          <w:rFonts w:hint="eastAsia" w:asciiTheme="majorEastAsia" w:hAnsiTheme="majorEastAsia" w:eastAsiaTheme="majorEastAsia"/>
          <w:kern w:val="0"/>
          <w:sz w:val="28"/>
          <w:szCs w:val="28"/>
        </w:rPr>
        <w:t>根据</w:t>
      </w:r>
      <w:r>
        <w:rPr>
          <w:rFonts w:hint="eastAsia" w:asciiTheme="majorEastAsia" w:hAnsiTheme="majorEastAsia" w:eastAsiaTheme="majorEastAsia"/>
          <w:sz w:val="28"/>
          <w:szCs w:val="28"/>
        </w:rPr>
        <w:t>2025年国家绿色高产高效行动项目象州</w:t>
      </w:r>
      <w:r>
        <w:rPr>
          <w:rFonts w:hint="eastAsia" w:cs="楷体_GB2312" w:asciiTheme="majorEastAsia" w:hAnsiTheme="majorEastAsia" w:eastAsiaTheme="majorEastAsia"/>
          <w:sz w:val="28"/>
          <w:szCs w:val="28"/>
        </w:rPr>
        <w:t>糖料蔗推进县</w:t>
      </w:r>
      <w:r>
        <w:rPr>
          <w:rFonts w:hint="eastAsia" w:asciiTheme="majorEastAsia" w:hAnsiTheme="majorEastAsia" w:eastAsiaTheme="majorEastAsia"/>
          <w:kern w:val="0"/>
          <w:sz w:val="28"/>
          <w:szCs w:val="28"/>
        </w:rPr>
        <w:t>实施方案重大农作物病虫害观测场建设</w:t>
      </w:r>
      <w:r>
        <w:rPr>
          <w:rFonts w:hint="eastAsia" w:cs="宋体" w:asciiTheme="majorEastAsia" w:hAnsiTheme="majorEastAsia" w:eastAsiaTheme="majorEastAsia"/>
          <w:bCs/>
          <w:spacing w:val="-6"/>
          <w:sz w:val="28"/>
          <w:szCs w:val="28"/>
        </w:rPr>
        <w:t xml:space="preserve">资金总额为40.00万元。 </w:t>
      </w:r>
      <w:r>
        <w:rPr>
          <w:rFonts w:hint="eastAsia" w:cs="宋体" w:asciiTheme="majorEastAsia" w:hAnsiTheme="majorEastAsia" w:eastAsiaTheme="majorEastAsia"/>
          <w:sz w:val="28"/>
          <w:szCs w:val="28"/>
        </w:rPr>
        <w:t>根据相关规定，以询价采购的方式招标采购，该</w:t>
      </w:r>
      <w:r>
        <w:rPr>
          <w:rFonts w:hint="eastAsia" w:cs="宋体" w:asciiTheme="majorEastAsia" w:hAnsiTheme="majorEastAsia" w:eastAsiaTheme="majorEastAsia"/>
          <w:bCs/>
          <w:spacing w:val="-6"/>
          <w:sz w:val="28"/>
          <w:szCs w:val="28"/>
        </w:rPr>
        <w:t>项目</w:t>
      </w:r>
      <w:r>
        <w:rPr>
          <w:rFonts w:hint="eastAsia" w:cs="宋体" w:asciiTheme="majorEastAsia" w:hAnsiTheme="majorEastAsia" w:eastAsiaTheme="majorEastAsia"/>
          <w:sz w:val="28"/>
          <w:szCs w:val="28"/>
        </w:rPr>
        <w:t>在政采云和象州农业农村局公告栏同时进行公示，公示时间从2025年7月28日起至2025年8月1日止，共5个工作日。欢迎符合条件的供应商参加投标报价。</w:t>
      </w:r>
    </w:p>
    <w:p>
      <w:pPr>
        <w:numPr>
          <w:ilvl w:val="0"/>
          <w:numId w:val="1"/>
        </w:numP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项目基本情况</w:t>
      </w:r>
    </w:p>
    <w:p>
      <w:pPr>
        <w:adjustRightInd w:val="0"/>
        <w:snapToGrid w:val="0"/>
        <w:spacing w:line="600" w:lineRule="exact"/>
        <w:ind w:firstLine="420" w:firstLineChars="150"/>
        <w:rPr>
          <w:rFonts w:asciiTheme="majorEastAsia" w:hAnsiTheme="majorEastAsia" w:eastAsiaTheme="majorEastAsia"/>
          <w:kern w:val="0"/>
          <w:sz w:val="28"/>
          <w:szCs w:val="28"/>
        </w:rPr>
      </w:pPr>
      <w:r>
        <w:rPr>
          <w:rFonts w:hint="eastAsia" w:cs="宋体" w:asciiTheme="majorEastAsia" w:hAnsiTheme="majorEastAsia" w:eastAsiaTheme="majorEastAsia"/>
          <w:sz w:val="28"/>
          <w:szCs w:val="28"/>
        </w:rPr>
        <w:t>1、项目名称:</w:t>
      </w:r>
      <w:r>
        <w:rPr>
          <w:rFonts w:hint="eastAsia" w:asciiTheme="majorEastAsia" w:hAnsiTheme="majorEastAsia" w:eastAsiaTheme="majorEastAsia"/>
          <w:sz w:val="28"/>
          <w:szCs w:val="28"/>
        </w:rPr>
        <w:t xml:space="preserve"> 2025年国家绿色高产高效行动项目象州</w:t>
      </w:r>
      <w:r>
        <w:rPr>
          <w:rFonts w:hint="eastAsia" w:cs="楷体_GB2312" w:asciiTheme="majorEastAsia" w:hAnsiTheme="majorEastAsia" w:eastAsiaTheme="majorEastAsia"/>
          <w:sz w:val="28"/>
          <w:szCs w:val="28"/>
        </w:rPr>
        <w:t>糖料蔗推进县</w:t>
      </w:r>
      <w:r>
        <w:rPr>
          <w:rFonts w:hint="eastAsia" w:asciiTheme="majorEastAsia" w:hAnsiTheme="majorEastAsia" w:eastAsiaTheme="majorEastAsia"/>
          <w:kern w:val="0"/>
          <w:sz w:val="28"/>
          <w:szCs w:val="28"/>
        </w:rPr>
        <w:t>重大农作物病虫害观测场建设</w:t>
      </w:r>
    </w:p>
    <w:p>
      <w:pPr>
        <w:adjustRightInd w:val="0"/>
        <w:snapToGrid w:val="0"/>
        <w:spacing w:line="600" w:lineRule="exact"/>
        <w:ind w:firstLine="420" w:firstLineChars="150"/>
        <w:rPr>
          <w:rFonts w:asciiTheme="majorEastAsia" w:hAnsiTheme="majorEastAsia" w:eastAsiaTheme="majorEastAsia"/>
          <w:sz w:val="28"/>
          <w:szCs w:val="28"/>
        </w:rPr>
      </w:pPr>
      <w:r>
        <w:rPr>
          <w:rFonts w:hint="eastAsia" w:cs="宋体" w:asciiTheme="majorEastAsia" w:hAnsiTheme="majorEastAsia" w:eastAsiaTheme="majorEastAsia"/>
          <w:sz w:val="28"/>
          <w:szCs w:val="28"/>
        </w:rPr>
        <w:t>2、项目概况</w:t>
      </w:r>
    </w:p>
    <w:p>
      <w:pPr>
        <w:snapToGrid w:val="0"/>
        <w:spacing w:line="600" w:lineRule="exact"/>
        <w:ind w:firstLine="560" w:firstLineChars="200"/>
        <w:rPr>
          <w:rFonts w:cs="宋体" w:asciiTheme="majorEastAsia" w:hAnsiTheme="majorEastAsia" w:eastAsiaTheme="majorEastAsia"/>
          <w:sz w:val="28"/>
          <w:szCs w:val="28"/>
        </w:rPr>
      </w:pPr>
      <w:bookmarkStart w:id="0" w:name="OLE_LINK6"/>
      <w:bookmarkStart w:id="1" w:name="OLE_LINK5"/>
      <w:bookmarkStart w:id="2" w:name="OLE_LINK3"/>
      <w:r>
        <w:rPr>
          <w:rFonts w:hint="eastAsia" w:asciiTheme="majorEastAsia" w:hAnsiTheme="majorEastAsia" w:eastAsiaTheme="majorEastAsia"/>
          <w:kern w:val="0"/>
          <w:sz w:val="28"/>
          <w:szCs w:val="28"/>
        </w:rPr>
        <w:t>建立1个甘蔗重大农作物病虫害观测场</w:t>
      </w:r>
      <w:bookmarkEnd w:id="0"/>
      <w:bookmarkEnd w:id="1"/>
      <w:r>
        <w:rPr>
          <w:rFonts w:hint="eastAsia" w:asciiTheme="majorEastAsia" w:hAnsiTheme="majorEastAsia" w:eastAsiaTheme="majorEastAsia"/>
          <w:kern w:val="0"/>
          <w:sz w:val="28"/>
          <w:szCs w:val="28"/>
        </w:rPr>
        <w:t>，实现数据可视化、标准化。</w:t>
      </w:r>
      <w:bookmarkEnd w:id="2"/>
      <w:r>
        <w:rPr>
          <w:rFonts w:hint="eastAsia" w:asciiTheme="majorEastAsia" w:hAnsiTheme="majorEastAsia" w:eastAsiaTheme="majorEastAsia"/>
          <w:kern w:val="0"/>
          <w:sz w:val="28"/>
          <w:szCs w:val="28"/>
        </w:rPr>
        <w:t>形成科学有效的植保病虫疫情预警体系，提高重大病虫害预测预报覆盖率、准确率和时效性，指导重大病虫害的防治工作。</w:t>
      </w:r>
      <w:r>
        <w:rPr>
          <w:rFonts w:hint="eastAsia" w:cs="宋体" w:asciiTheme="majorEastAsia" w:hAnsiTheme="majorEastAsia" w:eastAsiaTheme="majorEastAsia"/>
          <w:sz w:val="28"/>
          <w:szCs w:val="28"/>
        </w:rPr>
        <w:t xml:space="preserve"> </w:t>
      </w:r>
      <w:r>
        <w:rPr>
          <w:rFonts w:hint="eastAsia" w:cs="宋体" w:asciiTheme="majorEastAsia" w:hAnsiTheme="majorEastAsia" w:eastAsiaTheme="majorEastAsia"/>
          <w:color w:val="000000"/>
          <w:kern w:val="0"/>
          <w:sz w:val="28"/>
          <w:szCs w:val="28"/>
        </w:rPr>
        <w:t>实施地点：</w:t>
      </w:r>
      <w:r>
        <w:rPr>
          <w:rFonts w:hint="eastAsia" w:asciiTheme="majorEastAsia" w:hAnsiTheme="majorEastAsia" w:eastAsiaTheme="majorEastAsia"/>
          <w:b/>
          <w:sz w:val="28"/>
          <w:szCs w:val="28"/>
        </w:rPr>
        <w:t>象州县石龙镇花山村委</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二、采购方式:</w:t>
      </w:r>
      <w:r>
        <w:rPr>
          <w:rFonts w:hint="eastAsia" w:cs="宋体" w:asciiTheme="majorEastAsia" w:hAnsiTheme="majorEastAsia" w:eastAsiaTheme="majorEastAsia"/>
          <w:sz w:val="28"/>
          <w:szCs w:val="28"/>
          <w:u w:val="single"/>
        </w:rPr>
        <w:t>询价采购</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三、项目采购需求</w:t>
      </w:r>
    </w:p>
    <w:p>
      <w:pPr>
        <w:spacing w:line="600" w:lineRule="exact"/>
        <w:ind w:firstLine="560" w:firstLineChars="200"/>
        <w:rPr>
          <w:rFonts w:asciiTheme="majorEastAsia" w:hAnsiTheme="majorEastAsia" w:eastAsiaTheme="majorEastAsia"/>
          <w:sz w:val="28"/>
          <w:szCs w:val="28"/>
        </w:rPr>
      </w:pPr>
      <w:bookmarkStart w:id="3" w:name="OLE_LINK7"/>
      <w:bookmarkStart w:id="4" w:name="OLE_LINK8"/>
      <w:r>
        <w:rPr>
          <w:rFonts w:hint="eastAsia" w:asciiTheme="majorEastAsia" w:hAnsiTheme="majorEastAsia" w:eastAsiaTheme="majorEastAsia"/>
          <w:sz w:val="28"/>
          <w:szCs w:val="28"/>
        </w:rPr>
        <w:t>1、基础建设  新建仪器安装基础</w:t>
      </w:r>
      <w:r>
        <w:rPr>
          <w:rFonts w:asciiTheme="majorEastAsia" w:hAnsiTheme="majorEastAsia" w:eastAsiaTheme="majorEastAsia"/>
          <w:sz w:val="28"/>
          <w:szCs w:val="28"/>
        </w:rPr>
        <w:t>4</w:t>
      </w:r>
      <w:r>
        <w:rPr>
          <w:rFonts w:hint="eastAsia" w:asciiTheme="majorEastAsia" w:hAnsiTheme="majorEastAsia" w:eastAsiaTheme="majorEastAsia"/>
          <w:sz w:val="28"/>
          <w:szCs w:val="28"/>
        </w:rPr>
        <w:t>个，配电箱基础</w:t>
      </w:r>
      <w:r>
        <w:rPr>
          <w:rFonts w:asciiTheme="majorEastAsia" w:hAnsiTheme="majorEastAsia" w:eastAsiaTheme="majorEastAsia"/>
          <w:sz w:val="28"/>
          <w:szCs w:val="28"/>
        </w:rPr>
        <w:t>1</w:t>
      </w:r>
      <w:r>
        <w:rPr>
          <w:rFonts w:hint="eastAsia" w:asciiTheme="majorEastAsia" w:hAnsiTheme="majorEastAsia" w:eastAsiaTheme="majorEastAsia"/>
          <w:sz w:val="28"/>
          <w:szCs w:val="28"/>
        </w:rPr>
        <w:t>个，路面为透水砖搭建而成，新建围栏采用</w:t>
      </w:r>
      <w:r>
        <w:rPr>
          <w:rFonts w:asciiTheme="majorEastAsia" w:hAnsiTheme="majorEastAsia" w:eastAsiaTheme="majorEastAsia"/>
          <w:sz w:val="28"/>
          <w:szCs w:val="28"/>
        </w:rPr>
        <w:t>304</w:t>
      </w:r>
      <w:r>
        <w:rPr>
          <w:rFonts w:hint="eastAsia" w:asciiTheme="majorEastAsia" w:hAnsiTheme="majorEastAsia" w:eastAsiaTheme="majorEastAsia"/>
          <w:sz w:val="28"/>
          <w:szCs w:val="28"/>
        </w:rPr>
        <w:t>不锈钢，结构为通透型栅栏，围栏高</w:t>
      </w:r>
      <w:r>
        <w:rPr>
          <w:rFonts w:asciiTheme="majorEastAsia" w:hAnsiTheme="majorEastAsia" w:eastAsiaTheme="majorEastAsia"/>
          <w:sz w:val="28"/>
          <w:szCs w:val="28"/>
        </w:rPr>
        <w:t>1.5m</w:t>
      </w:r>
      <w:r>
        <w:rPr>
          <w:rFonts w:hint="eastAsia" w:asciiTheme="majorEastAsia" w:hAnsiTheme="majorEastAsia" w:eastAsiaTheme="majorEastAsia"/>
          <w:sz w:val="28"/>
          <w:szCs w:val="28"/>
        </w:rPr>
        <w:t xml:space="preserve">。 </w:t>
      </w:r>
    </w:p>
    <w:p>
      <w:pPr>
        <w:spacing w:line="600" w:lineRule="exact"/>
        <w:ind w:firstLine="560"/>
        <w:rPr>
          <w:rFonts w:asciiTheme="majorEastAsia" w:hAnsiTheme="majorEastAsia" w:eastAsiaTheme="majorEastAsia"/>
          <w:sz w:val="28"/>
          <w:szCs w:val="28"/>
        </w:rPr>
      </w:pPr>
      <w:r>
        <w:rPr>
          <w:rFonts w:asciiTheme="majorEastAsia" w:hAnsiTheme="majorEastAsia" w:eastAsiaTheme="majorEastAsia"/>
          <w:sz w:val="28"/>
          <w:szCs w:val="28"/>
        </w:rPr>
        <w:t>2</w:t>
      </w:r>
      <w:r>
        <w:rPr>
          <w:rFonts w:hint="eastAsia" w:asciiTheme="majorEastAsia" w:hAnsiTheme="majorEastAsia" w:eastAsiaTheme="majorEastAsia"/>
          <w:sz w:val="28"/>
          <w:szCs w:val="28"/>
        </w:rPr>
        <w:t>、仪器设备  本项目拟购置仪器设4台（套），其中智能虫情测报灯1套、性诱监测诱捕器1套、气候监测仪1套、田间实时监测物联网设备1套。</w:t>
      </w:r>
    </w:p>
    <w:p>
      <w:pPr>
        <w:spacing w:line="600" w:lineRule="exact"/>
        <w:ind w:firstLine="560"/>
        <w:rPr>
          <w:rFonts w:asciiTheme="majorEastAsia" w:hAnsiTheme="majorEastAsia" w:eastAsiaTheme="majorEastAsia"/>
          <w:sz w:val="28"/>
          <w:szCs w:val="28"/>
        </w:rPr>
      </w:pPr>
      <w:r>
        <w:rPr>
          <w:rFonts w:asciiTheme="majorEastAsia" w:hAnsiTheme="majorEastAsia" w:eastAsiaTheme="majorEastAsia"/>
          <w:sz w:val="28"/>
          <w:szCs w:val="28"/>
        </w:rPr>
        <w:t>3</w:t>
      </w:r>
      <w:r>
        <w:rPr>
          <w:rFonts w:hint="eastAsia" w:asciiTheme="majorEastAsia" w:hAnsiTheme="majorEastAsia" w:eastAsiaTheme="majorEastAsia"/>
          <w:sz w:val="28"/>
          <w:szCs w:val="28"/>
        </w:rPr>
        <w:t>、平台数据对接  开发病虫害物联网数据分析系统</w:t>
      </w:r>
      <w:r>
        <w:rPr>
          <w:rFonts w:asciiTheme="majorEastAsia" w:hAnsiTheme="majorEastAsia" w:eastAsiaTheme="majorEastAsia"/>
          <w:sz w:val="28"/>
          <w:szCs w:val="28"/>
        </w:rPr>
        <w:t>1</w:t>
      </w:r>
      <w:r>
        <w:rPr>
          <w:rFonts w:hint="eastAsia" w:asciiTheme="majorEastAsia" w:hAnsiTheme="majorEastAsia" w:eastAsiaTheme="majorEastAsia"/>
          <w:sz w:val="28"/>
          <w:szCs w:val="28"/>
        </w:rPr>
        <w:t>套</w:t>
      </w:r>
      <w:bookmarkStart w:id="5" w:name="_Toc482694408"/>
      <w:r>
        <w:rPr>
          <w:rFonts w:hint="eastAsia" w:asciiTheme="majorEastAsia" w:hAnsiTheme="majorEastAsia" w:eastAsiaTheme="majorEastAsia"/>
          <w:sz w:val="28"/>
          <w:szCs w:val="28"/>
        </w:rPr>
        <w:t>，满足平台对接的需求，具体内容有监测及各类数据采集、汇总、分析。</w:t>
      </w:r>
    </w:p>
    <w:bookmarkEnd w:id="3"/>
    <w:bookmarkEnd w:id="4"/>
    <w:bookmarkEnd w:id="5"/>
    <w:p>
      <w:pPr>
        <w:autoSpaceDE w:val="0"/>
        <w:spacing w:line="53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四、相关要求:</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1、所供产品必须为符合国家各项有关质量标准的合格产品。</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2、供应商要符合《中华人民共和国政府采购法》第二十二条所规定的条件，国内注册（指按国家有关规定要求注册的）具有独立法人资格。</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3、能完成采购需求，且符合采购参数及条件。</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4、本项目不接受联合体招标。</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5、由供应商送到采购方指定地点负责安装调试直到能正常使用。</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五、递交报价截止时间及询价时间</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(一) 递交报价文件截止时间: 2025年7月28日至2025年8月1日止。</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(二)供应商应于递交文件截止时间前将响应文件以邮递或现场方式送达询价地点，逾期未送达或没有盖章密封的将被拒绝。</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六、递交报价文件及询价地点</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广西来宾市象州县温泉大道130号象州县农业农村局植物保护检疫站</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七、评审方式</w:t>
      </w:r>
    </w:p>
    <w:p>
      <w:pPr>
        <w:autoSpaceDE w:val="0"/>
        <w:spacing w:line="530" w:lineRule="exact"/>
        <w:ind w:firstLine="546" w:firstLineChars="19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由象州县农业农村局评标小组现场拆封报价密封件，按项目评分细则作为评分标准，采用分值高的方式确定中标候选人，然后递交局领导班子会讨论确定中标公司。</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八、其他事项</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(一)本询价文件由象州县农业农村局负责解释。</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(二)询价人联系方式</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1、联系人:余先生</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2、联系电话：0772-4362717     13977246639</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3、联系地址: 广西来宾市象州县温泉大道130号</w:t>
      </w:r>
    </w:p>
    <w:p>
      <w:pPr>
        <w:ind w:left="435"/>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4、邮政编码:545800</w:t>
      </w:r>
    </w:p>
    <w:p>
      <w:pPr>
        <w:ind w:left="435" w:leftChars="207" w:firstLine="140" w:firstLineChars="5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特此公告</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象州县农业农村局</w:t>
      </w:r>
    </w:p>
    <w:p>
      <w:pPr>
        <w:ind w:firstLine="6160" w:firstLineChars="2200"/>
        <w:rPr>
          <w:rFonts w:asciiTheme="majorEastAsia" w:hAnsiTheme="majorEastAsia" w:eastAsiaTheme="majorEastAsia"/>
          <w:sz w:val="28"/>
          <w:szCs w:val="28"/>
        </w:rPr>
      </w:pPr>
      <w:r>
        <w:rPr>
          <w:rFonts w:hint="eastAsia" w:asciiTheme="majorEastAsia" w:hAnsiTheme="majorEastAsia" w:eastAsiaTheme="majorEastAsia"/>
          <w:sz w:val="28"/>
          <w:szCs w:val="28"/>
        </w:rPr>
        <w:t>2025年7月25日</w:t>
      </w: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ind w:firstLine="6160" w:firstLineChars="2200"/>
        <w:rPr>
          <w:rFonts w:asciiTheme="majorEastAsia" w:hAnsiTheme="majorEastAsia" w:eastAsiaTheme="majorEastAsia"/>
          <w:sz w:val="28"/>
          <w:szCs w:val="28"/>
        </w:rPr>
      </w:pPr>
    </w:p>
    <w:p>
      <w:pPr>
        <w:adjustRightInd w:val="0"/>
        <w:snapToGrid w:val="0"/>
        <w:spacing w:line="600" w:lineRule="exact"/>
        <w:rPr>
          <w:rFonts w:asciiTheme="majorEastAsia" w:hAnsiTheme="majorEastAsia" w:eastAsiaTheme="majorEastAsia"/>
          <w:szCs w:val="28"/>
        </w:rPr>
      </w:pPr>
      <w:r>
        <w:rPr>
          <w:rFonts w:hint="eastAsia" w:asciiTheme="majorEastAsia" w:hAnsiTheme="majorEastAsia" w:eastAsiaTheme="majorEastAsia"/>
          <w:szCs w:val="28"/>
        </w:rPr>
        <w:t xml:space="preserve">附件1： </w:t>
      </w:r>
      <w:bookmarkStart w:id="6" w:name="_Toc1824054394"/>
      <w:r>
        <w:rPr>
          <w:rFonts w:hint="eastAsia" w:asciiTheme="majorEastAsia" w:hAnsiTheme="majorEastAsia" w:eastAsiaTheme="majorEastAsia"/>
          <w:szCs w:val="28"/>
        </w:rPr>
        <w:t>设备购置</w:t>
      </w:r>
      <w:bookmarkEnd w:id="6"/>
      <w:r>
        <w:rPr>
          <w:rFonts w:hint="eastAsia" w:asciiTheme="majorEastAsia" w:hAnsiTheme="majorEastAsia" w:eastAsiaTheme="majorEastAsia"/>
          <w:szCs w:val="28"/>
        </w:rPr>
        <w:t>参数及报价：</w:t>
      </w:r>
    </w:p>
    <w:p>
      <w:pPr>
        <w:ind w:firstLine="360"/>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 </w:t>
      </w:r>
    </w:p>
    <w:p>
      <w:pPr>
        <w:jc w:val="center"/>
        <w:rPr>
          <w:rFonts w:asciiTheme="majorEastAsia" w:hAnsiTheme="majorEastAsia" w:eastAsiaTheme="majorEastAsia"/>
          <w:b/>
          <w:sz w:val="18"/>
          <w:szCs w:val="18"/>
        </w:rPr>
      </w:pPr>
      <w:r>
        <w:rPr>
          <w:rFonts w:hint="eastAsia" w:asciiTheme="majorEastAsia" w:hAnsiTheme="majorEastAsia" w:eastAsiaTheme="majorEastAsia"/>
          <w:b/>
          <w:sz w:val="18"/>
          <w:szCs w:val="18"/>
        </w:rPr>
        <w:t>仪器设备及软件参数表</w:t>
      </w:r>
    </w:p>
    <w:tbl>
      <w:tblPr>
        <w:tblStyle w:val="5"/>
        <w:tblW w:w="1001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55"/>
        <w:gridCol w:w="7229"/>
        <w:gridCol w:w="567"/>
        <w:gridCol w:w="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序号</w:t>
            </w:r>
          </w:p>
        </w:tc>
        <w:tc>
          <w:tcPr>
            <w:tcW w:w="85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名称</w:t>
            </w:r>
          </w:p>
        </w:tc>
        <w:tc>
          <w:tcPr>
            <w:tcW w:w="7229"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规格参数</w:t>
            </w:r>
          </w:p>
        </w:tc>
        <w:tc>
          <w:tcPr>
            <w:tcW w:w="567" w:type="dxa"/>
            <w:tcBorders>
              <w:top w:val="single" w:color="auto" w:sz="2" w:space="0"/>
              <w:left w:val="single" w:color="auto" w:sz="2" w:space="0"/>
              <w:bottom w:val="single" w:color="auto" w:sz="2" w:space="0"/>
              <w:right w:val="single" w:color="auto" w:sz="2" w:space="0"/>
            </w:tcBorders>
            <w:vAlign w:val="center"/>
          </w:tcPr>
          <w:p>
            <w:pPr>
              <w:widowControl/>
              <w:jc w:val="center"/>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数量</w:t>
            </w:r>
          </w:p>
        </w:tc>
        <w:tc>
          <w:tcPr>
            <w:tcW w:w="938" w:type="dxa"/>
            <w:tcBorders>
              <w:top w:val="single" w:color="auto" w:sz="2" w:space="0"/>
              <w:left w:val="single" w:color="auto" w:sz="2" w:space="0"/>
              <w:bottom w:val="single" w:color="auto" w:sz="2" w:space="0"/>
              <w:right w:val="single" w:color="auto" w:sz="2" w:space="0"/>
            </w:tcBorders>
            <w:vAlign w:val="center"/>
          </w:tcPr>
          <w:p>
            <w:pPr>
              <w:widowControl/>
              <w:jc w:val="center"/>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单价(万元)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1</w:t>
            </w:r>
          </w:p>
        </w:tc>
        <w:tc>
          <w:tcPr>
            <w:tcW w:w="855" w:type="dxa"/>
            <w:tcBorders>
              <w:top w:val="single" w:color="auto" w:sz="2" w:space="0"/>
              <w:left w:val="single" w:color="auto" w:sz="2" w:space="0"/>
              <w:bottom w:val="single" w:color="auto" w:sz="2" w:space="0"/>
              <w:right w:val="single" w:color="auto" w:sz="2" w:space="0"/>
            </w:tcBorders>
            <w:vAlign w:val="center"/>
          </w:tcPr>
          <w:p>
            <w:pPr>
              <w:jc w:val="cente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智能虫情测报灯</w:t>
            </w:r>
          </w:p>
        </w:tc>
        <w:tc>
          <w:tcPr>
            <w:tcW w:w="7229" w:type="dxa"/>
            <w:tcBorders>
              <w:top w:val="single" w:color="auto" w:sz="2" w:space="0"/>
              <w:left w:val="single" w:color="auto" w:sz="2" w:space="0"/>
              <w:bottom w:val="single" w:color="auto" w:sz="2" w:space="0"/>
              <w:right w:val="single" w:color="auto" w:sz="2" w:space="0"/>
            </w:tcBorders>
          </w:tcPr>
          <w:p>
            <w:pPr>
              <w:widowControl/>
              <w:numPr>
                <w:ilvl w:val="0"/>
                <w:numId w:val="2"/>
              </w:numPr>
              <w:snapToGrid w:val="0"/>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1、符合国家标准，能自动拍照、上传害虫图片，可自动清理死虫体，支持电脑客户端、网页版、移动端版数据共享，同时能够实现自动分析相关数据，历史数据可实时在线免费存储、查阅、下载表格及图片，方便使用人员进行数据的横向比较和纵向分析。同时，测报人员可以根据数据比较要求，自有在图片平台上切换虫体大小对比标尺网格，实现精准校准虫体大小；</w:t>
            </w:r>
          </w:p>
          <w:p>
            <w:pPr>
              <w:widowControl/>
              <w:numPr>
                <w:ilvl w:val="0"/>
                <w:numId w:val="2"/>
              </w:numPr>
              <w:snapToGrid w:val="0"/>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2、整体结构采用304不锈钢材质或不锈钢喷塑，撞击屏互成的度夹角不低于120°，捕捉口外围设有滤网，防止非目标体大虫子进入机器内部，影响小虫子自动识别，设备配备防雨百叶和防雨棚，保证在雨天也能正常工作；</w:t>
            </w:r>
          </w:p>
          <w:p>
            <w:pPr>
              <w:widowControl/>
              <w:numPr>
                <w:ilvl w:val="0"/>
                <w:numId w:val="2"/>
              </w:numPr>
              <w:snapToGrid w:val="0"/>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3、虫体处理：远红外虫体处理，仓温度85±5℃，虫体处理致死率不低于9</w:t>
            </w:r>
            <w:r>
              <w:rPr>
                <w:rFonts w:cs="仿宋" w:asciiTheme="majorEastAsia" w:hAnsiTheme="majorEastAsia" w:eastAsiaTheme="majorEastAsia"/>
                <w:kern w:val="0"/>
                <w:sz w:val="18"/>
                <w:szCs w:val="18"/>
              </w:rPr>
              <w:t>8</w:t>
            </w:r>
            <w:r>
              <w:rPr>
                <w:rFonts w:hint="eastAsia" w:cs="仿宋" w:asciiTheme="majorEastAsia" w:hAnsiTheme="majorEastAsia" w:eastAsiaTheme="majorEastAsia"/>
                <w:kern w:val="0"/>
                <w:sz w:val="18"/>
                <w:szCs w:val="18"/>
              </w:rPr>
              <w:t>%，虫体完整率≥9</w:t>
            </w:r>
            <w:r>
              <w:rPr>
                <w:rFonts w:cs="仿宋" w:asciiTheme="majorEastAsia" w:hAnsiTheme="majorEastAsia" w:eastAsiaTheme="majorEastAsia"/>
                <w:kern w:val="0"/>
                <w:sz w:val="18"/>
                <w:szCs w:val="18"/>
              </w:rPr>
              <w:t>5</w:t>
            </w:r>
            <w:r>
              <w:rPr>
                <w:rFonts w:hint="eastAsia" w:cs="仿宋" w:asciiTheme="majorEastAsia" w:hAnsiTheme="majorEastAsia" w:eastAsiaTheme="majorEastAsia"/>
                <w:kern w:val="0"/>
                <w:sz w:val="18"/>
                <w:szCs w:val="18"/>
              </w:rPr>
              <w:t>%，同时设备自带传送带散虫平铺结构，传送带准确的将虫体运输带拍照区域内，保证虫体不堆叠，能确保会让每一个虫子特征都可以被拍的清楚，为自动识别和人工矫正打好基础，分散率≥9</w:t>
            </w:r>
            <w:r>
              <w:rPr>
                <w:rFonts w:cs="仿宋" w:asciiTheme="majorEastAsia" w:hAnsiTheme="majorEastAsia" w:eastAsiaTheme="majorEastAsia"/>
                <w:kern w:val="0"/>
                <w:sz w:val="18"/>
                <w:szCs w:val="18"/>
              </w:rPr>
              <w:t>5</w:t>
            </w:r>
            <w:r>
              <w:rPr>
                <w:rFonts w:hint="eastAsia" w:cs="仿宋" w:asciiTheme="majorEastAsia" w:hAnsiTheme="majorEastAsia" w:eastAsiaTheme="majorEastAsia"/>
                <w:kern w:val="0"/>
                <w:sz w:val="18"/>
                <w:szCs w:val="18"/>
              </w:rPr>
              <w:t>%，无堆叠，测报灯可以引诱并识别常规甘蔗害虫不限于甘蔗黄螟，二点螟，条螟等，识别率≥</w:t>
            </w:r>
            <w:r>
              <w:rPr>
                <w:rFonts w:cs="仿宋" w:asciiTheme="majorEastAsia" w:hAnsiTheme="majorEastAsia" w:eastAsiaTheme="majorEastAsia"/>
                <w:kern w:val="0"/>
                <w:sz w:val="18"/>
                <w:szCs w:val="18"/>
              </w:rPr>
              <w:t>95</w:t>
            </w:r>
            <w:r>
              <w:rPr>
                <w:rFonts w:hint="eastAsia" w:cs="仿宋" w:asciiTheme="majorEastAsia" w:hAnsiTheme="majorEastAsia" w:eastAsiaTheme="majorEastAsia"/>
                <w:kern w:val="0"/>
                <w:sz w:val="18"/>
                <w:szCs w:val="18"/>
              </w:rPr>
              <w:t>%；</w:t>
            </w:r>
          </w:p>
          <w:p>
            <w:pPr>
              <w:widowControl/>
              <w:numPr>
                <w:ilvl w:val="0"/>
                <w:numId w:val="2"/>
              </w:numPr>
              <w:snapToGrid w:val="0"/>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4、可实现自动雨控及排水，能将雨水、虫分离；具防雷击功能；</w:t>
            </w:r>
          </w:p>
          <w:p>
            <w:pPr>
              <w:widowControl/>
              <w:numPr>
                <w:ilvl w:val="0"/>
                <w:numId w:val="2"/>
              </w:numPr>
              <w:snapToGrid w:val="0"/>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5、虫情图像拍照要求：内置高清工业摄像机，且摄像头像素不低于2000W，可通过照片自动识别虫子数量来自动调节拍照时间间隔，系统感应到虫子数量较多后，设备会自动调节拍照间隔时间；</w:t>
            </w:r>
          </w:p>
          <w:p>
            <w:pPr>
              <w:widowControl/>
              <w:numPr>
                <w:ilvl w:val="0"/>
                <w:numId w:val="2"/>
              </w:numPr>
              <w:snapToGrid w:val="0"/>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6、控制功能：可通过触摸屏现场控制及软件端远程手动监测控制设备，诱虫灯开启、手动拍照、光控时控切换、拍照间隔时间、有线、无线网络切换功能、流量限流、GPS/北斗定位等功能；</w:t>
            </w:r>
          </w:p>
          <w:p>
            <w:pPr>
              <w:widowControl/>
              <w:numPr>
                <w:ilvl w:val="0"/>
                <w:numId w:val="2"/>
              </w:numPr>
              <w:snapToGrid w:val="0"/>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7、中控系统：采用四核或以上微型电脑中控，灯管开关、转仓、工作模式、拍照间隔、联网信息、远程启动/重启、设备位置报警、电量提醒、流量提醒等设备的运行状态可以通过中控远程监控，可进行人工分析虫情数量及类型，可以按照时间段进行统计虫情数量及趋势分析等；</w:t>
            </w:r>
          </w:p>
          <w:p>
            <w:pPr>
              <w:widowControl/>
              <w:numPr>
                <w:ilvl w:val="0"/>
                <w:numId w:val="2"/>
              </w:numPr>
              <w:snapToGrid w:val="0"/>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8、其他：交流电220V电源，诱虫光源功率不高于20W；诱虫灯管，主波长维持在360nm左右，灯管启动时间不超过5秒，绝缘电阻不低于2.5MΩ，设备自带不小于7寸触摸显示屏；</w:t>
            </w:r>
          </w:p>
          <w:p>
            <w:pPr>
              <w:widowControl/>
              <w:numPr>
                <w:ilvl w:val="0"/>
                <w:numId w:val="2"/>
              </w:numPr>
              <w:snapToGrid w:val="0"/>
              <w:jc w:val="left"/>
              <w:rPr>
                <w:rFonts w:cs="仿宋" w:asciiTheme="majorEastAsia" w:hAnsiTheme="majorEastAsia" w:eastAsiaTheme="majorEastAsia"/>
                <w:kern w:val="0"/>
                <w:sz w:val="18"/>
                <w:szCs w:val="18"/>
              </w:rPr>
            </w:pPr>
            <w:r>
              <w:rPr>
                <w:rFonts w:cs="仿宋" w:asciiTheme="majorEastAsia" w:hAnsiTheme="majorEastAsia" w:eastAsiaTheme="majorEastAsia"/>
                <w:kern w:val="0"/>
                <w:sz w:val="18"/>
                <w:szCs w:val="18"/>
              </w:rPr>
              <w:t>9</w:t>
            </w:r>
            <w:r>
              <w:rPr>
                <w:rFonts w:hint="eastAsia" w:cs="仿宋" w:asciiTheme="majorEastAsia" w:hAnsiTheme="majorEastAsia" w:eastAsiaTheme="majorEastAsia"/>
                <w:kern w:val="0"/>
                <w:sz w:val="18"/>
                <w:szCs w:val="18"/>
              </w:rPr>
              <w:t>、采集的数据需上传到广西农作物病虫疫情调度指挥平台。</w:t>
            </w:r>
          </w:p>
        </w:tc>
        <w:tc>
          <w:tcPr>
            <w:tcW w:w="567"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1</w:t>
            </w:r>
          </w:p>
        </w:tc>
        <w:tc>
          <w:tcPr>
            <w:tcW w:w="938"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2</w:t>
            </w:r>
          </w:p>
        </w:tc>
        <w:tc>
          <w:tcPr>
            <w:tcW w:w="855" w:type="dxa"/>
            <w:tcBorders>
              <w:top w:val="single" w:color="auto" w:sz="2" w:space="0"/>
              <w:left w:val="single" w:color="auto" w:sz="2" w:space="0"/>
              <w:bottom w:val="single" w:color="auto" w:sz="2" w:space="0"/>
              <w:right w:val="single" w:color="auto" w:sz="2" w:space="0"/>
            </w:tcBorders>
            <w:vAlign w:val="center"/>
          </w:tcPr>
          <w:p>
            <w:pPr>
              <w:jc w:val="cente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性诱监测诱捕器</w:t>
            </w:r>
          </w:p>
        </w:tc>
        <w:tc>
          <w:tcPr>
            <w:tcW w:w="7229" w:type="dxa"/>
            <w:tcBorders>
              <w:top w:val="single" w:color="auto" w:sz="2" w:space="0"/>
              <w:left w:val="single" w:color="auto" w:sz="2" w:space="0"/>
              <w:bottom w:val="single" w:color="auto" w:sz="2" w:space="0"/>
              <w:right w:val="single" w:color="auto" w:sz="2" w:space="0"/>
            </w:tcBorders>
          </w:tcPr>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1.拍照方式：支持远程自动拍照和手动拍照。可设置每天定点拍照时间，亦可在在线时段内手动拍照；</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2.内设高清图像采集装置，可通过摄像头采集粘虫板上的虫子照片，（粘虫板自动更换）通过平台中的识别功能进行识别计数；</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3.诱捕口：针对不同目标害虫采用不同的诱捕方式，侧面有≥10个诱捕口，底部≥2个诱虫口</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4.诱芯放置方式多样化，支持针对不同目标体，放置在不同位置，侧面进入的放置在机器内部；底部往上飞的目标体，放置在底部进虫口；</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5.远程设置工作模式：支持连续在线/休眠2种工作模式，连续在线时段内可触发手动拍照，休眠时段节省功耗；</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6.续航时间长：低功耗设计加太阳能互补方式，内置大容量锂电池，放置在野外无太阳能充电的情况下，可以坚持工作1周以上（25℃情况下，每天定时拍照一张），有太阳能充电的情况下，可持续工作；</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7.排水结构：确保机器上部分为封闭设计，雨水无法进入，底部留有漏水孔，从导虫板进入的雨水可流出，粘虫板在沾水的情况下也可以正常工作；</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8.防逃逸功能：确保粘虫板黏住虫子且出口比进口窄，有效防逃逸；</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 xml:space="preserve">9.计数方式：支持人工查看图片和自动识别诱虫数据 2 种方式相互验证，(避免传统性诱计数不准，容易误报误识别的缺点，直观的把测报数据展现在远程端，不用再去田间地头现场验证）； </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10.自动识别计数：设备拍摄的照片自动上传到平台，自动精准识别目标害虫的数量，并将数据推送给 App 端和 Web 端，自动生成诱虫趋势折线图，为测报人员虫害预警提供数据依据；机器识别计数与人工鉴定数据吻合率≥95%</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11.安装高度：设备底部诱捕口距离地面高度灵活可调；</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12.相机像素：≥500万像素，照片无畸变，颜色正常；</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13.当粘虫板上虫子数量较多，需要更换时，支持远程控制粘虫板更换，节省人力成本；照片上传到服务器后，若AI识别到虫子覆盖率达一定程度，设备也也支持更换粘虫板；若以每天一张粘虫板的更换频率，支持一卷粘虫卷使用至少3个月。</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14.自动识别计数：设备拍摄的照片自动上传到服务器，自动精准识别目标害虫的数量，并将数据推送给 App 端和 Web 端，自动生成诱虫趋势折线图，为测报人员虫害预警提供数据依据（识别数据统计截至前一日）</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15.诱虫数据查看：支持通过日期查询某时间段内，分别查 看单台设备靶标昆虫诱虫新增、累计数量统计分析趋势折线图；可通过日期查询某 日期范围内，多台设备靶标昆虫诱虫新增、 累计数量对比分析趋势折线图；可通过选择，对比不同年份靶标昆虫诱虫趋势折线图。</w:t>
            </w:r>
          </w:p>
          <w:p>
            <w:pPr>
              <w:numPr>
                <w:ilvl w:val="0"/>
                <w:numId w:val="2"/>
              </w:numPr>
              <w:jc w:val="left"/>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16.设备分布：显示所有硬件设备在 GIS 地图上的分布，具有分类查看功能；查看安装的地理位置，设备状态等信息。</w:t>
            </w:r>
          </w:p>
          <w:p>
            <w:pPr>
              <w:numPr>
                <w:ilvl w:val="0"/>
                <w:numId w:val="2"/>
              </w:numPr>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color w:val="000000"/>
                <w:kern w:val="0"/>
                <w:sz w:val="18"/>
                <w:szCs w:val="18"/>
              </w:rPr>
              <w:t>17.必须能够接入广西农作物病虫疫情调度指挥平台系统。</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1</w:t>
            </w:r>
          </w:p>
        </w:tc>
        <w:tc>
          <w:tcPr>
            <w:tcW w:w="938" w:type="dxa"/>
            <w:tcBorders>
              <w:top w:val="single" w:color="auto" w:sz="2" w:space="0"/>
              <w:left w:val="single" w:color="auto" w:sz="2" w:space="0"/>
              <w:bottom w:val="single" w:color="auto" w:sz="2" w:space="0"/>
              <w:right w:val="single" w:color="auto" w:sz="2" w:space="0"/>
            </w:tcBorders>
            <w:vAlign w:val="center"/>
          </w:tcPr>
          <w:p>
            <w:pPr>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3</w:t>
            </w:r>
          </w:p>
        </w:tc>
        <w:tc>
          <w:tcPr>
            <w:tcW w:w="855" w:type="dxa"/>
            <w:tcBorders>
              <w:top w:val="single" w:color="auto" w:sz="2" w:space="0"/>
              <w:left w:val="single" w:color="auto" w:sz="2" w:space="0"/>
              <w:bottom w:val="single" w:color="auto" w:sz="2" w:space="0"/>
              <w:right w:val="single" w:color="auto" w:sz="2" w:space="0"/>
            </w:tcBorders>
            <w:vAlign w:val="center"/>
          </w:tcPr>
          <w:p>
            <w:pPr>
              <w:jc w:val="cente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气候监测仪</w:t>
            </w:r>
          </w:p>
        </w:tc>
        <w:tc>
          <w:tcPr>
            <w:tcW w:w="7229" w:type="dxa"/>
            <w:tcBorders>
              <w:top w:val="single" w:color="auto" w:sz="2" w:space="0"/>
              <w:left w:val="single" w:color="auto" w:sz="2" w:space="0"/>
              <w:bottom w:val="single" w:color="auto" w:sz="2" w:space="0"/>
              <w:right w:val="single" w:color="auto" w:sz="2" w:space="0"/>
            </w:tcBorders>
          </w:tcPr>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1、可采集并展示数据，包括：土壤墒情，土壤温度，空气温度，空气湿度，风向，风速，降水量，光照强度</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2、GPS定位功能，震动防盗，内置震动传感器，当设备发生震动、移除等外力操作时，设备立即自动向APP端推送报警信息</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3、远程控制：可设置采集间隔、设备联网模式、设置地理信息、查看电量信息、查看太阳能板电压信息、重启与恢复、设置报警值、查看SIM卡信息等</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4、WEB端及APP端都有电池电量检测、太阳能电压检测、数据采集间隔、故障报警等功能；能和云平台上的其他设备的数据相互关联分析，且历史数据永不丢失。</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5、须自带摄像头，可将图片通过设备中的GPRS模块传输到平台，用户可通过任何可以上网的电脑进行查看数据及图片</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6、传输模式：GPRS/CDMA/NBIOT/GSM/4G/5G/网线等方式；且包含手机APP，可通过手机查看数据，并可查看在线视频和图片</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7、监测指标：</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空气温度测量范围：-40～120℃，分辨率：0.1℃，准确度：±0.3℃</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空气相对湿度测量范围：0～100%，分辨率：0.1%，准确度：±2%</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光照传感器测量范围：0～200000Lux,，分辨率：1LUX,准确度：±2%；</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风向测量范围：0～360°，分辨率：1，准确度：±1</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风速测量范围：0～65m/s分辨率：0.1m/s准确度：±0.1m/s</w:t>
            </w:r>
          </w:p>
          <w:p>
            <w:pPr>
              <w:numPr>
                <w:ilvl w:val="0"/>
                <w:numId w:val="2"/>
              </w:numPr>
              <w:tabs>
                <w:tab w:val="left" w:pos="0"/>
                <w:tab w:val="left" w:pos="420"/>
              </w:tabs>
              <w:topLinePunct/>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降水量测量范围：0～6553mm，分辨率：0.1mm，准确度：±0.1mm</w:t>
            </w:r>
          </w:p>
          <w:p>
            <w:pPr>
              <w:numPr>
                <w:ilvl w:val="0"/>
                <w:numId w:val="2"/>
              </w:numPr>
              <w:tabs>
                <w:tab w:val="left" w:pos="0"/>
                <w:tab w:val="left" w:pos="420"/>
              </w:tabs>
              <w:topLinePunct/>
              <w:ind w:left="981"/>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土壤水分测量范围：0～100%VWC，精度通用校准：±0.03m3/m3</w:t>
            </w:r>
          </w:p>
          <w:p>
            <w:pPr>
              <w:numPr>
                <w:ilvl w:val="0"/>
                <w:numId w:val="2"/>
              </w:numPr>
              <w:tabs>
                <w:tab w:val="left" w:pos="0"/>
                <w:tab w:val="left" w:pos="420"/>
              </w:tabs>
              <w:topLinePunct/>
              <w:jc w:val="left"/>
              <w:rPr>
                <w:rFonts w:cs="仿宋" w:asciiTheme="majorEastAsia" w:hAnsiTheme="majorEastAsia" w:eastAsiaTheme="majorEastAsia"/>
                <w:kern w:val="0"/>
                <w:sz w:val="18"/>
                <w:szCs w:val="18"/>
              </w:rPr>
            </w:pPr>
            <w:r>
              <w:rPr>
                <w:rFonts w:hint="eastAsia" w:cs="仿宋" w:asciiTheme="majorEastAsia" w:hAnsiTheme="majorEastAsia" w:eastAsiaTheme="majorEastAsia"/>
                <w:sz w:val="18"/>
                <w:szCs w:val="18"/>
              </w:rPr>
              <w:t>土壤温度测量范围：-40～60℃，分辨率：0.1℃，精度：±1%</w:t>
            </w:r>
          </w:p>
        </w:tc>
        <w:tc>
          <w:tcPr>
            <w:tcW w:w="567"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1</w:t>
            </w:r>
          </w:p>
        </w:tc>
        <w:tc>
          <w:tcPr>
            <w:tcW w:w="938"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6.50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4</w:t>
            </w:r>
          </w:p>
        </w:tc>
        <w:tc>
          <w:tcPr>
            <w:tcW w:w="855" w:type="dxa"/>
            <w:tcBorders>
              <w:top w:val="single" w:color="auto" w:sz="2" w:space="0"/>
              <w:left w:val="single" w:color="auto" w:sz="2" w:space="0"/>
              <w:bottom w:val="single" w:color="auto" w:sz="2" w:space="0"/>
              <w:right w:val="single" w:color="auto" w:sz="2" w:space="0"/>
            </w:tcBorders>
            <w:vAlign w:val="center"/>
          </w:tcPr>
          <w:p>
            <w:pPr>
              <w:jc w:val="cente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田间实时监测物联网设备</w:t>
            </w:r>
          </w:p>
        </w:tc>
        <w:tc>
          <w:tcPr>
            <w:tcW w:w="7229" w:type="dxa"/>
            <w:tcBorders>
              <w:top w:val="single" w:color="auto" w:sz="2" w:space="0"/>
              <w:left w:val="single" w:color="auto" w:sz="2" w:space="0"/>
              <w:bottom w:val="single" w:color="auto" w:sz="2" w:space="0"/>
              <w:right w:val="single" w:color="auto" w:sz="2" w:space="0"/>
            </w:tcBorders>
          </w:tcPr>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1、像素：500万</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2、支持20倍光学变焦</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3、最低照度可达彩色0.0005Lux，黑白0.0001Lux</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4、水平手控速度不小于550°/S，垂直速度不小于120°/S，云台定位精度小于等于0.1°</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5、水平旋转范围为360°连续旋转，垂直旋转范围为-20°~90°</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6、支持300个预置位，支持18条巡航路径，支持7条以上的模式路径设置，支持预置位视频冻结功能；可实现RS485接口优先或RJ45网络接口优先控制功能</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7、信噪比≥61dB，网络延时不大于95ms</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8、动态范围不小于106dB，照度适应范围不小于138dB</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9、支持智能红外、透雾、强光抑制、电子防抖、数字降噪、防红外过曝功能</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10、具备较好的防护性能环境适应性，支持IP67，8kV防浪涌，工作温度范围可达-45℃-70℃</w:t>
            </w:r>
          </w:p>
          <w:p>
            <w:pPr>
              <w:numPr>
                <w:ilvl w:val="0"/>
                <w:numId w:val="2"/>
              </w:num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11、具备较好的电源适应性，电压在AC24V±30%或DC24V±30%范围内变化时，设备可正常工作</w:t>
            </w:r>
          </w:p>
        </w:tc>
        <w:tc>
          <w:tcPr>
            <w:tcW w:w="567"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1</w:t>
            </w:r>
          </w:p>
        </w:tc>
        <w:tc>
          <w:tcPr>
            <w:tcW w:w="938"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3" w:hRule="atLeast"/>
          <w:jc w:val="center"/>
        </w:trPr>
        <w:tc>
          <w:tcPr>
            <w:tcW w:w="42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5</w:t>
            </w:r>
          </w:p>
        </w:tc>
        <w:tc>
          <w:tcPr>
            <w:tcW w:w="855" w:type="dxa"/>
            <w:tcBorders>
              <w:top w:val="single" w:color="auto" w:sz="2" w:space="0"/>
              <w:left w:val="single" w:color="auto" w:sz="2" w:space="0"/>
              <w:bottom w:val="single" w:color="auto" w:sz="2" w:space="0"/>
              <w:right w:val="single" w:color="auto" w:sz="2" w:space="0"/>
            </w:tcBorders>
            <w:vAlign w:val="center"/>
          </w:tcPr>
          <w:p>
            <w:pPr>
              <w:jc w:val="cente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蔗田基础建设</w:t>
            </w:r>
          </w:p>
        </w:tc>
        <w:tc>
          <w:tcPr>
            <w:tcW w:w="7229" w:type="dxa"/>
            <w:tcBorders>
              <w:top w:val="single" w:color="auto" w:sz="2" w:space="0"/>
              <w:left w:val="single" w:color="auto" w:sz="2" w:space="0"/>
              <w:bottom w:val="single" w:color="auto" w:sz="2" w:space="0"/>
              <w:right w:val="single" w:color="auto" w:sz="2" w:space="0"/>
            </w:tcBorders>
          </w:tcPr>
          <w:p>
            <w:pPr>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护栏，观测场基础，网电，场地地租，标示牌及其他后续管理配套服务等</w:t>
            </w:r>
          </w:p>
        </w:tc>
        <w:tc>
          <w:tcPr>
            <w:tcW w:w="567"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1</w:t>
            </w:r>
          </w:p>
        </w:tc>
        <w:tc>
          <w:tcPr>
            <w:tcW w:w="938"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3" w:hRule="atLeast"/>
          <w:jc w:val="center"/>
        </w:trPr>
        <w:tc>
          <w:tcPr>
            <w:tcW w:w="42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6</w:t>
            </w:r>
          </w:p>
        </w:tc>
        <w:tc>
          <w:tcPr>
            <w:tcW w:w="85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病虫害物联网数据分析系统</w:t>
            </w:r>
          </w:p>
        </w:tc>
        <w:tc>
          <w:tcPr>
            <w:tcW w:w="7229" w:type="dxa"/>
            <w:tcBorders>
              <w:top w:val="single" w:color="auto" w:sz="2" w:space="0"/>
              <w:left w:val="single" w:color="auto" w:sz="2" w:space="0"/>
              <w:bottom w:val="single" w:color="auto" w:sz="2" w:space="0"/>
              <w:right w:val="single" w:color="auto" w:sz="2" w:space="0"/>
            </w:tcBorders>
          </w:tcPr>
          <w:p>
            <w:pPr>
              <w:numPr>
                <w:ilvl w:val="0"/>
                <w:numId w:val="2"/>
              </w:numPr>
              <w:jc w:val="left"/>
              <w:rPr>
                <w:rFonts w:asciiTheme="majorEastAsia" w:hAnsiTheme="majorEastAsia" w:eastAsiaTheme="majorEastAsia"/>
                <w:sz w:val="18"/>
                <w:szCs w:val="18"/>
              </w:rPr>
            </w:pPr>
            <w:r>
              <w:rPr>
                <w:rFonts w:hint="eastAsia" w:cs="仿宋" w:asciiTheme="majorEastAsia" w:hAnsiTheme="majorEastAsia" w:eastAsiaTheme="majorEastAsia"/>
                <w:sz w:val="18"/>
                <w:szCs w:val="18"/>
              </w:rPr>
              <w:t xml:space="preserve"> 用于管理和展示物联网所有的数据和视频，并在平台上根据所采集到的数据进行远程设备控制，通过信息系统平台完成对农业气象数据、土壤墒情数据、虫害监控、病害监控、作物苗情等数据的采集和分析，进而指导各个相关部门对即将发生的农作物病虫害和农业气象灾害，作出正确的防控措施。数据对接广西农作物病虫疫情调度指挥平台，中国农作物有害生物监控预警信息系统。具体内容如下：</w:t>
            </w:r>
            <w:r>
              <w:rPr>
                <w:rFonts w:hint="eastAsia" w:cs="仿宋" w:asciiTheme="majorEastAsia" w:hAnsiTheme="majorEastAsia" w:eastAsiaTheme="majorEastAsia"/>
                <w:sz w:val="18"/>
                <w:szCs w:val="18"/>
              </w:rPr>
              <w:br w:type="textWrapping"/>
            </w:r>
            <w:r>
              <w:rPr>
                <w:rFonts w:hint="eastAsia" w:cs="仿宋" w:asciiTheme="majorEastAsia" w:hAnsiTheme="majorEastAsia" w:eastAsiaTheme="majorEastAsia"/>
                <w:sz w:val="18"/>
                <w:szCs w:val="18"/>
              </w:rPr>
              <w:t xml:space="preserve"> 1.害虫监测分析系统：①图像采集：在设定的工作模式下，定时拍摄图片，并上传至平台，在图像列表中，可查看历史图像信息。根据拍摄图像，可自动识别图像内虫体，并自动标注计数。针对虫体识别内容，可人工进行矫正计数，查看昆虫基本信息，并增加或删减识别对象。②数据分析：自动汇总虫体识别数据，以曲线形式按天、周、月、季或自选时段来展示。可手动补录图表数据，并以excel形式导出图表数据，或以图片的形式下载图表。针对某一地区的害虫发生情况，可进行多年同期发生量比较。③设备管理：在平台上可远程查看设备当前工作状态（工作模式、地理位置、联网信息、设备电量信息），并远程控制设备灯管的开启、履带的运行、工作模式的更改、拍照时间间隔、恢复仪器出厂设置、密码修改和找回密码的修改等内容。另外可根据具体需要设置数据流量预警、电池电量预警、GPS防盗预警和虫害预警。</w:t>
            </w:r>
            <w:r>
              <w:rPr>
                <w:rFonts w:hint="eastAsia" w:cs="仿宋" w:asciiTheme="majorEastAsia" w:hAnsiTheme="majorEastAsia" w:eastAsiaTheme="majorEastAsia"/>
                <w:sz w:val="18"/>
                <w:szCs w:val="18"/>
              </w:rPr>
              <w:br w:type="textWrapping"/>
            </w:r>
            <w:r>
              <w:rPr>
                <w:rFonts w:hint="eastAsia" w:cs="仿宋" w:asciiTheme="majorEastAsia" w:hAnsiTheme="majorEastAsia" w:eastAsiaTheme="majorEastAsia"/>
                <w:sz w:val="18"/>
                <w:szCs w:val="18"/>
              </w:rPr>
              <w:t xml:space="preserve"> 2.害虫发生预警分析系统：可对迁飞性害虫进行实时数据监测，根据害虫迁飞路线，对已发生区域的数据进行分析，对未发生区域进行提前预防，指导相关人员对即将发生和已发生灾害区域做出及时正确的对策。对虫情监测区域内所有设备采集的数据，可进行综合统计分析，展示全区域内，各个监测点虫情发生数据，直观获取害虫发生高峰期，及高峰监测点。通过自定义设置害虫发生上下阈值，以热力图形式直观展示各个区域虫情发生程度，并以K线分析方式，判断虫情发生程度。从而指导相关部门作出相应的防治措施。</w:t>
            </w:r>
            <w:r>
              <w:rPr>
                <w:rFonts w:hint="eastAsia" w:cs="仿宋" w:asciiTheme="majorEastAsia" w:hAnsiTheme="majorEastAsia" w:eastAsiaTheme="majorEastAsia"/>
                <w:sz w:val="18"/>
                <w:szCs w:val="18"/>
              </w:rPr>
              <w:br w:type="textWrapping"/>
            </w:r>
            <w:r>
              <w:rPr>
                <w:rFonts w:hint="eastAsia" w:cs="仿宋" w:asciiTheme="majorEastAsia" w:hAnsiTheme="majorEastAsia" w:eastAsiaTheme="majorEastAsia"/>
                <w:sz w:val="18"/>
                <w:szCs w:val="18"/>
              </w:rPr>
              <w:t xml:space="preserve"> 3.视频监控系统：①数据采集：在制定区域安装远红外摄像球机，管理者通过视频监控系统可清晰直观的实时查看种植区作物的生长及病虫害情况，并对突发性异常事件的过程进行及时监视和记录，用以提供及时高效的指挥和调度。远程视频在远程WEB端自动控制摄像头的云台动作，变换摄像头方位等功能；采集的视频帧速、图像大小可调节。移动应急终端（手机APP监控平台）。登录后可实时视频查看仪器周边情况。多通道同屏展示，同时展示相应区域的环境土壤参数，可远程调整摄像头角度、变焦、变倍、光圈等参数，可对视频进行在线录制、抓图，可实时回放视频并能快进、倒放等功能操作。②设备管理：可以远程设定设备的工作状态，（自动或者手动启动）如流量，GPS位置，故障等信息及管理。</w:t>
            </w:r>
            <w:r>
              <w:rPr>
                <w:rFonts w:hint="eastAsia" w:cs="仿宋" w:asciiTheme="majorEastAsia" w:hAnsiTheme="majorEastAsia" w:eastAsiaTheme="majorEastAsia"/>
                <w:sz w:val="18"/>
                <w:szCs w:val="18"/>
              </w:rPr>
              <w:br w:type="textWrapping"/>
            </w:r>
            <w:r>
              <w:rPr>
                <w:rFonts w:hint="eastAsia" w:cs="仿宋" w:asciiTheme="majorEastAsia" w:hAnsiTheme="majorEastAsia" w:eastAsiaTheme="majorEastAsia"/>
                <w:sz w:val="18"/>
                <w:szCs w:val="18"/>
              </w:rPr>
              <w:t xml:space="preserve"> 4.墒情监测分析系统：可选择特定土壤相关数据传感器和工作时间段，以图表曲线的方式展示传感器不同时间段的具体数值，供专业人员分析；可选择具体土壤传感器和时间段，以图形的方式展示供专业人员分析；也可选择具体时间段，以列表的方式展示所有传感器数据供专业人员分析。</w:t>
            </w:r>
            <w:r>
              <w:rPr>
                <w:rFonts w:hint="eastAsia" w:cs="仿宋" w:asciiTheme="majorEastAsia" w:hAnsiTheme="majorEastAsia" w:eastAsiaTheme="majorEastAsia"/>
                <w:sz w:val="18"/>
                <w:szCs w:val="18"/>
              </w:rPr>
              <w:br w:type="textWrapping"/>
            </w:r>
            <w:r>
              <w:rPr>
                <w:rFonts w:hint="eastAsia" w:cs="仿宋" w:asciiTheme="majorEastAsia" w:hAnsiTheme="majorEastAsia" w:eastAsiaTheme="majorEastAsia"/>
                <w:sz w:val="18"/>
                <w:szCs w:val="18"/>
              </w:rPr>
              <w:t xml:space="preserve"> 5.气象数据分析系统：该模块提供气象系统的空气温/湿度、光照度、二氧化碳、病虫害监测数据的历史数据查询功能。历史数据查询、历史数据对比分析、历史数据备份、报警信息查询、设备状态查询、用户日志查询。数据中心同时可以将空气温度、空气湿度、二氧化碳浓度等环境监测数据以及环境预警事件信息以图表形式或曲线图形式形成统计报表，供管理人员做出适当的作物生长管理、分析与决策。可分析各参数变化对作物生长产生的影响；可将数据测量结果存储为报表形式，对各参数进行分析和浏览，供其他研究之用。图片数据中心可以查看当前基地中作物每天生长情况，并根据具体数据分析作物生长态势。</w:t>
            </w:r>
            <w:r>
              <w:rPr>
                <w:rFonts w:hint="eastAsia" w:cs="仿宋" w:asciiTheme="majorEastAsia" w:hAnsiTheme="majorEastAsia" w:eastAsiaTheme="majorEastAsia"/>
                <w:sz w:val="18"/>
                <w:szCs w:val="18"/>
              </w:rPr>
              <w:br w:type="textWrapping"/>
            </w:r>
            <w:r>
              <w:rPr>
                <w:rFonts w:hint="eastAsia" w:cs="仿宋" w:asciiTheme="majorEastAsia" w:hAnsiTheme="majorEastAsia" w:eastAsiaTheme="majorEastAsia"/>
                <w:sz w:val="18"/>
                <w:szCs w:val="18"/>
              </w:rPr>
              <w:t>用户管理：可查看所有系统账户的登陆情况及登录记录以及新增不同用户的权限。</w:t>
            </w:r>
          </w:p>
          <w:p>
            <w:pPr>
              <w:pStyle w:val="4"/>
              <w:ind w:firstLine="900" w:firstLineChars="500"/>
              <w:rPr>
                <w:rFonts w:asciiTheme="majorEastAsia" w:hAnsiTheme="majorEastAsia" w:eastAsiaTheme="majorEastAsia"/>
                <w:sz w:val="18"/>
                <w:szCs w:val="18"/>
              </w:rPr>
            </w:pPr>
            <w:r>
              <w:rPr>
                <w:rFonts w:hint="eastAsia" w:cs="仿宋" w:asciiTheme="majorEastAsia" w:hAnsiTheme="majorEastAsia" w:eastAsiaTheme="majorEastAsia"/>
                <w:sz w:val="18"/>
                <w:szCs w:val="18"/>
              </w:rPr>
              <w:t>6.数据控制存储传输设备存储5年</w:t>
            </w:r>
          </w:p>
        </w:tc>
        <w:tc>
          <w:tcPr>
            <w:tcW w:w="567"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1</w:t>
            </w:r>
          </w:p>
        </w:tc>
        <w:tc>
          <w:tcPr>
            <w:tcW w:w="938"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3" w:hRule="atLeast"/>
          <w:jc w:val="center"/>
        </w:trPr>
        <w:tc>
          <w:tcPr>
            <w:tcW w:w="42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合计</w:t>
            </w:r>
          </w:p>
        </w:tc>
        <w:tc>
          <w:tcPr>
            <w:tcW w:w="855"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p>
        </w:tc>
        <w:tc>
          <w:tcPr>
            <w:tcW w:w="7229" w:type="dxa"/>
            <w:tcBorders>
              <w:top w:val="single" w:color="auto" w:sz="2" w:space="0"/>
              <w:left w:val="single" w:color="auto" w:sz="2" w:space="0"/>
              <w:bottom w:val="single" w:color="auto" w:sz="2" w:space="0"/>
              <w:right w:val="single" w:color="auto" w:sz="2" w:space="0"/>
            </w:tcBorders>
          </w:tcPr>
          <w:p>
            <w:pPr>
              <w:numPr>
                <w:ilvl w:val="0"/>
                <w:numId w:val="2"/>
              </w:numPr>
              <w:jc w:val="left"/>
              <w:rPr>
                <w:rFonts w:cs="仿宋" w:asciiTheme="majorEastAsia" w:hAnsiTheme="majorEastAsia" w:eastAsiaTheme="majorEastAsia"/>
                <w:sz w:val="18"/>
                <w:szCs w:val="18"/>
              </w:rPr>
            </w:pPr>
          </w:p>
        </w:tc>
        <w:tc>
          <w:tcPr>
            <w:tcW w:w="567"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6</w:t>
            </w:r>
          </w:p>
        </w:tc>
        <w:tc>
          <w:tcPr>
            <w:tcW w:w="938"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40.00</w:t>
            </w:r>
          </w:p>
        </w:tc>
      </w:tr>
    </w:tbl>
    <w:p>
      <w:pPr>
        <w:rPr>
          <w:rFonts w:asciiTheme="majorEastAsia" w:hAnsiTheme="majorEastAsia" w:eastAsiaTheme="majorEastAsia"/>
          <w:sz w:val="18"/>
          <w:szCs w:val="18"/>
        </w:rPr>
      </w:pPr>
    </w:p>
    <w:p>
      <w:pPr>
        <w:ind w:firstLine="360"/>
        <w:rPr>
          <w:rFonts w:asciiTheme="majorEastAsia" w:hAnsiTheme="majorEastAsia" w:eastAsiaTheme="majorEastAsia"/>
          <w:sz w:val="18"/>
          <w:szCs w:val="18"/>
        </w:rPr>
      </w:pPr>
      <w:r>
        <w:rPr>
          <w:rFonts w:hint="eastAsia" w:asciiTheme="majorEastAsia" w:hAnsiTheme="majorEastAsia" w:eastAsiaTheme="majorEastAsia"/>
          <w:kern w:val="0"/>
          <w:sz w:val="18"/>
          <w:szCs w:val="18"/>
        </w:rPr>
        <w:t xml:space="preserve"> </w:t>
      </w:r>
    </w:p>
    <w:p>
      <w:pPr>
        <w:ind w:firstLine="6160" w:firstLineChars="2200"/>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96336"/>
    <w:multiLevelType w:val="multilevel"/>
    <w:tmpl w:val="29A96336"/>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
    <w:nsid w:val="3E296B7A"/>
    <w:multiLevelType w:val="multilevel"/>
    <w:tmpl w:val="3E296B7A"/>
    <w:lvl w:ilvl="0" w:tentative="0">
      <w:start w:val="1"/>
      <w:numFmt w:val="japaneseCounting"/>
      <w:lvlText w:val="%1、"/>
      <w:lvlJc w:val="left"/>
      <w:pPr>
        <w:tabs>
          <w:tab w:val="left" w:pos="1155"/>
        </w:tabs>
        <w:ind w:left="1155" w:hanging="7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B4"/>
    <w:rsid w:val="002046C5"/>
    <w:rsid w:val="00204E81"/>
    <w:rsid w:val="00422C05"/>
    <w:rsid w:val="00E66DB4"/>
    <w:rsid w:val="3300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uiPriority w:val="99"/>
    <w:pPr>
      <w:spacing w:after="120"/>
    </w:pPr>
  </w:style>
  <w:style w:type="paragraph" w:styleId="3">
    <w:name w:val="Date"/>
    <w:basedOn w:val="1"/>
    <w:next w:val="1"/>
    <w:link w:val="7"/>
    <w:semiHidden/>
    <w:unhideWhenUsed/>
    <w:uiPriority w:val="99"/>
    <w:pPr>
      <w:ind w:left="100" w:leftChars="2500"/>
    </w:pPr>
  </w:style>
  <w:style w:type="paragraph" w:styleId="4">
    <w:name w:val="Body Text First Indent"/>
    <w:basedOn w:val="2"/>
    <w:link w:val="9"/>
    <w:semiHidden/>
    <w:unhideWhenUsed/>
    <w:uiPriority w:val="99"/>
    <w:pPr>
      <w:ind w:firstLine="420" w:firstLineChars="100"/>
    </w:pPr>
    <w:rPr>
      <w:rFonts w:eastAsia="仿宋_GB2312"/>
      <w:sz w:val="28"/>
      <w:szCs w:val="20"/>
    </w:rPr>
  </w:style>
  <w:style w:type="character" w:customStyle="1" w:styleId="7">
    <w:name w:val="日期 Char"/>
    <w:basedOn w:val="6"/>
    <w:link w:val="3"/>
    <w:semiHidden/>
    <w:uiPriority w:val="99"/>
    <w:rPr>
      <w:rFonts w:ascii="Times New Roman" w:hAnsi="Times New Roman" w:eastAsia="宋体" w:cs="Times New Roman"/>
      <w:szCs w:val="24"/>
    </w:rPr>
  </w:style>
  <w:style w:type="character" w:customStyle="1" w:styleId="8">
    <w:name w:val="正文文本 Char"/>
    <w:basedOn w:val="6"/>
    <w:link w:val="2"/>
    <w:semiHidden/>
    <w:uiPriority w:val="99"/>
    <w:rPr>
      <w:rFonts w:ascii="Times New Roman" w:hAnsi="Times New Roman" w:eastAsia="宋体" w:cs="Times New Roman"/>
      <w:szCs w:val="24"/>
    </w:rPr>
  </w:style>
  <w:style w:type="character" w:customStyle="1" w:styleId="9">
    <w:name w:val="正文首行缩进 Char"/>
    <w:basedOn w:val="8"/>
    <w:link w:val="4"/>
    <w:semiHidden/>
    <w:uiPriority w:val="99"/>
    <w:rPr>
      <w:rFonts w:eastAsia="仿宋_GB2312"/>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904</Words>
  <Characters>5156</Characters>
  <Lines>42</Lines>
  <Paragraphs>12</Paragraphs>
  <TotalTime>21</TotalTime>
  <ScaleCrop>false</ScaleCrop>
  <LinksUpToDate>false</LinksUpToDate>
  <CharactersWithSpaces>6048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2025-07-23T07:46:00Z</dcterms:created>
  <dc:creator>Administrator</dc:creator>
  <cp:lastModifiedBy>Administrator</cp:lastModifiedBy>
  <dcterms:modified xsi:type="dcterms:W3CDTF">2025-07-25T07:59:26Z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A62C6D434E54485F9E0F522F0257F232</vt:lpwstr>
  </property>
</Properties>
</file>