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30" w:lineRule="exact"/>
        <w:jc w:val="center"/>
        <w:rPr>
          <w:rFonts w:hint="eastAsia" w:asciiTheme="majorEastAsia" w:hAnsiTheme="majorEastAsia" w:eastAsiaTheme="majorEastAsia" w:cstheme="majorEastAsia"/>
          <w:bCs/>
          <w:sz w:val="44"/>
          <w:szCs w:val="44"/>
          <w:lang w:eastAsia="zh-CN"/>
        </w:rPr>
      </w:pPr>
      <w:r>
        <w:rPr>
          <w:rFonts w:hint="eastAsia" w:asciiTheme="majorEastAsia" w:hAnsiTheme="majorEastAsia" w:eastAsiaTheme="majorEastAsia" w:cstheme="majorEastAsia"/>
          <w:bCs/>
          <w:sz w:val="44"/>
          <w:szCs w:val="44"/>
          <w:lang w:eastAsia="zh-CN"/>
        </w:rPr>
        <w:t>象州县</w:t>
      </w:r>
      <w:r>
        <w:rPr>
          <w:rFonts w:hint="eastAsia" w:asciiTheme="majorEastAsia" w:hAnsiTheme="majorEastAsia" w:eastAsiaTheme="majorEastAsia" w:cstheme="majorEastAsia"/>
          <w:bCs/>
          <w:sz w:val="44"/>
          <w:szCs w:val="44"/>
        </w:rPr>
        <w:t>2025年广</w:t>
      </w:r>
      <w:r>
        <w:rPr>
          <w:rFonts w:hint="eastAsia" w:asciiTheme="majorEastAsia" w:hAnsiTheme="majorEastAsia" w:eastAsiaTheme="majorEastAsia" w:cstheme="majorEastAsia"/>
          <w:bCs/>
          <w:sz w:val="44"/>
          <w:szCs w:val="44"/>
          <w:lang w:eastAsia="zh-CN"/>
        </w:rPr>
        <w:t>西农作物重大病虫观测场</w:t>
      </w:r>
    </w:p>
    <w:p>
      <w:pPr>
        <w:adjustRightInd w:val="0"/>
        <w:snapToGrid w:val="0"/>
        <w:spacing w:line="630" w:lineRule="exact"/>
        <w:jc w:val="center"/>
        <w:rPr>
          <w:rFonts w:hint="eastAsia" w:asciiTheme="majorEastAsia" w:hAnsiTheme="majorEastAsia" w:eastAsiaTheme="majorEastAsia" w:cstheme="majorEastAsia"/>
          <w:bCs/>
          <w:sz w:val="44"/>
          <w:szCs w:val="44"/>
          <w:lang w:eastAsia="zh-CN"/>
        </w:rPr>
      </w:pPr>
      <w:r>
        <w:rPr>
          <w:rFonts w:hint="eastAsia" w:asciiTheme="majorEastAsia" w:hAnsiTheme="majorEastAsia" w:eastAsiaTheme="majorEastAsia" w:cstheme="majorEastAsia"/>
          <w:bCs/>
          <w:sz w:val="44"/>
          <w:szCs w:val="44"/>
          <w:lang w:eastAsia="zh-CN"/>
        </w:rPr>
        <w:t>建设升级项目询价采购公告</w:t>
      </w:r>
    </w:p>
    <w:p>
      <w:pPr>
        <w:adjustRightInd w:val="0"/>
        <w:snapToGrid w:val="0"/>
        <w:spacing w:line="63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象州县2025年广西农作物重大病虫观测场建设升级项目资金</w:t>
      </w:r>
      <w:r>
        <w:rPr>
          <w:rFonts w:hint="eastAsia" w:ascii="仿宋" w:hAnsi="仿宋" w:eastAsia="仿宋" w:cs="仿宋"/>
          <w:kern w:val="0"/>
          <w:sz w:val="32"/>
          <w:szCs w:val="32"/>
          <w:lang w:val="en-US" w:eastAsia="zh-CN"/>
        </w:rPr>
        <w:t>25.0万元。</w:t>
      </w:r>
      <w:r>
        <w:rPr>
          <w:rFonts w:hint="eastAsia" w:ascii="仿宋" w:hAnsi="仿宋" w:eastAsia="仿宋" w:cs="仿宋"/>
          <w:kern w:val="0"/>
          <w:sz w:val="32"/>
          <w:szCs w:val="32"/>
          <w:lang w:eastAsia="zh-CN"/>
        </w:rPr>
        <w:t>根据相关规定，现对象州县2025年广西农作物重大病虫观测场建设升级项目以询价采购的方式招标采购，采购公告公示期时间从202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eastAsia="zh-CN"/>
        </w:rPr>
        <w:t>月</w:t>
      </w: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lang w:eastAsia="zh-CN"/>
        </w:rPr>
        <w:t>日起至202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年</w:t>
      </w: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lang w:eastAsia="zh-CN"/>
        </w:rPr>
        <w:t>月1</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lang w:eastAsia="zh-CN"/>
        </w:rPr>
        <w:t>日止，共</w:t>
      </w:r>
      <w:r>
        <w:rPr>
          <w:rFonts w:hint="eastAsia" w:ascii="仿宋" w:hAnsi="仿宋" w:eastAsia="仿宋" w:cs="仿宋"/>
          <w:kern w:val="0"/>
          <w:sz w:val="32"/>
          <w:szCs w:val="32"/>
          <w:lang w:val="en-US" w:eastAsia="zh-CN"/>
        </w:rPr>
        <w:t>7</w:t>
      </w:r>
      <w:bookmarkStart w:id="0" w:name="_GoBack"/>
      <w:bookmarkEnd w:id="0"/>
      <w:r>
        <w:rPr>
          <w:rFonts w:hint="eastAsia" w:ascii="仿宋" w:hAnsi="仿宋" w:eastAsia="仿宋" w:cs="仿宋"/>
          <w:kern w:val="0"/>
          <w:sz w:val="32"/>
          <w:szCs w:val="32"/>
          <w:lang w:eastAsia="zh-CN"/>
        </w:rPr>
        <w:t>个工作日。欢迎符合条件的供应商参加投标。</w:t>
      </w:r>
    </w:p>
    <w:p>
      <w:pPr>
        <w:adjustRightInd w:val="0"/>
        <w:snapToGrid w:val="0"/>
        <w:spacing w:line="630" w:lineRule="exact"/>
        <w:ind w:firstLine="640" w:firstLineChars="20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一、项目基本情况</w:t>
      </w:r>
    </w:p>
    <w:p>
      <w:pPr>
        <w:adjustRightInd w:val="0"/>
        <w:snapToGrid w:val="0"/>
        <w:spacing w:line="63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（一）项目名称</w:t>
      </w:r>
      <w:r>
        <w:rPr>
          <w:rFonts w:hint="eastAsia" w:ascii="仿宋" w:hAnsi="仿宋" w:eastAsia="仿宋" w:cs="仿宋"/>
          <w:kern w:val="0"/>
          <w:sz w:val="32"/>
          <w:szCs w:val="32"/>
          <w:lang w:eastAsia="zh-CN"/>
        </w:rPr>
        <w:t>: 象州县2025年广西农作物重大病虫观测场建设升级项目</w:t>
      </w:r>
    </w:p>
    <w:p>
      <w:pPr>
        <w:adjustRightInd w:val="0"/>
        <w:snapToGrid w:val="0"/>
        <w:spacing w:line="63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（二）项目概况：</w:t>
      </w:r>
      <w:r>
        <w:rPr>
          <w:rFonts w:hint="eastAsia" w:ascii="仿宋" w:hAnsi="仿宋" w:eastAsia="仿宋" w:cs="仿宋"/>
          <w:kern w:val="0"/>
          <w:sz w:val="32"/>
          <w:szCs w:val="32"/>
          <w:lang w:eastAsia="zh-CN"/>
        </w:rPr>
        <w:t>升级我县寺村岩口村委</w:t>
      </w:r>
      <w:r>
        <w:rPr>
          <w:rFonts w:hint="eastAsia" w:ascii="仿宋" w:hAnsi="仿宋" w:eastAsia="仿宋" w:cs="仿宋"/>
          <w:kern w:val="0"/>
          <w:sz w:val="32"/>
          <w:szCs w:val="32"/>
          <w:lang w:val="en-US" w:eastAsia="zh-CN"/>
        </w:rPr>
        <w:t>2018年建成的</w:t>
      </w:r>
      <w:r>
        <w:rPr>
          <w:rFonts w:hint="eastAsia" w:ascii="仿宋" w:hAnsi="仿宋" w:eastAsia="仿宋" w:cs="仿宋"/>
          <w:kern w:val="0"/>
          <w:sz w:val="32"/>
          <w:szCs w:val="32"/>
        </w:rPr>
        <w:t>农作物重大病虫观测场，</w:t>
      </w:r>
      <w:r>
        <w:rPr>
          <w:rFonts w:hint="eastAsia" w:ascii="仿宋" w:hAnsi="仿宋" w:eastAsia="仿宋" w:cs="仿宋"/>
          <w:sz w:val="32"/>
          <w:szCs w:val="32"/>
        </w:rPr>
        <w:t>推广人工智能、物联网和大数据等信息技术</w:t>
      </w:r>
      <w:r>
        <w:rPr>
          <w:rFonts w:hint="eastAsia" w:ascii="仿宋" w:hAnsi="仿宋" w:eastAsia="仿宋" w:cs="仿宋"/>
          <w:kern w:val="0"/>
          <w:sz w:val="32"/>
          <w:szCs w:val="32"/>
        </w:rPr>
        <w:t>在农作物病虫监测预警领域应用</w:t>
      </w:r>
      <w:r>
        <w:rPr>
          <w:rFonts w:hint="eastAsia" w:ascii="仿宋" w:hAnsi="仿宋" w:eastAsia="仿宋" w:cs="仿宋"/>
          <w:sz w:val="32"/>
          <w:szCs w:val="32"/>
        </w:rPr>
        <w:t>，提升农作物重大病虫监测预警自动化、智能化和信息化水平，进一步织牢织密病虫监测预警网络，补齐植保基础设施建设短板，提升服务保障粮食生产能力水平。</w:t>
      </w:r>
      <w:r>
        <w:rPr>
          <w:rFonts w:hint="eastAsia" w:ascii="仿宋" w:hAnsi="仿宋" w:eastAsia="仿宋" w:cs="仿宋"/>
          <w:kern w:val="0"/>
          <w:sz w:val="32"/>
          <w:szCs w:val="32"/>
        </w:rPr>
        <w:t>建设内容配置</w:t>
      </w:r>
      <w:r>
        <w:rPr>
          <w:rFonts w:hint="eastAsia" w:ascii="仿宋" w:hAnsi="仿宋" w:eastAsia="仿宋" w:cs="仿宋"/>
          <w:sz w:val="32"/>
          <w:szCs w:val="32"/>
        </w:rPr>
        <w:t>智能虫情测报灯、性诱监测诱捕器、田间可移动智能监测</w:t>
      </w:r>
      <w:r>
        <w:rPr>
          <w:rFonts w:hint="eastAsia" w:ascii="仿宋" w:hAnsi="仿宋" w:eastAsia="仿宋" w:cs="仿宋"/>
          <w:kern w:val="0"/>
          <w:sz w:val="32"/>
          <w:szCs w:val="32"/>
        </w:rPr>
        <w:t>调查工具、体视显微镜和生物显微镜各1套</w:t>
      </w:r>
      <w:r>
        <w:rPr>
          <w:rFonts w:hint="eastAsia" w:ascii="仿宋" w:hAnsi="仿宋" w:eastAsia="仿宋" w:cs="仿宋"/>
          <w:kern w:val="0"/>
          <w:sz w:val="32"/>
          <w:szCs w:val="32"/>
          <w:lang w:eastAsia="zh-CN"/>
        </w:rPr>
        <w:t>，完善修补原观测场的各种基础设施，完善设备运行机制。</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二、采购方式</w:t>
      </w:r>
      <w:r>
        <w:rPr>
          <w:rFonts w:hint="eastAsia" w:ascii="仿宋_GB2312" w:hAnsi="仿宋_GB2312" w:eastAsia="仿宋_GB2312" w:cs="仿宋_GB2312"/>
          <w:sz w:val="32"/>
          <w:szCs w:val="32"/>
        </w:rPr>
        <w:t>:询价采购</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三、项目采购内容及报价</w:t>
      </w:r>
    </w:p>
    <w:p>
      <w:pPr>
        <w:pStyle w:val="3"/>
        <w:numPr>
          <w:ilvl w:val="0"/>
          <w:numId w:val="0"/>
        </w:numPr>
        <w:ind w:right="1470" w:rightChars="7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（一）采购内容及报价 ： </w:t>
      </w:r>
    </w:p>
    <w:tbl>
      <w:tblPr>
        <w:tblStyle w:val="4"/>
        <w:tblW w:w="8139" w:type="dxa"/>
        <w:tblInd w:w="0" w:type="dxa"/>
        <w:tblLayout w:type="autofit"/>
        <w:tblCellMar>
          <w:top w:w="0" w:type="dxa"/>
          <w:left w:w="108" w:type="dxa"/>
          <w:bottom w:w="0" w:type="dxa"/>
          <w:right w:w="108" w:type="dxa"/>
        </w:tblCellMar>
      </w:tblPr>
      <w:tblGrid>
        <w:gridCol w:w="1032"/>
        <w:gridCol w:w="3480"/>
        <w:gridCol w:w="732"/>
        <w:gridCol w:w="1384"/>
        <w:gridCol w:w="1511"/>
      </w:tblGrid>
      <w:tr>
        <w:tblPrEx>
          <w:tblCellMar>
            <w:top w:w="0" w:type="dxa"/>
            <w:left w:w="108" w:type="dxa"/>
            <w:bottom w:w="0" w:type="dxa"/>
            <w:right w:w="108" w:type="dxa"/>
          </w:tblCellMar>
        </w:tblPrEx>
        <w:trPr>
          <w:trHeight w:val="323" w:hRule="atLeast"/>
        </w:trPr>
        <w:tc>
          <w:tcPr>
            <w:tcW w:w="1032"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color w:val="000000"/>
                <w:kern w:val="0"/>
                <w:sz w:val="24"/>
                <w:szCs w:val="24"/>
              </w:rPr>
              <w:t>序号</w:t>
            </w:r>
          </w:p>
        </w:tc>
        <w:tc>
          <w:tcPr>
            <w:tcW w:w="34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采购内容</w:t>
            </w:r>
          </w:p>
        </w:tc>
        <w:tc>
          <w:tcPr>
            <w:tcW w:w="732"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数量</w:t>
            </w:r>
          </w:p>
        </w:tc>
        <w:tc>
          <w:tcPr>
            <w:tcW w:w="138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单价</w:t>
            </w:r>
          </w:p>
        </w:tc>
        <w:tc>
          <w:tcPr>
            <w:tcW w:w="1511"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小计  </w:t>
            </w:r>
          </w:p>
        </w:tc>
      </w:tr>
      <w:tr>
        <w:tblPrEx>
          <w:tblCellMar>
            <w:top w:w="0" w:type="dxa"/>
            <w:left w:w="108" w:type="dxa"/>
            <w:bottom w:w="0" w:type="dxa"/>
            <w:right w:w="108" w:type="dxa"/>
          </w:tblCellMar>
        </w:tblPrEx>
        <w:trPr>
          <w:trHeight w:val="323" w:hRule="atLeast"/>
        </w:trPr>
        <w:tc>
          <w:tcPr>
            <w:tcW w:w="103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348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自动虫情信息采集系统</w:t>
            </w:r>
          </w:p>
        </w:tc>
        <w:tc>
          <w:tcPr>
            <w:tcW w:w="73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c>
          <w:tcPr>
            <w:tcW w:w="138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105000</w:t>
            </w:r>
          </w:p>
        </w:tc>
        <w:tc>
          <w:tcPr>
            <w:tcW w:w="151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105000</w:t>
            </w:r>
          </w:p>
        </w:tc>
      </w:tr>
      <w:tr>
        <w:tblPrEx>
          <w:tblCellMar>
            <w:top w:w="0" w:type="dxa"/>
            <w:left w:w="108" w:type="dxa"/>
            <w:bottom w:w="0" w:type="dxa"/>
            <w:right w:w="108" w:type="dxa"/>
          </w:tblCellMar>
        </w:tblPrEx>
        <w:trPr>
          <w:trHeight w:val="323" w:hRule="atLeast"/>
        </w:trPr>
        <w:tc>
          <w:tcPr>
            <w:tcW w:w="103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348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害虫性诱远程实时监测系统</w:t>
            </w:r>
          </w:p>
        </w:tc>
        <w:tc>
          <w:tcPr>
            <w:tcW w:w="73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c>
          <w:tcPr>
            <w:tcW w:w="138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50000</w:t>
            </w:r>
          </w:p>
        </w:tc>
        <w:tc>
          <w:tcPr>
            <w:tcW w:w="151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50000</w:t>
            </w:r>
          </w:p>
        </w:tc>
      </w:tr>
      <w:tr>
        <w:tblPrEx>
          <w:tblCellMar>
            <w:top w:w="0" w:type="dxa"/>
            <w:left w:w="108" w:type="dxa"/>
            <w:bottom w:w="0" w:type="dxa"/>
            <w:right w:w="108" w:type="dxa"/>
          </w:tblCellMar>
        </w:tblPrEx>
        <w:trPr>
          <w:trHeight w:val="323" w:hRule="atLeast"/>
        </w:trPr>
        <w:tc>
          <w:tcPr>
            <w:tcW w:w="103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348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田间可移动智能监测调查工具</w:t>
            </w:r>
          </w:p>
        </w:tc>
        <w:tc>
          <w:tcPr>
            <w:tcW w:w="73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1套</w:t>
            </w:r>
          </w:p>
        </w:tc>
        <w:tc>
          <w:tcPr>
            <w:tcW w:w="138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55000</w:t>
            </w:r>
          </w:p>
        </w:tc>
        <w:tc>
          <w:tcPr>
            <w:tcW w:w="151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55000</w:t>
            </w:r>
          </w:p>
        </w:tc>
      </w:tr>
      <w:tr>
        <w:tblPrEx>
          <w:tblCellMar>
            <w:top w:w="0" w:type="dxa"/>
            <w:left w:w="108" w:type="dxa"/>
            <w:bottom w:w="0" w:type="dxa"/>
            <w:right w:w="108" w:type="dxa"/>
          </w:tblCellMar>
        </w:tblPrEx>
        <w:trPr>
          <w:trHeight w:val="323" w:hRule="atLeast"/>
        </w:trPr>
        <w:tc>
          <w:tcPr>
            <w:tcW w:w="103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348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体视显微镜</w:t>
            </w:r>
          </w:p>
        </w:tc>
        <w:tc>
          <w:tcPr>
            <w:tcW w:w="73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1台</w:t>
            </w:r>
          </w:p>
        </w:tc>
        <w:tc>
          <w:tcPr>
            <w:tcW w:w="138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151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r>
      <w:tr>
        <w:tblPrEx>
          <w:tblCellMar>
            <w:top w:w="0" w:type="dxa"/>
            <w:left w:w="108" w:type="dxa"/>
            <w:bottom w:w="0" w:type="dxa"/>
            <w:right w:w="108" w:type="dxa"/>
          </w:tblCellMar>
        </w:tblPrEx>
        <w:trPr>
          <w:trHeight w:val="323" w:hRule="atLeast"/>
        </w:trPr>
        <w:tc>
          <w:tcPr>
            <w:tcW w:w="103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348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生物显微镜</w:t>
            </w:r>
          </w:p>
        </w:tc>
        <w:tc>
          <w:tcPr>
            <w:tcW w:w="73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1台</w:t>
            </w:r>
          </w:p>
        </w:tc>
        <w:tc>
          <w:tcPr>
            <w:tcW w:w="138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c>
          <w:tcPr>
            <w:tcW w:w="151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10000</w:t>
            </w:r>
          </w:p>
        </w:tc>
      </w:tr>
      <w:tr>
        <w:tblPrEx>
          <w:tblCellMar>
            <w:top w:w="0" w:type="dxa"/>
            <w:left w:w="108" w:type="dxa"/>
            <w:bottom w:w="0" w:type="dxa"/>
            <w:right w:w="108" w:type="dxa"/>
          </w:tblCellMar>
        </w:tblPrEx>
        <w:trPr>
          <w:trHeight w:val="323" w:hRule="atLeast"/>
        </w:trPr>
        <w:tc>
          <w:tcPr>
            <w:tcW w:w="103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348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重大病虫观测场升级建设附属工程</w:t>
            </w:r>
          </w:p>
        </w:tc>
        <w:tc>
          <w:tcPr>
            <w:tcW w:w="73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1项</w:t>
            </w:r>
          </w:p>
        </w:tc>
        <w:tc>
          <w:tcPr>
            <w:tcW w:w="138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20000</w:t>
            </w:r>
          </w:p>
        </w:tc>
        <w:tc>
          <w:tcPr>
            <w:tcW w:w="151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20000</w:t>
            </w:r>
          </w:p>
        </w:tc>
      </w:tr>
      <w:tr>
        <w:tblPrEx>
          <w:tblCellMar>
            <w:top w:w="0" w:type="dxa"/>
            <w:left w:w="108" w:type="dxa"/>
            <w:bottom w:w="0" w:type="dxa"/>
            <w:right w:w="108" w:type="dxa"/>
          </w:tblCellMar>
        </w:tblPrEx>
        <w:trPr>
          <w:trHeight w:val="323" w:hRule="atLeast"/>
        </w:trPr>
        <w:tc>
          <w:tcPr>
            <w:tcW w:w="1032"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w:t>
            </w:r>
            <w:r>
              <w:rPr>
                <w:rFonts w:hint="eastAsia" w:ascii="宋体" w:hAnsi="宋体" w:cs="宋体"/>
                <w:color w:val="000000"/>
                <w:kern w:val="0"/>
                <w:sz w:val="24"/>
                <w:szCs w:val="24"/>
                <w:lang w:eastAsia="zh-CN"/>
              </w:rPr>
              <w:t>合计</w:t>
            </w:r>
          </w:p>
        </w:tc>
        <w:tc>
          <w:tcPr>
            <w:tcW w:w="3480" w:type="dxa"/>
            <w:tcBorders>
              <w:top w:val="nil"/>
              <w:left w:val="nil"/>
              <w:bottom w:val="single" w:color="auto" w:sz="8" w:space="0"/>
              <w:right w:val="single" w:color="auto" w:sz="8" w:space="0"/>
            </w:tcBorders>
            <w:shd w:val="clear" w:color="auto" w:fill="auto"/>
            <w:vAlign w:val="center"/>
          </w:tcPr>
          <w:p>
            <w:pPr>
              <w:widowControl/>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732"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p>
        </w:tc>
        <w:tc>
          <w:tcPr>
            <w:tcW w:w="138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1511"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250000</w:t>
            </w:r>
          </w:p>
        </w:tc>
      </w:tr>
    </w:tbl>
    <w:p>
      <w:pPr>
        <w:pStyle w:val="3"/>
        <w:numPr>
          <w:ilvl w:val="0"/>
          <w:numId w:val="0"/>
        </w:numPr>
        <w:ind w:right="1470" w:rightChars="700"/>
        <w:rPr>
          <w:rFonts w:hint="eastAsia" w:ascii="宋体" w:hAnsi="宋体" w:cs="宋体"/>
          <w:sz w:val="24"/>
          <w:szCs w:val="24"/>
          <w:lang w:val="en-US" w:eastAsia="zh-CN"/>
        </w:rPr>
      </w:pPr>
    </w:p>
    <w:p>
      <w:pPr>
        <w:pStyle w:val="3"/>
        <w:numPr>
          <w:ilvl w:val="0"/>
          <w:numId w:val="0"/>
        </w:numPr>
        <w:ind w:right="1470" w:rightChars="7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（二）技术参数标准：</w:t>
      </w:r>
    </w:p>
    <w:tbl>
      <w:tblPr>
        <w:tblStyle w:val="4"/>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993"/>
        <w:gridCol w:w="5217"/>
        <w:gridCol w:w="731"/>
        <w:gridCol w:w="971"/>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30"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项</w:t>
            </w:r>
          </w:p>
          <w:p>
            <w:pPr>
              <w:jc w:val="center"/>
              <w:rPr>
                <w:rFonts w:hint="eastAsia" w:ascii="宋体" w:hAnsi="宋体" w:eastAsia="宋体" w:cs="宋体"/>
                <w:bCs/>
                <w:sz w:val="24"/>
                <w:szCs w:val="24"/>
              </w:rPr>
            </w:pPr>
            <w:r>
              <w:rPr>
                <w:rFonts w:hint="eastAsia" w:ascii="宋体" w:hAnsi="宋体" w:eastAsia="宋体" w:cs="宋体"/>
                <w:bCs/>
                <w:sz w:val="24"/>
                <w:szCs w:val="24"/>
              </w:rPr>
              <w:t>号</w:t>
            </w:r>
          </w:p>
        </w:tc>
        <w:tc>
          <w:tcPr>
            <w:tcW w:w="993"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标的名称</w:t>
            </w:r>
          </w:p>
        </w:tc>
        <w:tc>
          <w:tcPr>
            <w:tcW w:w="5217" w:type="dxa"/>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技术参数及质量（配置）要求</w:t>
            </w:r>
          </w:p>
        </w:tc>
        <w:tc>
          <w:tcPr>
            <w:tcW w:w="731" w:type="dxa"/>
            <w:vAlign w:val="center"/>
          </w:tcPr>
          <w:p>
            <w:pPr>
              <w:widowControl/>
              <w:jc w:val="center"/>
              <w:textAlignment w:val="center"/>
              <w:rPr>
                <w:rFonts w:hint="eastAsia" w:ascii="宋体" w:hAnsi="宋体" w:eastAsia="宋体" w:cs="宋体"/>
                <w:bCs/>
                <w:sz w:val="24"/>
                <w:szCs w:val="24"/>
              </w:rPr>
            </w:pPr>
            <w:r>
              <w:rPr>
                <w:rFonts w:hint="eastAsia" w:ascii="宋体" w:hAnsi="宋体" w:eastAsia="宋体" w:cs="宋体"/>
                <w:bCs/>
                <w:sz w:val="24"/>
                <w:szCs w:val="24"/>
              </w:rPr>
              <w:t>单位</w:t>
            </w:r>
          </w:p>
          <w:p>
            <w:pPr>
              <w:widowControl/>
              <w:jc w:val="center"/>
              <w:textAlignment w:val="center"/>
              <w:rPr>
                <w:rFonts w:hint="eastAsia" w:ascii="宋体" w:hAnsi="宋体" w:eastAsia="宋体" w:cs="宋体"/>
                <w:bCs/>
                <w:sz w:val="24"/>
                <w:szCs w:val="24"/>
              </w:rPr>
            </w:pPr>
            <w:r>
              <w:rPr>
                <w:rFonts w:hint="eastAsia" w:ascii="宋体" w:hAnsi="宋体" w:eastAsia="宋体" w:cs="宋体"/>
                <w:bCs/>
                <w:sz w:val="24"/>
                <w:szCs w:val="24"/>
              </w:rPr>
              <w:t>数量</w:t>
            </w:r>
          </w:p>
        </w:tc>
        <w:tc>
          <w:tcPr>
            <w:tcW w:w="971" w:type="dxa"/>
            <w:vAlign w:val="center"/>
          </w:tcPr>
          <w:p>
            <w:pPr>
              <w:widowControl/>
              <w:jc w:val="center"/>
              <w:textAlignment w:val="center"/>
              <w:rPr>
                <w:rFonts w:hint="eastAsia" w:ascii="宋体" w:hAnsi="宋体" w:eastAsia="宋体" w:cs="宋体"/>
                <w:bCs/>
                <w:sz w:val="24"/>
                <w:szCs w:val="24"/>
              </w:rPr>
            </w:pPr>
            <w:r>
              <w:rPr>
                <w:rFonts w:hint="eastAsia" w:ascii="宋体" w:hAnsi="宋体" w:eastAsia="宋体" w:cs="宋体"/>
                <w:bCs/>
                <w:sz w:val="24"/>
                <w:szCs w:val="24"/>
              </w:rPr>
              <w:t>单价/元</w:t>
            </w:r>
          </w:p>
        </w:tc>
        <w:tc>
          <w:tcPr>
            <w:tcW w:w="1087" w:type="dxa"/>
            <w:vAlign w:val="center"/>
          </w:tcPr>
          <w:p>
            <w:pPr>
              <w:widowControl/>
              <w:jc w:val="center"/>
              <w:textAlignment w:val="center"/>
              <w:rPr>
                <w:rFonts w:hint="eastAsia" w:ascii="宋体" w:hAnsi="宋体" w:eastAsia="宋体" w:cs="宋体"/>
                <w:bCs/>
                <w:sz w:val="24"/>
                <w:szCs w:val="24"/>
              </w:rPr>
            </w:pPr>
            <w:r>
              <w:rPr>
                <w:rFonts w:hint="eastAsia" w:ascii="宋体" w:hAnsi="宋体" w:eastAsia="宋体" w:cs="宋体"/>
                <w:bCs/>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99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自动虫情信息采集系统</w:t>
            </w:r>
          </w:p>
        </w:tc>
        <w:tc>
          <w:tcPr>
            <w:tcW w:w="5217" w:type="dxa"/>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1、须符合国家标准《植物保护器械 虫情测报灯》GB/T 24689.1-2009要求。</w:t>
            </w:r>
            <w:r>
              <w:rPr>
                <w:rFonts w:hint="eastAsia" w:ascii="宋体" w:hAnsi="宋体" w:eastAsia="宋体" w:cs="宋体"/>
                <w:sz w:val="24"/>
                <w:szCs w:val="24"/>
                <w:shd w:val="clear" w:color="auto" w:fill="FFFFFF"/>
              </w:rPr>
              <w:t>（投标时提供国家农机具质量检验检测中心</w:t>
            </w:r>
            <w:r>
              <w:rPr>
                <w:rFonts w:hint="eastAsia" w:ascii="宋体" w:hAnsi="宋体" w:eastAsia="宋体" w:cs="宋体"/>
                <w:sz w:val="24"/>
                <w:szCs w:val="24"/>
              </w:rPr>
              <w:t>或其它合法第三方检测机构出具的检验报告，检测报告带有CNAS或CMA标识）。</w:t>
            </w:r>
          </w:p>
          <w:p>
            <w:pPr>
              <w:rPr>
                <w:rFonts w:hint="eastAsia" w:ascii="宋体" w:hAnsi="宋体" w:eastAsia="宋体" w:cs="宋体"/>
                <w:sz w:val="24"/>
                <w:szCs w:val="24"/>
              </w:rPr>
            </w:pPr>
            <w:r>
              <w:rPr>
                <w:rFonts w:hint="eastAsia" w:ascii="宋体" w:hAnsi="宋体" w:eastAsia="宋体" w:cs="宋体"/>
                <w:sz w:val="24"/>
                <w:szCs w:val="24"/>
              </w:rPr>
              <w:t>2、电源电压：适用交流电压为220V±60V，绝缘电阻：≥2.5MΩ。采用光控或时控开关，设置开、关灯时间。光源为20W黑光灯，主波长为365nm；灯管周围无影响光线发散的遮挡物。</w:t>
            </w:r>
          </w:p>
          <w:p>
            <w:pPr>
              <w:rPr>
                <w:rFonts w:hint="eastAsia" w:ascii="宋体" w:hAnsi="宋体" w:eastAsia="宋体" w:cs="宋体"/>
                <w:sz w:val="24"/>
                <w:szCs w:val="24"/>
              </w:rPr>
            </w:pPr>
            <w:r>
              <w:rPr>
                <w:rFonts w:hint="eastAsia" w:ascii="宋体" w:hAnsi="宋体" w:eastAsia="宋体" w:cs="宋体"/>
                <w:sz w:val="24"/>
                <w:szCs w:val="24"/>
              </w:rPr>
              <w:t>3、不锈钢或镀锌钢材质工艺；具有漏电保护，避雷和防雨装置，雨天可正常工作，集虫器内不积水。</w:t>
            </w:r>
          </w:p>
          <w:p>
            <w:pPr>
              <w:rPr>
                <w:rFonts w:hint="eastAsia" w:ascii="宋体" w:hAnsi="宋体" w:eastAsia="宋体" w:cs="宋体"/>
                <w:sz w:val="24"/>
                <w:szCs w:val="24"/>
              </w:rPr>
            </w:pPr>
            <w:r>
              <w:rPr>
                <w:rFonts w:hint="eastAsia" w:ascii="宋体" w:hAnsi="宋体" w:eastAsia="宋体" w:cs="宋体"/>
                <w:sz w:val="24"/>
                <w:szCs w:val="24"/>
              </w:rPr>
              <w:t>4、设备远红外虫体处理，虫体处理致死率≥90%，虫体完整率≥95%，具图像采集功能，可自动拍照和手动拍照，并可通过PC机、手机等终端进行远程控制；能根据虫体数量自动调节拍照间隔时间；接虫装置具备定期清除功能，保证虫体均匀平铺、减少堆叠，目标害虫盛发期的图片采集率在80%以上；采集的图片具备比例尺，用以判断虫体大小。</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t>5、自动拍照，可调时段拍照；自动传输上传监测图片，数据实时传输。虫体拍照摄像头≥1200W像素高清成像系统。</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t>6、拍照后虫体应能得到自动清理，能有效将雨、虫分离，箱体内不得有明显积水，雨天能正常工作。</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t>7、可实现对拍摄画面的图像处理。图片保存质量应满足虫体人工手动计数的识别需求。同时，可以在图片平台上切换虫体大小。</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t>8、具昆虫种类自动识别和计数功能，可识别一类农作物病虫害名录中90％以上以及广西本地二类农作物病虫害名录中80％以上的趋光性害虫种类，且每一种害虫盛发期的图片识别计数准确率≥80％。</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t>9、系统组成：灯诱害虫诱集系统、害虫定量分离系统、图像采集系统、数据传输系统、图像处理及数据统计系统组成。可自动完成诱集、处理、图像采集、数据上传存储。数据采集时间间隔可以设置，同时能够实现自动分析相关数据，历史数据可实时在线免费存储、查阅、下载表格及图片，方便使用人员进行数据的横向比较和纵向分析。</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t>10、可在温度为0℃-70℃，湿度不大于95%RH的环境中正常工作。</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t>11、可通过现场控制及软件端远程手动监测控制设备，诱虫灯开启、手动拍照、光控时控切换、拍照间隔时间、有线、无线网络切换功能等功能。</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t>12、操作方式多样，可实现网页版、PC客户端、手机APP实时数据同步，支持电脑客户端、网页版、移动端版数据共享。</w:t>
            </w:r>
          </w:p>
          <w:p>
            <w:pPr>
              <w:adjustRightInd w:val="0"/>
              <w:snapToGrid w:val="0"/>
              <w:rPr>
                <w:rFonts w:hint="eastAsia" w:ascii="宋体" w:hAnsi="宋体" w:eastAsia="宋体" w:cs="宋体"/>
                <w:sz w:val="24"/>
                <w:szCs w:val="24"/>
              </w:rPr>
            </w:pPr>
            <w:r>
              <w:rPr>
                <w:rFonts w:hint="eastAsia" w:ascii="宋体" w:hAnsi="宋体" w:eastAsia="宋体" w:cs="宋体"/>
                <w:sz w:val="24"/>
                <w:szCs w:val="24"/>
              </w:rPr>
              <w:t>13、可实现国家、省、县三级网络信息处理、储存、传输。</w:t>
            </w:r>
          </w:p>
          <w:p>
            <w:pPr>
              <w:rPr>
                <w:rFonts w:hint="eastAsia" w:ascii="宋体" w:hAnsi="宋体" w:eastAsia="宋体" w:cs="宋体"/>
                <w:sz w:val="24"/>
                <w:szCs w:val="24"/>
              </w:rPr>
            </w:pPr>
            <w:r>
              <w:rPr>
                <w:rFonts w:hint="eastAsia" w:ascii="宋体" w:hAnsi="宋体" w:eastAsia="宋体" w:cs="宋体"/>
                <w:sz w:val="24"/>
                <w:szCs w:val="24"/>
              </w:rPr>
              <w:t>▲14、必须能够接入广西农作物病虫疫情调度指挥平台系统和县级病虫疫情信息化处理系统。</w:t>
            </w:r>
          </w:p>
        </w:tc>
        <w:tc>
          <w:tcPr>
            <w:tcW w:w="731" w:type="dxa"/>
            <w:vAlign w:val="center"/>
          </w:tcPr>
          <w:p>
            <w:pPr>
              <w:jc w:val="center"/>
              <w:rPr>
                <w:rFonts w:hint="eastAsia" w:ascii="宋体" w:hAnsi="宋体" w:eastAsia="宋体" w:cs="宋体"/>
                <w:sz w:val="24"/>
                <w:szCs w:val="24"/>
              </w:rPr>
            </w:pPr>
            <w:r>
              <w:rPr>
                <w:rFonts w:hint="eastAsia" w:ascii="宋体" w:hAnsi="宋体" w:eastAsia="宋体" w:cs="宋体"/>
                <w:bCs/>
                <w:color w:val="000000"/>
                <w:sz w:val="24"/>
                <w:szCs w:val="24"/>
              </w:rPr>
              <w:t>1套</w:t>
            </w:r>
          </w:p>
        </w:tc>
        <w:tc>
          <w:tcPr>
            <w:tcW w:w="971"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rPr>
              <w:t>105000</w:t>
            </w:r>
          </w:p>
        </w:tc>
        <w:tc>
          <w:tcPr>
            <w:tcW w:w="1087"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color w:val="000000"/>
                <w:sz w:val="24"/>
                <w:szCs w:val="24"/>
              </w:rPr>
              <w:t>105000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993"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害虫性诱远程实时监测系统</w:t>
            </w:r>
          </w:p>
        </w:tc>
        <w:tc>
          <w:tcPr>
            <w:tcW w:w="5217" w:type="dxa"/>
            <w:vAlign w:val="center"/>
          </w:tcPr>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测报系统硬件，采用30W太阳能供电、DC12V/20AH锂电池蓄电，GPS定位精度50米、进虫口数量3个、远程传输虫情、风向风力、温湿度、光照度及雨感等数据至电脑/手机终端，实时反馈害虫发生及气候因子情况，虫情统计时段时/天/月/年。</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2、采用昆虫信息素性诱剂诱芯引诱害虫，通过进虫孔进入诱捕容器内利用高压电网DC6000V击杀害虫后，落入监测点获得数据。</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3、手机/电脑登录后台后可远程查看相应数据，并且能根据靶向害虫的生活习性规律，远程控制电网的工作时间或开关闭设备。</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4、设备具有自诊断与告警输出、大数据气象监测、支持多频段网络传输、支持本地串口调试、内置设备云协议，支持远程升级服务。</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5、计数方式采用双通道红外脉冲检测。</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6、设计寿命5年、高压电网具有安全防护、电池箱体具有防盗螺丝、配置专用水泥底座。</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▲7、必须能够接入广西农作物病虫疫情调度指挥平台系统。</w:t>
            </w:r>
          </w:p>
        </w:tc>
        <w:tc>
          <w:tcPr>
            <w:tcW w:w="731"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bCs/>
                <w:color w:val="000000"/>
                <w:sz w:val="24"/>
                <w:szCs w:val="24"/>
              </w:rPr>
              <w:t>1套</w:t>
            </w:r>
          </w:p>
        </w:tc>
        <w:tc>
          <w:tcPr>
            <w:tcW w:w="971" w:type="dxa"/>
            <w:shd w:val="clear" w:color="auto" w:fill="auto"/>
            <w:vAlign w:val="center"/>
          </w:tcPr>
          <w:p>
            <w:pPr>
              <w:spacing w:line="380" w:lineRule="exact"/>
              <w:jc w:val="center"/>
              <w:rPr>
                <w:rFonts w:hint="eastAsia" w:ascii="宋体" w:hAnsi="宋体" w:eastAsia="宋体" w:cs="宋体"/>
                <w:sz w:val="24"/>
                <w:szCs w:val="24"/>
              </w:rPr>
            </w:pPr>
            <w:r>
              <w:rPr>
                <w:rFonts w:hint="eastAsia" w:ascii="宋体" w:hAnsi="宋体" w:eastAsia="宋体" w:cs="宋体"/>
                <w:color w:val="000000"/>
                <w:sz w:val="24"/>
                <w:szCs w:val="24"/>
              </w:rPr>
              <w:t>50000</w:t>
            </w:r>
          </w:p>
        </w:tc>
        <w:tc>
          <w:tcPr>
            <w:tcW w:w="1087" w:type="dxa"/>
            <w:shd w:val="clear" w:color="auto" w:fill="auto"/>
            <w:vAlign w:val="center"/>
          </w:tcPr>
          <w:p>
            <w:pPr>
              <w:spacing w:line="380" w:lineRule="exact"/>
              <w:jc w:val="center"/>
              <w:rPr>
                <w:rFonts w:hint="eastAsia" w:ascii="宋体" w:hAnsi="宋体" w:eastAsia="宋体" w:cs="宋体"/>
                <w:sz w:val="24"/>
                <w:szCs w:val="24"/>
              </w:rPr>
            </w:pPr>
            <w:r>
              <w:rPr>
                <w:rFonts w:hint="eastAsia" w:ascii="宋体" w:hAnsi="宋体" w:eastAsia="宋体" w:cs="宋体"/>
                <w:color w:val="000000"/>
                <w:sz w:val="24"/>
                <w:szCs w:val="24"/>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0"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993"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田间可移动智能监测调查工具</w:t>
            </w:r>
          </w:p>
        </w:tc>
        <w:tc>
          <w:tcPr>
            <w:tcW w:w="5217" w:type="dxa"/>
          </w:tcPr>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1、处理器：不低于8核架构，主频不低于2.0GHz； </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2、存储：不低于128GB ROM/4GB RAM；支持多模块拓展功能；</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3、操作系统：Android10及以上；</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4、显示屏：支持双目显示功能，拍照图像支持4800万像素，支持自动对焦功能；</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5、通信：集成低功耗5G调制解调器，包括支持Sub-6GHz 频段的独立（SA）与非独立（NSA）组网；</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6、WiFi：WiFi 6，支持2.4GHz和5GHz双频段；</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7、蓝牙：支持BR/EDR+BLE5.1双模式；</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8、麦克风：支持降噪功能；</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9、电池：可拆卸更换，支持热插拔，田间工作可持续供电不低于4小时；</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10、接口：支持Type-C；支持TF卡扩展；</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11、调查场景覆盖：支持基于国家调查规范的水稻稻飞虱、稻纵卷叶螟、水稻纹枯病，玉米草地贪夜蛾，玉米粘虫的田间调查场景；</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12、语音识别交互：支持全程语音输入识别和语音指令控制设备； </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13、数据传输：支持在设备端即时查看调查数据以及汇算的数据；</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■14、支持稻飞虱盘拍、稻纵卷叶螟为害形成的卷叶、玉米南方锈病严重度调查场景图像识别和水稻稻纵卷叶螟赶蛾过程的视频录制和计数识别；</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15、支持水稻稻飞虱盘拍场景的图像识别，可识别灰飞虱，白背飞虱，褐飞虱的长短翅成虫以及高低龄稻飞虱若虫；</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16、支持17、网络信号正常的情况下图像识别平均速率不高于6s；</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17、数据集成：支持对原始调查数据的筛选、录入和编辑功能，确保数据准确性；</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■18、支持田间调查数据实时传输并自动汇算生成符合国家测报调查规范标准的报表；</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19、支持与各级植保系统的数据集成；</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20、个性化配置：支持主要病虫害配置调查场景以及配套的识别模型的配置；支持第三方识别服务的接入；</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■21、投标时提供国家农机具质量检验检测中心或其它合法第三方检测机构出具的检验报告，检测报告带有CNAS或CMA标识。作为评分依据。</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▲22、必须能够接入广西农作物病虫疫情调度指挥平台系统和县级病虫疫情信息化处理系统。</w:t>
            </w:r>
          </w:p>
        </w:tc>
        <w:tc>
          <w:tcPr>
            <w:tcW w:w="731"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bCs/>
                <w:color w:val="000000"/>
                <w:sz w:val="24"/>
                <w:szCs w:val="24"/>
              </w:rPr>
              <w:t>1套</w:t>
            </w:r>
          </w:p>
        </w:tc>
        <w:tc>
          <w:tcPr>
            <w:tcW w:w="971" w:type="dxa"/>
            <w:shd w:val="clear" w:color="auto" w:fill="auto"/>
            <w:vAlign w:val="center"/>
          </w:tcPr>
          <w:p>
            <w:pPr>
              <w:spacing w:line="380" w:lineRule="exact"/>
              <w:jc w:val="center"/>
              <w:rPr>
                <w:rFonts w:hint="eastAsia" w:ascii="宋体" w:hAnsi="宋体" w:eastAsia="宋体" w:cs="宋体"/>
                <w:sz w:val="24"/>
                <w:szCs w:val="24"/>
              </w:rPr>
            </w:pPr>
            <w:r>
              <w:rPr>
                <w:rFonts w:hint="eastAsia" w:ascii="宋体" w:hAnsi="宋体" w:eastAsia="宋体" w:cs="宋体"/>
                <w:color w:val="000000"/>
                <w:sz w:val="24"/>
                <w:szCs w:val="24"/>
              </w:rPr>
              <w:t>55000</w:t>
            </w:r>
          </w:p>
        </w:tc>
        <w:tc>
          <w:tcPr>
            <w:tcW w:w="1087" w:type="dxa"/>
            <w:shd w:val="clear" w:color="auto" w:fill="auto"/>
            <w:vAlign w:val="center"/>
          </w:tcPr>
          <w:p>
            <w:pPr>
              <w:spacing w:line="380" w:lineRule="exact"/>
              <w:jc w:val="center"/>
              <w:rPr>
                <w:rFonts w:hint="eastAsia" w:ascii="宋体" w:hAnsi="宋体" w:eastAsia="宋体" w:cs="宋体"/>
                <w:sz w:val="24"/>
                <w:szCs w:val="24"/>
              </w:rPr>
            </w:pPr>
            <w:r>
              <w:rPr>
                <w:rFonts w:hint="eastAsia" w:ascii="宋体" w:hAnsi="宋体" w:eastAsia="宋体" w:cs="宋体"/>
                <w:color w:val="000000"/>
                <w:sz w:val="24"/>
                <w:szCs w:val="24"/>
              </w:rPr>
              <w:t>55000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993"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体视显微镜</w:t>
            </w:r>
          </w:p>
        </w:tc>
        <w:tc>
          <w:tcPr>
            <w:tcW w:w="5217"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▲1.放大倍数：6.2X-200X，成像清晰范围（以视场直径的百分比计）上下≧75%，左右≧66%</w:t>
            </w:r>
          </w:p>
          <w:p>
            <w:pPr>
              <w:spacing w:line="380" w:lineRule="exact"/>
              <w:rPr>
                <w:rFonts w:hint="eastAsia" w:ascii="宋体" w:hAnsi="宋体" w:eastAsia="宋体" w:cs="宋体"/>
                <w:sz w:val="24"/>
                <w:szCs w:val="24"/>
              </w:rPr>
            </w:pPr>
            <w:r>
              <w:rPr>
                <w:rFonts w:hint="eastAsia" w:ascii="宋体" w:hAnsi="宋体" w:eastAsia="宋体" w:cs="宋体"/>
                <w:sz w:val="24"/>
                <w:szCs w:val="24"/>
              </w:rPr>
              <w:t>▲2.变 倍 比：连续变倍 1：8</w:t>
            </w:r>
          </w:p>
          <w:p>
            <w:pPr>
              <w:spacing w:line="380" w:lineRule="exact"/>
              <w:rPr>
                <w:rFonts w:hint="eastAsia" w:ascii="宋体" w:hAnsi="宋体" w:eastAsia="宋体" w:cs="宋体"/>
                <w:sz w:val="24"/>
                <w:szCs w:val="24"/>
              </w:rPr>
            </w:pPr>
            <w:r>
              <w:rPr>
                <w:rFonts w:hint="eastAsia" w:ascii="宋体" w:hAnsi="宋体" w:eastAsia="宋体" w:cs="宋体"/>
                <w:sz w:val="24"/>
                <w:szCs w:val="24"/>
              </w:rPr>
              <w:t>3.观察镜筒：铰链双目镜筒，45°倾斜，瞳间距55-75mm</w:t>
            </w:r>
          </w:p>
          <w:p>
            <w:pPr>
              <w:spacing w:line="380" w:lineRule="exact"/>
              <w:rPr>
                <w:rFonts w:hint="eastAsia" w:ascii="宋体" w:hAnsi="宋体" w:eastAsia="宋体" w:cs="宋体"/>
                <w:sz w:val="24"/>
                <w:szCs w:val="24"/>
              </w:rPr>
            </w:pPr>
            <w:r>
              <w:rPr>
                <w:rFonts w:hint="eastAsia" w:ascii="宋体" w:hAnsi="宋体" w:eastAsia="宋体" w:cs="宋体"/>
                <w:sz w:val="24"/>
                <w:szCs w:val="24"/>
              </w:rPr>
              <w:t>4.目镜：广角WF10X/23mm，WF20X,高眼点大视场,屈 光 度：双目视度调节范围 ±6</w:t>
            </w:r>
          </w:p>
          <w:p>
            <w:pPr>
              <w:spacing w:line="380" w:lineRule="exact"/>
              <w:rPr>
                <w:rFonts w:hint="eastAsia" w:ascii="宋体" w:hAnsi="宋体" w:eastAsia="宋体" w:cs="宋体"/>
                <w:sz w:val="24"/>
                <w:szCs w:val="24"/>
              </w:rPr>
            </w:pPr>
            <w:r>
              <w:rPr>
                <w:rFonts w:hint="eastAsia" w:ascii="宋体" w:hAnsi="宋体" w:eastAsia="宋体" w:cs="宋体"/>
                <w:sz w:val="24"/>
                <w:szCs w:val="24"/>
              </w:rPr>
              <w:t>▲5.物镜：连续变倍物镜，0.62X-5X，确保像面齐焦，视场中心最小分辨力（线对/mm）,5倍物镜：212mm；4倍物镜：178mm；3倍物镜：150mm；2倍物镜：141mm；1倍物镜：112mm,变倍时原视场中心物点的像在像面内的偏移量（mm）≦0.25，总放大率误差不超过正负1.59%，左右光学系统出瞳高度差≦0.55mm,左右系统放大率差≦1.13%，左右光学系统聚焦差≦0.35mm,物面中心的像在左右视场中心的偏差（mm）,上下方向≦0.15mm，左右方向≦0.25mm.屈光度零度标注误差 ±0.20mm.</w:t>
            </w:r>
          </w:p>
          <w:p>
            <w:pPr>
              <w:spacing w:line="380" w:lineRule="exact"/>
              <w:rPr>
                <w:rFonts w:hint="eastAsia" w:ascii="宋体" w:hAnsi="宋体" w:eastAsia="宋体" w:cs="宋体"/>
                <w:sz w:val="24"/>
                <w:szCs w:val="24"/>
              </w:rPr>
            </w:pPr>
            <w:r>
              <w:rPr>
                <w:rFonts w:hint="eastAsia" w:ascii="宋体" w:hAnsi="宋体" w:eastAsia="宋体" w:cs="宋体"/>
                <w:sz w:val="24"/>
                <w:szCs w:val="24"/>
              </w:rPr>
              <w:t>6.上下照 明：LED冷光源</w:t>
            </w:r>
          </w:p>
          <w:p>
            <w:pPr>
              <w:spacing w:line="380" w:lineRule="exact"/>
              <w:rPr>
                <w:rFonts w:hint="eastAsia" w:ascii="宋体" w:hAnsi="宋体" w:eastAsia="宋体" w:cs="宋体"/>
                <w:sz w:val="24"/>
                <w:szCs w:val="24"/>
              </w:rPr>
            </w:pPr>
            <w:r>
              <w:rPr>
                <w:rFonts w:hint="eastAsia" w:ascii="宋体" w:hAnsi="宋体" w:eastAsia="宋体" w:cs="宋体"/>
                <w:sz w:val="24"/>
                <w:szCs w:val="24"/>
              </w:rPr>
              <w:t>7.包装：（内）泡沫+（外）纸箱</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8.带1600万像素摄像装置，USB3.0高速数据接口，带图像处理软件，可拍照，录像，测量等图像处理功能。</w:t>
            </w:r>
          </w:p>
        </w:tc>
        <w:tc>
          <w:tcPr>
            <w:tcW w:w="731"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bCs/>
                <w:color w:val="000000"/>
                <w:sz w:val="24"/>
                <w:szCs w:val="24"/>
              </w:rPr>
              <w:t>1台</w:t>
            </w:r>
          </w:p>
        </w:tc>
        <w:tc>
          <w:tcPr>
            <w:tcW w:w="971" w:type="dxa"/>
            <w:shd w:val="clear" w:color="auto" w:fill="auto"/>
            <w:vAlign w:val="center"/>
          </w:tcPr>
          <w:p>
            <w:pPr>
              <w:spacing w:line="380" w:lineRule="exact"/>
              <w:jc w:val="center"/>
              <w:rPr>
                <w:rFonts w:hint="eastAsia" w:ascii="宋体" w:hAnsi="宋体" w:eastAsia="宋体" w:cs="宋体"/>
                <w:sz w:val="24"/>
                <w:szCs w:val="24"/>
              </w:rPr>
            </w:pPr>
            <w:r>
              <w:rPr>
                <w:rFonts w:hint="eastAsia" w:ascii="宋体" w:hAnsi="宋体" w:eastAsia="宋体" w:cs="宋体"/>
                <w:color w:val="000000"/>
                <w:sz w:val="24"/>
                <w:szCs w:val="24"/>
              </w:rPr>
              <w:t>10000</w:t>
            </w:r>
          </w:p>
        </w:tc>
        <w:tc>
          <w:tcPr>
            <w:tcW w:w="1087" w:type="dxa"/>
            <w:shd w:val="clear" w:color="auto" w:fill="auto"/>
            <w:vAlign w:val="center"/>
          </w:tcPr>
          <w:p>
            <w:pPr>
              <w:spacing w:line="380" w:lineRule="exact"/>
              <w:jc w:val="center"/>
              <w:rPr>
                <w:rFonts w:hint="eastAsia" w:ascii="宋体" w:hAnsi="宋体" w:eastAsia="宋体" w:cs="宋体"/>
                <w:sz w:val="24"/>
                <w:szCs w:val="24"/>
              </w:rPr>
            </w:pPr>
            <w:r>
              <w:rPr>
                <w:rFonts w:hint="eastAsia" w:ascii="宋体" w:hAnsi="宋体" w:eastAsia="宋体" w:cs="宋体"/>
                <w:color w:val="00000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993" w:type="dxa"/>
            <w:vAlign w:val="center"/>
          </w:tcPr>
          <w:p>
            <w:pPr>
              <w:spacing w:line="380" w:lineRule="exact"/>
              <w:rPr>
                <w:rFonts w:hint="eastAsia" w:ascii="宋体" w:hAnsi="宋体" w:eastAsia="宋体" w:cs="宋体"/>
                <w:sz w:val="24"/>
                <w:szCs w:val="24"/>
              </w:rPr>
            </w:pPr>
            <w:r>
              <w:rPr>
                <w:rFonts w:hint="eastAsia" w:ascii="宋体" w:hAnsi="宋体" w:eastAsia="宋体" w:cs="宋体"/>
                <w:sz w:val="24"/>
                <w:szCs w:val="24"/>
              </w:rPr>
              <w:t>生物显微镜</w:t>
            </w:r>
          </w:p>
        </w:tc>
        <w:tc>
          <w:tcPr>
            <w:tcW w:w="5217" w:type="dxa"/>
            <w:vAlign w:val="center"/>
          </w:tcPr>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放大倍数：光学放大倍数40X-1600X</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数码镜筒：无限远数字铰链双目TV镜筒，500万专业显微摄像头，镜筒可360°旋转，瞳间距50-75mm</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目镜：高眼点、大视野、视度可调，WF10X/20mm ω，WF16X/16mm ω</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物镜：无限远超级消色差，4X/0.10、10X/0.25、40X/0.65（弹）、100X/1.25（弹油）</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转 换 器：四孔内倾，钢珠定位</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载 物 台：双层机械移动平台，双切片夹，大小160×142mm，移动范围76×52mm</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调焦机构：粗微动同轴，粗调22mm，微调0.001mm，带有手轮松紧调节、随机限位锁紧机构</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聚 光 镜：全柯拉阿贝聚光镜，N.A.=1.25，可变光阑，聚光镜中心可调，手轮升降</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集 光 镜：临界照明，大口径集光透镜</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光源：LED 3W/1A，复眼照明</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电源：外置开关宽电压电源，输入AC90-240V，输出DC 5V/2A</w:t>
            </w:r>
          </w:p>
          <w:p>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数码功能：专业显微图像分析软件，可自动/手动白平衡，单独调整RGB三原色</w:t>
            </w:r>
          </w:p>
        </w:tc>
        <w:tc>
          <w:tcPr>
            <w:tcW w:w="731"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bCs/>
                <w:color w:val="000000"/>
                <w:sz w:val="24"/>
                <w:szCs w:val="24"/>
              </w:rPr>
              <w:t>1台</w:t>
            </w:r>
          </w:p>
        </w:tc>
        <w:tc>
          <w:tcPr>
            <w:tcW w:w="971" w:type="dxa"/>
            <w:shd w:val="clear" w:color="auto" w:fill="auto"/>
            <w:vAlign w:val="center"/>
          </w:tcPr>
          <w:p>
            <w:pPr>
              <w:spacing w:line="380" w:lineRule="exact"/>
              <w:jc w:val="center"/>
              <w:rPr>
                <w:rFonts w:hint="eastAsia" w:ascii="宋体" w:hAnsi="宋体" w:eastAsia="宋体" w:cs="宋体"/>
                <w:sz w:val="24"/>
                <w:szCs w:val="24"/>
              </w:rPr>
            </w:pPr>
            <w:r>
              <w:rPr>
                <w:rFonts w:hint="eastAsia" w:ascii="宋体" w:hAnsi="宋体" w:eastAsia="宋体" w:cs="宋体"/>
                <w:color w:val="000000"/>
                <w:sz w:val="24"/>
                <w:szCs w:val="24"/>
              </w:rPr>
              <w:t>10000</w:t>
            </w:r>
          </w:p>
        </w:tc>
        <w:tc>
          <w:tcPr>
            <w:tcW w:w="1087" w:type="dxa"/>
            <w:shd w:val="clear" w:color="auto" w:fill="auto"/>
            <w:vAlign w:val="center"/>
          </w:tcPr>
          <w:p>
            <w:pPr>
              <w:spacing w:line="380" w:lineRule="exact"/>
              <w:jc w:val="center"/>
              <w:rPr>
                <w:rFonts w:hint="eastAsia" w:ascii="宋体" w:hAnsi="宋体" w:eastAsia="宋体" w:cs="宋体"/>
                <w:sz w:val="24"/>
                <w:szCs w:val="24"/>
              </w:rPr>
            </w:pPr>
            <w:r>
              <w:rPr>
                <w:rFonts w:hint="eastAsia" w:ascii="宋体" w:hAnsi="宋体" w:eastAsia="宋体" w:cs="宋体"/>
                <w:color w:val="000000"/>
                <w:sz w:val="24"/>
                <w:szCs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 w:type="dxa"/>
            <w:vAlign w:val="center"/>
          </w:tcPr>
          <w:p>
            <w:pPr>
              <w:spacing w:line="38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993" w:type="dxa"/>
            <w:vAlign w:val="center"/>
          </w:tcPr>
          <w:p>
            <w:pPr>
              <w:spacing w:line="380" w:lineRule="exact"/>
              <w:rPr>
                <w:rFonts w:hint="eastAsia" w:ascii="宋体" w:hAnsi="宋体" w:eastAsia="宋体" w:cs="宋体"/>
                <w:sz w:val="24"/>
                <w:szCs w:val="24"/>
              </w:rPr>
            </w:pPr>
            <w:r>
              <w:rPr>
                <w:rFonts w:hint="eastAsia" w:ascii="宋体" w:hAnsi="宋体" w:eastAsia="宋体" w:cs="宋体"/>
                <w:color w:val="000000"/>
                <w:kern w:val="0"/>
                <w:sz w:val="24"/>
                <w:szCs w:val="24"/>
              </w:rPr>
              <w:t>重大病虫观测场升级建设附属工程</w:t>
            </w:r>
          </w:p>
        </w:tc>
        <w:tc>
          <w:tcPr>
            <w:tcW w:w="5217" w:type="dxa"/>
            <w:vAlign w:val="center"/>
          </w:tcPr>
          <w:p>
            <w:pPr>
              <w:widowControl/>
              <w:numPr>
                <w:ilvl w:val="0"/>
                <w:numId w:val="1"/>
              </w:numPr>
              <w:adjustRightInd w:val="0"/>
              <w:snapToGrid w:val="0"/>
              <w:spacing w:line="600" w:lineRule="exact"/>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修补完善观测场道路建设。</w:t>
            </w:r>
          </w:p>
          <w:p>
            <w:pPr>
              <w:widowControl/>
              <w:numPr>
                <w:ilvl w:val="0"/>
                <w:numId w:val="0"/>
              </w:numPr>
              <w:adjustRightInd w:val="0"/>
              <w:snapToGrid w:val="0"/>
              <w:spacing w:line="600" w:lineRule="exact"/>
              <w:ind w:leftChars="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2、完善观测场护栏设施。</w:t>
            </w:r>
          </w:p>
          <w:p>
            <w:pPr>
              <w:widowControl/>
              <w:numPr>
                <w:ilvl w:val="0"/>
                <w:numId w:val="0"/>
              </w:numPr>
              <w:adjustRightInd w:val="0"/>
              <w:snapToGrid w:val="0"/>
              <w:spacing w:line="600" w:lineRule="exact"/>
              <w:ind w:leftChars="0"/>
              <w:jc w:val="left"/>
              <w:rPr>
                <w:rFonts w:hint="eastAsia" w:ascii="宋体" w:hAnsi="宋体" w:eastAsia="宋体" w:cs="宋体"/>
                <w:kern w:val="0"/>
                <w:sz w:val="24"/>
                <w:szCs w:val="24"/>
              </w:rPr>
            </w:pPr>
            <w:r>
              <w:rPr>
                <w:rFonts w:hint="eastAsia" w:ascii="宋体" w:hAnsi="宋体" w:eastAsia="宋体" w:cs="宋体"/>
                <w:sz w:val="24"/>
                <w:szCs w:val="24"/>
                <w:lang w:val="en-US" w:eastAsia="zh-CN"/>
              </w:rPr>
              <w:t>3、</w:t>
            </w:r>
            <w:r>
              <w:rPr>
                <w:rFonts w:hint="eastAsia" w:ascii="宋体" w:hAnsi="宋体" w:eastAsia="宋体" w:cs="宋体"/>
                <w:kern w:val="0"/>
                <w:sz w:val="24"/>
                <w:szCs w:val="24"/>
                <w:lang w:eastAsia="zh-CN"/>
              </w:rPr>
              <w:t>补充</w:t>
            </w:r>
            <w:r>
              <w:rPr>
                <w:rFonts w:hint="eastAsia" w:ascii="宋体" w:hAnsi="宋体" w:eastAsia="宋体" w:cs="宋体"/>
                <w:sz w:val="24"/>
                <w:szCs w:val="24"/>
              </w:rPr>
              <w:t>观测场土地租赁、产量补</w:t>
            </w:r>
            <w:r>
              <w:rPr>
                <w:rFonts w:hint="eastAsia" w:ascii="宋体" w:hAnsi="宋体" w:eastAsia="宋体" w:cs="宋体"/>
                <w:kern w:val="0"/>
                <w:sz w:val="24"/>
                <w:szCs w:val="24"/>
              </w:rPr>
              <w:t>偿、设备维护、</w:t>
            </w:r>
            <w:r>
              <w:rPr>
                <w:rFonts w:hint="eastAsia" w:ascii="宋体" w:hAnsi="宋体" w:eastAsia="宋体" w:cs="宋体"/>
                <w:sz w:val="24"/>
                <w:szCs w:val="24"/>
              </w:rPr>
              <w:t>电力网络和数据对接</w:t>
            </w:r>
            <w:r>
              <w:rPr>
                <w:rFonts w:hint="eastAsia" w:ascii="宋体" w:hAnsi="宋体" w:eastAsia="宋体" w:cs="宋体"/>
                <w:sz w:val="24"/>
                <w:szCs w:val="24"/>
                <w:lang w:eastAsia="zh-CN"/>
              </w:rPr>
              <w:t>等资金支持。</w:t>
            </w:r>
          </w:p>
          <w:p>
            <w:pPr>
              <w:numPr>
                <w:ilvl w:val="0"/>
                <w:numId w:val="0"/>
              </w:numPr>
              <w:adjustRightInd w:val="0"/>
              <w:snapToGrid w:val="0"/>
              <w:spacing w:line="38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731" w:type="dxa"/>
            <w:vAlign w:val="center"/>
          </w:tcPr>
          <w:p>
            <w:pPr>
              <w:spacing w:line="380" w:lineRule="exact"/>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1项</w:t>
            </w:r>
          </w:p>
        </w:tc>
        <w:tc>
          <w:tcPr>
            <w:tcW w:w="971" w:type="dxa"/>
            <w:shd w:val="clear" w:color="auto" w:fill="auto"/>
            <w:vAlign w:val="center"/>
          </w:tcPr>
          <w:p>
            <w:pPr>
              <w:spacing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20000</w:t>
            </w:r>
          </w:p>
        </w:tc>
        <w:tc>
          <w:tcPr>
            <w:tcW w:w="1087" w:type="dxa"/>
            <w:shd w:val="clear" w:color="auto" w:fill="auto"/>
            <w:vAlign w:val="center"/>
          </w:tcPr>
          <w:p>
            <w:pPr>
              <w:spacing w:line="38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20000</w:t>
            </w:r>
          </w:p>
        </w:tc>
      </w:tr>
    </w:tbl>
    <w:p>
      <w:pPr>
        <w:keepNext w:val="0"/>
        <w:keepLines w:val="0"/>
        <w:pageBreakBefore w:val="0"/>
        <w:numPr>
          <w:ilvl w:val="0"/>
          <w:numId w:val="0"/>
        </w:numPr>
        <w:kinsoku/>
        <w:wordWrap/>
        <w:overflowPunct/>
        <w:topLinePunct w:val="0"/>
        <w:autoSpaceDE/>
        <w:bidi w:val="0"/>
        <w:spacing w:line="600" w:lineRule="exact"/>
        <w:rPr>
          <w:rFonts w:hint="eastAsia" w:ascii="宋体" w:hAnsi="宋体" w:cs="宋体"/>
          <w:sz w:val="24"/>
          <w:szCs w:val="24"/>
          <w:lang w:eastAsia="zh-CN"/>
        </w:rPr>
      </w:pP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四、递交报价材料截止时间及询价时间</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(一) 递交报价文件截止时间:</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日止。</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(二)供应商应于递交文件截止时间前将响应文件以邮递或现场方式送达询价地点，逾期未送达或没有盖章密封的将被拒绝。</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五、递交报价文件及询价地点</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广西来宾市象州县温泉大道130号象州县农业农村局植物保护检疫站</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六、评审方式</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象州县农业农村局相关人员组成评标小组进行评标。以采购文件或响应文件为评定依据，对供应商的报价、供应商资质、项目采购物资材料、相关业绩四个方面内容按百分制打分。采用高分者中标的方式确定中标候选人，然后递交局领导班子会讨论确定中标公司。</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七、其他事项</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 本询价文件由象州县农业农村局负责解释。</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(二)询价人联系方式</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1、联系人:余先生</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2、联系电话：0772-4362717     13977246639</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3、联系地址: 广西来宾市象州县温泉大道130号</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4、邮政编码:545800</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象州县农业农村局</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adjustRightInd w:val="0"/>
        <w:snapToGrid w:val="0"/>
        <w:spacing w:line="63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adjustRightInd w:val="0"/>
        <w:snapToGrid w:val="0"/>
        <w:spacing w:line="630" w:lineRule="exact"/>
        <w:ind w:firstLine="209" w:firstLineChars="0"/>
        <w:jc w:val="left"/>
        <w:rPr>
          <w:rFonts w:hint="eastAsia" w:asciiTheme="majorEastAsia" w:hAnsiTheme="majorEastAsia" w:eastAsiaTheme="majorEastAsia" w:cstheme="majorEastAsia"/>
          <w:bCs/>
          <w:sz w:val="28"/>
          <w:szCs w:val="28"/>
          <w:lang w:val="en-US" w:eastAsia="zh-CN"/>
        </w:rPr>
      </w:pPr>
    </w:p>
    <w:p>
      <w:pPr>
        <w:adjustRightInd w:val="0"/>
        <w:snapToGrid w:val="0"/>
        <w:spacing w:line="630" w:lineRule="exact"/>
        <w:jc w:val="left"/>
        <w:rPr>
          <w:rFonts w:hint="eastAsia" w:asciiTheme="majorEastAsia" w:hAnsiTheme="majorEastAsia" w:eastAsiaTheme="majorEastAsia" w:cstheme="majorEastAsia"/>
          <w:bCs/>
          <w:sz w:val="44"/>
          <w:szCs w:val="4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8E0A16"/>
    <w:multiLevelType w:val="singleLevel"/>
    <w:tmpl w:val="728E0A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94764"/>
    <w:rsid w:val="0E746AF3"/>
    <w:rsid w:val="132C145B"/>
    <w:rsid w:val="15762182"/>
    <w:rsid w:val="24F94764"/>
    <w:rsid w:val="2865256E"/>
    <w:rsid w:val="31114D38"/>
    <w:rsid w:val="320E28F1"/>
    <w:rsid w:val="3598027F"/>
    <w:rsid w:val="38B56715"/>
    <w:rsid w:val="44E92B0B"/>
    <w:rsid w:val="47643C7B"/>
    <w:rsid w:val="4A1E669B"/>
    <w:rsid w:val="4A8B08EE"/>
    <w:rsid w:val="59995821"/>
    <w:rsid w:val="62D46F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unhideWhenUsed/>
    <w:qFormat/>
    <w:uiPriority w:val="0"/>
    <w:pPr>
      <w:widowControl/>
      <w:spacing w:before="100" w:beforeAutospacing="1" w:after="100" w:afterAutospacing="1"/>
      <w:jc w:val="left"/>
      <w:outlineLvl w:val="2"/>
    </w:pPr>
    <w:rPr>
      <w:rFonts w:ascii="宋体" w:hAnsi="宋体" w:eastAsia="仿宋_GB2312" w:cs="宋体"/>
      <w:b/>
      <w:bCs/>
      <w:sz w:val="32"/>
      <w:szCs w:val="27"/>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lock Text"/>
    <w:basedOn w:val="1"/>
    <w:semiHidden/>
    <w:unhideWhenUsed/>
    <w:qFormat/>
    <w:uiPriority w:val="99"/>
    <w:pPr>
      <w:spacing w:after="120"/>
      <w:ind w:left="1440" w:leftChars="700" w:right="1440" w:rightChars="7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2025-04-07T08:34:00Z</dcterms:created>
  <dc:creator>Administrator</dc:creator>
  <cp:lastModifiedBy>Administrator</cp:lastModifiedBy>
  <dcterms:modified xsi:type="dcterms:W3CDTF">2025-04-09T00:15:21Z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4E4A3D2B92A34C2A9DB027702DD6013A</vt:lpwstr>
  </property>
</Properties>
</file>