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象州县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购买水稻新品种“桂玉纯香”品种权询价采购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公告</w:t>
      </w:r>
    </w:p>
    <w:p>
      <w:pPr>
        <w:spacing w:line="0" w:lineRule="atLeas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现以询价采购的方式，对象州县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2024年关于水稻新品种“桂玉纯香”品种权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进行询价，欢迎符合资格条件的单位参加投标报价。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一、项目基本情况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）项目名称：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象州县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水稻新品种“桂玉纯香”品种权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）项目概况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为进一步打造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象州大米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”区域公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用</w:t>
      </w:r>
      <w:r>
        <w:rPr>
          <w:rFonts w:hint="eastAsia" w:ascii="仿宋" w:hAnsi="仿宋" w:eastAsia="仿宋" w:cs="仿宋"/>
          <w:sz w:val="30"/>
          <w:szCs w:val="30"/>
        </w:rPr>
        <w:t>品牌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象州优质稻种植技术和象州优质米种类，现引进水稻新品种“桂玉纯香”品种权</w:t>
      </w:r>
    </w:p>
    <w:p>
      <w:pPr>
        <w:rPr>
          <w:rFonts w:hint="eastAsia" w:ascii="仿宋" w:hAnsi="仿宋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二、采购方式及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要求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（一）采购方式：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询价报价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来源为：单一来源，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家单位以上（含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家）参与竞价投标。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）采购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要求：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移交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该品种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的相关技术资料及种子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公斤。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三、采购需求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表</w:t>
      </w:r>
    </w:p>
    <w:p>
      <w:pPr>
        <w:ind w:firstLine="2570" w:firstLineChars="8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表</w:t>
      </w:r>
    </w:p>
    <w:tbl>
      <w:tblPr>
        <w:tblStyle w:val="8"/>
        <w:tblW w:w="856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365"/>
        <w:gridCol w:w="178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210" w:type="dxa"/>
            <w:vAlign w:val="center"/>
          </w:tcPr>
          <w:p>
            <w:pPr>
              <w:spacing w:line="0" w:lineRule="atLeast"/>
              <w:ind w:firstLine="843" w:firstLineChars="300"/>
              <w:jc w:val="both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单位数量</w:t>
            </w:r>
          </w:p>
        </w:tc>
        <w:tc>
          <w:tcPr>
            <w:tcW w:w="17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最高限价（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元）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210" w:type="dxa"/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象州县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2024年关于水稻新品种“桂玉纯香”品种权</w:t>
            </w:r>
          </w:p>
          <w:p>
            <w:pPr>
              <w:spacing w:line="0" w:lineRule="atLeast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05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四、竞标单位资质条件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（一）具有独立承担民事责任的能力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（二）具有良好的商业信誉和健全的财务会计制度。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五、递交报价文件截止时间</w:t>
      </w:r>
    </w:p>
    <w:p>
      <w:pPr>
        <w:ind w:left="319" w:leftChars="152" w:firstLine="320" w:firstLineChars="1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（一）竞标单位</w:t>
      </w:r>
      <w:r>
        <w:rPr>
          <w:rFonts w:ascii="仿宋" w:hAnsi="仿宋" w:eastAsia="仿宋" w:cs="仿宋"/>
          <w:color w:val="auto"/>
          <w:sz w:val="32"/>
          <w:szCs w:val="32"/>
        </w:rPr>
        <w:t>递交报价文件截止时间：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color w:val="auto"/>
          <w:sz w:val="32"/>
          <w:szCs w:val="32"/>
        </w:rPr>
        <w:t>日1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</w:t>
      </w:r>
      <w:r>
        <w:rPr>
          <w:rFonts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止</w:t>
      </w:r>
      <w:r>
        <w:rPr>
          <w:rFonts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（二）竞标单位应于递交响应文件截止时间之前将响应文件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邮递或现场方式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送达询价单位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邮寄的以邮出当天为准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逾期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送达的不能参加竞标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六、递交报价文件及询价地点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广西来宾市象州县象州镇金象路31号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象州县农业农村局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三楼产业发展股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邮政编码：54580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由农业农村局评标小组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以最低报价为主要参考依据</w:t>
      </w:r>
      <w:r>
        <w:rPr>
          <w:rFonts w:hint="eastAsia" w:ascii="仿宋" w:hAnsi="仿宋" w:eastAsia="仿宋" w:cs="仿宋"/>
          <w:sz w:val="32"/>
          <w:szCs w:val="32"/>
        </w:rPr>
        <w:t>初步确定中标候选人，然后提交局领导班子会讨论决定中标单位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询价联系方式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欧工 4364987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auto"/>
          <w:sz w:val="32"/>
          <w:szCs w:val="32"/>
        </w:rPr>
        <w:instrText xml:space="preserve"> HYPERLINK "https://ditu.so.com/?pid=da75240635c8dc1a&amp;new=1&amp;src=onebox" \o "象州县农业农村局" \t "https://www.so.com/_blank"</w:instrText>
      </w:r>
      <w:r>
        <w:rPr>
          <w:rFonts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本询价文件由象州县农业农村局负责解释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特此公告。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象州县农业农村局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54AA"/>
    <w:rsid w:val="002913A2"/>
    <w:rsid w:val="00E6028F"/>
    <w:rsid w:val="01AA6E6E"/>
    <w:rsid w:val="01CD69A3"/>
    <w:rsid w:val="030E1AF0"/>
    <w:rsid w:val="03DD6C9B"/>
    <w:rsid w:val="08CC099B"/>
    <w:rsid w:val="0ED77B8A"/>
    <w:rsid w:val="12AD243E"/>
    <w:rsid w:val="12F84F8E"/>
    <w:rsid w:val="161F04B5"/>
    <w:rsid w:val="1E474D3C"/>
    <w:rsid w:val="1FB84EB6"/>
    <w:rsid w:val="203B34DD"/>
    <w:rsid w:val="206A4B06"/>
    <w:rsid w:val="21130296"/>
    <w:rsid w:val="239D05DF"/>
    <w:rsid w:val="274159FA"/>
    <w:rsid w:val="28084EBF"/>
    <w:rsid w:val="29E24854"/>
    <w:rsid w:val="2B056DD1"/>
    <w:rsid w:val="2D312709"/>
    <w:rsid w:val="2D320005"/>
    <w:rsid w:val="314E2F61"/>
    <w:rsid w:val="353A398A"/>
    <w:rsid w:val="382033B6"/>
    <w:rsid w:val="386D2EEB"/>
    <w:rsid w:val="397C036E"/>
    <w:rsid w:val="3D292D9F"/>
    <w:rsid w:val="3DC75983"/>
    <w:rsid w:val="40093D4F"/>
    <w:rsid w:val="41722FF8"/>
    <w:rsid w:val="41762A8C"/>
    <w:rsid w:val="46474609"/>
    <w:rsid w:val="482574CD"/>
    <w:rsid w:val="4872207A"/>
    <w:rsid w:val="49E933E0"/>
    <w:rsid w:val="4A6B4714"/>
    <w:rsid w:val="4A863114"/>
    <w:rsid w:val="4BF854AA"/>
    <w:rsid w:val="4EAC1055"/>
    <w:rsid w:val="50666CDA"/>
    <w:rsid w:val="51BF014D"/>
    <w:rsid w:val="52B50E8E"/>
    <w:rsid w:val="531A0E30"/>
    <w:rsid w:val="566D6FA7"/>
    <w:rsid w:val="574E2472"/>
    <w:rsid w:val="59052594"/>
    <w:rsid w:val="59A435D1"/>
    <w:rsid w:val="5CEA52B4"/>
    <w:rsid w:val="5DFD2A12"/>
    <w:rsid w:val="5E5440B6"/>
    <w:rsid w:val="60A1248D"/>
    <w:rsid w:val="6A5134C2"/>
    <w:rsid w:val="6AB026DC"/>
    <w:rsid w:val="6DAE3A2E"/>
    <w:rsid w:val="6DEF57B3"/>
    <w:rsid w:val="70A93E61"/>
    <w:rsid w:val="7233109C"/>
    <w:rsid w:val="729B492B"/>
    <w:rsid w:val="732E3898"/>
    <w:rsid w:val="740E70A6"/>
    <w:rsid w:val="74591480"/>
    <w:rsid w:val="77BD3EC9"/>
    <w:rsid w:val="78546EE4"/>
    <w:rsid w:val="78B51CEE"/>
    <w:rsid w:val="7C842CD3"/>
    <w:rsid w:val="7CE05996"/>
    <w:rsid w:val="7D9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2022-05-07T07:09:00Z</dcterms:created>
  <dc:creator>Administrator</dc:creator>
  <cp:lastModifiedBy>Administrator</cp:lastModifiedBy>
  <cp:lastPrinted>2025-01-02T02:40:00Z</cp:lastPrinted>
  <dcterms:modified xsi:type="dcterms:W3CDTF">2025-02-12T07:36:41Z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5D4A6F8527AD48A797900CE7F2E53306</vt:lpwstr>
  </property>
</Properties>
</file>