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81E84">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w w:val="95"/>
          <w:sz w:val="32"/>
          <w:szCs w:val="32"/>
          <w:lang w:eastAsia="zh-CN"/>
        </w:rPr>
        <w:t>广西宾诚工程项目管理有限公司</w:t>
      </w:r>
      <w:r>
        <w:rPr>
          <w:rFonts w:hint="eastAsia" w:ascii="宋体" w:hAnsi="宋体" w:eastAsia="宋体" w:cs="宋体"/>
          <w:b/>
          <w:bCs/>
          <w:color w:val="auto"/>
          <w:w w:val="95"/>
          <w:sz w:val="32"/>
          <w:szCs w:val="32"/>
          <w:lang w:val="en-US" w:eastAsia="zh-CN"/>
        </w:rPr>
        <w:t>关于</w:t>
      </w:r>
      <w:r>
        <w:rPr>
          <w:rFonts w:hint="eastAsia" w:ascii="宋体" w:hAnsi="宋体" w:eastAsia="宋体" w:cs="宋体"/>
          <w:b/>
          <w:bCs/>
          <w:color w:val="auto"/>
          <w:sz w:val="32"/>
          <w:szCs w:val="32"/>
          <w:highlight w:val="none"/>
          <w:lang w:eastAsia="zh-CN"/>
        </w:rPr>
        <w:t>腊烛村水源保护项目工程</w:t>
      </w:r>
      <w:r>
        <w:rPr>
          <w:rFonts w:hint="eastAsia" w:ascii="宋体" w:hAnsi="宋体" w:eastAsia="宋体" w:cs="宋体"/>
          <w:b/>
          <w:bCs/>
          <w:color w:val="auto"/>
          <w:sz w:val="32"/>
          <w:szCs w:val="32"/>
          <w:highlight w:val="none"/>
          <w:lang w:val="en-US" w:eastAsia="zh-CN"/>
        </w:rPr>
        <w:t>的更正公告（一）</w:t>
      </w:r>
    </w:p>
    <w:p w14:paraId="03EA7C5C">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highlight w:val="none"/>
          <w:lang w:val="en-US" w:eastAsia="zh-CN"/>
        </w:rPr>
        <w:t>项目基本情况</w:t>
      </w:r>
    </w:p>
    <w:p w14:paraId="04E1C44E">
      <w:pPr>
        <w:snapToGrid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原公告</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w w:val="95"/>
          <w:sz w:val="24"/>
          <w:szCs w:val="24"/>
          <w:highlight w:val="none"/>
        </w:rPr>
        <w:t>名称</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腊烛村水源保护项目工程</w:t>
      </w:r>
    </w:p>
    <w:p w14:paraId="2BBBC9B1">
      <w:pPr>
        <w:snapToGrid w:val="0"/>
        <w:spacing w:line="360" w:lineRule="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原公告</w:t>
      </w:r>
      <w:r>
        <w:rPr>
          <w:rFonts w:hint="eastAsia" w:ascii="宋体" w:hAnsi="宋体" w:eastAsia="宋体" w:cs="宋体"/>
          <w:b w:val="0"/>
          <w:bCs w:val="0"/>
          <w:color w:val="auto"/>
          <w:w w:val="95"/>
          <w:sz w:val="24"/>
          <w:szCs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w w:val="95"/>
          <w:sz w:val="24"/>
          <w:szCs w:val="24"/>
          <w:highlight w:val="none"/>
        </w:rPr>
        <w:t>：</w:t>
      </w:r>
      <w:r>
        <w:rPr>
          <w:rFonts w:hint="eastAsia" w:ascii="宋体" w:hAnsi="宋体" w:eastAsia="宋体" w:cs="宋体"/>
          <w:b w:val="0"/>
          <w:bCs w:val="0"/>
          <w:color w:val="auto"/>
          <w:w w:val="95"/>
          <w:sz w:val="24"/>
          <w:szCs w:val="24"/>
          <w:highlight w:val="none"/>
          <w:lang w:val="en-US" w:eastAsia="zh-CN"/>
        </w:rPr>
        <w:t>LBZC2025-C2-020059-BCGC</w:t>
      </w:r>
    </w:p>
    <w:p w14:paraId="3F03FE1A">
      <w:pPr>
        <w:numPr>
          <w:ilvl w:val="0"/>
          <w:numId w:val="0"/>
        </w:numPr>
        <w:spacing w:line="360" w:lineRule="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首次公告日期：2025年6月11日</w:t>
      </w:r>
    </w:p>
    <w:p w14:paraId="25A872A2">
      <w:pPr>
        <w:numPr>
          <w:ilvl w:val="0"/>
          <w:numId w:val="0"/>
        </w:numPr>
        <w:spacing w:line="360" w:lineRule="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kern w:val="2"/>
          <w:sz w:val="24"/>
          <w:szCs w:val="24"/>
          <w:lang w:val="en-US" w:eastAsia="zh-CN" w:bidi="ar-SA"/>
        </w:rPr>
        <w:t>二、</w:t>
      </w:r>
      <w:r>
        <w:rPr>
          <w:rFonts w:hint="eastAsia" w:ascii="宋体" w:hAnsi="宋体" w:eastAsia="宋体" w:cs="宋体"/>
          <w:b/>
          <w:bCs/>
          <w:color w:val="auto"/>
          <w:w w:val="95"/>
          <w:sz w:val="24"/>
          <w:szCs w:val="24"/>
          <w:highlight w:val="none"/>
          <w:lang w:val="en-US" w:eastAsia="zh-CN"/>
        </w:rPr>
        <w:t>更正信息</w:t>
      </w:r>
    </w:p>
    <w:p w14:paraId="532F25F9">
      <w:pPr>
        <w:numPr>
          <w:ilvl w:val="0"/>
          <w:numId w:val="0"/>
        </w:numPr>
        <w:spacing w:line="360" w:lineRule="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更正事项：采购公告</w:t>
      </w:r>
      <w:bookmarkStart w:id="12" w:name="_GoBack"/>
      <w:bookmarkEnd w:id="12"/>
      <w:r>
        <w:rPr>
          <w:rFonts w:hint="eastAsia" w:ascii="宋体" w:hAnsi="宋体" w:eastAsia="宋体" w:cs="宋体"/>
          <w:b w:val="0"/>
          <w:bCs w:val="0"/>
          <w:color w:val="auto"/>
          <w:w w:val="95"/>
          <w:sz w:val="24"/>
          <w:szCs w:val="24"/>
          <w:highlight w:val="none"/>
          <w:lang w:val="en-US" w:eastAsia="zh-CN"/>
        </w:rPr>
        <w:t>                   </w:t>
      </w:r>
    </w:p>
    <w:p w14:paraId="4E3EBEC3">
      <w:pPr>
        <w:numPr>
          <w:ilvl w:val="0"/>
          <w:numId w:val="0"/>
        </w:numPr>
        <w:spacing w:line="360" w:lineRule="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更正内容：</w:t>
      </w:r>
    </w:p>
    <w:tbl>
      <w:tblPr>
        <w:tblStyle w:val="8"/>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942"/>
        <w:gridCol w:w="2829"/>
        <w:gridCol w:w="3171"/>
      </w:tblGrid>
      <w:tr w14:paraId="4CF2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1A7E840">
            <w:pPr>
              <w:numPr>
                <w:ilvl w:val="0"/>
                <w:numId w:val="0"/>
              </w:numPr>
              <w:jc w:val="center"/>
              <w:rPr>
                <w:rFonts w:hint="default"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序号</w:t>
            </w:r>
          </w:p>
        </w:tc>
        <w:tc>
          <w:tcPr>
            <w:tcW w:w="1942" w:type="dxa"/>
            <w:vAlign w:val="center"/>
          </w:tcPr>
          <w:p w14:paraId="621D4A7B">
            <w:pPr>
              <w:numPr>
                <w:ilvl w:val="0"/>
                <w:numId w:val="0"/>
              </w:numPr>
              <w:jc w:val="center"/>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更正项</w:t>
            </w:r>
          </w:p>
        </w:tc>
        <w:tc>
          <w:tcPr>
            <w:tcW w:w="2829" w:type="dxa"/>
            <w:vAlign w:val="center"/>
          </w:tcPr>
          <w:p w14:paraId="03612111">
            <w:pPr>
              <w:numPr>
                <w:ilvl w:val="0"/>
                <w:numId w:val="0"/>
              </w:numPr>
              <w:jc w:val="center"/>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更正前内容</w:t>
            </w:r>
          </w:p>
        </w:tc>
        <w:tc>
          <w:tcPr>
            <w:tcW w:w="3171" w:type="dxa"/>
            <w:vAlign w:val="center"/>
          </w:tcPr>
          <w:p w14:paraId="0D0D082D">
            <w:pPr>
              <w:numPr>
                <w:ilvl w:val="0"/>
                <w:numId w:val="0"/>
              </w:numPr>
              <w:jc w:val="center"/>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更正后内容</w:t>
            </w:r>
          </w:p>
        </w:tc>
      </w:tr>
      <w:tr w14:paraId="19B9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4AA80AC3">
            <w:pPr>
              <w:numPr>
                <w:ilvl w:val="0"/>
                <w:numId w:val="0"/>
              </w:numPr>
              <w:jc w:val="center"/>
              <w:rPr>
                <w:rFonts w:hint="default"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1</w:t>
            </w:r>
          </w:p>
        </w:tc>
        <w:tc>
          <w:tcPr>
            <w:tcW w:w="1942" w:type="dxa"/>
            <w:vAlign w:val="center"/>
          </w:tcPr>
          <w:p w14:paraId="05B48318">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竞争性磋商公告</w:t>
            </w:r>
          </w:p>
          <w:p w14:paraId="13CD3B8F">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二、申请人的资格要求：3.本项目的特定资格要求</w:t>
            </w:r>
          </w:p>
        </w:tc>
        <w:tc>
          <w:tcPr>
            <w:tcW w:w="2829" w:type="dxa"/>
            <w:vAlign w:val="center"/>
          </w:tcPr>
          <w:p w14:paraId="263CB173">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3.本项目的特定资格要求：</w:t>
            </w:r>
            <w:r>
              <w:rPr>
                <w:rFonts w:hint="eastAsia" w:ascii="宋体" w:hAnsi="宋体" w:eastAsia="宋体" w:cs="宋体"/>
                <w:b w:val="0"/>
                <w:bCs w:val="0"/>
                <w:color w:val="auto"/>
                <w:w w:val="95"/>
                <w:sz w:val="24"/>
                <w:szCs w:val="24"/>
                <w:highlight w:val="none"/>
                <w:lang w:val="en-US" w:eastAsia="zh-CN"/>
              </w:rPr>
              <w:br w:type="textWrapping"/>
            </w:r>
            <w:r>
              <w:rPr>
                <w:rFonts w:hint="eastAsia" w:ascii="宋体" w:hAnsi="宋体" w:eastAsia="宋体" w:cs="宋体"/>
                <w:b w:val="0"/>
                <w:bCs w:val="0"/>
                <w:color w:val="auto"/>
                <w:w w:val="95"/>
                <w:sz w:val="24"/>
                <w:szCs w:val="24"/>
                <w:highlight w:val="none"/>
                <w:lang w:val="en-US" w:eastAsia="zh-CN"/>
              </w:rPr>
              <w:t>【分标1】</w:t>
            </w:r>
            <w:r>
              <w:rPr>
                <w:rFonts w:hint="eastAsia" w:ascii="宋体" w:hAnsi="宋体" w:eastAsia="宋体" w:cs="宋体"/>
                <w:b w:val="0"/>
                <w:bCs w:val="0"/>
                <w:color w:val="auto"/>
                <w:w w:val="95"/>
                <w:sz w:val="24"/>
                <w:szCs w:val="24"/>
                <w:highlight w:val="none"/>
                <w:lang w:val="en-US" w:eastAsia="zh-CN"/>
              </w:rPr>
              <w:br w:type="textWrapping"/>
            </w:r>
            <w:r>
              <w:rPr>
                <w:rFonts w:hint="eastAsia" w:ascii="宋体" w:hAnsi="宋体" w:eastAsia="宋体" w:cs="宋体"/>
                <w:b w:val="0"/>
                <w:bCs w:val="0"/>
                <w:color w:val="auto"/>
                <w:w w:val="95"/>
                <w:sz w:val="24"/>
                <w:szCs w:val="24"/>
                <w:highlight w:val="none"/>
                <w:lang w:val="en-US" w:eastAsia="zh-CN"/>
              </w:rPr>
              <w:t>【必须提供，否则响应文件按无效处理】</w:t>
            </w:r>
            <w:r>
              <w:rPr>
                <w:rFonts w:hint="eastAsia" w:ascii="宋体" w:hAnsi="宋体" w:eastAsia="宋体" w:cs="宋体"/>
                <w:b w:val="0"/>
                <w:bCs w:val="0"/>
                <w:color w:val="auto"/>
                <w:w w:val="95"/>
                <w:sz w:val="24"/>
                <w:szCs w:val="24"/>
                <w:highlight w:val="none"/>
                <w:lang w:val="en-US" w:eastAsia="zh-CN"/>
              </w:rPr>
              <w:br w:type="textWrapping"/>
            </w:r>
            <w:r>
              <w:rPr>
                <w:rFonts w:hint="eastAsia" w:ascii="宋体" w:hAnsi="宋体" w:eastAsia="宋体" w:cs="宋体"/>
                <w:b w:val="0"/>
                <w:bCs w:val="0"/>
                <w:color w:val="auto"/>
                <w:w w:val="95"/>
                <w:sz w:val="24"/>
                <w:szCs w:val="24"/>
                <w:highlight w:val="none"/>
                <w:lang w:val="en-US" w:eastAsia="zh-CN"/>
              </w:rPr>
              <w:t>（1）有效的建筑工程施工总承包三级及以上资质扫描件及有效的安全生产许可证扫描件；</w:t>
            </w:r>
            <w:r>
              <w:rPr>
                <w:rFonts w:hint="eastAsia" w:ascii="宋体" w:hAnsi="宋体" w:eastAsia="宋体" w:cs="宋体"/>
                <w:b w:val="0"/>
                <w:bCs w:val="0"/>
                <w:color w:val="auto"/>
                <w:w w:val="95"/>
                <w:sz w:val="24"/>
                <w:szCs w:val="24"/>
                <w:highlight w:val="none"/>
                <w:lang w:val="en-US" w:eastAsia="zh-CN"/>
              </w:rPr>
              <w:br w:type="textWrapping"/>
            </w:r>
            <w:r>
              <w:rPr>
                <w:rFonts w:hint="eastAsia" w:ascii="宋体" w:hAnsi="宋体" w:eastAsia="宋体" w:cs="宋体"/>
                <w:b w:val="0"/>
                <w:bCs w:val="0"/>
                <w:color w:val="auto"/>
                <w:w w:val="95"/>
                <w:sz w:val="24"/>
                <w:szCs w:val="24"/>
                <w:highlight w:val="none"/>
                <w:lang w:val="en-US" w:eastAsia="zh-CN"/>
              </w:rPr>
              <w:t>（2）拟投入项目经理有效的二级以上（含二级）建筑工程专业注册建造师资格证书扫描件、有效的安全生产考核合格证（B证）扫描件、未担任其他在建工程项目的项目经理承诺函原件扫描件（格式自拟）、是供应商在职员工的证明材料扫描件；</w:t>
            </w:r>
            <w:r>
              <w:rPr>
                <w:rFonts w:hint="eastAsia" w:ascii="宋体" w:hAnsi="宋体" w:eastAsia="宋体" w:cs="宋体"/>
                <w:b w:val="0"/>
                <w:bCs w:val="0"/>
                <w:color w:val="auto"/>
                <w:w w:val="95"/>
                <w:sz w:val="24"/>
                <w:szCs w:val="24"/>
                <w:highlight w:val="none"/>
                <w:lang w:val="en-US" w:eastAsia="zh-CN"/>
              </w:rPr>
              <w:br w:type="textWrapping"/>
            </w:r>
            <w:r>
              <w:rPr>
                <w:rFonts w:hint="eastAsia" w:ascii="宋体" w:hAnsi="宋体" w:eastAsia="宋体" w:cs="宋体"/>
                <w:b w:val="0"/>
                <w:bCs w:val="0"/>
                <w:color w:val="auto"/>
                <w:w w:val="95"/>
                <w:sz w:val="24"/>
                <w:szCs w:val="24"/>
                <w:highlight w:val="none"/>
                <w:lang w:val="en-US" w:eastAsia="zh-CN"/>
              </w:rPr>
              <w:t>(3)拟投入专职安全员有效的安全生产考核合格证书（C证）扫描件、是供应商在职员工的证明材料扫描件。</w:t>
            </w:r>
          </w:p>
        </w:tc>
        <w:tc>
          <w:tcPr>
            <w:tcW w:w="3171" w:type="dxa"/>
            <w:vAlign w:val="center"/>
          </w:tcPr>
          <w:p w14:paraId="5FAFA13E">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3.本项目的特定资格要求：3.1具备建筑工程施工总承包三级及以上资质，并具有有效的安全生产许可证；</w:t>
            </w:r>
          </w:p>
          <w:p w14:paraId="5F33ADB7">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3.2拟投入本项目的项目经理必须具备二级以上（含二级）建筑工程专业注册建造师资格及有效的安全生产考核合格证（B证）扫描件，且未担任其他在建工程项目的项目经理；</w:t>
            </w:r>
          </w:p>
          <w:p w14:paraId="7BE86302">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3.3供应商拟派的专职安全生产管理人员必须具备有效的安全生产考核合格证书（C证），且不少于1人；</w:t>
            </w:r>
          </w:p>
          <w:p w14:paraId="7FA86F13">
            <w:pPr>
              <w:numPr>
                <w:ilvl w:val="0"/>
                <w:numId w:val="0"/>
              </w:numPr>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3.4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E80E409">
            <w:pPr>
              <w:numPr>
                <w:ilvl w:val="0"/>
                <w:numId w:val="0"/>
              </w:numPr>
              <w:jc w:val="both"/>
              <w:rPr>
                <w:rFonts w:hint="eastAsia" w:ascii="宋体" w:hAnsi="宋体" w:eastAsia="宋体" w:cs="宋体"/>
                <w:b w:val="0"/>
                <w:bCs w:val="0"/>
                <w:color w:val="auto"/>
                <w:w w:val="95"/>
                <w:sz w:val="24"/>
                <w:szCs w:val="24"/>
                <w:highlight w:val="none"/>
                <w:lang w:val="en-US" w:eastAsia="zh-CN"/>
              </w:rPr>
            </w:pPr>
          </w:p>
        </w:tc>
      </w:tr>
    </w:tbl>
    <w:p w14:paraId="3154A9F5">
      <w:pPr>
        <w:numPr>
          <w:ilvl w:val="0"/>
          <w:numId w:val="0"/>
        </w:numPr>
        <w:spacing w:line="360" w:lineRule="auto"/>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更正日期：2025年06月11日</w:t>
      </w:r>
    </w:p>
    <w:p w14:paraId="449F285F">
      <w:pPr>
        <w:numPr>
          <w:ilvl w:val="0"/>
          <w:numId w:val="0"/>
        </w:numPr>
        <w:spacing w:line="360" w:lineRule="auto"/>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 xml:space="preserve">三、其他补充事宜   </w:t>
      </w:r>
      <w:r>
        <w:rPr>
          <w:rFonts w:hint="eastAsia" w:ascii="宋体" w:hAnsi="宋体" w:eastAsia="宋体" w:cs="宋体"/>
          <w:b w:val="0"/>
          <w:bCs w:val="0"/>
          <w:color w:val="auto"/>
          <w:w w:val="95"/>
          <w:sz w:val="24"/>
          <w:szCs w:val="24"/>
          <w:highlight w:val="none"/>
          <w:lang w:val="en-US" w:eastAsia="zh-CN"/>
        </w:rPr>
        <w:t>             </w:t>
      </w:r>
    </w:p>
    <w:p w14:paraId="049709B0">
      <w:pPr>
        <w:numPr>
          <w:ilvl w:val="0"/>
          <w:numId w:val="0"/>
        </w:numPr>
        <w:spacing w:line="360" w:lineRule="auto"/>
        <w:ind w:firstLine="456" w:firstLineChars="200"/>
        <w:jc w:val="both"/>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请按以上更正内容执行，其它内容不变。</w:t>
      </w:r>
    </w:p>
    <w:p w14:paraId="5E200E1E">
      <w:pPr>
        <w:numPr>
          <w:ilvl w:val="0"/>
          <w:numId w:val="0"/>
        </w:num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四、对本次公告提出询问，请按以下方式联系。　</w:t>
      </w:r>
    </w:p>
    <w:p w14:paraId="7A6F87CB">
      <w:pPr>
        <w:snapToGrid w:val="0"/>
        <w:spacing w:line="360" w:lineRule="auto"/>
        <w:rPr>
          <w:rFonts w:hint="eastAsia" w:ascii="宋体" w:hAnsi="宋体" w:eastAsia="宋体" w:cs="宋体"/>
          <w:b w:val="0"/>
          <w:bCs w:val="0"/>
          <w:color w:val="auto"/>
          <w:sz w:val="24"/>
          <w:szCs w:val="24"/>
          <w:highlight w:val="none"/>
          <w:lang w:val="en-US" w:eastAsia="zh-CN"/>
        </w:rPr>
      </w:pPr>
      <w:bookmarkStart w:id="0" w:name="_Toc35393806"/>
      <w:bookmarkStart w:id="1" w:name="_Toc28359096"/>
      <w:bookmarkStart w:id="2" w:name="_Toc35393637"/>
      <w:bookmarkStart w:id="3" w:name="_Toc28359019"/>
      <w:r>
        <w:rPr>
          <w:rFonts w:hint="eastAsia" w:ascii="宋体" w:hAnsi="宋体" w:eastAsia="宋体" w:cs="宋体"/>
          <w:b w:val="0"/>
          <w:bCs w:val="0"/>
          <w:color w:val="auto"/>
          <w:sz w:val="24"/>
          <w:szCs w:val="24"/>
          <w:highlight w:val="none"/>
          <w:lang w:val="en-US" w:eastAsia="zh-CN"/>
        </w:rPr>
        <w:t>1.采购人信息</w:t>
      </w:r>
      <w:bookmarkEnd w:id="0"/>
      <w:bookmarkEnd w:id="1"/>
      <w:bookmarkEnd w:id="2"/>
      <w:bookmarkEnd w:id="3"/>
    </w:p>
    <w:p w14:paraId="5B513596">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    称：来宾市兴宾区水库移民工作管理局</w:t>
      </w:r>
    </w:p>
    <w:p w14:paraId="07F0C0F0">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址：来宾市兴宾区城南新区企业总部大楼 附楼（西）一楼F108办公室</w:t>
      </w:r>
    </w:p>
    <w:p w14:paraId="62EDBF82">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联系方式：黎工  0772-6680075</w:t>
      </w:r>
    </w:p>
    <w:p w14:paraId="7F48981F">
      <w:pPr>
        <w:snapToGrid w:val="0"/>
        <w:spacing w:line="360" w:lineRule="auto"/>
        <w:rPr>
          <w:rFonts w:hint="eastAsia" w:ascii="宋体" w:hAnsi="宋体" w:eastAsia="宋体" w:cs="宋体"/>
          <w:b w:val="0"/>
          <w:bCs w:val="0"/>
          <w:color w:val="auto"/>
          <w:sz w:val="24"/>
          <w:szCs w:val="24"/>
          <w:highlight w:val="none"/>
          <w:lang w:val="en-US" w:eastAsia="zh-CN"/>
        </w:rPr>
      </w:pPr>
      <w:bookmarkStart w:id="4" w:name="_Toc35393807"/>
      <w:bookmarkStart w:id="5" w:name="_Toc28359020"/>
      <w:bookmarkStart w:id="6" w:name="_Toc35393638"/>
      <w:bookmarkStart w:id="7" w:name="_Toc28359097"/>
      <w:r>
        <w:rPr>
          <w:rFonts w:hint="eastAsia" w:ascii="宋体" w:hAnsi="宋体" w:eastAsia="宋体" w:cs="宋体"/>
          <w:b w:val="0"/>
          <w:bCs w:val="0"/>
          <w:color w:val="auto"/>
          <w:sz w:val="24"/>
          <w:szCs w:val="24"/>
          <w:highlight w:val="none"/>
          <w:lang w:val="en-US" w:eastAsia="zh-CN"/>
        </w:rPr>
        <w:t>2.采购代理机构信息</w:t>
      </w:r>
      <w:bookmarkEnd w:id="4"/>
      <w:bookmarkEnd w:id="5"/>
      <w:bookmarkEnd w:id="6"/>
      <w:bookmarkEnd w:id="7"/>
    </w:p>
    <w:p w14:paraId="06364184">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    称：广西宾诚工程项目管理有限公司</w:t>
      </w:r>
    </w:p>
    <w:p w14:paraId="0A861070">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址：来宾市兴宾区铁北大道2号义乌国际小商品批发城B区2栋328号</w:t>
      </w:r>
    </w:p>
    <w:p w14:paraId="3827F431">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联系方式：0772-4223810</w:t>
      </w:r>
    </w:p>
    <w:p w14:paraId="67D72EA8">
      <w:pPr>
        <w:snapToGrid w:val="0"/>
        <w:spacing w:line="360" w:lineRule="auto"/>
        <w:rPr>
          <w:rFonts w:hint="eastAsia" w:ascii="宋体" w:hAnsi="宋体" w:eastAsia="宋体" w:cs="宋体"/>
          <w:b w:val="0"/>
          <w:bCs w:val="0"/>
          <w:color w:val="auto"/>
          <w:sz w:val="24"/>
          <w:szCs w:val="24"/>
          <w:highlight w:val="none"/>
          <w:lang w:val="en-US" w:eastAsia="zh-CN"/>
        </w:rPr>
      </w:pPr>
      <w:bookmarkStart w:id="8" w:name="_Toc35393639"/>
      <w:bookmarkStart w:id="9" w:name="_Toc28359021"/>
      <w:bookmarkStart w:id="10" w:name="_Toc35393808"/>
      <w:bookmarkStart w:id="11" w:name="_Toc28359098"/>
      <w:r>
        <w:rPr>
          <w:rFonts w:hint="eastAsia" w:ascii="宋体" w:hAnsi="宋体" w:eastAsia="宋体" w:cs="宋体"/>
          <w:b w:val="0"/>
          <w:bCs w:val="0"/>
          <w:color w:val="auto"/>
          <w:sz w:val="24"/>
          <w:szCs w:val="24"/>
          <w:highlight w:val="none"/>
          <w:lang w:val="en-US" w:eastAsia="zh-CN"/>
        </w:rPr>
        <w:t>3.项目联系方式</w:t>
      </w:r>
      <w:bookmarkEnd w:id="8"/>
      <w:bookmarkEnd w:id="9"/>
      <w:bookmarkEnd w:id="10"/>
      <w:bookmarkEnd w:id="11"/>
    </w:p>
    <w:p w14:paraId="66E59354">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项目联系人：梁晨涛</w:t>
      </w:r>
    </w:p>
    <w:p w14:paraId="368C3AB0">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话：0772-4223810</w:t>
      </w:r>
    </w:p>
    <w:p w14:paraId="4712A802">
      <w:pPr>
        <w:pStyle w:val="2"/>
        <w:numPr>
          <w:ilvl w:val="0"/>
          <w:numId w:val="0"/>
        </w:num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54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BCF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5BC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E4954"/>
    <w:rsid w:val="06193887"/>
    <w:rsid w:val="195B181D"/>
    <w:rsid w:val="27305558"/>
    <w:rsid w:val="28F864E7"/>
    <w:rsid w:val="2AD77A4D"/>
    <w:rsid w:val="2D6648F3"/>
    <w:rsid w:val="37C36917"/>
    <w:rsid w:val="43167196"/>
    <w:rsid w:val="552644A1"/>
    <w:rsid w:val="7F2E4954"/>
    <w:rsid w:val="7F66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line="360" w:lineRule="auto"/>
      <w:outlineLvl w:val="3"/>
    </w:pPr>
    <w:rPr>
      <w:rFonts w:ascii="Arial" w:hAnsi="Arial"/>
      <w:b/>
      <w:bCs/>
      <w:sz w:val="28"/>
      <w:szCs w:val="28"/>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865</Words>
  <Characters>950</Characters>
  <Lines>0</Lines>
  <Paragraphs>0</Paragraphs>
  <TotalTime>7</TotalTime>
  <ScaleCrop>false</ScaleCrop>
  <LinksUpToDate>false</LinksUpToDate>
  <CharactersWithSpaces>1006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2025-06-11T09:18:00Z</dcterms:created>
  <dc:creator>孟婆，来碗汤</dc:creator>
  <cp:lastModifiedBy>孟婆，来碗汤</cp:lastModifiedBy>
  <dcterms:modified xsi:type="dcterms:W3CDTF">2025-06-11T09:41:52Z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531F780762344A118E5220F9146B7B22_11</vt:lpwstr>
  </property>
  <property fmtid="{D5CDD505-2E9C-101B-9397-08002B2CF9AE}" pid="4" name="KSOTemplateDocerSaveRecord">
    <vt:lpwstr>eyJoZGlkIjoiNDA1ODQ5YWNkNGMyOTRhNDNmNGFlZjZiM2YwMjg3YTgiLCJ1c2VySWQiOiI2MTc3ODg5MzMifQ==</vt:lpwstr>
  </property>
</Properties>
</file>